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B368B7" w14:textId="3698A08C" w:rsidR="00531D31" w:rsidRPr="0054775B" w:rsidRDefault="00531D31" w:rsidP="00531D31">
      <w:bookmarkStart w:id="0" w:name="_Toc131610143"/>
      <w:r w:rsidRPr="0054775B">
        <w:rPr>
          <w:noProof/>
          <w:lang w:eastAsia="en-AU"/>
        </w:rPr>
        <w:drawing>
          <wp:anchor distT="0" distB="0" distL="114300" distR="114300" simplePos="0" relativeHeight="251658240" behindDoc="1" locked="0" layoutInCell="1" allowOverlap="1" wp14:anchorId="51715AED" wp14:editId="04BA1B84">
            <wp:simplePos x="0" y="0"/>
            <wp:positionH relativeFrom="margin">
              <wp:align>left</wp:align>
            </wp:positionH>
            <wp:positionV relativeFrom="paragraph">
              <wp:posOffset>0</wp:posOffset>
            </wp:positionV>
            <wp:extent cx="3054350" cy="1137920"/>
            <wp:effectExtent l="0" t="0" r="0" b="5080"/>
            <wp:wrapSquare wrapText="bothSides"/>
            <wp:docPr id="3" name="Picture 3" descr="P1#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1#y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68824" cy="1143568"/>
                    </a:xfrm>
                    <a:prstGeom prst="rect">
                      <a:avLst/>
                    </a:prstGeom>
                    <a:noFill/>
                    <a:ln>
                      <a:noFill/>
                    </a:ln>
                  </pic:spPr>
                </pic:pic>
              </a:graphicData>
            </a:graphic>
            <wp14:sizeRelH relativeFrom="page">
              <wp14:pctWidth>0</wp14:pctWidth>
            </wp14:sizeRelH>
            <wp14:sizeRelV relativeFrom="page">
              <wp14:pctHeight>0</wp14:pctHeight>
            </wp14:sizeRelV>
          </wp:anchor>
        </w:drawing>
      </w:r>
      <w:r w:rsidRPr="0054775B">
        <w:tab/>
      </w:r>
    </w:p>
    <w:p w14:paraId="2EC5276C" w14:textId="77777777" w:rsidR="00531D31" w:rsidRPr="0054775B" w:rsidRDefault="00531D31" w:rsidP="00531D31"/>
    <w:p w14:paraId="5C862623" w14:textId="77777777" w:rsidR="00531D31" w:rsidRPr="0054775B" w:rsidRDefault="00531D31" w:rsidP="00531D31"/>
    <w:p w14:paraId="2171E6A2" w14:textId="77777777" w:rsidR="00531D31" w:rsidRPr="0054775B" w:rsidRDefault="00531D31" w:rsidP="00531D31"/>
    <w:p w14:paraId="29A98721" w14:textId="77777777" w:rsidR="00531D31" w:rsidRPr="0054775B" w:rsidRDefault="00531D31" w:rsidP="00531D31"/>
    <w:p w14:paraId="67B1D241" w14:textId="77777777" w:rsidR="00531D31" w:rsidRPr="0054775B" w:rsidRDefault="00531D31" w:rsidP="00531D31"/>
    <w:p w14:paraId="2BDBFC94" w14:textId="77777777" w:rsidR="00531D31" w:rsidRPr="0054775B" w:rsidRDefault="00531D31" w:rsidP="00531D31">
      <w:pPr>
        <w:pStyle w:val="TitlePage"/>
      </w:pPr>
    </w:p>
    <w:p w14:paraId="317581FF" w14:textId="0CB95C89" w:rsidR="00531D31" w:rsidRDefault="00531D31" w:rsidP="00531D31">
      <w:pPr>
        <w:pStyle w:val="2024TitleNONUMBER"/>
      </w:pPr>
      <w:r w:rsidRPr="0054775B">
        <w:t>Evidence on the clinical effectiveness of selected nutritional supplements prescribed in the context of naturopathic practice for preventing and/or treating injury, disease, medical conditions, or pre-clinical conditions: Overview of Reviews</w:t>
      </w:r>
    </w:p>
    <w:p w14:paraId="7AE51966" w14:textId="77777777" w:rsidR="006854AB" w:rsidRDefault="006854AB" w:rsidP="00531D31">
      <w:pPr>
        <w:pStyle w:val="2024TitleNONUMBER"/>
      </w:pPr>
    </w:p>
    <w:p w14:paraId="5AF87516" w14:textId="01998DE4" w:rsidR="00E36B14" w:rsidRPr="0054775B" w:rsidRDefault="00C97B80" w:rsidP="00531D31">
      <w:pPr>
        <w:pStyle w:val="2024TitleNONUMBER"/>
      </w:pPr>
      <w:r>
        <w:t>Appendices</w:t>
      </w:r>
    </w:p>
    <w:p w14:paraId="0408F160" w14:textId="77777777" w:rsidR="00531D31" w:rsidRPr="0054775B" w:rsidRDefault="00531D31" w:rsidP="00531D31"/>
    <w:p w14:paraId="0E7D95FB" w14:textId="77777777" w:rsidR="00531D31" w:rsidRPr="0054775B" w:rsidRDefault="00531D31" w:rsidP="00531D31"/>
    <w:p w14:paraId="02EF7988" w14:textId="4C4A1B71" w:rsidR="00531D31" w:rsidRPr="0054775B" w:rsidRDefault="00531D31" w:rsidP="00531D31">
      <w:pPr>
        <w:pStyle w:val="Title"/>
      </w:pPr>
      <w:r w:rsidRPr="0054775B">
        <w:t xml:space="preserve">Version </w:t>
      </w:r>
      <w:r w:rsidRPr="0054775B">
        <w:tab/>
      </w:r>
      <w:r w:rsidR="00212CAB">
        <w:t>3</w:t>
      </w:r>
    </w:p>
    <w:p w14:paraId="3816047D" w14:textId="57978A2A" w:rsidR="00531D31" w:rsidRPr="0054775B" w:rsidRDefault="00531D31" w:rsidP="00531D31">
      <w:pPr>
        <w:pStyle w:val="Title"/>
      </w:pPr>
      <w:r w:rsidRPr="0054775B">
        <w:t>Date</w:t>
      </w:r>
      <w:r w:rsidRPr="0054775B">
        <w:tab/>
      </w:r>
      <w:r w:rsidRPr="0054775B">
        <w:tab/>
      </w:r>
      <w:r>
        <w:t>2</w:t>
      </w:r>
      <w:r w:rsidR="00212CAB">
        <w:t>7</w:t>
      </w:r>
      <w:r w:rsidRPr="0054775B">
        <w:t xml:space="preserve"> </w:t>
      </w:r>
      <w:r w:rsidR="00212CAB">
        <w:t>September</w:t>
      </w:r>
      <w:r w:rsidR="00AD5745" w:rsidRPr="0054775B">
        <w:t xml:space="preserve"> </w:t>
      </w:r>
      <w:r w:rsidRPr="0054775B">
        <w:t>2024</w:t>
      </w:r>
    </w:p>
    <w:p w14:paraId="3FB6FE16" w14:textId="77777777" w:rsidR="00531D31" w:rsidRPr="0054775B" w:rsidRDefault="00531D31" w:rsidP="00531D31"/>
    <w:p w14:paraId="6A3E7831" w14:textId="77777777" w:rsidR="00531D31" w:rsidRPr="0054775B" w:rsidRDefault="00531D31" w:rsidP="00531D31">
      <w:pPr>
        <w:pStyle w:val="Title"/>
      </w:pPr>
      <w:r w:rsidRPr="0054775B">
        <w:t xml:space="preserve">Prepared for </w:t>
      </w:r>
    </w:p>
    <w:p w14:paraId="7995E6B5" w14:textId="77777777" w:rsidR="00531D31" w:rsidRPr="0054775B" w:rsidRDefault="00531D31" w:rsidP="00531D31">
      <w:pPr>
        <w:pStyle w:val="Title"/>
      </w:pPr>
      <w:r w:rsidRPr="0054775B">
        <w:t>National Health and Medical Research Council</w:t>
      </w:r>
      <w:r w:rsidRPr="0054775B">
        <w:cr/>
      </w:r>
    </w:p>
    <w:p w14:paraId="06C0B813" w14:textId="77777777" w:rsidR="00531D31" w:rsidRPr="0054775B" w:rsidRDefault="00531D31" w:rsidP="00531D31">
      <w:pPr>
        <w:pStyle w:val="Title"/>
      </w:pPr>
      <w:r w:rsidRPr="0054775B">
        <w:t>Prepared by</w:t>
      </w:r>
    </w:p>
    <w:p w14:paraId="2A62705E" w14:textId="77777777" w:rsidR="00531D31" w:rsidRPr="0054775B" w:rsidRDefault="00531D31" w:rsidP="00531D31">
      <w:pPr>
        <w:pStyle w:val="Title"/>
      </w:pPr>
      <w:r w:rsidRPr="0054775B">
        <w:t>Centre for Applied Health Economics</w:t>
      </w:r>
    </w:p>
    <w:p w14:paraId="1D7D9A38" w14:textId="77777777" w:rsidR="00531D31" w:rsidRPr="0054775B" w:rsidRDefault="00531D31" w:rsidP="00531D31">
      <w:pPr>
        <w:pStyle w:val="Title"/>
      </w:pPr>
      <w:r w:rsidRPr="0054775B">
        <w:t>Griffith University</w:t>
      </w:r>
      <w:r w:rsidRPr="0054775B">
        <w:tab/>
      </w:r>
    </w:p>
    <w:p w14:paraId="76922889" w14:textId="77777777" w:rsidR="00531D31" w:rsidRPr="0054775B" w:rsidRDefault="00531D31" w:rsidP="00531D31">
      <w:pPr>
        <w:pStyle w:val="Subtitle"/>
      </w:pPr>
    </w:p>
    <w:p w14:paraId="602A19F0" w14:textId="77777777" w:rsidR="00531D31" w:rsidRPr="0054775B" w:rsidRDefault="00531D31" w:rsidP="00531D31">
      <w:pPr>
        <w:pStyle w:val="Subtitle"/>
      </w:pPr>
    </w:p>
    <w:p w14:paraId="4A31E3EE" w14:textId="77777777" w:rsidR="00531D31" w:rsidRPr="0054775B" w:rsidRDefault="00531D31" w:rsidP="00531D31">
      <w:pPr>
        <w:pStyle w:val="Subtitle"/>
      </w:pPr>
    </w:p>
    <w:p w14:paraId="7701EFD5" w14:textId="77777777" w:rsidR="00531D31" w:rsidRPr="0054775B" w:rsidRDefault="00531D31" w:rsidP="00531D31">
      <w:pPr>
        <w:pStyle w:val="Subtitle"/>
      </w:pPr>
    </w:p>
    <w:p w14:paraId="205ABE6F" w14:textId="77777777" w:rsidR="00531D31" w:rsidRPr="0054775B" w:rsidRDefault="00531D31" w:rsidP="00531D31">
      <w:pPr>
        <w:pStyle w:val="Subtitle"/>
      </w:pPr>
    </w:p>
    <w:p w14:paraId="391AB237" w14:textId="77777777" w:rsidR="00531D31" w:rsidRDefault="00531D31">
      <w:pPr>
        <w:rPr>
          <w:b/>
        </w:rPr>
      </w:pPr>
      <w:r>
        <w:rPr>
          <w:b/>
        </w:rPr>
        <w:br w:type="page"/>
      </w:r>
    </w:p>
    <w:p w14:paraId="54486C22" w14:textId="2128E660" w:rsidR="00531D31" w:rsidRPr="0099470A" w:rsidRDefault="00531D31" w:rsidP="00531D31">
      <w:pPr>
        <w:rPr>
          <w:rFonts w:ascii="Aptos" w:hAnsi="Aptos"/>
          <w:b/>
          <w:sz w:val="22"/>
          <w:szCs w:val="22"/>
        </w:rPr>
      </w:pPr>
      <w:r w:rsidRPr="0099470A">
        <w:rPr>
          <w:rFonts w:ascii="Aptos" w:hAnsi="Aptos"/>
          <w:b/>
          <w:sz w:val="22"/>
          <w:szCs w:val="22"/>
        </w:rPr>
        <w:lastRenderedPageBreak/>
        <w:t>Copyright</w:t>
      </w:r>
    </w:p>
    <w:p w14:paraId="79693CF3" w14:textId="77777777" w:rsidR="00531D31" w:rsidRPr="0099470A" w:rsidRDefault="00531D31" w:rsidP="00531D31">
      <w:pPr>
        <w:pStyle w:val="BodyText"/>
        <w:rPr>
          <w:rFonts w:ascii="Aptos" w:hAnsi="Aptos" w:cs="Arial"/>
          <w:sz w:val="22"/>
          <w:szCs w:val="22"/>
          <w:lang w:val="en-GB"/>
        </w:rPr>
      </w:pPr>
      <w:r w:rsidRPr="0099470A">
        <w:rPr>
          <w:rFonts w:ascii="Aptos" w:hAnsi="Aptos" w:cs="Arial"/>
          <w:sz w:val="22"/>
          <w:szCs w:val="22"/>
          <w:lang w:val="en-GB"/>
        </w:rPr>
        <w:t>© Commonwealth of Australia 2024</w:t>
      </w:r>
    </w:p>
    <w:p w14:paraId="555425FF" w14:textId="77777777" w:rsidR="00531D31" w:rsidRPr="0099470A" w:rsidRDefault="00531D31" w:rsidP="00531D31">
      <w:pPr>
        <w:rPr>
          <w:rFonts w:ascii="Aptos" w:hAnsi="Aptos"/>
          <w:sz w:val="22"/>
          <w:szCs w:val="22"/>
        </w:rPr>
      </w:pPr>
      <w:r w:rsidRPr="0099470A">
        <w:rPr>
          <w:rFonts w:ascii="Aptos" w:hAnsi="Aptos"/>
          <w:sz w:val="22"/>
          <w:szCs w:val="22"/>
        </w:rPr>
        <w:t>All material presented in this publication is provided under a Creative Commons Attribution 4.0 International licence (www.creativecommons.org.au), with the exception of the Commonwealth Coat of Arms, NHMRC logo and content identified as being owned by third parties. The details of the relevant licence conditions are available on the Creative Commons website (www.creativecommons.org.au), as is the full legal code for the CC BY 4.0 International licence.</w:t>
      </w:r>
    </w:p>
    <w:p w14:paraId="18427AE3" w14:textId="77777777" w:rsidR="00531D31" w:rsidRPr="0099470A" w:rsidRDefault="00531D31" w:rsidP="00531D31">
      <w:pPr>
        <w:rPr>
          <w:rFonts w:ascii="Aptos" w:hAnsi="Aptos"/>
          <w:sz w:val="22"/>
          <w:szCs w:val="22"/>
        </w:rPr>
      </w:pPr>
    </w:p>
    <w:p w14:paraId="4971025F" w14:textId="77777777" w:rsidR="00531D31" w:rsidRPr="0099470A" w:rsidRDefault="00531D31" w:rsidP="00531D31">
      <w:pPr>
        <w:rPr>
          <w:rFonts w:ascii="Aptos" w:hAnsi="Aptos"/>
          <w:b/>
          <w:sz w:val="22"/>
          <w:szCs w:val="22"/>
        </w:rPr>
      </w:pPr>
      <w:r w:rsidRPr="0099470A">
        <w:rPr>
          <w:rFonts w:ascii="Aptos" w:hAnsi="Aptos"/>
          <w:b/>
          <w:sz w:val="22"/>
          <w:szCs w:val="22"/>
        </w:rPr>
        <w:t>Attribution</w:t>
      </w:r>
    </w:p>
    <w:p w14:paraId="0F74E14A" w14:textId="77777777" w:rsidR="00531D31" w:rsidRPr="0099470A" w:rsidRDefault="00531D31" w:rsidP="00531D31">
      <w:pPr>
        <w:rPr>
          <w:rFonts w:ascii="Aptos" w:hAnsi="Aptos"/>
          <w:sz w:val="22"/>
          <w:szCs w:val="22"/>
        </w:rPr>
      </w:pPr>
      <w:r w:rsidRPr="0099470A">
        <w:rPr>
          <w:rFonts w:ascii="Aptos" w:hAnsi="Aptos"/>
          <w:sz w:val="22"/>
          <w:szCs w:val="22"/>
        </w:rPr>
        <w:t xml:space="preserve">Creative Commons Attribution 4.0 International Licence is a standard form licence agreement that allows you to copy, distribute, transmit and adapt this publication provided that you attribute the work. The NHMRC preference is that you attribute this publication (and any material sourced from it) using the following wording: </w:t>
      </w:r>
    </w:p>
    <w:p w14:paraId="11F38125" w14:textId="77777777" w:rsidR="00531D31" w:rsidRPr="0099470A" w:rsidRDefault="00531D31" w:rsidP="00531D31">
      <w:pPr>
        <w:rPr>
          <w:rFonts w:ascii="Aptos" w:hAnsi="Aptos"/>
          <w:sz w:val="22"/>
          <w:szCs w:val="22"/>
        </w:rPr>
      </w:pPr>
      <w:r w:rsidRPr="0099470A">
        <w:rPr>
          <w:rFonts w:ascii="Aptos" w:hAnsi="Aptos"/>
          <w:sz w:val="22"/>
          <w:szCs w:val="22"/>
        </w:rPr>
        <w:t>Source: National Health and Medical Research Council.</w:t>
      </w:r>
    </w:p>
    <w:p w14:paraId="45AE10D4" w14:textId="77777777" w:rsidR="00531D31" w:rsidRPr="0099470A" w:rsidRDefault="00531D31" w:rsidP="00531D31">
      <w:pPr>
        <w:rPr>
          <w:rFonts w:ascii="Aptos" w:hAnsi="Aptos"/>
          <w:sz w:val="22"/>
          <w:szCs w:val="22"/>
        </w:rPr>
      </w:pPr>
    </w:p>
    <w:p w14:paraId="41C86B2F" w14:textId="77777777" w:rsidR="00531D31" w:rsidRPr="0099470A" w:rsidRDefault="00531D31" w:rsidP="00531D31">
      <w:pPr>
        <w:rPr>
          <w:rFonts w:ascii="Aptos" w:hAnsi="Aptos"/>
          <w:b/>
          <w:sz w:val="22"/>
          <w:szCs w:val="22"/>
        </w:rPr>
      </w:pPr>
      <w:r w:rsidRPr="0099470A">
        <w:rPr>
          <w:rFonts w:ascii="Aptos" w:hAnsi="Aptos"/>
          <w:b/>
          <w:sz w:val="22"/>
          <w:szCs w:val="22"/>
        </w:rPr>
        <w:t xml:space="preserve">Use of images </w:t>
      </w:r>
    </w:p>
    <w:p w14:paraId="40C4BF91" w14:textId="77777777" w:rsidR="00531D31" w:rsidRPr="0099470A" w:rsidRDefault="00531D31" w:rsidP="00531D31">
      <w:pPr>
        <w:rPr>
          <w:rFonts w:ascii="Aptos" w:hAnsi="Aptos"/>
          <w:sz w:val="22"/>
          <w:szCs w:val="22"/>
        </w:rPr>
      </w:pPr>
      <w:r w:rsidRPr="0099470A">
        <w:rPr>
          <w:rFonts w:ascii="Aptos" w:hAnsi="Aptos"/>
          <w:sz w:val="22"/>
          <w:szCs w:val="22"/>
        </w:rPr>
        <w:t>Unless otherwise stated, all images (including background images, icons and illustrations) are copyrighted by their original owners.</w:t>
      </w:r>
    </w:p>
    <w:p w14:paraId="56F6012E" w14:textId="77777777" w:rsidR="00531D31" w:rsidRPr="0099470A" w:rsidRDefault="00531D31" w:rsidP="00531D31">
      <w:pPr>
        <w:rPr>
          <w:rFonts w:ascii="Aptos" w:hAnsi="Aptos"/>
          <w:sz w:val="22"/>
          <w:szCs w:val="22"/>
        </w:rPr>
      </w:pPr>
    </w:p>
    <w:p w14:paraId="369823F1" w14:textId="77777777" w:rsidR="00531D31" w:rsidRPr="0099470A" w:rsidRDefault="00531D31" w:rsidP="00531D31">
      <w:pPr>
        <w:rPr>
          <w:rFonts w:ascii="Aptos" w:hAnsi="Aptos"/>
          <w:b/>
          <w:sz w:val="22"/>
          <w:szCs w:val="22"/>
        </w:rPr>
      </w:pPr>
      <w:r w:rsidRPr="0099470A">
        <w:rPr>
          <w:rFonts w:ascii="Aptos" w:hAnsi="Aptos"/>
          <w:b/>
          <w:sz w:val="22"/>
          <w:szCs w:val="22"/>
        </w:rPr>
        <w:t>Contact</w:t>
      </w:r>
    </w:p>
    <w:p w14:paraId="05A7B36A" w14:textId="77777777" w:rsidR="00531D31" w:rsidRPr="0099470A" w:rsidRDefault="00531D31" w:rsidP="00531D31">
      <w:pPr>
        <w:rPr>
          <w:rFonts w:ascii="Aptos" w:hAnsi="Aptos"/>
          <w:sz w:val="22"/>
          <w:szCs w:val="22"/>
        </w:rPr>
      </w:pPr>
      <w:r w:rsidRPr="0099470A">
        <w:rPr>
          <w:rFonts w:ascii="Aptos" w:hAnsi="Aptos"/>
          <w:sz w:val="22"/>
          <w:szCs w:val="22"/>
        </w:rPr>
        <w:t>To obtain information regarding NHMRC publications or submit a copyright request, contact:</w:t>
      </w:r>
    </w:p>
    <w:p w14:paraId="0D9A9B57" w14:textId="1ED3EE0D" w:rsidR="00531D31" w:rsidRPr="0099470A" w:rsidRDefault="00531D31" w:rsidP="00531D31">
      <w:pPr>
        <w:rPr>
          <w:rFonts w:ascii="Aptos" w:hAnsi="Aptos"/>
          <w:sz w:val="22"/>
          <w:szCs w:val="22"/>
        </w:rPr>
      </w:pPr>
      <w:hyperlink r:id="rId12" w:history="1">
        <w:r w:rsidRPr="0099470A">
          <w:rPr>
            <w:rFonts w:ascii="Aptos" w:hAnsi="Aptos"/>
            <w:sz w:val="22"/>
            <w:szCs w:val="22"/>
          </w:rPr>
          <w:t>communications@nhmrc.gov.au</w:t>
        </w:r>
      </w:hyperlink>
      <w:r w:rsidRPr="0099470A">
        <w:rPr>
          <w:rFonts w:ascii="Aptos" w:hAnsi="Aptos"/>
          <w:sz w:val="22"/>
          <w:szCs w:val="22"/>
        </w:rPr>
        <w:t xml:space="preserve"> </w:t>
      </w:r>
    </w:p>
    <w:p w14:paraId="7F46040F" w14:textId="77777777" w:rsidR="00531D31" w:rsidRPr="0099470A" w:rsidRDefault="00531D31" w:rsidP="00531D31">
      <w:pPr>
        <w:rPr>
          <w:rFonts w:ascii="Aptos" w:hAnsi="Aptos"/>
          <w:sz w:val="22"/>
          <w:szCs w:val="22"/>
        </w:rPr>
      </w:pPr>
    </w:p>
    <w:p w14:paraId="3C16C124" w14:textId="77777777" w:rsidR="00531D31" w:rsidRPr="0099470A" w:rsidRDefault="00531D31" w:rsidP="00531D31">
      <w:pPr>
        <w:rPr>
          <w:rFonts w:ascii="Aptos" w:hAnsi="Aptos"/>
          <w:sz w:val="22"/>
          <w:szCs w:val="22"/>
        </w:rPr>
      </w:pPr>
    </w:p>
    <w:p w14:paraId="4FFC4823" w14:textId="77777777" w:rsidR="00531D31" w:rsidRPr="0054775B" w:rsidRDefault="00531D31" w:rsidP="00531D31">
      <w:pPr>
        <w:rPr>
          <w:color w:val="C00000"/>
          <w:sz w:val="36"/>
          <w:szCs w:val="36"/>
        </w:rPr>
      </w:pPr>
      <w:r w:rsidRPr="0054775B">
        <w:br w:type="page"/>
      </w:r>
    </w:p>
    <w:p w14:paraId="1C683A30" w14:textId="77777777" w:rsidR="00531D31" w:rsidRPr="0099470A" w:rsidRDefault="00531D31" w:rsidP="00531D31">
      <w:pPr>
        <w:pStyle w:val="2024TitleNONUMBER"/>
      </w:pPr>
      <w:r w:rsidRPr="0099470A">
        <w:lastRenderedPageBreak/>
        <w:t>Report Information</w:t>
      </w:r>
    </w:p>
    <w:p w14:paraId="658D0440" w14:textId="77777777" w:rsidR="00531D31" w:rsidRPr="0099470A" w:rsidRDefault="00531D31" w:rsidP="00531D31">
      <w:pPr>
        <w:pStyle w:val="2024SMALLTITLENONUMBER"/>
      </w:pPr>
      <w:r w:rsidRPr="0099470A">
        <w:t>Authors</w:t>
      </w:r>
    </w:p>
    <w:p w14:paraId="6DE8E9A8" w14:textId="77777777" w:rsidR="00531D31" w:rsidRPr="00212CAB" w:rsidRDefault="00531D31" w:rsidP="00531D31">
      <w:pPr>
        <w:rPr>
          <w:rFonts w:ascii="Aptos" w:hAnsi="Aptos"/>
          <w:sz w:val="20"/>
          <w:szCs w:val="20"/>
          <w:vertAlign w:val="superscript"/>
        </w:rPr>
      </w:pPr>
      <w:r w:rsidRPr="00212CAB">
        <w:rPr>
          <w:rFonts w:ascii="Aptos" w:hAnsi="Aptos"/>
          <w:sz w:val="20"/>
          <w:szCs w:val="20"/>
        </w:rPr>
        <w:t>Downes, M.</w:t>
      </w:r>
      <w:r w:rsidRPr="00212CAB">
        <w:rPr>
          <w:rFonts w:ascii="Aptos" w:hAnsi="Aptos"/>
          <w:sz w:val="20"/>
          <w:szCs w:val="20"/>
          <w:vertAlign w:val="superscript"/>
        </w:rPr>
        <w:t>1</w:t>
      </w:r>
      <w:r w:rsidRPr="00212CAB">
        <w:rPr>
          <w:rFonts w:ascii="Aptos" w:hAnsi="Aptos"/>
          <w:sz w:val="20"/>
          <w:szCs w:val="20"/>
        </w:rPr>
        <w:t>, McFadden, K.</w:t>
      </w:r>
      <w:r w:rsidRPr="00212CAB">
        <w:rPr>
          <w:rFonts w:ascii="Aptos" w:hAnsi="Aptos"/>
          <w:sz w:val="20"/>
          <w:szCs w:val="20"/>
          <w:vertAlign w:val="superscript"/>
        </w:rPr>
        <w:t xml:space="preserve"> 1</w:t>
      </w:r>
      <w:r w:rsidRPr="00212CAB">
        <w:rPr>
          <w:rFonts w:ascii="Aptos" w:hAnsi="Aptos"/>
          <w:sz w:val="20"/>
          <w:szCs w:val="20"/>
        </w:rPr>
        <w:t xml:space="preserve">, </w:t>
      </w:r>
      <w:r w:rsidRPr="00212CAB">
        <w:rPr>
          <w:rFonts w:ascii="Aptos" w:eastAsiaTheme="minorHAnsi" w:hAnsi="Aptos"/>
          <w:sz w:val="20"/>
          <w:szCs w:val="20"/>
          <w:lang w:eastAsia="en-US"/>
        </w:rPr>
        <w:t>Gardner, C</w:t>
      </w:r>
      <w:r w:rsidRPr="00212CAB">
        <w:rPr>
          <w:rFonts w:ascii="Aptos" w:hAnsi="Aptos"/>
          <w:sz w:val="20"/>
          <w:szCs w:val="20"/>
        </w:rPr>
        <w:t>.</w:t>
      </w:r>
      <w:r w:rsidRPr="00212CAB">
        <w:rPr>
          <w:rFonts w:ascii="Aptos" w:hAnsi="Aptos"/>
          <w:sz w:val="20"/>
          <w:szCs w:val="20"/>
          <w:vertAlign w:val="superscript"/>
        </w:rPr>
        <w:t>1</w:t>
      </w:r>
    </w:p>
    <w:p w14:paraId="1B58CD24" w14:textId="77777777" w:rsidR="00531D31" w:rsidRPr="0099470A" w:rsidRDefault="00531D31" w:rsidP="00A4650A">
      <w:pPr>
        <w:pStyle w:val="ListParagraph"/>
        <w:numPr>
          <w:ilvl w:val="0"/>
          <w:numId w:val="30"/>
        </w:numPr>
        <w:spacing w:before="180" w:after="180" w:line="252" w:lineRule="auto"/>
        <w:rPr>
          <w:rFonts w:ascii="Aptos" w:hAnsi="Aptos"/>
          <w:sz w:val="18"/>
          <w:szCs w:val="18"/>
        </w:rPr>
      </w:pPr>
      <w:bookmarkStart w:id="1" w:name="_Ref172746231"/>
      <w:r w:rsidRPr="0099470A">
        <w:rPr>
          <w:rFonts w:ascii="Aptos" w:hAnsi="Aptos"/>
          <w:sz w:val="18"/>
          <w:szCs w:val="18"/>
        </w:rPr>
        <w:t>Centre for Applied Health Economics, Griffith University, Australia</w:t>
      </w:r>
      <w:bookmarkEnd w:id="1"/>
    </w:p>
    <w:p w14:paraId="38C2A257" w14:textId="77777777" w:rsidR="00531D31" w:rsidRPr="0099470A" w:rsidRDefault="00531D31" w:rsidP="00531D31">
      <w:pPr>
        <w:pStyle w:val="2024SMALLTITLENONUMBER"/>
      </w:pPr>
      <w:r w:rsidRPr="0099470A">
        <w:t>Dates</w:t>
      </w:r>
    </w:p>
    <w:p w14:paraId="1DDAA94B" w14:textId="20DF8EDE" w:rsidR="00531D31" w:rsidRPr="0099470A" w:rsidRDefault="00531D31" w:rsidP="00531D31">
      <w:pPr>
        <w:rPr>
          <w:rFonts w:ascii="Aptos" w:hAnsi="Aptos"/>
          <w:sz w:val="20"/>
          <w:szCs w:val="20"/>
        </w:rPr>
      </w:pPr>
      <w:r w:rsidRPr="0099470A">
        <w:rPr>
          <w:rFonts w:ascii="Aptos" w:hAnsi="Aptos"/>
          <w:sz w:val="20"/>
          <w:szCs w:val="20"/>
        </w:rPr>
        <w:t>This evidence evaluation and accompanying technical report received approval from the National Health and Medical Research Council (NHMRC)</w:t>
      </w:r>
      <w:r w:rsidRPr="0099470A" w:rsidDel="000B04BD">
        <w:rPr>
          <w:rFonts w:ascii="Aptos" w:hAnsi="Aptos"/>
          <w:sz w:val="20"/>
          <w:szCs w:val="20"/>
        </w:rPr>
        <w:t xml:space="preserve"> Natural Therapies Working Committee (NTWC)</w:t>
      </w:r>
      <w:r w:rsidRPr="0099470A">
        <w:rPr>
          <w:rFonts w:ascii="Aptos" w:hAnsi="Aptos"/>
          <w:sz w:val="20"/>
          <w:szCs w:val="20"/>
        </w:rPr>
        <w:t xml:space="preserve"> on </w:t>
      </w:r>
      <w:r w:rsidR="00044C55" w:rsidRPr="00044C55">
        <w:rPr>
          <w:rFonts w:ascii="Aptos" w:hAnsi="Aptos"/>
          <w:sz w:val="20"/>
          <w:szCs w:val="20"/>
        </w:rPr>
        <w:t>20</w:t>
      </w:r>
      <w:r w:rsidRPr="00044C55">
        <w:rPr>
          <w:rFonts w:ascii="Aptos" w:hAnsi="Aptos"/>
          <w:sz w:val="20"/>
          <w:szCs w:val="20"/>
        </w:rPr>
        <w:t xml:space="preserve"> </w:t>
      </w:r>
      <w:r w:rsidR="00044C55" w:rsidRPr="00044C55">
        <w:rPr>
          <w:rFonts w:ascii="Aptos" w:hAnsi="Aptos"/>
          <w:sz w:val="20"/>
          <w:szCs w:val="20"/>
        </w:rPr>
        <w:t>Nov</w:t>
      </w:r>
      <w:r w:rsidRPr="00044C55">
        <w:rPr>
          <w:rFonts w:ascii="Aptos" w:hAnsi="Aptos"/>
          <w:sz w:val="20"/>
          <w:szCs w:val="20"/>
        </w:rPr>
        <w:t xml:space="preserve"> 2024.</w:t>
      </w:r>
    </w:p>
    <w:p w14:paraId="689D52DF" w14:textId="77777777" w:rsidR="00531D31" w:rsidRPr="0099470A" w:rsidRDefault="00531D31" w:rsidP="00531D31">
      <w:pPr>
        <w:rPr>
          <w:rFonts w:ascii="Aptos" w:hAnsi="Aptos"/>
          <w:sz w:val="20"/>
          <w:szCs w:val="20"/>
        </w:rPr>
      </w:pPr>
      <w:r w:rsidRPr="0099470A">
        <w:rPr>
          <w:rFonts w:ascii="Aptos" w:hAnsi="Aptos"/>
          <w:sz w:val="20"/>
          <w:szCs w:val="20"/>
        </w:rPr>
        <w:t>The protocol for the evidence evaluation was approved by NTWC 15 December 2022 (PROSPERO: CRD42023410906).</w:t>
      </w:r>
    </w:p>
    <w:p w14:paraId="768130CA" w14:textId="77777777" w:rsidR="00531D31" w:rsidRPr="0099470A" w:rsidRDefault="00531D31" w:rsidP="00531D31">
      <w:pPr>
        <w:pStyle w:val="2024SMALLTITLENONUMBER"/>
      </w:pPr>
      <w:r w:rsidRPr="0099470A">
        <w:t>History</w:t>
      </w:r>
    </w:p>
    <w:p w14:paraId="5539B848" w14:textId="00D235A6" w:rsidR="00531D31" w:rsidRPr="0099470A" w:rsidRDefault="00531D31" w:rsidP="00531D31">
      <w:pPr>
        <w:spacing w:after="120"/>
        <w:rPr>
          <w:rFonts w:ascii="Aptos" w:hAnsi="Aptos"/>
          <w:sz w:val="20"/>
          <w:szCs w:val="20"/>
        </w:rPr>
      </w:pPr>
      <w:r w:rsidRPr="0099470A">
        <w:rPr>
          <w:rFonts w:ascii="Aptos" w:hAnsi="Aptos"/>
          <w:sz w:val="20"/>
          <w:szCs w:val="20"/>
        </w:rPr>
        <w:t xml:space="preserve">NHMRC has been engaged by the Department of Health and Aged Care (the Department) to update the evidence underpinning the </w:t>
      </w:r>
      <w:r w:rsidRPr="0099470A">
        <w:rPr>
          <w:rStyle w:val="Emphasis"/>
          <w:rFonts w:ascii="Aptos" w:hAnsi="Aptos"/>
          <w:sz w:val="20"/>
          <w:szCs w:val="20"/>
        </w:rPr>
        <w:t>2015 Review of the Australian Government Rebate on Natural Therapies for Private Health Insurance</w:t>
      </w:r>
      <w:r w:rsidRPr="0099470A">
        <w:rPr>
          <w:rFonts w:ascii="Aptos" w:hAnsi="Aptos"/>
          <w:sz w:val="20"/>
          <w:szCs w:val="20"/>
        </w:rPr>
        <w:t xml:space="preserve"> (2015 Review) </w:t>
      </w:r>
      <w:r w:rsidRPr="0099470A">
        <w:rPr>
          <w:rFonts w:ascii="Aptos" w:hAnsi="Aptos"/>
          <w:noProof/>
          <w:sz w:val="20"/>
          <w:szCs w:val="20"/>
        </w:rPr>
        <w:t>(1)</w:t>
      </w:r>
      <w:r w:rsidRPr="0099470A">
        <w:rPr>
          <w:rFonts w:ascii="Aptos" w:hAnsi="Aptos"/>
          <w:sz w:val="20"/>
          <w:szCs w:val="20"/>
        </w:rPr>
        <w:t xml:space="preserve">. The natural therapies to be reviewed are Alexander technique, aromatherapy, Bowen therapy, Buteyko, Feldenkrais, homeopathy, iridology, kinesiology, naturopathy, Pilates, reflexology, Rolfing, shiatsu, tai chi, western herbal medicine, and yoga. These therapies are among those excluded from the private health insurance rebate as of 1 April 2019. </w:t>
      </w:r>
    </w:p>
    <w:p w14:paraId="225F8896" w14:textId="77777777" w:rsidR="00531D31" w:rsidRPr="0099470A" w:rsidRDefault="00531D31" w:rsidP="00531D31">
      <w:pPr>
        <w:spacing w:after="120"/>
        <w:rPr>
          <w:rFonts w:ascii="Aptos" w:hAnsi="Aptos"/>
          <w:sz w:val="20"/>
          <w:szCs w:val="20"/>
        </w:rPr>
      </w:pPr>
      <w:r w:rsidRPr="0099470A">
        <w:rPr>
          <w:rFonts w:ascii="Aptos" w:hAnsi="Aptos"/>
          <w:sz w:val="20"/>
          <w:szCs w:val="20"/>
        </w:rPr>
        <w:t xml:space="preserve">To support NHMRC in their evidence review, the Centre for Applied Health Economics at Griffith University has been engaged to conduct an overview of the evidence of the clinical effectiveness of selected nutritional supplements prescribed in the context of naturopathic practice. This overview is designed to complement the systematic review of </w:t>
      </w:r>
      <w:r w:rsidRPr="0099470A">
        <w:rPr>
          <w:rFonts w:ascii="Aptos" w:hAnsi="Aptos"/>
          <w:i/>
          <w:iCs/>
          <w:sz w:val="20"/>
          <w:szCs w:val="20"/>
        </w:rPr>
        <w:t xml:space="preserve">“Whole system, multi-modal or single modal interventions delivered in the context of naturopathic practice, for preventing and treating health conditions” </w:t>
      </w:r>
      <w:r w:rsidRPr="0099470A">
        <w:rPr>
          <w:rFonts w:ascii="Aptos" w:hAnsi="Aptos"/>
          <w:sz w:val="20"/>
          <w:szCs w:val="20"/>
        </w:rPr>
        <w:t>(PROSPERO CRD42021266381)</w:t>
      </w:r>
      <w:r w:rsidRPr="0099470A">
        <w:rPr>
          <w:rFonts w:ascii="Aptos" w:hAnsi="Aptos"/>
          <w:i/>
          <w:iCs/>
          <w:sz w:val="20"/>
          <w:szCs w:val="20"/>
        </w:rPr>
        <w:t xml:space="preserve">, </w:t>
      </w:r>
      <w:r w:rsidRPr="0099470A">
        <w:rPr>
          <w:rFonts w:ascii="Aptos" w:hAnsi="Aptos"/>
          <w:sz w:val="20"/>
          <w:szCs w:val="20"/>
        </w:rPr>
        <w:t>which will assess primary research as part of a review of whole system naturopathy.</w:t>
      </w:r>
    </w:p>
    <w:p w14:paraId="4607A195" w14:textId="2E6EE248" w:rsidR="00531D31" w:rsidRPr="0099470A" w:rsidRDefault="00531D31" w:rsidP="00531D31">
      <w:pPr>
        <w:pStyle w:val="BodyText"/>
        <w:rPr>
          <w:rFonts w:ascii="Aptos" w:hAnsi="Aptos" w:cs="Arial"/>
          <w:sz w:val="20"/>
          <w:szCs w:val="20"/>
        </w:rPr>
      </w:pPr>
      <w:r w:rsidRPr="0099470A">
        <w:rPr>
          <w:rFonts w:ascii="Aptos" w:eastAsia="Times New Roman" w:hAnsi="Aptos" w:cs="Times New Roman"/>
          <w:sz w:val="20"/>
          <w:szCs w:val="20"/>
          <w:lang w:eastAsia="en-GB"/>
        </w:rPr>
        <w:t>This evidence evaluation was developed by the Centre for Applied Health Economics at Griffith University in conjunction with NHMRC, NTWC, and the Department of Health and Aged Care</w:t>
      </w:r>
      <w:r w:rsidRPr="0099470A" w:rsidDel="00390678">
        <w:rPr>
          <w:rFonts w:ascii="Aptos" w:eastAsia="Times New Roman" w:hAnsi="Aptos" w:cs="Times New Roman"/>
          <w:sz w:val="20"/>
          <w:szCs w:val="20"/>
          <w:lang w:eastAsia="en-GB"/>
        </w:rPr>
        <w:t xml:space="preserve">, </w:t>
      </w:r>
      <w:r w:rsidRPr="0099470A">
        <w:rPr>
          <w:rFonts w:ascii="Aptos" w:eastAsia="Times New Roman" w:hAnsi="Aptos" w:cs="Times New Roman"/>
          <w:sz w:val="20"/>
          <w:szCs w:val="20"/>
          <w:lang w:eastAsia="en-GB"/>
        </w:rPr>
        <w:t xml:space="preserve">Natural Therapy Advisory Panel (NTREAP). It describes the main body of evidence related to the clinical effectiveness of selected nutritional supplements prescribed in the context of naturopathic practice. Supplementary data are provided in Appendices A to </w:t>
      </w:r>
      <w:r w:rsidR="00034EE9">
        <w:rPr>
          <w:rFonts w:ascii="Aptos" w:eastAsia="Times New Roman" w:hAnsi="Aptos" w:cs="Times New Roman"/>
          <w:sz w:val="20"/>
          <w:szCs w:val="20"/>
          <w:lang w:eastAsia="en-GB"/>
        </w:rPr>
        <w:t>H</w:t>
      </w:r>
      <w:r w:rsidR="002140BC">
        <w:rPr>
          <w:rFonts w:ascii="Aptos" w:eastAsia="Times New Roman" w:hAnsi="Aptos" w:cs="Times New Roman"/>
          <w:sz w:val="20"/>
          <w:szCs w:val="20"/>
          <w:lang w:eastAsia="en-GB"/>
        </w:rPr>
        <w:t>.</w:t>
      </w:r>
      <w:r w:rsidRPr="0099470A">
        <w:rPr>
          <w:rFonts w:ascii="Aptos" w:eastAsia="Times New Roman" w:hAnsi="Aptos" w:cs="Times New Roman"/>
          <w:sz w:val="20"/>
          <w:szCs w:val="20"/>
          <w:lang w:eastAsia="en-GB"/>
        </w:rPr>
        <w:t xml:space="preserve"> All associated materials have been developed in a robust and transparent manner in accordance with relevant best practice standards.</w:t>
      </w:r>
    </w:p>
    <w:p w14:paraId="2DCEA8B9" w14:textId="77777777" w:rsidR="00531D31" w:rsidRPr="0099470A" w:rsidRDefault="00531D31" w:rsidP="00531D31">
      <w:pPr>
        <w:pStyle w:val="2024SMALLTITLENONUMBER"/>
      </w:pPr>
      <w:r w:rsidRPr="0099470A">
        <w:t>Funding</w:t>
      </w:r>
    </w:p>
    <w:p w14:paraId="6C2B81A5" w14:textId="2EF457EA" w:rsidR="00531D31" w:rsidRPr="0099470A" w:rsidRDefault="00531D31" w:rsidP="00531D31">
      <w:pPr>
        <w:rPr>
          <w:rFonts w:ascii="Aptos" w:hAnsi="Aptos"/>
          <w:sz w:val="20"/>
          <w:szCs w:val="20"/>
        </w:rPr>
      </w:pPr>
      <w:r w:rsidRPr="0099470A">
        <w:rPr>
          <w:rFonts w:ascii="Aptos" w:hAnsi="Aptos"/>
          <w:sz w:val="20"/>
          <w:szCs w:val="20"/>
        </w:rPr>
        <w:t xml:space="preserve">This review is funded by the Australian Government Department of Health </w:t>
      </w:r>
      <w:r w:rsidRPr="0099470A">
        <w:rPr>
          <w:rFonts w:ascii="Aptos" w:hAnsi="Aptos"/>
          <w:sz w:val="20"/>
          <w:szCs w:val="20"/>
          <w:lang w:val="en-GB"/>
        </w:rPr>
        <w:t>and Aged Care</w:t>
      </w:r>
      <w:r w:rsidRPr="0099470A">
        <w:rPr>
          <w:rFonts w:ascii="Aptos" w:hAnsi="Aptos"/>
          <w:sz w:val="20"/>
          <w:szCs w:val="20"/>
        </w:rPr>
        <w:t xml:space="preserve"> via the NHMRC, under contract 2021-</w:t>
      </w:r>
      <w:r w:rsidR="00235680" w:rsidRPr="0099470A">
        <w:rPr>
          <w:rFonts w:ascii="Aptos" w:hAnsi="Aptos"/>
          <w:sz w:val="20"/>
          <w:szCs w:val="20"/>
        </w:rPr>
        <w:t>22C0</w:t>
      </w:r>
      <w:r w:rsidR="00235680">
        <w:rPr>
          <w:rFonts w:ascii="Aptos" w:hAnsi="Aptos"/>
          <w:sz w:val="20"/>
          <w:szCs w:val="20"/>
        </w:rPr>
        <w:t>12</w:t>
      </w:r>
      <w:r w:rsidRPr="0099470A">
        <w:rPr>
          <w:rFonts w:ascii="Aptos" w:hAnsi="Aptos"/>
          <w:sz w:val="20"/>
          <w:szCs w:val="20"/>
        </w:rPr>
        <w:t>.</w:t>
      </w:r>
    </w:p>
    <w:p w14:paraId="5C1978DF" w14:textId="77777777" w:rsidR="00531D31" w:rsidRPr="0099470A" w:rsidRDefault="00531D31" w:rsidP="00531D31">
      <w:pPr>
        <w:pStyle w:val="2024SMALLTITLENONUMBER"/>
      </w:pPr>
      <w:r w:rsidRPr="0099470A">
        <w:t>Acknowledgements</w:t>
      </w:r>
    </w:p>
    <w:p w14:paraId="583EEC6F" w14:textId="77777777" w:rsidR="00531D31" w:rsidRPr="0099470A" w:rsidRDefault="00531D31" w:rsidP="00531D31">
      <w:pPr>
        <w:spacing w:after="120"/>
        <w:rPr>
          <w:rFonts w:ascii="Aptos" w:hAnsi="Aptos"/>
          <w:sz w:val="20"/>
          <w:szCs w:val="20"/>
        </w:rPr>
      </w:pPr>
      <w:r w:rsidRPr="0099470A">
        <w:rPr>
          <w:rFonts w:ascii="Aptos" w:hAnsi="Aptos"/>
          <w:sz w:val="20"/>
          <w:szCs w:val="20"/>
        </w:rPr>
        <w:t>Thank you to the members of the Department’s Natural Therapies Review Expert Advisory Panel and the National Health and Medical Research Council’s Natural Therapies Working Committee for their advice and comments throughout the creation of this document. PRACI data was provided by Dr Amie Steel at UTS.</w:t>
      </w:r>
    </w:p>
    <w:p w14:paraId="01014DF9" w14:textId="77777777" w:rsidR="00531D31" w:rsidRPr="0099470A" w:rsidRDefault="00531D31" w:rsidP="00531D31">
      <w:pPr>
        <w:spacing w:after="120"/>
        <w:rPr>
          <w:rFonts w:ascii="Aptos" w:hAnsi="Aptos"/>
          <w:sz w:val="20"/>
          <w:szCs w:val="20"/>
        </w:rPr>
      </w:pPr>
      <w:r w:rsidRPr="0099470A">
        <w:rPr>
          <w:rFonts w:ascii="Aptos" w:hAnsi="Aptos"/>
          <w:sz w:val="20"/>
          <w:szCs w:val="20"/>
        </w:rPr>
        <w:t>Membership and other details of the Panel and Committee can be found at:</w:t>
      </w:r>
    </w:p>
    <w:p w14:paraId="2A18EF4C" w14:textId="5E3FA77C" w:rsidR="00531D31" w:rsidRPr="0099470A" w:rsidRDefault="00531D31" w:rsidP="00531D31">
      <w:pPr>
        <w:spacing w:after="120"/>
        <w:rPr>
          <w:rFonts w:ascii="Aptos" w:hAnsi="Aptos"/>
          <w:sz w:val="20"/>
          <w:szCs w:val="20"/>
          <w:u w:val="single"/>
        </w:rPr>
      </w:pPr>
      <w:hyperlink r:id="rId13" w:history="1">
        <w:r w:rsidRPr="0099470A">
          <w:rPr>
            <w:rFonts w:ascii="Aptos" w:hAnsi="Aptos"/>
            <w:sz w:val="20"/>
            <w:szCs w:val="20"/>
            <w:u w:val="single"/>
          </w:rPr>
          <w:t>www.health.gov.au/committees-and-groups/natural-therapies-review-expert-advisory-panel</w:t>
        </w:r>
      </w:hyperlink>
      <w:r w:rsidRPr="0099470A">
        <w:rPr>
          <w:rFonts w:ascii="Aptos" w:hAnsi="Aptos"/>
          <w:sz w:val="20"/>
          <w:szCs w:val="20"/>
          <w:u w:val="single"/>
        </w:rPr>
        <w:t xml:space="preserve"> </w:t>
      </w:r>
    </w:p>
    <w:p w14:paraId="04EFDEF9" w14:textId="3874DCA7" w:rsidR="00B84414" w:rsidRDefault="00531D31" w:rsidP="00531D31">
      <w:pPr>
        <w:spacing w:after="120"/>
        <w:rPr>
          <w:sz w:val="20"/>
          <w:szCs w:val="20"/>
          <w:u w:val="single"/>
        </w:rPr>
      </w:pPr>
      <w:hyperlink r:id="rId14" w:history="1">
        <w:r w:rsidRPr="0099470A">
          <w:rPr>
            <w:rFonts w:ascii="Aptos" w:hAnsi="Aptos"/>
            <w:sz w:val="20"/>
            <w:szCs w:val="20"/>
            <w:u w:val="single"/>
          </w:rPr>
          <w:t>www.nhmrc.gov.au/about-us/leadership-and-governance/committees/natural-therapies-working-committee</w:t>
        </w:r>
      </w:hyperlink>
      <w:r w:rsidRPr="007A046A">
        <w:rPr>
          <w:sz w:val="20"/>
          <w:szCs w:val="20"/>
          <w:u w:val="single"/>
        </w:rPr>
        <w:t xml:space="preserve"> </w:t>
      </w:r>
    </w:p>
    <w:p w14:paraId="0447EDA3" w14:textId="77777777" w:rsidR="00B84414" w:rsidRDefault="00B84414">
      <w:pPr>
        <w:rPr>
          <w:sz w:val="20"/>
          <w:szCs w:val="20"/>
          <w:u w:val="single"/>
        </w:rPr>
      </w:pPr>
      <w:r>
        <w:rPr>
          <w:sz w:val="20"/>
          <w:szCs w:val="20"/>
          <w:u w:val="single"/>
        </w:rPr>
        <w:br w:type="page"/>
      </w:r>
    </w:p>
    <w:p w14:paraId="7480D32F" w14:textId="32D52D0C" w:rsidR="00E52E88" w:rsidRPr="00100DD4" w:rsidRDefault="00E52E88" w:rsidP="00100DD4">
      <w:pPr>
        <w:pStyle w:val="TOC1"/>
        <w:rPr>
          <w:b/>
          <w:bCs/>
          <w:sz w:val="28"/>
          <w:szCs w:val="28"/>
        </w:rPr>
      </w:pPr>
      <w:r w:rsidRPr="00100DD4">
        <w:rPr>
          <w:b/>
          <w:bCs/>
          <w:sz w:val="28"/>
          <w:szCs w:val="28"/>
        </w:rPr>
        <w:lastRenderedPageBreak/>
        <w:t>Table of Contents</w:t>
      </w:r>
    </w:p>
    <w:p w14:paraId="5BF5F6C1" w14:textId="5A8B3D77" w:rsidR="00044C55" w:rsidRDefault="00B84414">
      <w:pPr>
        <w:pStyle w:val="TOC1"/>
        <w:rPr>
          <w:rFonts w:asciiTheme="minorHAnsi" w:eastAsiaTheme="minorEastAsia" w:hAnsiTheme="minorHAnsi" w:cstheme="minorBidi"/>
          <w:noProof/>
          <w:color w:val="auto"/>
          <w:kern w:val="2"/>
          <w:sz w:val="24"/>
          <w:szCs w:val="24"/>
          <w:lang w:eastAsia="en-AU"/>
          <w14:ligatures w14:val="standardContextual"/>
        </w:rPr>
      </w:pPr>
      <w:r>
        <w:fldChar w:fldCharType="begin"/>
      </w:r>
      <w:r>
        <w:instrText xml:space="preserve"> TOC \o "1-3" \h \z \u </w:instrText>
      </w:r>
      <w:r>
        <w:fldChar w:fldCharType="separate"/>
      </w:r>
      <w:hyperlink w:anchor="_Toc185254604" w:history="1">
        <w:r w:rsidR="00044C55" w:rsidRPr="00966057">
          <w:rPr>
            <w:rStyle w:val="Hyperlink"/>
            <w:b/>
            <w:bCs/>
            <w:noProof/>
            <w:w w:val="105"/>
          </w:rPr>
          <w:t>Appendix A. Searching, selection criteria and screening</w:t>
        </w:r>
        <w:r w:rsidR="00044C55">
          <w:rPr>
            <w:noProof/>
            <w:webHidden/>
          </w:rPr>
          <w:tab/>
        </w:r>
        <w:r w:rsidR="00044C55">
          <w:rPr>
            <w:noProof/>
            <w:webHidden/>
          </w:rPr>
          <w:fldChar w:fldCharType="begin"/>
        </w:r>
        <w:r w:rsidR="00044C55">
          <w:rPr>
            <w:noProof/>
            <w:webHidden/>
          </w:rPr>
          <w:instrText xml:space="preserve"> PAGEREF _Toc185254604 \h </w:instrText>
        </w:r>
        <w:r w:rsidR="00044C55">
          <w:rPr>
            <w:noProof/>
            <w:webHidden/>
          </w:rPr>
        </w:r>
        <w:r w:rsidR="00044C55">
          <w:rPr>
            <w:noProof/>
            <w:webHidden/>
          </w:rPr>
          <w:fldChar w:fldCharType="separate"/>
        </w:r>
        <w:r w:rsidR="00C426C6">
          <w:rPr>
            <w:noProof/>
            <w:webHidden/>
          </w:rPr>
          <w:t>10</w:t>
        </w:r>
        <w:r w:rsidR="00044C55">
          <w:rPr>
            <w:noProof/>
            <w:webHidden/>
          </w:rPr>
          <w:fldChar w:fldCharType="end"/>
        </w:r>
      </w:hyperlink>
    </w:p>
    <w:p w14:paraId="060841C7" w14:textId="67C774FB"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05" w:history="1">
        <w:r w:rsidRPr="00966057">
          <w:rPr>
            <w:rStyle w:val="Hyperlink"/>
            <w:b/>
            <w:noProof/>
            <w:w w:val="105"/>
          </w:rPr>
          <w:t>A1</w:t>
        </w:r>
        <w:r>
          <w:rPr>
            <w:rFonts w:asciiTheme="minorHAnsi" w:eastAsiaTheme="minorEastAsia" w:hAnsiTheme="minorHAnsi" w:cstheme="minorBidi"/>
            <w:noProof/>
            <w:kern w:val="2"/>
            <w:sz w:val="24"/>
            <w:szCs w:val="24"/>
            <w:lang w:eastAsia="en-AU"/>
            <w14:ligatures w14:val="standardContextual"/>
          </w:rPr>
          <w:tab/>
        </w:r>
        <w:r w:rsidRPr="00966057">
          <w:rPr>
            <w:rStyle w:val="Hyperlink"/>
            <w:b/>
            <w:noProof/>
            <w:w w:val="105"/>
          </w:rPr>
          <w:t>Search methods for identification of reviews</w:t>
        </w:r>
        <w:r>
          <w:rPr>
            <w:noProof/>
            <w:webHidden/>
          </w:rPr>
          <w:tab/>
        </w:r>
        <w:r>
          <w:rPr>
            <w:noProof/>
            <w:webHidden/>
          </w:rPr>
          <w:fldChar w:fldCharType="begin"/>
        </w:r>
        <w:r>
          <w:rPr>
            <w:noProof/>
            <w:webHidden/>
          </w:rPr>
          <w:instrText xml:space="preserve"> PAGEREF _Toc185254605 \h </w:instrText>
        </w:r>
        <w:r>
          <w:rPr>
            <w:noProof/>
            <w:webHidden/>
          </w:rPr>
        </w:r>
        <w:r>
          <w:rPr>
            <w:noProof/>
            <w:webHidden/>
          </w:rPr>
          <w:fldChar w:fldCharType="separate"/>
        </w:r>
        <w:r w:rsidR="00C426C6">
          <w:rPr>
            <w:noProof/>
            <w:webHidden/>
          </w:rPr>
          <w:t>10</w:t>
        </w:r>
        <w:r>
          <w:rPr>
            <w:noProof/>
            <w:webHidden/>
          </w:rPr>
          <w:fldChar w:fldCharType="end"/>
        </w:r>
      </w:hyperlink>
    </w:p>
    <w:p w14:paraId="05D025D8" w14:textId="4658B82A"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06" w:history="1">
        <w:r w:rsidRPr="00966057">
          <w:rPr>
            <w:rStyle w:val="Hyperlink"/>
            <w:rFonts w:eastAsia="Calibri"/>
            <w:b/>
            <w:noProof/>
          </w:rPr>
          <w:t>A1.1</w:t>
        </w:r>
        <w:r>
          <w:rPr>
            <w:rFonts w:asciiTheme="minorHAnsi" w:eastAsiaTheme="minorEastAsia" w:hAnsiTheme="minorHAnsi" w:cstheme="minorBidi"/>
            <w:noProof/>
            <w:kern w:val="2"/>
            <w:sz w:val="24"/>
            <w:szCs w:val="24"/>
            <w:lang w:eastAsia="en-AU"/>
            <w14:ligatures w14:val="standardContextual"/>
          </w:rPr>
          <w:tab/>
        </w:r>
        <w:r w:rsidRPr="00966057">
          <w:rPr>
            <w:rStyle w:val="Hyperlink"/>
            <w:rFonts w:eastAsia="Calibri"/>
            <w:b/>
            <w:noProof/>
          </w:rPr>
          <w:t>Electronic searches</w:t>
        </w:r>
        <w:r>
          <w:rPr>
            <w:noProof/>
            <w:webHidden/>
          </w:rPr>
          <w:tab/>
        </w:r>
        <w:r>
          <w:rPr>
            <w:noProof/>
            <w:webHidden/>
          </w:rPr>
          <w:fldChar w:fldCharType="begin"/>
        </w:r>
        <w:r>
          <w:rPr>
            <w:noProof/>
            <w:webHidden/>
          </w:rPr>
          <w:instrText xml:space="preserve"> PAGEREF _Toc185254606 \h </w:instrText>
        </w:r>
        <w:r>
          <w:rPr>
            <w:noProof/>
            <w:webHidden/>
          </w:rPr>
        </w:r>
        <w:r>
          <w:rPr>
            <w:noProof/>
            <w:webHidden/>
          </w:rPr>
          <w:fldChar w:fldCharType="separate"/>
        </w:r>
        <w:r w:rsidR="00C426C6">
          <w:rPr>
            <w:noProof/>
            <w:webHidden/>
          </w:rPr>
          <w:t>10</w:t>
        </w:r>
        <w:r>
          <w:rPr>
            <w:noProof/>
            <w:webHidden/>
          </w:rPr>
          <w:fldChar w:fldCharType="end"/>
        </w:r>
      </w:hyperlink>
    </w:p>
    <w:p w14:paraId="1D488BF0" w14:textId="4D370BEA"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07" w:history="1">
        <w:r w:rsidRPr="00966057">
          <w:rPr>
            <w:rStyle w:val="Hyperlink"/>
            <w:noProof/>
          </w:rPr>
          <w:t>A1.2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Search restrictions</w:t>
        </w:r>
        <w:r>
          <w:rPr>
            <w:noProof/>
            <w:webHidden/>
          </w:rPr>
          <w:tab/>
        </w:r>
        <w:r>
          <w:rPr>
            <w:noProof/>
            <w:webHidden/>
          </w:rPr>
          <w:fldChar w:fldCharType="begin"/>
        </w:r>
        <w:r>
          <w:rPr>
            <w:noProof/>
            <w:webHidden/>
          </w:rPr>
          <w:instrText xml:space="preserve"> PAGEREF _Toc185254607 \h </w:instrText>
        </w:r>
        <w:r>
          <w:rPr>
            <w:noProof/>
            <w:webHidden/>
          </w:rPr>
        </w:r>
        <w:r>
          <w:rPr>
            <w:noProof/>
            <w:webHidden/>
          </w:rPr>
          <w:fldChar w:fldCharType="separate"/>
        </w:r>
        <w:r w:rsidR="00C426C6">
          <w:rPr>
            <w:noProof/>
            <w:webHidden/>
          </w:rPr>
          <w:t>10</w:t>
        </w:r>
        <w:r>
          <w:rPr>
            <w:noProof/>
            <w:webHidden/>
          </w:rPr>
          <w:fldChar w:fldCharType="end"/>
        </w:r>
      </w:hyperlink>
    </w:p>
    <w:p w14:paraId="032D4012" w14:textId="137F3ACA"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08" w:history="1">
        <w:r w:rsidRPr="00966057">
          <w:rPr>
            <w:rStyle w:val="Hyperlink"/>
            <w:noProof/>
          </w:rPr>
          <w:t>A1.3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Other sources</w:t>
        </w:r>
        <w:r>
          <w:rPr>
            <w:noProof/>
            <w:webHidden/>
          </w:rPr>
          <w:tab/>
        </w:r>
        <w:r>
          <w:rPr>
            <w:noProof/>
            <w:webHidden/>
          </w:rPr>
          <w:fldChar w:fldCharType="begin"/>
        </w:r>
        <w:r>
          <w:rPr>
            <w:noProof/>
            <w:webHidden/>
          </w:rPr>
          <w:instrText xml:space="preserve"> PAGEREF _Toc185254608 \h </w:instrText>
        </w:r>
        <w:r>
          <w:rPr>
            <w:noProof/>
            <w:webHidden/>
          </w:rPr>
        </w:r>
        <w:r>
          <w:rPr>
            <w:noProof/>
            <w:webHidden/>
          </w:rPr>
          <w:fldChar w:fldCharType="separate"/>
        </w:r>
        <w:r w:rsidR="00C426C6">
          <w:rPr>
            <w:noProof/>
            <w:webHidden/>
          </w:rPr>
          <w:t>10</w:t>
        </w:r>
        <w:r>
          <w:rPr>
            <w:noProof/>
            <w:webHidden/>
          </w:rPr>
          <w:fldChar w:fldCharType="end"/>
        </w:r>
      </w:hyperlink>
    </w:p>
    <w:p w14:paraId="79FFA9C2" w14:textId="5C399823"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09" w:history="1">
        <w:r w:rsidRPr="00966057">
          <w:rPr>
            <w:rStyle w:val="Hyperlink"/>
            <w:noProof/>
          </w:rPr>
          <w:t>A2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Search strategies</w:t>
        </w:r>
        <w:r>
          <w:rPr>
            <w:noProof/>
            <w:webHidden/>
          </w:rPr>
          <w:tab/>
        </w:r>
        <w:r>
          <w:rPr>
            <w:noProof/>
            <w:webHidden/>
          </w:rPr>
          <w:fldChar w:fldCharType="begin"/>
        </w:r>
        <w:r>
          <w:rPr>
            <w:noProof/>
            <w:webHidden/>
          </w:rPr>
          <w:instrText xml:space="preserve"> PAGEREF _Toc185254609 \h </w:instrText>
        </w:r>
        <w:r>
          <w:rPr>
            <w:noProof/>
            <w:webHidden/>
          </w:rPr>
        </w:r>
        <w:r>
          <w:rPr>
            <w:noProof/>
            <w:webHidden/>
          </w:rPr>
          <w:fldChar w:fldCharType="separate"/>
        </w:r>
        <w:r w:rsidR="00C426C6">
          <w:rPr>
            <w:noProof/>
            <w:webHidden/>
          </w:rPr>
          <w:t>11</w:t>
        </w:r>
        <w:r>
          <w:rPr>
            <w:noProof/>
            <w:webHidden/>
          </w:rPr>
          <w:fldChar w:fldCharType="end"/>
        </w:r>
      </w:hyperlink>
    </w:p>
    <w:p w14:paraId="602072A9" w14:textId="790DEE3A"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10" w:history="1">
        <w:r w:rsidRPr="00966057">
          <w:rPr>
            <w:rStyle w:val="Hyperlink"/>
            <w:noProof/>
          </w:rPr>
          <w:t>A3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Criteria for considering reviews for this overview</w:t>
        </w:r>
        <w:r>
          <w:rPr>
            <w:noProof/>
            <w:webHidden/>
          </w:rPr>
          <w:tab/>
        </w:r>
        <w:r>
          <w:rPr>
            <w:noProof/>
            <w:webHidden/>
          </w:rPr>
          <w:fldChar w:fldCharType="begin"/>
        </w:r>
        <w:r>
          <w:rPr>
            <w:noProof/>
            <w:webHidden/>
          </w:rPr>
          <w:instrText xml:space="preserve"> PAGEREF _Toc185254610 \h </w:instrText>
        </w:r>
        <w:r>
          <w:rPr>
            <w:noProof/>
            <w:webHidden/>
          </w:rPr>
        </w:r>
        <w:r>
          <w:rPr>
            <w:noProof/>
            <w:webHidden/>
          </w:rPr>
          <w:fldChar w:fldCharType="separate"/>
        </w:r>
        <w:r w:rsidR="00C426C6">
          <w:rPr>
            <w:noProof/>
            <w:webHidden/>
          </w:rPr>
          <w:t>29</w:t>
        </w:r>
        <w:r>
          <w:rPr>
            <w:noProof/>
            <w:webHidden/>
          </w:rPr>
          <w:fldChar w:fldCharType="end"/>
        </w:r>
      </w:hyperlink>
    </w:p>
    <w:p w14:paraId="57DB9FA0" w14:textId="0E3B38E8"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1" w:history="1">
        <w:r w:rsidRPr="00966057">
          <w:rPr>
            <w:rStyle w:val="Hyperlink"/>
            <w:noProof/>
          </w:rPr>
          <w:t>A3.1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Types of reviews</w:t>
        </w:r>
        <w:r>
          <w:rPr>
            <w:noProof/>
            <w:webHidden/>
          </w:rPr>
          <w:tab/>
        </w:r>
        <w:r>
          <w:rPr>
            <w:noProof/>
            <w:webHidden/>
          </w:rPr>
          <w:fldChar w:fldCharType="begin"/>
        </w:r>
        <w:r>
          <w:rPr>
            <w:noProof/>
            <w:webHidden/>
          </w:rPr>
          <w:instrText xml:space="preserve"> PAGEREF _Toc185254611 \h </w:instrText>
        </w:r>
        <w:r>
          <w:rPr>
            <w:noProof/>
            <w:webHidden/>
          </w:rPr>
        </w:r>
        <w:r>
          <w:rPr>
            <w:noProof/>
            <w:webHidden/>
          </w:rPr>
          <w:fldChar w:fldCharType="separate"/>
        </w:r>
        <w:r w:rsidR="00C426C6">
          <w:rPr>
            <w:noProof/>
            <w:webHidden/>
          </w:rPr>
          <w:t>29</w:t>
        </w:r>
        <w:r>
          <w:rPr>
            <w:noProof/>
            <w:webHidden/>
          </w:rPr>
          <w:fldChar w:fldCharType="end"/>
        </w:r>
      </w:hyperlink>
    </w:p>
    <w:p w14:paraId="1F879BFD" w14:textId="32D243B2"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2" w:history="1">
        <w:r w:rsidRPr="00966057">
          <w:rPr>
            <w:rStyle w:val="Hyperlink"/>
            <w:noProof/>
          </w:rPr>
          <w:t>A3.2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Types of participants</w:t>
        </w:r>
        <w:r>
          <w:rPr>
            <w:noProof/>
            <w:webHidden/>
          </w:rPr>
          <w:tab/>
        </w:r>
        <w:r>
          <w:rPr>
            <w:noProof/>
            <w:webHidden/>
          </w:rPr>
          <w:fldChar w:fldCharType="begin"/>
        </w:r>
        <w:r>
          <w:rPr>
            <w:noProof/>
            <w:webHidden/>
          </w:rPr>
          <w:instrText xml:space="preserve"> PAGEREF _Toc185254612 \h </w:instrText>
        </w:r>
        <w:r>
          <w:rPr>
            <w:noProof/>
            <w:webHidden/>
          </w:rPr>
        </w:r>
        <w:r>
          <w:rPr>
            <w:noProof/>
            <w:webHidden/>
          </w:rPr>
          <w:fldChar w:fldCharType="separate"/>
        </w:r>
        <w:r w:rsidR="00C426C6">
          <w:rPr>
            <w:noProof/>
            <w:webHidden/>
          </w:rPr>
          <w:t>30</w:t>
        </w:r>
        <w:r>
          <w:rPr>
            <w:noProof/>
            <w:webHidden/>
          </w:rPr>
          <w:fldChar w:fldCharType="end"/>
        </w:r>
      </w:hyperlink>
    </w:p>
    <w:p w14:paraId="3077EABD" w14:textId="728676B8"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3" w:history="1">
        <w:r w:rsidRPr="00966057">
          <w:rPr>
            <w:rStyle w:val="Hyperlink"/>
            <w:noProof/>
          </w:rPr>
          <w:t>A3.3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Types of interventions</w:t>
        </w:r>
        <w:r>
          <w:rPr>
            <w:noProof/>
            <w:webHidden/>
          </w:rPr>
          <w:tab/>
        </w:r>
        <w:r>
          <w:rPr>
            <w:noProof/>
            <w:webHidden/>
          </w:rPr>
          <w:fldChar w:fldCharType="begin"/>
        </w:r>
        <w:r>
          <w:rPr>
            <w:noProof/>
            <w:webHidden/>
          </w:rPr>
          <w:instrText xml:space="preserve"> PAGEREF _Toc185254613 \h </w:instrText>
        </w:r>
        <w:r>
          <w:rPr>
            <w:noProof/>
            <w:webHidden/>
          </w:rPr>
        </w:r>
        <w:r>
          <w:rPr>
            <w:noProof/>
            <w:webHidden/>
          </w:rPr>
          <w:fldChar w:fldCharType="separate"/>
        </w:r>
        <w:r w:rsidR="00C426C6">
          <w:rPr>
            <w:noProof/>
            <w:webHidden/>
          </w:rPr>
          <w:t>31</w:t>
        </w:r>
        <w:r>
          <w:rPr>
            <w:noProof/>
            <w:webHidden/>
          </w:rPr>
          <w:fldChar w:fldCharType="end"/>
        </w:r>
      </w:hyperlink>
    </w:p>
    <w:p w14:paraId="0375267C" w14:textId="36A569D5"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4" w:history="1">
        <w:r w:rsidRPr="00966057">
          <w:rPr>
            <w:rStyle w:val="Hyperlink"/>
            <w:noProof/>
          </w:rPr>
          <w:t>A3.4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Types of comparators</w:t>
        </w:r>
        <w:r>
          <w:rPr>
            <w:noProof/>
            <w:webHidden/>
          </w:rPr>
          <w:tab/>
        </w:r>
        <w:r>
          <w:rPr>
            <w:noProof/>
            <w:webHidden/>
          </w:rPr>
          <w:fldChar w:fldCharType="begin"/>
        </w:r>
        <w:r>
          <w:rPr>
            <w:noProof/>
            <w:webHidden/>
          </w:rPr>
          <w:instrText xml:space="preserve"> PAGEREF _Toc185254614 \h </w:instrText>
        </w:r>
        <w:r>
          <w:rPr>
            <w:noProof/>
            <w:webHidden/>
          </w:rPr>
        </w:r>
        <w:r>
          <w:rPr>
            <w:noProof/>
            <w:webHidden/>
          </w:rPr>
          <w:fldChar w:fldCharType="separate"/>
        </w:r>
        <w:r w:rsidR="00C426C6">
          <w:rPr>
            <w:noProof/>
            <w:webHidden/>
          </w:rPr>
          <w:t>32</w:t>
        </w:r>
        <w:r>
          <w:rPr>
            <w:noProof/>
            <w:webHidden/>
          </w:rPr>
          <w:fldChar w:fldCharType="end"/>
        </w:r>
      </w:hyperlink>
    </w:p>
    <w:p w14:paraId="40522403" w14:textId="7BE4648F"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5" w:history="1">
        <w:r w:rsidRPr="00966057">
          <w:rPr>
            <w:rStyle w:val="Hyperlink"/>
            <w:noProof/>
          </w:rPr>
          <w:t>A3.5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Types of outcomes</w:t>
        </w:r>
        <w:r>
          <w:rPr>
            <w:noProof/>
            <w:webHidden/>
          </w:rPr>
          <w:tab/>
        </w:r>
        <w:r>
          <w:rPr>
            <w:noProof/>
            <w:webHidden/>
          </w:rPr>
          <w:fldChar w:fldCharType="begin"/>
        </w:r>
        <w:r>
          <w:rPr>
            <w:noProof/>
            <w:webHidden/>
          </w:rPr>
          <w:instrText xml:space="preserve"> PAGEREF _Toc185254615 \h </w:instrText>
        </w:r>
        <w:r>
          <w:rPr>
            <w:noProof/>
            <w:webHidden/>
          </w:rPr>
        </w:r>
        <w:r>
          <w:rPr>
            <w:noProof/>
            <w:webHidden/>
          </w:rPr>
          <w:fldChar w:fldCharType="separate"/>
        </w:r>
        <w:r w:rsidR="00C426C6">
          <w:rPr>
            <w:noProof/>
            <w:webHidden/>
          </w:rPr>
          <w:t>33</w:t>
        </w:r>
        <w:r>
          <w:rPr>
            <w:noProof/>
            <w:webHidden/>
          </w:rPr>
          <w:fldChar w:fldCharType="end"/>
        </w:r>
      </w:hyperlink>
    </w:p>
    <w:p w14:paraId="2A3C4D13" w14:textId="0FA8421B"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16" w:history="1">
        <w:r w:rsidRPr="00966057">
          <w:rPr>
            <w:rStyle w:val="Hyperlink"/>
            <w:noProof/>
          </w:rPr>
          <w:t>A4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Review selection (inclusion decision)</w:t>
        </w:r>
        <w:r>
          <w:rPr>
            <w:noProof/>
            <w:webHidden/>
          </w:rPr>
          <w:tab/>
        </w:r>
        <w:r>
          <w:rPr>
            <w:noProof/>
            <w:webHidden/>
          </w:rPr>
          <w:fldChar w:fldCharType="begin"/>
        </w:r>
        <w:r>
          <w:rPr>
            <w:noProof/>
            <w:webHidden/>
          </w:rPr>
          <w:instrText xml:space="preserve"> PAGEREF _Toc185254616 \h </w:instrText>
        </w:r>
        <w:r>
          <w:rPr>
            <w:noProof/>
            <w:webHidden/>
          </w:rPr>
        </w:r>
        <w:r>
          <w:rPr>
            <w:noProof/>
            <w:webHidden/>
          </w:rPr>
          <w:fldChar w:fldCharType="separate"/>
        </w:r>
        <w:r w:rsidR="00C426C6">
          <w:rPr>
            <w:noProof/>
            <w:webHidden/>
          </w:rPr>
          <w:t>34</w:t>
        </w:r>
        <w:r>
          <w:rPr>
            <w:noProof/>
            <w:webHidden/>
          </w:rPr>
          <w:fldChar w:fldCharType="end"/>
        </w:r>
      </w:hyperlink>
    </w:p>
    <w:p w14:paraId="66659E67" w14:textId="3122F740"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7" w:history="1">
        <w:r w:rsidRPr="00966057">
          <w:rPr>
            <w:rStyle w:val="Hyperlink"/>
            <w:noProof/>
          </w:rPr>
          <w:t>A4.1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Inclusion decisions – title/abstract screening</w:t>
        </w:r>
        <w:r>
          <w:rPr>
            <w:noProof/>
            <w:webHidden/>
          </w:rPr>
          <w:tab/>
        </w:r>
        <w:r>
          <w:rPr>
            <w:noProof/>
            <w:webHidden/>
          </w:rPr>
          <w:fldChar w:fldCharType="begin"/>
        </w:r>
        <w:r>
          <w:rPr>
            <w:noProof/>
            <w:webHidden/>
          </w:rPr>
          <w:instrText xml:space="preserve"> PAGEREF _Toc185254617 \h </w:instrText>
        </w:r>
        <w:r>
          <w:rPr>
            <w:noProof/>
            <w:webHidden/>
          </w:rPr>
        </w:r>
        <w:r>
          <w:rPr>
            <w:noProof/>
            <w:webHidden/>
          </w:rPr>
          <w:fldChar w:fldCharType="separate"/>
        </w:r>
        <w:r w:rsidR="00C426C6">
          <w:rPr>
            <w:noProof/>
            <w:webHidden/>
          </w:rPr>
          <w:t>34</w:t>
        </w:r>
        <w:r>
          <w:rPr>
            <w:noProof/>
            <w:webHidden/>
          </w:rPr>
          <w:fldChar w:fldCharType="end"/>
        </w:r>
      </w:hyperlink>
    </w:p>
    <w:p w14:paraId="637AC0B7" w14:textId="71AA441B"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8" w:history="1">
        <w:r w:rsidRPr="00966057">
          <w:rPr>
            <w:rStyle w:val="Hyperlink"/>
            <w:noProof/>
          </w:rPr>
          <w:t>A4.2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Inclusion decisions – full-text screening</w:t>
        </w:r>
        <w:r>
          <w:rPr>
            <w:noProof/>
            <w:webHidden/>
          </w:rPr>
          <w:tab/>
        </w:r>
        <w:r>
          <w:rPr>
            <w:noProof/>
            <w:webHidden/>
          </w:rPr>
          <w:fldChar w:fldCharType="begin"/>
        </w:r>
        <w:r>
          <w:rPr>
            <w:noProof/>
            <w:webHidden/>
          </w:rPr>
          <w:instrText xml:space="preserve"> PAGEREF _Toc185254618 \h </w:instrText>
        </w:r>
        <w:r>
          <w:rPr>
            <w:noProof/>
            <w:webHidden/>
          </w:rPr>
        </w:r>
        <w:r>
          <w:rPr>
            <w:noProof/>
            <w:webHidden/>
          </w:rPr>
          <w:fldChar w:fldCharType="separate"/>
        </w:r>
        <w:r w:rsidR="00C426C6">
          <w:rPr>
            <w:noProof/>
            <w:webHidden/>
          </w:rPr>
          <w:t>35</w:t>
        </w:r>
        <w:r>
          <w:rPr>
            <w:noProof/>
            <w:webHidden/>
          </w:rPr>
          <w:fldChar w:fldCharType="end"/>
        </w:r>
      </w:hyperlink>
    </w:p>
    <w:p w14:paraId="77400A83" w14:textId="26ADA7A1"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19" w:history="1">
        <w:r w:rsidRPr="00966057">
          <w:rPr>
            <w:rStyle w:val="Hyperlink"/>
            <w:noProof/>
          </w:rPr>
          <w:t>A4.3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Reviews published in languages other than English</w:t>
        </w:r>
        <w:r>
          <w:rPr>
            <w:noProof/>
            <w:webHidden/>
          </w:rPr>
          <w:tab/>
        </w:r>
        <w:r>
          <w:rPr>
            <w:noProof/>
            <w:webHidden/>
          </w:rPr>
          <w:fldChar w:fldCharType="begin"/>
        </w:r>
        <w:r>
          <w:rPr>
            <w:noProof/>
            <w:webHidden/>
          </w:rPr>
          <w:instrText xml:space="preserve"> PAGEREF _Toc185254619 \h </w:instrText>
        </w:r>
        <w:r>
          <w:rPr>
            <w:noProof/>
            <w:webHidden/>
          </w:rPr>
        </w:r>
        <w:r>
          <w:rPr>
            <w:noProof/>
            <w:webHidden/>
          </w:rPr>
          <w:fldChar w:fldCharType="separate"/>
        </w:r>
        <w:r w:rsidR="00C426C6">
          <w:rPr>
            <w:noProof/>
            <w:webHidden/>
          </w:rPr>
          <w:t>35</w:t>
        </w:r>
        <w:r>
          <w:rPr>
            <w:noProof/>
            <w:webHidden/>
          </w:rPr>
          <w:fldChar w:fldCharType="end"/>
        </w:r>
      </w:hyperlink>
    </w:p>
    <w:p w14:paraId="6EE04237" w14:textId="1E05932F"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20" w:history="1">
        <w:r w:rsidRPr="00966057">
          <w:rPr>
            <w:rStyle w:val="Hyperlink"/>
            <w:noProof/>
          </w:rPr>
          <w:t>A4.4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Evidence provided through the Department’s public call for evidence</w:t>
        </w:r>
        <w:r>
          <w:rPr>
            <w:noProof/>
            <w:webHidden/>
          </w:rPr>
          <w:tab/>
        </w:r>
        <w:r>
          <w:rPr>
            <w:noProof/>
            <w:webHidden/>
          </w:rPr>
          <w:fldChar w:fldCharType="begin"/>
        </w:r>
        <w:r>
          <w:rPr>
            <w:noProof/>
            <w:webHidden/>
          </w:rPr>
          <w:instrText xml:space="preserve"> PAGEREF _Toc185254620 \h </w:instrText>
        </w:r>
        <w:r>
          <w:rPr>
            <w:noProof/>
            <w:webHidden/>
          </w:rPr>
        </w:r>
        <w:r>
          <w:rPr>
            <w:noProof/>
            <w:webHidden/>
          </w:rPr>
          <w:fldChar w:fldCharType="separate"/>
        </w:r>
        <w:r w:rsidR="00C426C6">
          <w:rPr>
            <w:noProof/>
            <w:webHidden/>
          </w:rPr>
          <w:t>35</w:t>
        </w:r>
        <w:r>
          <w:rPr>
            <w:noProof/>
            <w:webHidden/>
          </w:rPr>
          <w:fldChar w:fldCharType="end"/>
        </w:r>
      </w:hyperlink>
    </w:p>
    <w:p w14:paraId="2C593749" w14:textId="3FC1FD5B"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21" w:history="1">
        <w:r w:rsidRPr="00966057">
          <w:rPr>
            <w:rStyle w:val="Hyperlink"/>
            <w:noProof/>
          </w:rPr>
          <w:t>A4.5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Selection of preferred reviews</w:t>
        </w:r>
        <w:r>
          <w:rPr>
            <w:noProof/>
            <w:webHidden/>
          </w:rPr>
          <w:tab/>
        </w:r>
        <w:r>
          <w:rPr>
            <w:noProof/>
            <w:webHidden/>
          </w:rPr>
          <w:fldChar w:fldCharType="begin"/>
        </w:r>
        <w:r>
          <w:rPr>
            <w:noProof/>
            <w:webHidden/>
          </w:rPr>
          <w:instrText xml:space="preserve"> PAGEREF _Toc185254621 \h </w:instrText>
        </w:r>
        <w:r>
          <w:rPr>
            <w:noProof/>
            <w:webHidden/>
          </w:rPr>
        </w:r>
        <w:r>
          <w:rPr>
            <w:noProof/>
            <w:webHidden/>
          </w:rPr>
          <w:fldChar w:fldCharType="separate"/>
        </w:r>
        <w:r w:rsidR="00C426C6">
          <w:rPr>
            <w:noProof/>
            <w:webHidden/>
          </w:rPr>
          <w:t>35</w:t>
        </w:r>
        <w:r>
          <w:rPr>
            <w:noProof/>
            <w:webHidden/>
          </w:rPr>
          <w:fldChar w:fldCharType="end"/>
        </w:r>
      </w:hyperlink>
    </w:p>
    <w:p w14:paraId="75AAB65F" w14:textId="6C2C7BC7" w:rsidR="00044C55" w:rsidRDefault="00044C55">
      <w:pPr>
        <w:pStyle w:val="TOC1"/>
        <w:tabs>
          <w:tab w:val="left" w:pos="1440"/>
        </w:tabs>
        <w:rPr>
          <w:rFonts w:asciiTheme="minorHAnsi" w:eastAsiaTheme="minorEastAsia" w:hAnsiTheme="minorHAnsi" w:cstheme="minorBidi"/>
          <w:noProof/>
          <w:color w:val="auto"/>
          <w:kern w:val="2"/>
          <w:sz w:val="24"/>
          <w:szCs w:val="24"/>
          <w:lang w:eastAsia="en-AU"/>
          <w14:ligatures w14:val="standardContextual"/>
        </w:rPr>
      </w:pPr>
      <w:hyperlink w:anchor="_Toc185254622" w:history="1">
        <w:r w:rsidRPr="00966057">
          <w:rPr>
            <w:rStyle w:val="Hyperlink"/>
            <w:rFonts w:eastAsia="Calibri"/>
            <w:b/>
            <w:noProof/>
            <w:w w:val="105"/>
          </w:rPr>
          <w:t>Appendix B</w:t>
        </w:r>
        <w:r>
          <w:rPr>
            <w:rFonts w:asciiTheme="minorHAnsi" w:eastAsiaTheme="minorEastAsia" w:hAnsiTheme="minorHAnsi" w:cstheme="minorBidi"/>
            <w:noProof/>
            <w:color w:val="auto"/>
            <w:kern w:val="2"/>
            <w:sz w:val="24"/>
            <w:szCs w:val="24"/>
            <w:lang w:eastAsia="en-AU"/>
            <w14:ligatures w14:val="standardContextual"/>
          </w:rPr>
          <w:tab/>
        </w:r>
        <w:r w:rsidRPr="00966057">
          <w:rPr>
            <w:rStyle w:val="Hyperlink"/>
            <w:rFonts w:eastAsia="Calibri"/>
            <w:b/>
            <w:noProof/>
            <w:w w:val="105"/>
          </w:rPr>
          <w:t>Methods of data collection, appraisal and reporting</w:t>
        </w:r>
        <w:r>
          <w:rPr>
            <w:noProof/>
            <w:webHidden/>
          </w:rPr>
          <w:tab/>
        </w:r>
        <w:r>
          <w:rPr>
            <w:noProof/>
            <w:webHidden/>
          </w:rPr>
          <w:fldChar w:fldCharType="begin"/>
        </w:r>
        <w:r>
          <w:rPr>
            <w:noProof/>
            <w:webHidden/>
          </w:rPr>
          <w:instrText xml:space="preserve"> PAGEREF _Toc185254622 \h </w:instrText>
        </w:r>
        <w:r>
          <w:rPr>
            <w:noProof/>
            <w:webHidden/>
          </w:rPr>
        </w:r>
        <w:r>
          <w:rPr>
            <w:noProof/>
            <w:webHidden/>
          </w:rPr>
          <w:fldChar w:fldCharType="separate"/>
        </w:r>
        <w:r w:rsidR="00C426C6">
          <w:rPr>
            <w:noProof/>
            <w:webHidden/>
          </w:rPr>
          <w:t>37</w:t>
        </w:r>
        <w:r>
          <w:rPr>
            <w:noProof/>
            <w:webHidden/>
          </w:rPr>
          <w:fldChar w:fldCharType="end"/>
        </w:r>
      </w:hyperlink>
    </w:p>
    <w:p w14:paraId="312345F6" w14:textId="5B6E26BC"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23" w:history="1">
        <w:r w:rsidRPr="00966057">
          <w:rPr>
            <w:rStyle w:val="Hyperlink"/>
            <w:noProof/>
          </w:rPr>
          <w:t>B1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Data collection</w:t>
        </w:r>
        <w:r>
          <w:rPr>
            <w:noProof/>
            <w:webHidden/>
          </w:rPr>
          <w:tab/>
        </w:r>
        <w:r>
          <w:rPr>
            <w:noProof/>
            <w:webHidden/>
          </w:rPr>
          <w:fldChar w:fldCharType="begin"/>
        </w:r>
        <w:r>
          <w:rPr>
            <w:noProof/>
            <w:webHidden/>
          </w:rPr>
          <w:instrText xml:space="preserve"> PAGEREF _Toc185254623 \h </w:instrText>
        </w:r>
        <w:r>
          <w:rPr>
            <w:noProof/>
            <w:webHidden/>
          </w:rPr>
        </w:r>
        <w:r>
          <w:rPr>
            <w:noProof/>
            <w:webHidden/>
          </w:rPr>
          <w:fldChar w:fldCharType="separate"/>
        </w:r>
        <w:r w:rsidR="00C426C6">
          <w:rPr>
            <w:noProof/>
            <w:webHidden/>
          </w:rPr>
          <w:t>37</w:t>
        </w:r>
        <w:r>
          <w:rPr>
            <w:noProof/>
            <w:webHidden/>
          </w:rPr>
          <w:fldChar w:fldCharType="end"/>
        </w:r>
      </w:hyperlink>
    </w:p>
    <w:p w14:paraId="313FB420" w14:textId="04EB856A"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24" w:history="1">
        <w:r w:rsidRPr="00966057">
          <w:rPr>
            <w:rStyle w:val="Hyperlink"/>
            <w:noProof/>
          </w:rPr>
          <w:t>B1.1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Data collection process</w:t>
        </w:r>
        <w:r>
          <w:rPr>
            <w:noProof/>
            <w:webHidden/>
          </w:rPr>
          <w:tab/>
        </w:r>
        <w:r>
          <w:rPr>
            <w:noProof/>
            <w:webHidden/>
          </w:rPr>
          <w:fldChar w:fldCharType="begin"/>
        </w:r>
        <w:r>
          <w:rPr>
            <w:noProof/>
            <w:webHidden/>
          </w:rPr>
          <w:instrText xml:space="preserve"> PAGEREF _Toc185254624 \h </w:instrText>
        </w:r>
        <w:r>
          <w:rPr>
            <w:noProof/>
            <w:webHidden/>
          </w:rPr>
        </w:r>
        <w:r>
          <w:rPr>
            <w:noProof/>
            <w:webHidden/>
          </w:rPr>
          <w:fldChar w:fldCharType="separate"/>
        </w:r>
        <w:r w:rsidR="00C426C6">
          <w:rPr>
            <w:noProof/>
            <w:webHidden/>
          </w:rPr>
          <w:t>37</w:t>
        </w:r>
        <w:r>
          <w:rPr>
            <w:noProof/>
            <w:webHidden/>
          </w:rPr>
          <w:fldChar w:fldCharType="end"/>
        </w:r>
      </w:hyperlink>
    </w:p>
    <w:p w14:paraId="73EE0D95" w14:textId="2E1988D6"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25" w:history="1">
        <w:r w:rsidRPr="00966057">
          <w:rPr>
            <w:rStyle w:val="Hyperlink"/>
            <w:noProof/>
          </w:rPr>
          <w:t>B1.2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Data items for collection</w:t>
        </w:r>
        <w:r>
          <w:rPr>
            <w:noProof/>
            <w:webHidden/>
          </w:rPr>
          <w:tab/>
        </w:r>
        <w:r>
          <w:rPr>
            <w:noProof/>
            <w:webHidden/>
          </w:rPr>
          <w:fldChar w:fldCharType="begin"/>
        </w:r>
        <w:r>
          <w:rPr>
            <w:noProof/>
            <w:webHidden/>
          </w:rPr>
          <w:instrText xml:space="preserve"> PAGEREF _Toc185254625 \h </w:instrText>
        </w:r>
        <w:r>
          <w:rPr>
            <w:noProof/>
            <w:webHidden/>
          </w:rPr>
        </w:r>
        <w:r>
          <w:rPr>
            <w:noProof/>
            <w:webHidden/>
          </w:rPr>
          <w:fldChar w:fldCharType="separate"/>
        </w:r>
        <w:r w:rsidR="00C426C6">
          <w:rPr>
            <w:noProof/>
            <w:webHidden/>
          </w:rPr>
          <w:t>38</w:t>
        </w:r>
        <w:r>
          <w:rPr>
            <w:noProof/>
            <w:webHidden/>
          </w:rPr>
          <w:fldChar w:fldCharType="end"/>
        </w:r>
      </w:hyperlink>
    </w:p>
    <w:p w14:paraId="0E8C04CB" w14:textId="293787E3"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26" w:history="1">
        <w:r w:rsidRPr="00966057">
          <w:rPr>
            <w:rStyle w:val="Hyperlink"/>
            <w:noProof/>
          </w:rPr>
          <w:t>B2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Data analysis and synthesis</w:t>
        </w:r>
        <w:r>
          <w:rPr>
            <w:noProof/>
            <w:webHidden/>
          </w:rPr>
          <w:tab/>
        </w:r>
        <w:r>
          <w:rPr>
            <w:noProof/>
            <w:webHidden/>
          </w:rPr>
          <w:fldChar w:fldCharType="begin"/>
        </w:r>
        <w:r>
          <w:rPr>
            <w:noProof/>
            <w:webHidden/>
          </w:rPr>
          <w:instrText xml:space="preserve"> PAGEREF _Toc185254626 \h </w:instrText>
        </w:r>
        <w:r>
          <w:rPr>
            <w:noProof/>
            <w:webHidden/>
          </w:rPr>
        </w:r>
        <w:r>
          <w:rPr>
            <w:noProof/>
            <w:webHidden/>
          </w:rPr>
          <w:fldChar w:fldCharType="separate"/>
        </w:r>
        <w:r w:rsidR="00C426C6">
          <w:rPr>
            <w:noProof/>
            <w:webHidden/>
          </w:rPr>
          <w:t>39</w:t>
        </w:r>
        <w:r>
          <w:rPr>
            <w:noProof/>
            <w:webHidden/>
          </w:rPr>
          <w:fldChar w:fldCharType="end"/>
        </w:r>
      </w:hyperlink>
    </w:p>
    <w:p w14:paraId="2CA0965F" w14:textId="03CD2D38"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27" w:history="1">
        <w:r w:rsidRPr="00966057">
          <w:rPr>
            <w:rStyle w:val="Hyperlink"/>
            <w:noProof/>
          </w:rPr>
          <w:t>B2.1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Data synthesis</w:t>
        </w:r>
        <w:r>
          <w:rPr>
            <w:noProof/>
            <w:webHidden/>
          </w:rPr>
          <w:tab/>
        </w:r>
        <w:r>
          <w:rPr>
            <w:noProof/>
            <w:webHidden/>
          </w:rPr>
          <w:fldChar w:fldCharType="begin"/>
        </w:r>
        <w:r>
          <w:rPr>
            <w:noProof/>
            <w:webHidden/>
          </w:rPr>
          <w:instrText xml:space="preserve"> PAGEREF _Toc185254627 \h </w:instrText>
        </w:r>
        <w:r>
          <w:rPr>
            <w:noProof/>
            <w:webHidden/>
          </w:rPr>
        </w:r>
        <w:r>
          <w:rPr>
            <w:noProof/>
            <w:webHidden/>
          </w:rPr>
          <w:fldChar w:fldCharType="separate"/>
        </w:r>
        <w:r w:rsidR="00C426C6">
          <w:rPr>
            <w:noProof/>
            <w:webHidden/>
          </w:rPr>
          <w:t>39</w:t>
        </w:r>
        <w:r>
          <w:rPr>
            <w:noProof/>
            <w:webHidden/>
          </w:rPr>
          <w:fldChar w:fldCharType="end"/>
        </w:r>
      </w:hyperlink>
    </w:p>
    <w:p w14:paraId="27B57DF3" w14:textId="1D65B065"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28" w:history="1">
        <w:r w:rsidRPr="00966057">
          <w:rPr>
            <w:rStyle w:val="Hyperlink"/>
            <w:noProof/>
          </w:rPr>
          <w:t>B2.2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Investigations of heterogeneity</w:t>
        </w:r>
        <w:r>
          <w:rPr>
            <w:noProof/>
            <w:webHidden/>
          </w:rPr>
          <w:tab/>
        </w:r>
        <w:r>
          <w:rPr>
            <w:noProof/>
            <w:webHidden/>
          </w:rPr>
          <w:fldChar w:fldCharType="begin"/>
        </w:r>
        <w:r>
          <w:rPr>
            <w:noProof/>
            <w:webHidden/>
          </w:rPr>
          <w:instrText xml:space="preserve"> PAGEREF _Toc185254628 \h </w:instrText>
        </w:r>
        <w:r>
          <w:rPr>
            <w:noProof/>
            <w:webHidden/>
          </w:rPr>
        </w:r>
        <w:r>
          <w:rPr>
            <w:noProof/>
            <w:webHidden/>
          </w:rPr>
          <w:fldChar w:fldCharType="separate"/>
        </w:r>
        <w:r w:rsidR="00C426C6">
          <w:rPr>
            <w:noProof/>
            <w:webHidden/>
          </w:rPr>
          <w:t>39</w:t>
        </w:r>
        <w:r>
          <w:rPr>
            <w:noProof/>
            <w:webHidden/>
          </w:rPr>
          <w:fldChar w:fldCharType="end"/>
        </w:r>
      </w:hyperlink>
    </w:p>
    <w:p w14:paraId="78AD9908" w14:textId="0DF4AEB6"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29" w:history="1">
        <w:r w:rsidRPr="00966057">
          <w:rPr>
            <w:rStyle w:val="Hyperlink"/>
            <w:noProof/>
          </w:rPr>
          <w:t>B3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Risk of bias of evidence in included reviews</w:t>
        </w:r>
        <w:r>
          <w:rPr>
            <w:noProof/>
            <w:webHidden/>
          </w:rPr>
          <w:tab/>
        </w:r>
        <w:r>
          <w:rPr>
            <w:noProof/>
            <w:webHidden/>
          </w:rPr>
          <w:fldChar w:fldCharType="begin"/>
        </w:r>
        <w:r>
          <w:rPr>
            <w:noProof/>
            <w:webHidden/>
          </w:rPr>
          <w:instrText xml:space="preserve"> PAGEREF _Toc185254629 \h </w:instrText>
        </w:r>
        <w:r>
          <w:rPr>
            <w:noProof/>
            <w:webHidden/>
          </w:rPr>
        </w:r>
        <w:r>
          <w:rPr>
            <w:noProof/>
            <w:webHidden/>
          </w:rPr>
          <w:fldChar w:fldCharType="separate"/>
        </w:r>
        <w:r w:rsidR="00C426C6">
          <w:rPr>
            <w:noProof/>
            <w:webHidden/>
          </w:rPr>
          <w:t>39</w:t>
        </w:r>
        <w:r>
          <w:rPr>
            <w:noProof/>
            <w:webHidden/>
          </w:rPr>
          <w:fldChar w:fldCharType="end"/>
        </w:r>
      </w:hyperlink>
    </w:p>
    <w:p w14:paraId="36D4CC3B" w14:textId="5245F67F"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30" w:history="1">
        <w:r w:rsidRPr="00966057">
          <w:rPr>
            <w:rStyle w:val="Hyperlink"/>
            <w:noProof/>
          </w:rPr>
          <w:t>B3.1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Assessment of risk of bias of systematic reviews</w:t>
        </w:r>
        <w:r>
          <w:rPr>
            <w:noProof/>
            <w:webHidden/>
          </w:rPr>
          <w:tab/>
        </w:r>
        <w:r>
          <w:rPr>
            <w:noProof/>
            <w:webHidden/>
          </w:rPr>
          <w:fldChar w:fldCharType="begin"/>
        </w:r>
        <w:r>
          <w:rPr>
            <w:noProof/>
            <w:webHidden/>
          </w:rPr>
          <w:instrText xml:space="preserve"> PAGEREF _Toc185254630 \h </w:instrText>
        </w:r>
        <w:r>
          <w:rPr>
            <w:noProof/>
            <w:webHidden/>
          </w:rPr>
        </w:r>
        <w:r>
          <w:rPr>
            <w:noProof/>
            <w:webHidden/>
          </w:rPr>
          <w:fldChar w:fldCharType="separate"/>
        </w:r>
        <w:r w:rsidR="00C426C6">
          <w:rPr>
            <w:noProof/>
            <w:webHidden/>
          </w:rPr>
          <w:t>39</w:t>
        </w:r>
        <w:r>
          <w:rPr>
            <w:noProof/>
            <w:webHidden/>
          </w:rPr>
          <w:fldChar w:fldCharType="end"/>
        </w:r>
      </w:hyperlink>
    </w:p>
    <w:p w14:paraId="1CABC4E2" w14:textId="798E38F0"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31" w:history="1">
        <w:r w:rsidRPr="00966057">
          <w:rPr>
            <w:rStyle w:val="Hyperlink"/>
            <w:noProof/>
          </w:rPr>
          <w:t>B3.2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Assessment of risk of bias of primary studies included in systematic reviews</w:t>
        </w:r>
        <w:r>
          <w:rPr>
            <w:noProof/>
            <w:webHidden/>
          </w:rPr>
          <w:tab/>
        </w:r>
        <w:r>
          <w:rPr>
            <w:noProof/>
            <w:webHidden/>
          </w:rPr>
          <w:fldChar w:fldCharType="begin"/>
        </w:r>
        <w:r>
          <w:rPr>
            <w:noProof/>
            <w:webHidden/>
          </w:rPr>
          <w:instrText xml:space="preserve"> PAGEREF _Toc185254631 \h </w:instrText>
        </w:r>
        <w:r>
          <w:rPr>
            <w:noProof/>
            <w:webHidden/>
          </w:rPr>
        </w:r>
        <w:r>
          <w:rPr>
            <w:noProof/>
            <w:webHidden/>
          </w:rPr>
          <w:fldChar w:fldCharType="separate"/>
        </w:r>
        <w:r w:rsidR="00C426C6">
          <w:rPr>
            <w:noProof/>
            <w:webHidden/>
          </w:rPr>
          <w:t>40</w:t>
        </w:r>
        <w:r>
          <w:rPr>
            <w:noProof/>
            <w:webHidden/>
          </w:rPr>
          <w:fldChar w:fldCharType="end"/>
        </w:r>
      </w:hyperlink>
    </w:p>
    <w:p w14:paraId="04ACD697" w14:textId="797D3678"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32" w:history="1">
        <w:r w:rsidRPr="00966057">
          <w:rPr>
            <w:rStyle w:val="Hyperlink"/>
            <w:noProof/>
          </w:rPr>
          <w:t>B3.3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Risk of reporting bias</w:t>
        </w:r>
        <w:r>
          <w:rPr>
            <w:noProof/>
            <w:webHidden/>
          </w:rPr>
          <w:tab/>
        </w:r>
        <w:r>
          <w:rPr>
            <w:noProof/>
            <w:webHidden/>
          </w:rPr>
          <w:fldChar w:fldCharType="begin"/>
        </w:r>
        <w:r>
          <w:rPr>
            <w:noProof/>
            <w:webHidden/>
          </w:rPr>
          <w:instrText xml:space="preserve"> PAGEREF _Toc185254632 \h </w:instrText>
        </w:r>
        <w:r>
          <w:rPr>
            <w:noProof/>
            <w:webHidden/>
          </w:rPr>
        </w:r>
        <w:r>
          <w:rPr>
            <w:noProof/>
            <w:webHidden/>
          </w:rPr>
          <w:fldChar w:fldCharType="separate"/>
        </w:r>
        <w:r w:rsidR="00C426C6">
          <w:rPr>
            <w:noProof/>
            <w:webHidden/>
          </w:rPr>
          <w:t>40</w:t>
        </w:r>
        <w:r>
          <w:rPr>
            <w:noProof/>
            <w:webHidden/>
          </w:rPr>
          <w:fldChar w:fldCharType="end"/>
        </w:r>
      </w:hyperlink>
    </w:p>
    <w:p w14:paraId="75B11314" w14:textId="29300313"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33" w:history="1">
        <w:r w:rsidRPr="00966057">
          <w:rPr>
            <w:rStyle w:val="Hyperlink"/>
            <w:noProof/>
          </w:rPr>
          <w:t>B3.4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Addressing risk of bias</w:t>
        </w:r>
        <w:r>
          <w:rPr>
            <w:noProof/>
            <w:webHidden/>
          </w:rPr>
          <w:tab/>
        </w:r>
        <w:r>
          <w:rPr>
            <w:noProof/>
            <w:webHidden/>
          </w:rPr>
          <w:fldChar w:fldCharType="begin"/>
        </w:r>
        <w:r>
          <w:rPr>
            <w:noProof/>
            <w:webHidden/>
          </w:rPr>
          <w:instrText xml:space="preserve"> PAGEREF _Toc185254633 \h </w:instrText>
        </w:r>
        <w:r>
          <w:rPr>
            <w:noProof/>
            <w:webHidden/>
          </w:rPr>
        </w:r>
        <w:r>
          <w:rPr>
            <w:noProof/>
            <w:webHidden/>
          </w:rPr>
          <w:fldChar w:fldCharType="separate"/>
        </w:r>
        <w:r w:rsidR="00C426C6">
          <w:rPr>
            <w:noProof/>
            <w:webHidden/>
          </w:rPr>
          <w:t>41</w:t>
        </w:r>
        <w:r>
          <w:rPr>
            <w:noProof/>
            <w:webHidden/>
          </w:rPr>
          <w:fldChar w:fldCharType="end"/>
        </w:r>
      </w:hyperlink>
    </w:p>
    <w:p w14:paraId="2535D742" w14:textId="451C2A48"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34" w:history="1">
        <w:r w:rsidRPr="00966057">
          <w:rPr>
            <w:rStyle w:val="Hyperlink"/>
            <w:noProof/>
          </w:rPr>
          <w:t>B3.5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Subgroup analyses</w:t>
        </w:r>
        <w:r>
          <w:rPr>
            <w:noProof/>
            <w:webHidden/>
          </w:rPr>
          <w:tab/>
        </w:r>
        <w:r>
          <w:rPr>
            <w:noProof/>
            <w:webHidden/>
          </w:rPr>
          <w:fldChar w:fldCharType="begin"/>
        </w:r>
        <w:r>
          <w:rPr>
            <w:noProof/>
            <w:webHidden/>
          </w:rPr>
          <w:instrText xml:space="preserve"> PAGEREF _Toc185254634 \h </w:instrText>
        </w:r>
        <w:r>
          <w:rPr>
            <w:noProof/>
            <w:webHidden/>
          </w:rPr>
        </w:r>
        <w:r>
          <w:rPr>
            <w:noProof/>
            <w:webHidden/>
          </w:rPr>
          <w:fldChar w:fldCharType="separate"/>
        </w:r>
        <w:r w:rsidR="00C426C6">
          <w:rPr>
            <w:noProof/>
            <w:webHidden/>
          </w:rPr>
          <w:t>41</w:t>
        </w:r>
        <w:r>
          <w:rPr>
            <w:noProof/>
            <w:webHidden/>
          </w:rPr>
          <w:fldChar w:fldCharType="end"/>
        </w:r>
      </w:hyperlink>
    </w:p>
    <w:p w14:paraId="1D8FD585" w14:textId="5717B075"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35" w:history="1">
        <w:r w:rsidRPr="00966057">
          <w:rPr>
            <w:rStyle w:val="Hyperlink"/>
            <w:noProof/>
          </w:rPr>
          <w:t>B4</w:t>
        </w:r>
        <w:r>
          <w:rPr>
            <w:rFonts w:asciiTheme="minorHAnsi" w:eastAsiaTheme="minorEastAsia" w:hAnsiTheme="minorHAnsi" w:cstheme="minorBidi"/>
            <w:noProof/>
            <w:kern w:val="2"/>
            <w:sz w:val="24"/>
            <w:szCs w:val="24"/>
            <w:lang w:eastAsia="en-AU"/>
            <w14:ligatures w14:val="standardContextual"/>
          </w:rPr>
          <w:tab/>
        </w:r>
        <w:r w:rsidRPr="00966057">
          <w:rPr>
            <w:rStyle w:val="Hyperlink"/>
            <w:bCs/>
            <w:noProof/>
          </w:rPr>
          <w:t>Certainty of the evidence</w:t>
        </w:r>
        <w:r>
          <w:rPr>
            <w:noProof/>
            <w:webHidden/>
          </w:rPr>
          <w:tab/>
        </w:r>
        <w:r>
          <w:rPr>
            <w:noProof/>
            <w:webHidden/>
          </w:rPr>
          <w:fldChar w:fldCharType="begin"/>
        </w:r>
        <w:r>
          <w:rPr>
            <w:noProof/>
            <w:webHidden/>
          </w:rPr>
          <w:instrText xml:space="preserve"> PAGEREF _Toc185254635 \h </w:instrText>
        </w:r>
        <w:r>
          <w:rPr>
            <w:noProof/>
            <w:webHidden/>
          </w:rPr>
        </w:r>
        <w:r>
          <w:rPr>
            <w:noProof/>
            <w:webHidden/>
          </w:rPr>
          <w:fldChar w:fldCharType="separate"/>
        </w:r>
        <w:r w:rsidR="00C426C6">
          <w:rPr>
            <w:noProof/>
            <w:webHidden/>
          </w:rPr>
          <w:t>41</w:t>
        </w:r>
        <w:r>
          <w:rPr>
            <w:noProof/>
            <w:webHidden/>
          </w:rPr>
          <w:fldChar w:fldCharType="end"/>
        </w:r>
      </w:hyperlink>
    </w:p>
    <w:p w14:paraId="31FF214A" w14:textId="2777DD4A"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36" w:history="1">
        <w:r w:rsidRPr="00966057">
          <w:rPr>
            <w:rStyle w:val="Hyperlink"/>
            <w:noProof/>
          </w:rPr>
          <w:t>B4.1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‘Summary of Findings’ tables and evidence statements</w:t>
        </w:r>
        <w:r>
          <w:rPr>
            <w:noProof/>
            <w:webHidden/>
          </w:rPr>
          <w:tab/>
        </w:r>
        <w:r>
          <w:rPr>
            <w:noProof/>
            <w:webHidden/>
          </w:rPr>
          <w:fldChar w:fldCharType="begin"/>
        </w:r>
        <w:r>
          <w:rPr>
            <w:noProof/>
            <w:webHidden/>
          </w:rPr>
          <w:instrText xml:space="preserve"> PAGEREF _Toc185254636 \h </w:instrText>
        </w:r>
        <w:r>
          <w:rPr>
            <w:noProof/>
            <w:webHidden/>
          </w:rPr>
        </w:r>
        <w:r>
          <w:rPr>
            <w:noProof/>
            <w:webHidden/>
          </w:rPr>
          <w:fldChar w:fldCharType="separate"/>
        </w:r>
        <w:r w:rsidR="00C426C6">
          <w:rPr>
            <w:noProof/>
            <w:webHidden/>
          </w:rPr>
          <w:t>42</w:t>
        </w:r>
        <w:r>
          <w:rPr>
            <w:noProof/>
            <w:webHidden/>
          </w:rPr>
          <w:fldChar w:fldCharType="end"/>
        </w:r>
      </w:hyperlink>
    </w:p>
    <w:p w14:paraId="23ACE2C9" w14:textId="595F5DD3" w:rsidR="00044C55" w:rsidRDefault="00044C55">
      <w:pPr>
        <w:pStyle w:val="TOC1"/>
        <w:tabs>
          <w:tab w:val="left" w:pos="1440"/>
        </w:tabs>
        <w:rPr>
          <w:rFonts w:asciiTheme="minorHAnsi" w:eastAsiaTheme="minorEastAsia" w:hAnsiTheme="minorHAnsi" w:cstheme="minorBidi"/>
          <w:noProof/>
          <w:color w:val="auto"/>
          <w:kern w:val="2"/>
          <w:sz w:val="24"/>
          <w:szCs w:val="24"/>
          <w:lang w:eastAsia="en-AU"/>
          <w14:ligatures w14:val="standardContextual"/>
        </w:rPr>
      </w:pPr>
      <w:hyperlink w:anchor="_Toc185254637" w:history="1">
        <w:r w:rsidRPr="00966057">
          <w:rPr>
            <w:rStyle w:val="Hyperlink"/>
            <w:b/>
            <w:noProof/>
          </w:rPr>
          <w:t>Appendix C</w:t>
        </w:r>
        <w:r>
          <w:rPr>
            <w:rFonts w:asciiTheme="minorHAnsi" w:eastAsiaTheme="minorEastAsia" w:hAnsiTheme="minorHAnsi" w:cstheme="minorBidi"/>
            <w:noProof/>
            <w:color w:val="auto"/>
            <w:kern w:val="2"/>
            <w:sz w:val="24"/>
            <w:szCs w:val="24"/>
            <w:lang w:eastAsia="en-AU"/>
            <w14:ligatures w14:val="standardContextual"/>
          </w:rPr>
          <w:tab/>
        </w:r>
        <w:r w:rsidRPr="00966057">
          <w:rPr>
            <w:rStyle w:val="Hyperlink"/>
            <w:b/>
            <w:noProof/>
          </w:rPr>
          <w:t>Citation details of reviews assessed at full text but not included</w:t>
        </w:r>
        <w:r>
          <w:rPr>
            <w:noProof/>
            <w:webHidden/>
          </w:rPr>
          <w:tab/>
        </w:r>
        <w:r>
          <w:rPr>
            <w:noProof/>
            <w:webHidden/>
          </w:rPr>
          <w:fldChar w:fldCharType="begin"/>
        </w:r>
        <w:r>
          <w:rPr>
            <w:noProof/>
            <w:webHidden/>
          </w:rPr>
          <w:instrText xml:space="preserve"> PAGEREF _Toc185254637 \h </w:instrText>
        </w:r>
        <w:r>
          <w:rPr>
            <w:noProof/>
            <w:webHidden/>
          </w:rPr>
        </w:r>
        <w:r>
          <w:rPr>
            <w:noProof/>
            <w:webHidden/>
          </w:rPr>
          <w:fldChar w:fldCharType="separate"/>
        </w:r>
        <w:r w:rsidR="00C426C6">
          <w:rPr>
            <w:noProof/>
            <w:webHidden/>
          </w:rPr>
          <w:t>44</w:t>
        </w:r>
        <w:r>
          <w:rPr>
            <w:noProof/>
            <w:webHidden/>
          </w:rPr>
          <w:fldChar w:fldCharType="end"/>
        </w:r>
      </w:hyperlink>
    </w:p>
    <w:p w14:paraId="3A84F6C3" w14:textId="0D2CD317"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38" w:history="1">
        <w:r w:rsidRPr="00966057">
          <w:rPr>
            <w:rStyle w:val="Hyperlink"/>
            <w:bCs/>
            <w:noProof/>
          </w:rPr>
          <w:t>C1</w:t>
        </w:r>
        <w:r>
          <w:rPr>
            <w:rFonts w:asciiTheme="minorHAnsi" w:eastAsiaTheme="minorEastAsia" w:hAnsiTheme="minorHAnsi" w:cstheme="minorBidi"/>
            <w:noProof/>
            <w:kern w:val="2"/>
            <w:sz w:val="24"/>
            <w:szCs w:val="24"/>
            <w:lang w:eastAsia="en-AU"/>
            <w14:ligatures w14:val="standardContextual"/>
          </w:rPr>
          <w:tab/>
        </w:r>
        <w:r w:rsidRPr="00966057">
          <w:rPr>
            <w:rStyle w:val="Hyperlink"/>
            <w:bCs/>
            <w:noProof/>
          </w:rPr>
          <w:t>Citation details of reviews from search results excluded (not eligible)</w:t>
        </w:r>
        <w:r>
          <w:rPr>
            <w:noProof/>
            <w:webHidden/>
          </w:rPr>
          <w:tab/>
        </w:r>
        <w:r>
          <w:rPr>
            <w:noProof/>
            <w:webHidden/>
          </w:rPr>
          <w:fldChar w:fldCharType="begin"/>
        </w:r>
        <w:r>
          <w:rPr>
            <w:noProof/>
            <w:webHidden/>
          </w:rPr>
          <w:instrText xml:space="preserve"> PAGEREF _Toc185254638 \h </w:instrText>
        </w:r>
        <w:r>
          <w:rPr>
            <w:noProof/>
            <w:webHidden/>
          </w:rPr>
        </w:r>
        <w:r>
          <w:rPr>
            <w:noProof/>
            <w:webHidden/>
          </w:rPr>
          <w:fldChar w:fldCharType="separate"/>
        </w:r>
        <w:r w:rsidR="00C426C6">
          <w:rPr>
            <w:noProof/>
            <w:webHidden/>
          </w:rPr>
          <w:t>44</w:t>
        </w:r>
        <w:r>
          <w:rPr>
            <w:noProof/>
            <w:webHidden/>
          </w:rPr>
          <w:fldChar w:fldCharType="end"/>
        </w:r>
      </w:hyperlink>
    </w:p>
    <w:p w14:paraId="19FB6418" w14:textId="35F91117"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39" w:history="1">
        <w:r w:rsidRPr="00966057">
          <w:rPr>
            <w:rStyle w:val="Hyperlink"/>
            <w:noProof/>
          </w:rPr>
          <w:t>C2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Citation details of evidence provided through the Department’s public call for evidence.</w:t>
        </w:r>
        <w:r>
          <w:rPr>
            <w:noProof/>
            <w:webHidden/>
          </w:rPr>
          <w:tab/>
        </w:r>
        <w:r>
          <w:rPr>
            <w:noProof/>
            <w:webHidden/>
          </w:rPr>
          <w:fldChar w:fldCharType="begin"/>
        </w:r>
        <w:r>
          <w:rPr>
            <w:noProof/>
            <w:webHidden/>
          </w:rPr>
          <w:instrText xml:space="preserve"> PAGEREF _Toc185254639 \h </w:instrText>
        </w:r>
        <w:r>
          <w:rPr>
            <w:noProof/>
            <w:webHidden/>
          </w:rPr>
        </w:r>
        <w:r>
          <w:rPr>
            <w:noProof/>
            <w:webHidden/>
          </w:rPr>
          <w:fldChar w:fldCharType="separate"/>
        </w:r>
        <w:r w:rsidR="00C426C6">
          <w:rPr>
            <w:noProof/>
            <w:webHidden/>
          </w:rPr>
          <w:t>67</w:t>
        </w:r>
        <w:r>
          <w:rPr>
            <w:noProof/>
            <w:webHidden/>
          </w:rPr>
          <w:fldChar w:fldCharType="end"/>
        </w:r>
      </w:hyperlink>
    </w:p>
    <w:p w14:paraId="5C3BAA9C" w14:textId="4B35726A"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0" w:history="1">
        <w:r w:rsidRPr="00966057">
          <w:rPr>
            <w:rStyle w:val="Hyperlink"/>
            <w:noProof/>
          </w:rPr>
          <w:t>C3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Citation details of reviews awaiting classification and reports not retrieved</w:t>
        </w:r>
        <w:r>
          <w:rPr>
            <w:noProof/>
            <w:webHidden/>
          </w:rPr>
          <w:tab/>
        </w:r>
        <w:r>
          <w:rPr>
            <w:noProof/>
            <w:webHidden/>
          </w:rPr>
          <w:fldChar w:fldCharType="begin"/>
        </w:r>
        <w:r>
          <w:rPr>
            <w:noProof/>
            <w:webHidden/>
          </w:rPr>
          <w:instrText xml:space="preserve"> PAGEREF _Toc185254640 \h </w:instrText>
        </w:r>
        <w:r>
          <w:rPr>
            <w:noProof/>
            <w:webHidden/>
          </w:rPr>
        </w:r>
        <w:r>
          <w:rPr>
            <w:noProof/>
            <w:webHidden/>
          </w:rPr>
          <w:fldChar w:fldCharType="separate"/>
        </w:r>
        <w:r w:rsidR="00C426C6">
          <w:rPr>
            <w:noProof/>
            <w:webHidden/>
          </w:rPr>
          <w:t>105</w:t>
        </w:r>
        <w:r>
          <w:rPr>
            <w:noProof/>
            <w:webHidden/>
          </w:rPr>
          <w:fldChar w:fldCharType="end"/>
        </w:r>
      </w:hyperlink>
    </w:p>
    <w:p w14:paraId="780CFDDB" w14:textId="4A1CC449"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1" w:history="1">
        <w:r w:rsidRPr="00966057">
          <w:rPr>
            <w:rStyle w:val="Hyperlink"/>
            <w:noProof/>
          </w:rPr>
          <w:t>C4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Citation details of ongoing reviews</w:t>
        </w:r>
        <w:r>
          <w:rPr>
            <w:noProof/>
            <w:webHidden/>
          </w:rPr>
          <w:tab/>
        </w:r>
        <w:r>
          <w:rPr>
            <w:noProof/>
            <w:webHidden/>
          </w:rPr>
          <w:fldChar w:fldCharType="begin"/>
        </w:r>
        <w:r>
          <w:rPr>
            <w:noProof/>
            <w:webHidden/>
          </w:rPr>
          <w:instrText xml:space="preserve"> PAGEREF _Toc185254641 \h </w:instrText>
        </w:r>
        <w:r>
          <w:rPr>
            <w:noProof/>
            <w:webHidden/>
          </w:rPr>
        </w:r>
        <w:r>
          <w:rPr>
            <w:noProof/>
            <w:webHidden/>
          </w:rPr>
          <w:fldChar w:fldCharType="separate"/>
        </w:r>
        <w:r w:rsidR="00C426C6">
          <w:rPr>
            <w:noProof/>
            <w:webHidden/>
          </w:rPr>
          <w:t>106</w:t>
        </w:r>
        <w:r>
          <w:rPr>
            <w:noProof/>
            <w:webHidden/>
          </w:rPr>
          <w:fldChar w:fldCharType="end"/>
        </w:r>
      </w:hyperlink>
    </w:p>
    <w:p w14:paraId="2573BCF0" w14:textId="25946F1F"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2" w:history="1">
        <w:r w:rsidRPr="00966057">
          <w:rPr>
            <w:rStyle w:val="Hyperlink"/>
            <w:noProof/>
          </w:rPr>
          <w:t>C5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Citation details of conference abstracts</w:t>
        </w:r>
        <w:r>
          <w:rPr>
            <w:noProof/>
            <w:webHidden/>
          </w:rPr>
          <w:tab/>
        </w:r>
        <w:r>
          <w:rPr>
            <w:noProof/>
            <w:webHidden/>
          </w:rPr>
          <w:fldChar w:fldCharType="begin"/>
        </w:r>
        <w:r>
          <w:rPr>
            <w:noProof/>
            <w:webHidden/>
          </w:rPr>
          <w:instrText xml:space="preserve"> PAGEREF _Toc185254642 \h </w:instrText>
        </w:r>
        <w:r>
          <w:rPr>
            <w:noProof/>
            <w:webHidden/>
          </w:rPr>
        </w:r>
        <w:r>
          <w:rPr>
            <w:noProof/>
            <w:webHidden/>
          </w:rPr>
          <w:fldChar w:fldCharType="separate"/>
        </w:r>
        <w:r w:rsidR="00C426C6">
          <w:rPr>
            <w:noProof/>
            <w:webHidden/>
          </w:rPr>
          <w:t>112</w:t>
        </w:r>
        <w:r>
          <w:rPr>
            <w:noProof/>
            <w:webHidden/>
          </w:rPr>
          <w:fldChar w:fldCharType="end"/>
        </w:r>
      </w:hyperlink>
    </w:p>
    <w:p w14:paraId="6423F8C2" w14:textId="6C579F94" w:rsidR="00044C55" w:rsidRDefault="00044C55">
      <w:pPr>
        <w:pStyle w:val="TOC1"/>
        <w:tabs>
          <w:tab w:val="left" w:pos="1440"/>
        </w:tabs>
        <w:rPr>
          <w:rFonts w:asciiTheme="minorHAnsi" w:eastAsiaTheme="minorEastAsia" w:hAnsiTheme="minorHAnsi" w:cstheme="minorBidi"/>
          <w:noProof/>
          <w:color w:val="auto"/>
          <w:kern w:val="2"/>
          <w:sz w:val="24"/>
          <w:szCs w:val="24"/>
          <w:lang w:eastAsia="en-AU"/>
          <w14:ligatures w14:val="standardContextual"/>
        </w:rPr>
      </w:pPr>
      <w:hyperlink w:anchor="_Toc185254643" w:history="1">
        <w:r w:rsidRPr="00966057">
          <w:rPr>
            <w:rStyle w:val="Hyperlink"/>
            <w:b/>
            <w:noProof/>
          </w:rPr>
          <w:t>Appendix D</w:t>
        </w:r>
        <w:r>
          <w:rPr>
            <w:rFonts w:asciiTheme="minorHAnsi" w:eastAsiaTheme="minorEastAsia" w:hAnsiTheme="minorHAnsi" w:cstheme="minorBidi"/>
            <w:noProof/>
            <w:color w:val="auto"/>
            <w:kern w:val="2"/>
            <w:sz w:val="24"/>
            <w:szCs w:val="24"/>
            <w:lang w:eastAsia="en-AU"/>
            <w14:ligatures w14:val="standardContextual"/>
          </w:rPr>
          <w:tab/>
        </w:r>
        <w:r w:rsidRPr="00966057">
          <w:rPr>
            <w:rStyle w:val="Hyperlink"/>
            <w:b/>
            <w:noProof/>
          </w:rPr>
          <w:t>Characteristics of included reviews.</w:t>
        </w:r>
        <w:r>
          <w:rPr>
            <w:noProof/>
            <w:webHidden/>
          </w:rPr>
          <w:tab/>
        </w:r>
        <w:r>
          <w:rPr>
            <w:noProof/>
            <w:webHidden/>
          </w:rPr>
          <w:fldChar w:fldCharType="begin"/>
        </w:r>
        <w:r>
          <w:rPr>
            <w:noProof/>
            <w:webHidden/>
          </w:rPr>
          <w:instrText xml:space="preserve"> PAGEREF _Toc185254643 \h </w:instrText>
        </w:r>
        <w:r>
          <w:rPr>
            <w:noProof/>
            <w:webHidden/>
          </w:rPr>
        </w:r>
        <w:r>
          <w:rPr>
            <w:noProof/>
            <w:webHidden/>
          </w:rPr>
          <w:fldChar w:fldCharType="separate"/>
        </w:r>
        <w:r w:rsidR="00C426C6">
          <w:rPr>
            <w:noProof/>
            <w:webHidden/>
          </w:rPr>
          <w:t>113</w:t>
        </w:r>
        <w:r>
          <w:rPr>
            <w:noProof/>
            <w:webHidden/>
          </w:rPr>
          <w:fldChar w:fldCharType="end"/>
        </w:r>
      </w:hyperlink>
    </w:p>
    <w:p w14:paraId="530B25CF" w14:textId="111B5453"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4" w:history="1">
        <w:r w:rsidRPr="00966057">
          <w:rPr>
            <w:rStyle w:val="Hyperlink"/>
            <w:noProof/>
          </w:rPr>
          <w:t>D1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Anxiety (including post-natal), magnesium</w:t>
        </w:r>
        <w:r>
          <w:rPr>
            <w:noProof/>
            <w:webHidden/>
          </w:rPr>
          <w:tab/>
        </w:r>
        <w:r>
          <w:rPr>
            <w:noProof/>
            <w:webHidden/>
          </w:rPr>
          <w:fldChar w:fldCharType="begin"/>
        </w:r>
        <w:r>
          <w:rPr>
            <w:noProof/>
            <w:webHidden/>
          </w:rPr>
          <w:instrText xml:space="preserve"> PAGEREF _Toc185254644 \h </w:instrText>
        </w:r>
        <w:r>
          <w:rPr>
            <w:noProof/>
            <w:webHidden/>
          </w:rPr>
        </w:r>
        <w:r>
          <w:rPr>
            <w:noProof/>
            <w:webHidden/>
          </w:rPr>
          <w:fldChar w:fldCharType="separate"/>
        </w:r>
        <w:r w:rsidR="00C426C6">
          <w:rPr>
            <w:noProof/>
            <w:webHidden/>
          </w:rPr>
          <w:t>113</w:t>
        </w:r>
        <w:r>
          <w:rPr>
            <w:noProof/>
            <w:webHidden/>
          </w:rPr>
          <w:fldChar w:fldCharType="end"/>
        </w:r>
      </w:hyperlink>
    </w:p>
    <w:p w14:paraId="6DB64F49" w14:textId="77E006EA"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5" w:history="1">
        <w:r w:rsidRPr="00966057">
          <w:rPr>
            <w:rStyle w:val="Hyperlink"/>
            <w:noProof/>
          </w:rPr>
          <w:t>D2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Stress (perceived, occupational), magnesium</w:t>
        </w:r>
        <w:r>
          <w:rPr>
            <w:noProof/>
            <w:webHidden/>
          </w:rPr>
          <w:tab/>
        </w:r>
        <w:r>
          <w:rPr>
            <w:noProof/>
            <w:webHidden/>
          </w:rPr>
          <w:fldChar w:fldCharType="begin"/>
        </w:r>
        <w:r>
          <w:rPr>
            <w:noProof/>
            <w:webHidden/>
          </w:rPr>
          <w:instrText xml:space="preserve"> PAGEREF _Toc185254645 \h </w:instrText>
        </w:r>
        <w:r>
          <w:rPr>
            <w:noProof/>
            <w:webHidden/>
          </w:rPr>
        </w:r>
        <w:r>
          <w:rPr>
            <w:noProof/>
            <w:webHidden/>
          </w:rPr>
          <w:fldChar w:fldCharType="separate"/>
        </w:r>
        <w:r w:rsidR="00C426C6">
          <w:rPr>
            <w:noProof/>
            <w:webHidden/>
          </w:rPr>
          <w:t>114</w:t>
        </w:r>
        <w:r>
          <w:rPr>
            <w:noProof/>
            <w:webHidden/>
          </w:rPr>
          <w:fldChar w:fldCharType="end"/>
        </w:r>
      </w:hyperlink>
    </w:p>
    <w:p w14:paraId="060CA29A" w14:textId="18952CB3"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6" w:history="1">
        <w:r w:rsidRPr="00966057">
          <w:rPr>
            <w:rStyle w:val="Hyperlink"/>
            <w:noProof/>
          </w:rPr>
          <w:t>D3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Irritable bowel syndrome, probiotics</w:t>
        </w:r>
        <w:r>
          <w:rPr>
            <w:noProof/>
            <w:webHidden/>
          </w:rPr>
          <w:tab/>
        </w:r>
        <w:r>
          <w:rPr>
            <w:noProof/>
            <w:webHidden/>
          </w:rPr>
          <w:fldChar w:fldCharType="begin"/>
        </w:r>
        <w:r>
          <w:rPr>
            <w:noProof/>
            <w:webHidden/>
          </w:rPr>
          <w:instrText xml:space="preserve"> PAGEREF _Toc185254646 \h </w:instrText>
        </w:r>
        <w:r>
          <w:rPr>
            <w:noProof/>
            <w:webHidden/>
          </w:rPr>
        </w:r>
        <w:r>
          <w:rPr>
            <w:noProof/>
            <w:webHidden/>
          </w:rPr>
          <w:fldChar w:fldCharType="separate"/>
        </w:r>
        <w:r w:rsidR="00C426C6">
          <w:rPr>
            <w:noProof/>
            <w:webHidden/>
          </w:rPr>
          <w:t>114</w:t>
        </w:r>
        <w:r>
          <w:rPr>
            <w:noProof/>
            <w:webHidden/>
          </w:rPr>
          <w:fldChar w:fldCharType="end"/>
        </w:r>
      </w:hyperlink>
    </w:p>
    <w:p w14:paraId="2DC6A3D2" w14:textId="1920BEDB"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7" w:history="1">
        <w:r w:rsidRPr="00966057">
          <w:rPr>
            <w:rStyle w:val="Hyperlink"/>
            <w:noProof/>
          </w:rPr>
          <w:t>D4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Insomnia/sleeping disorders, magnesium</w:t>
        </w:r>
        <w:r>
          <w:rPr>
            <w:noProof/>
            <w:webHidden/>
          </w:rPr>
          <w:tab/>
        </w:r>
        <w:r>
          <w:rPr>
            <w:noProof/>
            <w:webHidden/>
          </w:rPr>
          <w:fldChar w:fldCharType="begin"/>
        </w:r>
        <w:r>
          <w:rPr>
            <w:noProof/>
            <w:webHidden/>
          </w:rPr>
          <w:instrText xml:space="preserve"> PAGEREF _Toc185254647 \h </w:instrText>
        </w:r>
        <w:r>
          <w:rPr>
            <w:noProof/>
            <w:webHidden/>
          </w:rPr>
        </w:r>
        <w:r>
          <w:rPr>
            <w:noProof/>
            <w:webHidden/>
          </w:rPr>
          <w:fldChar w:fldCharType="separate"/>
        </w:r>
        <w:r w:rsidR="00C426C6">
          <w:rPr>
            <w:noProof/>
            <w:webHidden/>
          </w:rPr>
          <w:t>130</w:t>
        </w:r>
        <w:r>
          <w:rPr>
            <w:noProof/>
            <w:webHidden/>
          </w:rPr>
          <w:fldChar w:fldCharType="end"/>
        </w:r>
      </w:hyperlink>
    </w:p>
    <w:p w14:paraId="388779C5" w14:textId="68B7A2C1"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8" w:history="1">
        <w:r w:rsidRPr="00966057">
          <w:rPr>
            <w:rStyle w:val="Hyperlink"/>
            <w:noProof/>
          </w:rPr>
          <w:t>D5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Depression (including post-natal), omega-3 fatty acids</w:t>
        </w:r>
        <w:r>
          <w:rPr>
            <w:noProof/>
            <w:webHidden/>
          </w:rPr>
          <w:tab/>
        </w:r>
        <w:r>
          <w:rPr>
            <w:noProof/>
            <w:webHidden/>
          </w:rPr>
          <w:fldChar w:fldCharType="begin"/>
        </w:r>
        <w:r>
          <w:rPr>
            <w:noProof/>
            <w:webHidden/>
          </w:rPr>
          <w:instrText xml:space="preserve"> PAGEREF _Toc185254648 \h </w:instrText>
        </w:r>
        <w:r>
          <w:rPr>
            <w:noProof/>
            <w:webHidden/>
          </w:rPr>
        </w:r>
        <w:r>
          <w:rPr>
            <w:noProof/>
            <w:webHidden/>
          </w:rPr>
          <w:fldChar w:fldCharType="separate"/>
        </w:r>
        <w:r w:rsidR="00C426C6">
          <w:rPr>
            <w:noProof/>
            <w:webHidden/>
          </w:rPr>
          <w:t>132</w:t>
        </w:r>
        <w:r>
          <w:rPr>
            <w:noProof/>
            <w:webHidden/>
          </w:rPr>
          <w:fldChar w:fldCharType="end"/>
        </w:r>
      </w:hyperlink>
    </w:p>
    <w:p w14:paraId="4057432C" w14:textId="57EAE837"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49" w:history="1">
        <w:r w:rsidRPr="00966057">
          <w:rPr>
            <w:rStyle w:val="Hyperlink"/>
            <w:noProof/>
          </w:rPr>
          <w:t>D6</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Dysmenorrhea, cruciferous indoles (indole-3-carbinol, di-indolylmethane)</w:t>
        </w:r>
        <w:r>
          <w:rPr>
            <w:noProof/>
            <w:webHidden/>
          </w:rPr>
          <w:tab/>
        </w:r>
        <w:r>
          <w:rPr>
            <w:noProof/>
            <w:webHidden/>
          </w:rPr>
          <w:fldChar w:fldCharType="begin"/>
        </w:r>
        <w:r>
          <w:rPr>
            <w:noProof/>
            <w:webHidden/>
          </w:rPr>
          <w:instrText xml:space="preserve"> PAGEREF _Toc185254649 \h </w:instrText>
        </w:r>
        <w:r>
          <w:rPr>
            <w:noProof/>
            <w:webHidden/>
          </w:rPr>
        </w:r>
        <w:r>
          <w:rPr>
            <w:noProof/>
            <w:webHidden/>
          </w:rPr>
          <w:fldChar w:fldCharType="separate"/>
        </w:r>
        <w:r w:rsidR="00C426C6">
          <w:rPr>
            <w:noProof/>
            <w:webHidden/>
          </w:rPr>
          <w:t>146</w:t>
        </w:r>
        <w:r>
          <w:rPr>
            <w:noProof/>
            <w:webHidden/>
          </w:rPr>
          <w:fldChar w:fldCharType="end"/>
        </w:r>
      </w:hyperlink>
    </w:p>
    <w:p w14:paraId="6EB8C932" w14:textId="1EEC78FE"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50" w:history="1">
        <w:r w:rsidRPr="00966057">
          <w:rPr>
            <w:rStyle w:val="Hyperlink"/>
            <w:noProof/>
          </w:rPr>
          <w:t>D7</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Premenstrual syndrome (PMS), cruciferous indoles (indole-3-carbinol, di-indolylmethane)</w:t>
        </w:r>
        <w:r>
          <w:rPr>
            <w:noProof/>
            <w:webHidden/>
          </w:rPr>
          <w:tab/>
        </w:r>
        <w:r>
          <w:rPr>
            <w:noProof/>
            <w:webHidden/>
          </w:rPr>
          <w:fldChar w:fldCharType="begin"/>
        </w:r>
        <w:r>
          <w:rPr>
            <w:noProof/>
            <w:webHidden/>
          </w:rPr>
          <w:instrText xml:space="preserve"> PAGEREF _Toc185254650 \h </w:instrText>
        </w:r>
        <w:r>
          <w:rPr>
            <w:noProof/>
            <w:webHidden/>
          </w:rPr>
        </w:r>
        <w:r>
          <w:rPr>
            <w:noProof/>
            <w:webHidden/>
          </w:rPr>
          <w:fldChar w:fldCharType="separate"/>
        </w:r>
        <w:r w:rsidR="00C426C6">
          <w:rPr>
            <w:noProof/>
            <w:webHidden/>
          </w:rPr>
          <w:t>147</w:t>
        </w:r>
        <w:r>
          <w:rPr>
            <w:noProof/>
            <w:webHidden/>
          </w:rPr>
          <w:fldChar w:fldCharType="end"/>
        </w:r>
      </w:hyperlink>
    </w:p>
    <w:p w14:paraId="420B77AE" w14:textId="69AF07D8"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51" w:history="1">
        <w:r w:rsidRPr="00966057">
          <w:rPr>
            <w:rStyle w:val="Hyperlink"/>
            <w:noProof/>
          </w:rPr>
          <w:t>D8</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Atopic disorders (including eczema, dermatitis, allergic rhinitis, allergies), zinc</w:t>
        </w:r>
        <w:r>
          <w:rPr>
            <w:noProof/>
            <w:webHidden/>
          </w:rPr>
          <w:tab/>
        </w:r>
        <w:r>
          <w:rPr>
            <w:noProof/>
            <w:webHidden/>
          </w:rPr>
          <w:fldChar w:fldCharType="begin"/>
        </w:r>
        <w:r>
          <w:rPr>
            <w:noProof/>
            <w:webHidden/>
          </w:rPr>
          <w:instrText xml:space="preserve"> PAGEREF _Toc185254651 \h </w:instrText>
        </w:r>
        <w:r>
          <w:rPr>
            <w:noProof/>
            <w:webHidden/>
          </w:rPr>
        </w:r>
        <w:r>
          <w:rPr>
            <w:noProof/>
            <w:webHidden/>
          </w:rPr>
          <w:fldChar w:fldCharType="separate"/>
        </w:r>
        <w:r w:rsidR="00C426C6">
          <w:rPr>
            <w:noProof/>
            <w:webHidden/>
          </w:rPr>
          <w:t>147</w:t>
        </w:r>
        <w:r>
          <w:rPr>
            <w:noProof/>
            <w:webHidden/>
          </w:rPr>
          <w:fldChar w:fldCharType="end"/>
        </w:r>
      </w:hyperlink>
    </w:p>
    <w:p w14:paraId="4CFB1312" w14:textId="1D6A73FE"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52" w:history="1">
        <w:r w:rsidRPr="00966057">
          <w:rPr>
            <w:rStyle w:val="Hyperlink"/>
            <w:noProof/>
          </w:rPr>
          <w:t>D9</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Fatigue (general) (including myalgic encephalomyelitis (ME) and Chronic Fatigue Syndrome (CFS)), antioxidants (specifically CoQ10 and alpha-lipoic acid)</w:t>
        </w:r>
        <w:r>
          <w:rPr>
            <w:noProof/>
            <w:webHidden/>
          </w:rPr>
          <w:tab/>
        </w:r>
        <w:r>
          <w:rPr>
            <w:noProof/>
            <w:webHidden/>
          </w:rPr>
          <w:fldChar w:fldCharType="begin"/>
        </w:r>
        <w:r>
          <w:rPr>
            <w:noProof/>
            <w:webHidden/>
          </w:rPr>
          <w:instrText xml:space="preserve"> PAGEREF _Toc185254652 \h </w:instrText>
        </w:r>
        <w:r>
          <w:rPr>
            <w:noProof/>
            <w:webHidden/>
          </w:rPr>
        </w:r>
        <w:r>
          <w:rPr>
            <w:noProof/>
            <w:webHidden/>
          </w:rPr>
          <w:fldChar w:fldCharType="separate"/>
        </w:r>
        <w:r w:rsidR="00C426C6">
          <w:rPr>
            <w:noProof/>
            <w:webHidden/>
          </w:rPr>
          <w:t>149</w:t>
        </w:r>
        <w:r>
          <w:rPr>
            <w:noProof/>
            <w:webHidden/>
          </w:rPr>
          <w:fldChar w:fldCharType="end"/>
        </w:r>
      </w:hyperlink>
    </w:p>
    <w:p w14:paraId="5717709B" w14:textId="052115BB"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53" w:history="1">
        <w:r w:rsidRPr="00966057">
          <w:rPr>
            <w:rStyle w:val="Hyperlink"/>
            <w:noProof/>
          </w:rPr>
          <w:t>D10</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Headache and migraine, magnesium</w:t>
        </w:r>
        <w:r>
          <w:rPr>
            <w:noProof/>
            <w:webHidden/>
          </w:rPr>
          <w:tab/>
        </w:r>
        <w:r>
          <w:rPr>
            <w:noProof/>
            <w:webHidden/>
          </w:rPr>
          <w:fldChar w:fldCharType="begin"/>
        </w:r>
        <w:r>
          <w:rPr>
            <w:noProof/>
            <w:webHidden/>
          </w:rPr>
          <w:instrText xml:space="preserve"> PAGEREF _Toc185254653 \h </w:instrText>
        </w:r>
        <w:r>
          <w:rPr>
            <w:noProof/>
            <w:webHidden/>
          </w:rPr>
        </w:r>
        <w:r>
          <w:rPr>
            <w:noProof/>
            <w:webHidden/>
          </w:rPr>
          <w:fldChar w:fldCharType="separate"/>
        </w:r>
        <w:r w:rsidR="00C426C6">
          <w:rPr>
            <w:noProof/>
            <w:webHidden/>
          </w:rPr>
          <w:t>152</w:t>
        </w:r>
        <w:r>
          <w:rPr>
            <w:noProof/>
            <w:webHidden/>
          </w:rPr>
          <w:fldChar w:fldCharType="end"/>
        </w:r>
      </w:hyperlink>
    </w:p>
    <w:p w14:paraId="3947C6B2" w14:textId="24CC6951"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54" w:history="1">
        <w:r w:rsidRPr="00966057">
          <w:rPr>
            <w:rStyle w:val="Hyperlink"/>
            <w:noProof/>
          </w:rPr>
          <w:t>D11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Arthritis/Osteoarthritis, magnesium</w:t>
        </w:r>
        <w:r>
          <w:rPr>
            <w:noProof/>
            <w:webHidden/>
          </w:rPr>
          <w:tab/>
        </w:r>
        <w:r>
          <w:rPr>
            <w:noProof/>
            <w:webHidden/>
          </w:rPr>
          <w:fldChar w:fldCharType="begin"/>
        </w:r>
        <w:r>
          <w:rPr>
            <w:noProof/>
            <w:webHidden/>
          </w:rPr>
          <w:instrText xml:space="preserve"> PAGEREF _Toc185254654 \h </w:instrText>
        </w:r>
        <w:r>
          <w:rPr>
            <w:noProof/>
            <w:webHidden/>
          </w:rPr>
        </w:r>
        <w:r>
          <w:rPr>
            <w:noProof/>
            <w:webHidden/>
          </w:rPr>
          <w:fldChar w:fldCharType="separate"/>
        </w:r>
        <w:r w:rsidR="00C426C6">
          <w:rPr>
            <w:noProof/>
            <w:webHidden/>
          </w:rPr>
          <w:t>155</w:t>
        </w:r>
        <w:r>
          <w:rPr>
            <w:noProof/>
            <w:webHidden/>
          </w:rPr>
          <w:fldChar w:fldCharType="end"/>
        </w:r>
      </w:hyperlink>
    </w:p>
    <w:p w14:paraId="119E7315" w14:textId="49B18AEF"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55" w:history="1">
        <w:r w:rsidRPr="00966057">
          <w:rPr>
            <w:rStyle w:val="Hyperlink"/>
            <w:noProof/>
          </w:rPr>
          <w:t>D12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Hypertension, omega-3 fatty acids</w:t>
        </w:r>
        <w:r>
          <w:rPr>
            <w:noProof/>
            <w:webHidden/>
          </w:rPr>
          <w:tab/>
        </w:r>
        <w:r>
          <w:rPr>
            <w:noProof/>
            <w:webHidden/>
          </w:rPr>
          <w:fldChar w:fldCharType="begin"/>
        </w:r>
        <w:r>
          <w:rPr>
            <w:noProof/>
            <w:webHidden/>
          </w:rPr>
          <w:instrText xml:space="preserve"> PAGEREF _Toc185254655 \h </w:instrText>
        </w:r>
        <w:r>
          <w:rPr>
            <w:noProof/>
            <w:webHidden/>
          </w:rPr>
        </w:r>
        <w:r>
          <w:rPr>
            <w:noProof/>
            <w:webHidden/>
          </w:rPr>
          <w:fldChar w:fldCharType="separate"/>
        </w:r>
        <w:r w:rsidR="00C426C6">
          <w:rPr>
            <w:noProof/>
            <w:webHidden/>
          </w:rPr>
          <w:t>155</w:t>
        </w:r>
        <w:r>
          <w:rPr>
            <w:noProof/>
            <w:webHidden/>
          </w:rPr>
          <w:fldChar w:fldCharType="end"/>
        </w:r>
      </w:hyperlink>
    </w:p>
    <w:p w14:paraId="06B1ACFF" w14:textId="18633DEF"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56" w:history="1">
        <w:r w:rsidRPr="00966057">
          <w:rPr>
            <w:rStyle w:val="Hyperlink"/>
            <w:noProof/>
          </w:rPr>
          <w:t>D13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Fibromyalgia, magnesium</w:t>
        </w:r>
        <w:r>
          <w:rPr>
            <w:noProof/>
            <w:webHidden/>
          </w:rPr>
          <w:tab/>
        </w:r>
        <w:r>
          <w:rPr>
            <w:noProof/>
            <w:webHidden/>
          </w:rPr>
          <w:fldChar w:fldCharType="begin"/>
        </w:r>
        <w:r>
          <w:rPr>
            <w:noProof/>
            <w:webHidden/>
          </w:rPr>
          <w:instrText xml:space="preserve"> PAGEREF _Toc185254656 \h </w:instrText>
        </w:r>
        <w:r>
          <w:rPr>
            <w:noProof/>
            <w:webHidden/>
          </w:rPr>
        </w:r>
        <w:r>
          <w:rPr>
            <w:noProof/>
            <w:webHidden/>
          </w:rPr>
          <w:fldChar w:fldCharType="separate"/>
        </w:r>
        <w:r w:rsidR="00C426C6">
          <w:rPr>
            <w:noProof/>
            <w:webHidden/>
          </w:rPr>
          <w:t>157</w:t>
        </w:r>
        <w:r>
          <w:rPr>
            <w:noProof/>
            <w:webHidden/>
          </w:rPr>
          <w:fldChar w:fldCharType="end"/>
        </w:r>
      </w:hyperlink>
    </w:p>
    <w:p w14:paraId="6946673C" w14:textId="202C87A4"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57" w:history="1">
        <w:r w:rsidRPr="00966057">
          <w:rPr>
            <w:rStyle w:val="Hyperlink"/>
            <w:noProof/>
          </w:rPr>
          <w:t>D14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Recurrent infection/s (including urinary tract infections, cystitis, respiratory tract infection, otitis media in children), zinc</w:t>
        </w:r>
        <w:r>
          <w:rPr>
            <w:noProof/>
            <w:webHidden/>
          </w:rPr>
          <w:tab/>
        </w:r>
        <w:r>
          <w:rPr>
            <w:noProof/>
            <w:webHidden/>
          </w:rPr>
          <w:fldChar w:fldCharType="begin"/>
        </w:r>
        <w:r>
          <w:rPr>
            <w:noProof/>
            <w:webHidden/>
          </w:rPr>
          <w:instrText xml:space="preserve"> PAGEREF _Toc185254657 \h </w:instrText>
        </w:r>
        <w:r>
          <w:rPr>
            <w:noProof/>
            <w:webHidden/>
          </w:rPr>
        </w:r>
        <w:r>
          <w:rPr>
            <w:noProof/>
            <w:webHidden/>
          </w:rPr>
          <w:fldChar w:fldCharType="separate"/>
        </w:r>
        <w:r w:rsidR="00C426C6">
          <w:rPr>
            <w:noProof/>
            <w:webHidden/>
          </w:rPr>
          <w:t>160</w:t>
        </w:r>
        <w:r>
          <w:rPr>
            <w:noProof/>
            <w:webHidden/>
          </w:rPr>
          <w:fldChar w:fldCharType="end"/>
        </w:r>
      </w:hyperlink>
    </w:p>
    <w:p w14:paraId="4CF35644" w14:textId="5F3FCCAA"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58" w:history="1">
        <w:r w:rsidRPr="00966057">
          <w:rPr>
            <w:rStyle w:val="Hyperlink"/>
            <w:noProof/>
          </w:rPr>
          <w:t>D15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Diabetes (Type lI) (including metabolic syndrome), antioxidants (specifically CoQ10 and alpha-lipoic acid)</w:t>
        </w:r>
        <w:r>
          <w:rPr>
            <w:noProof/>
            <w:webHidden/>
          </w:rPr>
          <w:tab/>
        </w:r>
        <w:r>
          <w:rPr>
            <w:noProof/>
            <w:webHidden/>
          </w:rPr>
          <w:fldChar w:fldCharType="begin"/>
        </w:r>
        <w:r>
          <w:rPr>
            <w:noProof/>
            <w:webHidden/>
          </w:rPr>
          <w:instrText xml:space="preserve"> PAGEREF _Toc185254658 \h </w:instrText>
        </w:r>
        <w:r>
          <w:rPr>
            <w:noProof/>
            <w:webHidden/>
          </w:rPr>
        </w:r>
        <w:r>
          <w:rPr>
            <w:noProof/>
            <w:webHidden/>
          </w:rPr>
          <w:fldChar w:fldCharType="separate"/>
        </w:r>
        <w:r w:rsidR="00C426C6">
          <w:rPr>
            <w:noProof/>
            <w:webHidden/>
          </w:rPr>
          <w:t>162</w:t>
        </w:r>
        <w:r>
          <w:rPr>
            <w:noProof/>
            <w:webHidden/>
          </w:rPr>
          <w:fldChar w:fldCharType="end"/>
        </w:r>
      </w:hyperlink>
    </w:p>
    <w:p w14:paraId="2E415701" w14:textId="4308E4BB" w:rsidR="00044C55" w:rsidRDefault="00044C55">
      <w:pPr>
        <w:pStyle w:val="TOC1"/>
        <w:tabs>
          <w:tab w:val="left" w:pos="1440"/>
        </w:tabs>
        <w:rPr>
          <w:rFonts w:asciiTheme="minorHAnsi" w:eastAsiaTheme="minorEastAsia" w:hAnsiTheme="minorHAnsi" w:cstheme="minorBidi"/>
          <w:noProof/>
          <w:color w:val="auto"/>
          <w:kern w:val="2"/>
          <w:sz w:val="24"/>
          <w:szCs w:val="24"/>
          <w:lang w:eastAsia="en-AU"/>
          <w14:ligatures w14:val="standardContextual"/>
        </w:rPr>
      </w:pPr>
      <w:hyperlink w:anchor="_Toc185254659" w:history="1">
        <w:r w:rsidRPr="00966057">
          <w:rPr>
            <w:rStyle w:val="Hyperlink"/>
            <w:b/>
            <w:noProof/>
          </w:rPr>
          <w:t>Appendix E</w:t>
        </w:r>
        <w:r>
          <w:rPr>
            <w:rFonts w:asciiTheme="minorHAnsi" w:eastAsiaTheme="minorEastAsia" w:hAnsiTheme="minorHAnsi" w:cstheme="minorBidi"/>
            <w:noProof/>
            <w:color w:val="auto"/>
            <w:kern w:val="2"/>
            <w:sz w:val="24"/>
            <w:szCs w:val="24"/>
            <w:lang w:eastAsia="en-AU"/>
            <w14:ligatures w14:val="standardContextual"/>
          </w:rPr>
          <w:tab/>
        </w:r>
        <w:r w:rsidRPr="00966057">
          <w:rPr>
            <w:rStyle w:val="Hyperlink"/>
            <w:b/>
            <w:noProof/>
          </w:rPr>
          <w:t>Results of included reviews.</w:t>
        </w:r>
        <w:r>
          <w:rPr>
            <w:noProof/>
            <w:webHidden/>
          </w:rPr>
          <w:tab/>
        </w:r>
        <w:r>
          <w:rPr>
            <w:noProof/>
            <w:webHidden/>
          </w:rPr>
          <w:fldChar w:fldCharType="begin"/>
        </w:r>
        <w:r>
          <w:rPr>
            <w:noProof/>
            <w:webHidden/>
          </w:rPr>
          <w:instrText xml:space="preserve"> PAGEREF _Toc185254659 \h </w:instrText>
        </w:r>
        <w:r>
          <w:rPr>
            <w:noProof/>
            <w:webHidden/>
          </w:rPr>
        </w:r>
        <w:r>
          <w:rPr>
            <w:noProof/>
            <w:webHidden/>
          </w:rPr>
          <w:fldChar w:fldCharType="separate"/>
        </w:r>
        <w:r w:rsidR="00C426C6">
          <w:rPr>
            <w:noProof/>
            <w:webHidden/>
          </w:rPr>
          <w:t>167</w:t>
        </w:r>
        <w:r>
          <w:rPr>
            <w:noProof/>
            <w:webHidden/>
          </w:rPr>
          <w:fldChar w:fldCharType="end"/>
        </w:r>
      </w:hyperlink>
    </w:p>
    <w:p w14:paraId="1BB39536" w14:textId="596F38F6"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0" w:history="1">
        <w:r w:rsidRPr="00966057">
          <w:rPr>
            <w:rStyle w:val="Hyperlink"/>
            <w:noProof/>
          </w:rPr>
          <w:t>E1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Anxiety (including post-natal), magnesium</w:t>
        </w:r>
        <w:r>
          <w:rPr>
            <w:noProof/>
            <w:webHidden/>
          </w:rPr>
          <w:tab/>
        </w:r>
        <w:r>
          <w:rPr>
            <w:noProof/>
            <w:webHidden/>
          </w:rPr>
          <w:fldChar w:fldCharType="begin"/>
        </w:r>
        <w:r>
          <w:rPr>
            <w:noProof/>
            <w:webHidden/>
          </w:rPr>
          <w:instrText xml:space="preserve"> PAGEREF _Toc185254660 \h </w:instrText>
        </w:r>
        <w:r>
          <w:rPr>
            <w:noProof/>
            <w:webHidden/>
          </w:rPr>
        </w:r>
        <w:r>
          <w:rPr>
            <w:noProof/>
            <w:webHidden/>
          </w:rPr>
          <w:fldChar w:fldCharType="separate"/>
        </w:r>
        <w:r w:rsidR="00C426C6">
          <w:rPr>
            <w:noProof/>
            <w:webHidden/>
          </w:rPr>
          <w:t>167</w:t>
        </w:r>
        <w:r>
          <w:rPr>
            <w:noProof/>
            <w:webHidden/>
          </w:rPr>
          <w:fldChar w:fldCharType="end"/>
        </w:r>
      </w:hyperlink>
    </w:p>
    <w:p w14:paraId="536FF5E8" w14:textId="7BD0A0B7"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1" w:history="1">
        <w:r w:rsidRPr="00966057">
          <w:rPr>
            <w:rStyle w:val="Hyperlink"/>
            <w:noProof/>
          </w:rPr>
          <w:t>E2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Stress (perceived, occupational), magnesium</w:t>
        </w:r>
        <w:r>
          <w:rPr>
            <w:noProof/>
            <w:webHidden/>
          </w:rPr>
          <w:tab/>
        </w:r>
        <w:r>
          <w:rPr>
            <w:noProof/>
            <w:webHidden/>
          </w:rPr>
          <w:fldChar w:fldCharType="begin"/>
        </w:r>
        <w:r>
          <w:rPr>
            <w:noProof/>
            <w:webHidden/>
          </w:rPr>
          <w:instrText xml:space="preserve"> PAGEREF _Toc185254661 \h </w:instrText>
        </w:r>
        <w:r>
          <w:rPr>
            <w:noProof/>
            <w:webHidden/>
          </w:rPr>
        </w:r>
        <w:r>
          <w:rPr>
            <w:noProof/>
            <w:webHidden/>
          </w:rPr>
          <w:fldChar w:fldCharType="separate"/>
        </w:r>
        <w:r w:rsidR="00C426C6">
          <w:rPr>
            <w:noProof/>
            <w:webHidden/>
          </w:rPr>
          <w:t>168</w:t>
        </w:r>
        <w:r>
          <w:rPr>
            <w:noProof/>
            <w:webHidden/>
          </w:rPr>
          <w:fldChar w:fldCharType="end"/>
        </w:r>
      </w:hyperlink>
    </w:p>
    <w:p w14:paraId="0939B574" w14:textId="122E50F8"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2" w:history="1">
        <w:r w:rsidRPr="00966057">
          <w:rPr>
            <w:rStyle w:val="Hyperlink"/>
            <w:noProof/>
          </w:rPr>
          <w:t>E3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Irritable bowel syndrome, probiotics</w:t>
        </w:r>
        <w:r>
          <w:rPr>
            <w:noProof/>
            <w:webHidden/>
          </w:rPr>
          <w:tab/>
        </w:r>
        <w:r>
          <w:rPr>
            <w:noProof/>
            <w:webHidden/>
          </w:rPr>
          <w:fldChar w:fldCharType="begin"/>
        </w:r>
        <w:r>
          <w:rPr>
            <w:noProof/>
            <w:webHidden/>
          </w:rPr>
          <w:instrText xml:space="preserve"> PAGEREF _Toc185254662 \h </w:instrText>
        </w:r>
        <w:r>
          <w:rPr>
            <w:noProof/>
            <w:webHidden/>
          </w:rPr>
        </w:r>
        <w:r>
          <w:rPr>
            <w:noProof/>
            <w:webHidden/>
          </w:rPr>
          <w:fldChar w:fldCharType="separate"/>
        </w:r>
        <w:r w:rsidR="00C426C6">
          <w:rPr>
            <w:noProof/>
            <w:webHidden/>
          </w:rPr>
          <w:t>168</w:t>
        </w:r>
        <w:r>
          <w:rPr>
            <w:noProof/>
            <w:webHidden/>
          </w:rPr>
          <w:fldChar w:fldCharType="end"/>
        </w:r>
      </w:hyperlink>
    </w:p>
    <w:p w14:paraId="05F2D366" w14:textId="09193B9F"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3" w:history="1">
        <w:r w:rsidRPr="00966057">
          <w:rPr>
            <w:rStyle w:val="Hyperlink"/>
            <w:noProof/>
          </w:rPr>
          <w:t>E4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Insomnia/sleeping disorders, magnesium</w:t>
        </w:r>
        <w:r>
          <w:rPr>
            <w:noProof/>
            <w:webHidden/>
          </w:rPr>
          <w:tab/>
        </w:r>
        <w:r>
          <w:rPr>
            <w:noProof/>
            <w:webHidden/>
          </w:rPr>
          <w:fldChar w:fldCharType="begin"/>
        </w:r>
        <w:r>
          <w:rPr>
            <w:noProof/>
            <w:webHidden/>
          </w:rPr>
          <w:instrText xml:space="preserve"> PAGEREF _Toc185254663 \h </w:instrText>
        </w:r>
        <w:r>
          <w:rPr>
            <w:noProof/>
            <w:webHidden/>
          </w:rPr>
        </w:r>
        <w:r>
          <w:rPr>
            <w:noProof/>
            <w:webHidden/>
          </w:rPr>
          <w:fldChar w:fldCharType="separate"/>
        </w:r>
        <w:r w:rsidR="00C426C6">
          <w:rPr>
            <w:noProof/>
            <w:webHidden/>
          </w:rPr>
          <w:t>198</w:t>
        </w:r>
        <w:r>
          <w:rPr>
            <w:noProof/>
            <w:webHidden/>
          </w:rPr>
          <w:fldChar w:fldCharType="end"/>
        </w:r>
      </w:hyperlink>
    </w:p>
    <w:p w14:paraId="4FA4A2A1" w14:textId="2EEB6683"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4" w:history="1">
        <w:r w:rsidRPr="00966057">
          <w:rPr>
            <w:rStyle w:val="Hyperlink"/>
            <w:noProof/>
          </w:rPr>
          <w:t>E5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Depression (including post-natal), omega-3 fatty acids</w:t>
        </w:r>
        <w:r>
          <w:rPr>
            <w:noProof/>
            <w:webHidden/>
          </w:rPr>
          <w:tab/>
        </w:r>
        <w:r>
          <w:rPr>
            <w:noProof/>
            <w:webHidden/>
          </w:rPr>
          <w:fldChar w:fldCharType="begin"/>
        </w:r>
        <w:r>
          <w:rPr>
            <w:noProof/>
            <w:webHidden/>
          </w:rPr>
          <w:instrText xml:space="preserve"> PAGEREF _Toc185254664 \h </w:instrText>
        </w:r>
        <w:r>
          <w:rPr>
            <w:noProof/>
            <w:webHidden/>
          </w:rPr>
        </w:r>
        <w:r>
          <w:rPr>
            <w:noProof/>
            <w:webHidden/>
          </w:rPr>
          <w:fldChar w:fldCharType="separate"/>
        </w:r>
        <w:r w:rsidR="00C426C6">
          <w:rPr>
            <w:noProof/>
            <w:webHidden/>
          </w:rPr>
          <w:t>203</w:t>
        </w:r>
        <w:r>
          <w:rPr>
            <w:noProof/>
            <w:webHidden/>
          </w:rPr>
          <w:fldChar w:fldCharType="end"/>
        </w:r>
      </w:hyperlink>
    </w:p>
    <w:p w14:paraId="79FFEBA0" w14:textId="02DCF7AE"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5" w:history="1">
        <w:r w:rsidRPr="00966057">
          <w:rPr>
            <w:rStyle w:val="Hyperlink"/>
            <w:noProof/>
          </w:rPr>
          <w:t>E6</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Dysmenorrhea, cruciferous indoles (indole-3-carbinol, di-indolylmethane)</w:t>
        </w:r>
        <w:r>
          <w:rPr>
            <w:noProof/>
            <w:webHidden/>
          </w:rPr>
          <w:tab/>
        </w:r>
        <w:r>
          <w:rPr>
            <w:noProof/>
            <w:webHidden/>
          </w:rPr>
          <w:fldChar w:fldCharType="begin"/>
        </w:r>
        <w:r>
          <w:rPr>
            <w:noProof/>
            <w:webHidden/>
          </w:rPr>
          <w:instrText xml:space="preserve"> PAGEREF _Toc185254665 \h </w:instrText>
        </w:r>
        <w:r>
          <w:rPr>
            <w:noProof/>
            <w:webHidden/>
          </w:rPr>
        </w:r>
        <w:r>
          <w:rPr>
            <w:noProof/>
            <w:webHidden/>
          </w:rPr>
          <w:fldChar w:fldCharType="separate"/>
        </w:r>
        <w:r w:rsidR="00C426C6">
          <w:rPr>
            <w:noProof/>
            <w:webHidden/>
          </w:rPr>
          <w:t>215</w:t>
        </w:r>
        <w:r>
          <w:rPr>
            <w:noProof/>
            <w:webHidden/>
          </w:rPr>
          <w:fldChar w:fldCharType="end"/>
        </w:r>
      </w:hyperlink>
    </w:p>
    <w:p w14:paraId="69FF63F7" w14:textId="657FA2D7"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6" w:history="1">
        <w:r w:rsidRPr="00966057">
          <w:rPr>
            <w:rStyle w:val="Hyperlink"/>
            <w:noProof/>
          </w:rPr>
          <w:t>E7</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Premenstrual syndrome (PMS), cruciferous indoles (indole-3-carbinol, di-indolylmethane)</w:t>
        </w:r>
        <w:r>
          <w:rPr>
            <w:noProof/>
            <w:webHidden/>
          </w:rPr>
          <w:tab/>
        </w:r>
        <w:r>
          <w:rPr>
            <w:noProof/>
            <w:webHidden/>
          </w:rPr>
          <w:fldChar w:fldCharType="begin"/>
        </w:r>
        <w:r>
          <w:rPr>
            <w:noProof/>
            <w:webHidden/>
          </w:rPr>
          <w:instrText xml:space="preserve"> PAGEREF _Toc185254666 \h </w:instrText>
        </w:r>
        <w:r>
          <w:rPr>
            <w:noProof/>
            <w:webHidden/>
          </w:rPr>
        </w:r>
        <w:r>
          <w:rPr>
            <w:noProof/>
            <w:webHidden/>
          </w:rPr>
          <w:fldChar w:fldCharType="separate"/>
        </w:r>
        <w:r w:rsidR="00C426C6">
          <w:rPr>
            <w:noProof/>
            <w:webHidden/>
          </w:rPr>
          <w:t>215</w:t>
        </w:r>
        <w:r>
          <w:rPr>
            <w:noProof/>
            <w:webHidden/>
          </w:rPr>
          <w:fldChar w:fldCharType="end"/>
        </w:r>
      </w:hyperlink>
    </w:p>
    <w:p w14:paraId="05AAEAE7" w14:textId="79923EC8"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7" w:history="1">
        <w:r w:rsidRPr="00966057">
          <w:rPr>
            <w:rStyle w:val="Hyperlink"/>
            <w:noProof/>
          </w:rPr>
          <w:t>E8</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Atopic disorders (including eczema, dermatitis, allergic rhinitis, allergies), zinc</w:t>
        </w:r>
        <w:r>
          <w:rPr>
            <w:noProof/>
            <w:webHidden/>
          </w:rPr>
          <w:tab/>
        </w:r>
        <w:r>
          <w:rPr>
            <w:noProof/>
            <w:webHidden/>
          </w:rPr>
          <w:fldChar w:fldCharType="begin"/>
        </w:r>
        <w:r>
          <w:rPr>
            <w:noProof/>
            <w:webHidden/>
          </w:rPr>
          <w:instrText xml:space="preserve"> PAGEREF _Toc185254667 \h </w:instrText>
        </w:r>
        <w:r>
          <w:rPr>
            <w:noProof/>
            <w:webHidden/>
          </w:rPr>
        </w:r>
        <w:r>
          <w:rPr>
            <w:noProof/>
            <w:webHidden/>
          </w:rPr>
          <w:fldChar w:fldCharType="separate"/>
        </w:r>
        <w:r w:rsidR="00C426C6">
          <w:rPr>
            <w:noProof/>
            <w:webHidden/>
          </w:rPr>
          <w:t>216</w:t>
        </w:r>
        <w:r>
          <w:rPr>
            <w:noProof/>
            <w:webHidden/>
          </w:rPr>
          <w:fldChar w:fldCharType="end"/>
        </w:r>
      </w:hyperlink>
    </w:p>
    <w:p w14:paraId="0902502D" w14:textId="09F2FB7F"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68" w:history="1">
        <w:r w:rsidRPr="00966057">
          <w:rPr>
            <w:rStyle w:val="Hyperlink"/>
            <w:noProof/>
          </w:rPr>
          <w:t>E9</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Fatigue (general) (including myalgic encephalomyelitis (ME) and Chronic Fatigue Syndrome (CFS)), antioxidants (specifically coq10 and alpha-lipoic acid)</w:t>
        </w:r>
        <w:r>
          <w:rPr>
            <w:noProof/>
            <w:webHidden/>
          </w:rPr>
          <w:tab/>
        </w:r>
        <w:r>
          <w:rPr>
            <w:noProof/>
            <w:webHidden/>
          </w:rPr>
          <w:fldChar w:fldCharType="begin"/>
        </w:r>
        <w:r>
          <w:rPr>
            <w:noProof/>
            <w:webHidden/>
          </w:rPr>
          <w:instrText xml:space="preserve"> PAGEREF _Toc185254668 \h </w:instrText>
        </w:r>
        <w:r>
          <w:rPr>
            <w:noProof/>
            <w:webHidden/>
          </w:rPr>
        </w:r>
        <w:r>
          <w:rPr>
            <w:noProof/>
            <w:webHidden/>
          </w:rPr>
          <w:fldChar w:fldCharType="separate"/>
        </w:r>
        <w:r w:rsidR="00C426C6">
          <w:rPr>
            <w:noProof/>
            <w:webHidden/>
          </w:rPr>
          <w:t>218</w:t>
        </w:r>
        <w:r>
          <w:rPr>
            <w:noProof/>
            <w:webHidden/>
          </w:rPr>
          <w:fldChar w:fldCharType="end"/>
        </w:r>
      </w:hyperlink>
    </w:p>
    <w:p w14:paraId="38CA80ED" w14:textId="25E4BF4B"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69" w:history="1">
        <w:r w:rsidRPr="00966057">
          <w:rPr>
            <w:rStyle w:val="Hyperlink"/>
            <w:noProof/>
          </w:rPr>
          <w:t>E10</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Headache and migraine, magnesium</w:t>
        </w:r>
        <w:r>
          <w:rPr>
            <w:noProof/>
            <w:webHidden/>
          </w:rPr>
          <w:tab/>
        </w:r>
        <w:r>
          <w:rPr>
            <w:noProof/>
            <w:webHidden/>
          </w:rPr>
          <w:fldChar w:fldCharType="begin"/>
        </w:r>
        <w:r>
          <w:rPr>
            <w:noProof/>
            <w:webHidden/>
          </w:rPr>
          <w:instrText xml:space="preserve"> PAGEREF _Toc185254669 \h </w:instrText>
        </w:r>
        <w:r>
          <w:rPr>
            <w:noProof/>
            <w:webHidden/>
          </w:rPr>
        </w:r>
        <w:r>
          <w:rPr>
            <w:noProof/>
            <w:webHidden/>
          </w:rPr>
          <w:fldChar w:fldCharType="separate"/>
        </w:r>
        <w:r w:rsidR="00C426C6">
          <w:rPr>
            <w:noProof/>
            <w:webHidden/>
          </w:rPr>
          <w:t>222</w:t>
        </w:r>
        <w:r>
          <w:rPr>
            <w:noProof/>
            <w:webHidden/>
          </w:rPr>
          <w:fldChar w:fldCharType="end"/>
        </w:r>
      </w:hyperlink>
    </w:p>
    <w:p w14:paraId="4BC0CEE0" w14:textId="2453E3A8"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70" w:history="1">
        <w:r w:rsidRPr="00966057">
          <w:rPr>
            <w:rStyle w:val="Hyperlink"/>
            <w:noProof/>
          </w:rPr>
          <w:t>E11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Arthritis/osteoarthritis, magnesium</w:t>
        </w:r>
        <w:r>
          <w:rPr>
            <w:noProof/>
            <w:webHidden/>
          </w:rPr>
          <w:tab/>
        </w:r>
        <w:r>
          <w:rPr>
            <w:noProof/>
            <w:webHidden/>
          </w:rPr>
          <w:fldChar w:fldCharType="begin"/>
        </w:r>
        <w:r>
          <w:rPr>
            <w:noProof/>
            <w:webHidden/>
          </w:rPr>
          <w:instrText xml:space="preserve"> PAGEREF _Toc185254670 \h </w:instrText>
        </w:r>
        <w:r>
          <w:rPr>
            <w:noProof/>
            <w:webHidden/>
          </w:rPr>
        </w:r>
        <w:r>
          <w:rPr>
            <w:noProof/>
            <w:webHidden/>
          </w:rPr>
          <w:fldChar w:fldCharType="separate"/>
        </w:r>
        <w:r w:rsidR="00C426C6">
          <w:rPr>
            <w:noProof/>
            <w:webHidden/>
          </w:rPr>
          <w:t>226</w:t>
        </w:r>
        <w:r>
          <w:rPr>
            <w:noProof/>
            <w:webHidden/>
          </w:rPr>
          <w:fldChar w:fldCharType="end"/>
        </w:r>
      </w:hyperlink>
    </w:p>
    <w:p w14:paraId="3ECD4BDB" w14:textId="6993DC84"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71" w:history="1">
        <w:r w:rsidRPr="00966057">
          <w:rPr>
            <w:rStyle w:val="Hyperlink"/>
            <w:noProof/>
          </w:rPr>
          <w:t>E12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Hypertension, omega-3 fatty acids</w:t>
        </w:r>
        <w:r>
          <w:rPr>
            <w:noProof/>
            <w:webHidden/>
          </w:rPr>
          <w:tab/>
        </w:r>
        <w:r>
          <w:rPr>
            <w:noProof/>
            <w:webHidden/>
          </w:rPr>
          <w:fldChar w:fldCharType="begin"/>
        </w:r>
        <w:r>
          <w:rPr>
            <w:noProof/>
            <w:webHidden/>
          </w:rPr>
          <w:instrText xml:space="preserve"> PAGEREF _Toc185254671 \h </w:instrText>
        </w:r>
        <w:r>
          <w:rPr>
            <w:noProof/>
            <w:webHidden/>
          </w:rPr>
        </w:r>
        <w:r>
          <w:rPr>
            <w:noProof/>
            <w:webHidden/>
          </w:rPr>
          <w:fldChar w:fldCharType="separate"/>
        </w:r>
        <w:r w:rsidR="00C426C6">
          <w:rPr>
            <w:noProof/>
            <w:webHidden/>
          </w:rPr>
          <w:t>227</w:t>
        </w:r>
        <w:r>
          <w:rPr>
            <w:noProof/>
            <w:webHidden/>
          </w:rPr>
          <w:fldChar w:fldCharType="end"/>
        </w:r>
      </w:hyperlink>
    </w:p>
    <w:p w14:paraId="64E3DA49" w14:textId="038312FD"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72" w:history="1">
        <w:r w:rsidRPr="00966057">
          <w:rPr>
            <w:rStyle w:val="Hyperlink"/>
            <w:noProof/>
          </w:rPr>
          <w:t>E13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Fibromyalgia, magnesium</w:t>
        </w:r>
        <w:r>
          <w:rPr>
            <w:noProof/>
            <w:webHidden/>
          </w:rPr>
          <w:tab/>
        </w:r>
        <w:r>
          <w:rPr>
            <w:noProof/>
            <w:webHidden/>
          </w:rPr>
          <w:fldChar w:fldCharType="begin"/>
        </w:r>
        <w:r>
          <w:rPr>
            <w:noProof/>
            <w:webHidden/>
          </w:rPr>
          <w:instrText xml:space="preserve"> PAGEREF _Toc185254672 \h </w:instrText>
        </w:r>
        <w:r>
          <w:rPr>
            <w:noProof/>
            <w:webHidden/>
          </w:rPr>
        </w:r>
        <w:r>
          <w:rPr>
            <w:noProof/>
            <w:webHidden/>
          </w:rPr>
          <w:fldChar w:fldCharType="separate"/>
        </w:r>
        <w:r w:rsidR="00C426C6">
          <w:rPr>
            <w:noProof/>
            <w:webHidden/>
          </w:rPr>
          <w:t>229</w:t>
        </w:r>
        <w:r>
          <w:rPr>
            <w:noProof/>
            <w:webHidden/>
          </w:rPr>
          <w:fldChar w:fldCharType="end"/>
        </w:r>
      </w:hyperlink>
    </w:p>
    <w:p w14:paraId="143A1889" w14:textId="7170701F"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73" w:history="1">
        <w:r w:rsidRPr="00966057">
          <w:rPr>
            <w:rStyle w:val="Hyperlink"/>
            <w:noProof/>
          </w:rPr>
          <w:t>E14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Recurrent infection/s (including urinary tract infections, cystitis, respiratory tract infection, otitis media in children), zinc</w:t>
        </w:r>
        <w:r>
          <w:rPr>
            <w:noProof/>
            <w:webHidden/>
          </w:rPr>
          <w:tab/>
        </w:r>
        <w:r>
          <w:rPr>
            <w:noProof/>
            <w:webHidden/>
          </w:rPr>
          <w:fldChar w:fldCharType="begin"/>
        </w:r>
        <w:r>
          <w:rPr>
            <w:noProof/>
            <w:webHidden/>
          </w:rPr>
          <w:instrText xml:space="preserve"> PAGEREF _Toc185254673 \h </w:instrText>
        </w:r>
        <w:r>
          <w:rPr>
            <w:noProof/>
            <w:webHidden/>
          </w:rPr>
        </w:r>
        <w:r>
          <w:rPr>
            <w:noProof/>
            <w:webHidden/>
          </w:rPr>
          <w:fldChar w:fldCharType="separate"/>
        </w:r>
        <w:r w:rsidR="00C426C6">
          <w:rPr>
            <w:noProof/>
            <w:webHidden/>
          </w:rPr>
          <w:t>233</w:t>
        </w:r>
        <w:r>
          <w:rPr>
            <w:noProof/>
            <w:webHidden/>
          </w:rPr>
          <w:fldChar w:fldCharType="end"/>
        </w:r>
      </w:hyperlink>
    </w:p>
    <w:p w14:paraId="13CBF678" w14:textId="3000EA61" w:rsidR="00044C55" w:rsidRDefault="00044C55">
      <w:pPr>
        <w:pStyle w:val="TOC2"/>
        <w:tabs>
          <w:tab w:val="left" w:pos="960"/>
        </w:tabs>
        <w:rPr>
          <w:rFonts w:asciiTheme="minorHAnsi" w:eastAsiaTheme="minorEastAsia" w:hAnsiTheme="minorHAnsi" w:cstheme="minorBidi"/>
          <w:noProof/>
          <w:kern w:val="2"/>
          <w:sz w:val="24"/>
          <w:szCs w:val="24"/>
          <w:lang w:eastAsia="en-AU"/>
          <w14:ligatures w14:val="standardContextual"/>
        </w:rPr>
      </w:pPr>
      <w:hyperlink w:anchor="_Toc185254674" w:history="1">
        <w:r w:rsidRPr="00966057">
          <w:rPr>
            <w:rStyle w:val="Hyperlink"/>
            <w:noProof/>
          </w:rPr>
          <w:t>E15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Diabetes (Type II) (including metabolic syndrome), antioxidants (specifically coq10 and alpha-lipoic acid)</w:t>
        </w:r>
        <w:r>
          <w:rPr>
            <w:noProof/>
            <w:webHidden/>
          </w:rPr>
          <w:tab/>
        </w:r>
        <w:r>
          <w:rPr>
            <w:noProof/>
            <w:webHidden/>
          </w:rPr>
          <w:fldChar w:fldCharType="begin"/>
        </w:r>
        <w:r>
          <w:rPr>
            <w:noProof/>
            <w:webHidden/>
          </w:rPr>
          <w:instrText xml:space="preserve"> PAGEREF _Toc185254674 \h </w:instrText>
        </w:r>
        <w:r>
          <w:rPr>
            <w:noProof/>
            <w:webHidden/>
          </w:rPr>
        </w:r>
        <w:r>
          <w:rPr>
            <w:noProof/>
            <w:webHidden/>
          </w:rPr>
          <w:fldChar w:fldCharType="separate"/>
        </w:r>
        <w:r w:rsidR="00C426C6">
          <w:rPr>
            <w:noProof/>
            <w:webHidden/>
          </w:rPr>
          <w:t>235</w:t>
        </w:r>
        <w:r>
          <w:rPr>
            <w:noProof/>
            <w:webHidden/>
          </w:rPr>
          <w:fldChar w:fldCharType="end"/>
        </w:r>
      </w:hyperlink>
    </w:p>
    <w:p w14:paraId="12BB2400" w14:textId="76B5FE61" w:rsidR="00044C55" w:rsidRDefault="00044C55">
      <w:pPr>
        <w:pStyle w:val="TOC1"/>
        <w:tabs>
          <w:tab w:val="left" w:pos="1440"/>
        </w:tabs>
        <w:rPr>
          <w:rFonts w:asciiTheme="minorHAnsi" w:eastAsiaTheme="minorEastAsia" w:hAnsiTheme="minorHAnsi" w:cstheme="minorBidi"/>
          <w:noProof/>
          <w:color w:val="auto"/>
          <w:kern w:val="2"/>
          <w:sz w:val="24"/>
          <w:szCs w:val="24"/>
          <w:lang w:eastAsia="en-AU"/>
          <w14:ligatures w14:val="standardContextual"/>
        </w:rPr>
      </w:pPr>
      <w:hyperlink w:anchor="_Toc185254675" w:history="1">
        <w:r w:rsidRPr="00966057">
          <w:rPr>
            <w:rStyle w:val="Hyperlink"/>
            <w:b/>
            <w:noProof/>
          </w:rPr>
          <w:t>Appendix F</w:t>
        </w:r>
        <w:r>
          <w:rPr>
            <w:rFonts w:asciiTheme="minorHAnsi" w:eastAsiaTheme="minorEastAsia" w:hAnsiTheme="minorHAnsi" w:cstheme="minorBidi"/>
            <w:noProof/>
            <w:color w:val="auto"/>
            <w:kern w:val="2"/>
            <w:sz w:val="24"/>
            <w:szCs w:val="24"/>
            <w:lang w:eastAsia="en-AU"/>
            <w14:ligatures w14:val="standardContextual"/>
          </w:rPr>
          <w:tab/>
        </w:r>
        <w:r w:rsidRPr="00966057">
          <w:rPr>
            <w:rStyle w:val="Hyperlink"/>
            <w:b/>
            <w:noProof/>
          </w:rPr>
          <w:t>ROBIS assessments</w:t>
        </w:r>
        <w:r>
          <w:rPr>
            <w:noProof/>
            <w:webHidden/>
          </w:rPr>
          <w:tab/>
        </w:r>
        <w:r>
          <w:rPr>
            <w:noProof/>
            <w:webHidden/>
          </w:rPr>
          <w:fldChar w:fldCharType="begin"/>
        </w:r>
        <w:r>
          <w:rPr>
            <w:noProof/>
            <w:webHidden/>
          </w:rPr>
          <w:instrText xml:space="preserve"> PAGEREF _Toc185254675 \h </w:instrText>
        </w:r>
        <w:r>
          <w:rPr>
            <w:noProof/>
            <w:webHidden/>
          </w:rPr>
        </w:r>
        <w:r>
          <w:rPr>
            <w:noProof/>
            <w:webHidden/>
          </w:rPr>
          <w:fldChar w:fldCharType="separate"/>
        </w:r>
        <w:r w:rsidR="00C426C6">
          <w:rPr>
            <w:noProof/>
            <w:webHidden/>
          </w:rPr>
          <w:t>243</w:t>
        </w:r>
        <w:r>
          <w:rPr>
            <w:noProof/>
            <w:webHidden/>
          </w:rPr>
          <w:fldChar w:fldCharType="end"/>
        </w:r>
      </w:hyperlink>
    </w:p>
    <w:p w14:paraId="3060D5A3" w14:textId="1AAA48AF" w:rsidR="00044C55" w:rsidRDefault="00044C55">
      <w:pPr>
        <w:pStyle w:val="TOC1"/>
        <w:tabs>
          <w:tab w:val="left" w:pos="1440"/>
        </w:tabs>
        <w:rPr>
          <w:rFonts w:asciiTheme="minorHAnsi" w:eastAsiaTheme="minorEastAsia" w:hAnsiTheme="minorHAnsi" w:cstheme="minorBidi"/>
          <w:noProof/>
          <w:color w:val="auto"/>
          <w:kern w:val="2"/>
          <w:sz w:val="24"/>
          <w:szCs w:val="24"/>
          <w:lang w:eastAsia="en-AU"/>
          <w14:ligatures w14:val="standardContextual"/>
        </w:rPr>
      </w:pPr>
      <w:hyperlink w:anchor="_Toc185254676" w:history="1">
        <w:r w:rsidRPr="00966057">
          <w:rPr>
            <w:rStyle w:val="Hyperlink"/>
            <w:b/>
            <w:noProof/>
          </w:rPr>
          <w:t>Appendix G</w:t>
        </w:r>
        <w:r>
          <w:rPr>
            <w:rFonts w:asciiTheme="minorHAnsi" w:eastAsiaTheme="minorEastAsia" w:hAnsiTheme="minorHAnsi" w:cstheme="minorBidi"/>
            <w:noProof/>
            <w:color w:val="auto"/>
            <w:kern w:val="2"/>
            <w:sz w:val="24"/>
            <w:szCs w:val="24"/>
            <w:lang w:eastAsia="en-AU"/>
            <w14:ligatures w14:val="standardContextual"/>
          </w:rPr>
          <w:tab/>
        </w:r>
        <w:r w:rsidRPr="00966057">
          <w:rPr>
            <w:rStyle w:val="Hyperlink"/>
            <w:b/>
            <w:noProof/>
          </w:rPr>
          <w:t>Differences between protocol and overview</w:t>
        </w:r>
        <w:r>
          <w:rPr>
            <w:noProof/>
            <w:webHidden/>
          </w:rPr>
          <w:tab/>
        </w:r>
        <w:r>
          <w:rPr>
            <w:noProof/>
            <w:webHidden/>
          </w:rPr>
          <w:fldChar w:fldCharType="begin"/>
        </w:r>
        <w:r>
          <w:rPr>
            <w:noProof/>
            <w:webHidden/>
          </w:rPr>
          <w:instrText xml:space="preserve"> PAGEREF _Toc185254676 \h </w:instrText>
        </w:r>
        <w:r>
          <w:rPr>
            <w:noProof/>
            <w:webHidden/>
          </w:rPr>
        </w:r>
        <w:r>
          <w:rPr>
            <w:noProof/>
            <w:webHidden/>
          </w:rPr>
          <w:fldChar w:fldCharType="separate"/>
        </w:r>
        <w:r w:rsidR="00C426C6">
          <w:rPr>
            <w:noProof/>
            <w:webHidden/>
          </w:rPr>
          <w:t>265</w:t>
        </w:r>
        <w:r>
          <w:rPr>
            <w:noProof/>
            <w:webHidden/>
          </w:rPr>
          <w:fldChar w:fldCharType="end"/>
        </w:r>
      </w:hyperlink>
    </w:p>
    <w:p w14:paraId="0DF0AC8E" w14:textId="228853DD"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77" w:history="1">
        <w:r w:rsidRPr="00966057">
          <w:rPr>
            <w:rStyle w:val="Hyperlink"/>
            <w:noProof/>
          </w:rPr>
          <w:t>G1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Methods not implemented</w:t>
        </w:r>
        <w:r>
          <w:rPr>
            <w:noProof/>
            <w:webHidden/>
          </w:rPr>
          <w:tab/>
        </w:r>
        <w:r>
          <w:rPr>
            <w:noProof/>
            <w:webHidden/>
          </w:rPr>
          <w:fldChar w:fldCharType="begin"/>
        </w:r>
        <w:r>
          <w:rPr>
            <w:noProof/>
            <w:webHidden/>
          </w:rPr>
          <w:instrText xml:space="preserve"> PAGEREF _Toc185254677 \h </w:instrText>
        </w:r>
        <w:r>
          <w:rPr>
            <w:noProof/>
            <w:webHidden/>
          </w:rPr>
        </w:r>
        <w:r>
          <w:rPr>
            <w:noProof/>
            <w:webHidden/>
          </w:rPr>
          <w:fldChar w:fldCharType="separate"/>
        </w:r>
        <w:r w:rsidR="00C426C6">
          <w:rPr>
            <w:noProof/>
            <w:webHidden/>
          </w:rPr>
          <w:t>265</w:t>
        </w:r>
        <w:r>
          <w:rPr>
            <w:noProof/>
            <w:webHidden/>
          </w:rPr>
          <w:fldChar w:fldCharType="end"/>
        </w:r>
      </w:hyperlink>
    </w:p>
    <w:p w14:paraId="65186AFF" w14:textId="7C01CA83"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78" w:history="1">
        <w:r w:rsidRPr="00966057">
          <w:rPr>
            <w:rStyle w:val="Hyperlink"/>
            <w:noProof/>
          </w:rPr>
          <w:t>G1.1</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Types of reviews</w:t>
        </w:r>
        <w:r>
          <w:rPr>
            <w:noProof/>
            <w:webHidden/>
          </w:rPr>
          <w:tab/>
        </w:r>
        <w:r>
          <w:rPr>
            <w:noProof/>
            <w:webHidden/>
          </w:rPr>
          <w:fldChar w:fldCharType="begin"/>
        </w:r>
        <w:r>
          <w:rPr>
            <w:noProof/>
            <w:webHidden/>
          </w:rPr>
          <w:instrText xml:space="preserve"> PAGEREF _Toc185254678 \h </w:instrText>
        </w:r>
        <w:r>
          <w:rPr>
            <w:noProof/>
            <w:webHidden/>
          </w:rPr>
        </w:r>
        <w:r>
          <w:rPr>
            <w:noProof/>
            <w:webHidden/>
          </w:rPr>
          <w:fldChar w:fldCharType="separate"/>
        </w:r>
        <w:r w:rsidR="00C426C6">
          <w:rPr>
            <w:noProof/>
            <w:webHidden/>
          </w:rPr>
          <w:t>265</w:t>
        </w:r>
        <w:r>
          <w:rPr>
            <w:noProof/>
            <w:webHidden/>
          </w:rPr>
          <w:fldChar w:fldCharType="end"/>
        </w:r>
      </w:hyperlink>
    </w:p>
    <w:p w14:paraId="74CDA74E" w14:textId="3070175C"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79" w:history="1">
        <w:r w:rsidRPr="00966057">
          <w:rPr>
            <w:rStyle w:val="Hyperlink"/>
            <w:noProof/>
          </w:rPr>
          <w:t>G1.2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Types of participants, interventions comparators and outcomes</w:t>
        </w:r>
        <w:r>
          <w:rPr>
            <w:noProof/>
            <w:webHidden/>
          </w:rPr>
          <w:tab/>
        </w:r>
        <w:r>
          <w:rPr>
            <w:noProof/>
            <w:webHidden/>
          </w:rPr>
          <w:fldChar w:fldCharType="begin"/>
        </w:r>
        <w:r>
          <w:rPr>
            <w:noProof/>
            <w:webHidden/>
          </w:rPr>
          <w:instrText xml:space="preserve"> PAGEREF _Toc185254679 \h </w:instrText>
        </w:r>
        <w:r>
          <w:rPr>
            <w:noProof/>
            <w:webHidden/>
          </w:rPr>
        </w:r>
        <w:r>
          <w:rPr>
            <w:noProof/>
            <w:webHidden/>
          </w:rPr>
          <w:fldChar w:fldCharType="separate"/>
        </w:r>
        <w:r w:rsidR="00C426C6">
          <w:rPr>
            <w:noProof/>
            <w:webHidden/>
          </w:rPr>
          <w:t>265</w:t>
        </w:r>
        <w:r>
          <w:rPr>
            <w:noProof/>
            <w:webHidden/>
          </w:rPr>
          <w:fldChar w:fldCharType="end"/>
        </w:r>
      </w:hyperlink>
    </w:p>
    <w:p w14:paraId="1098400B" w14:textId="55A353AC"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80" w:history="1">
        <w:r w:rsidRPr="00966057">
          <w:rPr>
            <w:rStyle w:val="Hyperlink"/>
            <w:noProof/>
          </w:rPr>
          <w:t>G1.3</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Review selection</w:t>
        </w:r>
        <w:r>
          <w:rPr>
            <w:noProof/>
            <w:webHidden/>
          </w:rPr>
          <w:tab/>
        </w:r>
        <w:r>
          <w:rPr>
            <w:noProof/>
            <w:webHidden/>
          </w:rPr>
          <w:fldChar w:fldCharType="begin"/>
        </w:r>
        <w:r>
          <w:rPr>
            <w:noProof/>
            <w:webHidden/>
          </w:rPr>
          <w:instrText xml:space="preserve"> PAGEREF _Toc185254680 \h </w:instrText>
        </w:r>
        <w:r>
          <w:rPr>
            <w:noProof/>
            <w:webHidden/>
          </w:rPr>
        </w:r>
        <w:r>
          <w:rPr>
            <w:noProof/>
            <w:webHidden/>
          </w:rPr>
          <w:fldChar w:fldCharType="separate"/>
        </w:r>
        <w:r w:rsidR="00C426C6">
          <w:rPr>
            <w:noProof/>
            <w:webHidden/>
          </w:rPr>
          <w:t>265</w:t>
        </w:r>
        <w:r>
          <w:rPr>
            <w:noProof/>
            <w:webHidden/>
          </w:rPr>
          <w:fldChar w:fldCharType="end"/>
        </w:r>
      </w:hyperlink>
    </w:p>
    <w:p w14:paraId="3BDD9E45" w14:textId="73C33D0B"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81" w:history="1">
        <w:r w:rsidRPr="00966057">
          <w:rPr>
            <w:rStyle w:val="Hyperlink"/>
            <w:noProof/>
          </w:rPr>
          <w:t>G1.4</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Data collection</w:t>
        </w:r>
        <w:r>
          <w:rPr>
            <w:noProof/>
            <w:webHidden/>
          </w:rPr>
          <w:tab/>
        </w:r>
        <w:r>
          <w:rPr>
            <w:noProof/>
            <w:webHidden/>
          </w:rPr>
          <w:fldChar w:fldCharType="begin"/>
        </w:r>
        <w:r>
          <w:rPr>
            <w:noProof/>
            <w:webHidden/>
          </w:rPr>
          <w:instrText xml:space="preserve"> PAGEREF _Toc185254681 \h </w:instrText>
        </w:r>
        <w:r>
          <w:rPr>
            <w:noProof/>
            <w:webHidden/>
          </w:rPr>
        </w:r>
        <w:r>
          <w:rPr>
            <w:noProof/>
            <w:webHidden/>
          </w:rPr>
          <w:fldChar w:fldCharType="separate"/>
        </w:r>
        <w:r w:rsidR="00C426C6">
          <w:rPr>
            <w:noProof/>
            <w:webHidden/>
          </w:rPr>
          <w:t>266</w:t>
        </w:r>
        <w:r>
          <w:rPr>
            <w:noProof/>
            <w:webHidden/>
          </w:rPr>
          <w:fldChar w:fldCharType="end"/>
        </w:r>
      </w:hyperlink>
    </w:p>
    <w:p w14:paraId="400D805A" w14:textId="26B23109"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82" w:history="1">
        <w:r w:rsidRPr="00966057">
          <w:rPr>
            <w:rStyle w:val="Hyperlink"/>
            <w:noProof/>
          </w:rPr>
          <w:t>G1.5</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Data analysis and synthesis</w:t>
        </w:r>
        <w:r>
          <w:rPr>
            <w:noProof/>
            <w:webHidden/>
          </w:rPr>
          <w:tab/>
        </w:r>
        <w:r>
          <w:rPr>
            <w:noProof/>
            <w:webHidden/>
          </w:rPr>
          <w:fldChar w:fldCharType="begin"/>
        </w:r>
        <w:r>
          <w:rPr>
            <w:noProof/>
            <w:webHidden/>
          </w:rPr>
          <w:instrText xml:space="preserve"> PAGEREF _Toc185254682 \h </w:instrText>
        </w:r>
        <w:r>
          <w:rPr>
            <w:noProof/>
            <w:webHidden/>
          </w:rPr>
        </w:r>
        <w:r>
          <w:rPr>
            <w:noProof/>
            <w:webHidden/>
          </w:rPr>
          <w:fldChar w:fldCharType="separate"/>
        </w:r>
        <w:r w:rsidR="00C426C6">
          <w:rPr>
            <w:noProof/>
            <w:webHidden/>
          </w:rPr>
          <w:t>266</w:t>
        </w:r>
        <w:r>
          <w:rPr>
            <w:noProof/>
            <w:webHidden/>
          </w:rPr>
          <w:fldChar w:fldCharType="end"/>
        </w:r>
      </w:hyperlink>
    </w:p>
    <w:p w14:paraId="6101DAE1" w14:textId="07AABD53" w:rsidR="00044C55" w:rsidRDefault="00044C55">
      <w:pPr>
        <w:pStyle w:val="TOC3"/>
        <w:tabs>
          <w:tab w:val="left" w:pos="1200"/>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83" w:history="1">
        <w:r w:rsidRPr="00966057">
          <w:rPr>
            <w:rStyle w:val="Hyperlink"/>
            <w:noProof/>
          </w:rPr>
          <w:t>G1.6</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Risk of bias assessment</w:t>
        </w:r>
        <w:r>
          <w:rPr>
            <w:noProof/>
            <w:webHidden/>
          </w:rPr>
          <w:tab/>
        </w:r>
        <w:r>
          <w:rPr>
            <w:noProof/>
            <w:webHidden/>
          </w:rPr>
          <w:fldChar w:fldCharType="begin"/>
        </w:r>
        <w:r>
          <w:rPr>
            <w:noProof/>
            <w:webHidden/>
          </w:rPr>
          <w:instrText xml:space="preserve"> PAGEREF _Toc185254683 \h </w:instrText>
        </w:r>
        <w:r>
          <w:rPr>
            <w:noProof/>
            <w:webHidden/>
          </w:rPr>
        </w:r>
        <w:r>
          <w:rPr>
            <w:noProof/>
            <w:webHidden/>
          </w:rPr>
          <w:fldChar w:fldCharType="separate"/>
        </w:r>
        <w:r w:rsidR="00C426C6">
          <w:rPr>
            <w:noProof/>
            <w:webHidden/>
          </w:rPr>
          <w:t>266</w:t>
        </w:r>
        <w:r>
          <w:rPr>
            <w:noProof/>
            <w:webHidden/>
          </w:rPr>
          <w:fldChar w:fldCharType="end"/>
        </w:r>
      </w:hyperlink>
    </w:p>
    <w:p w14:paraId="1F36CFF1" w14:textId="44ED6434" w:rsidR="00044C55" w:rsidRDefault="00044C55">
      <w:pPr>
        <w:pStyle w:val="TOC2"/>
        <w:tabs>
          <w:tab w:val="left" w:pos="720"/>
        </w:tabs>
        <w:rPr>
          <w:rFonts w:asciiTheme="minorHAnsi" w:eastAsiaTheme="minorEastAsia" w:hAnsiTheme="minorHAnsi" w:cstheme="minorBidi"/>
          <w:noProof/>
          <w:kern w:val="2"/>
          <w:sz w:val="24"/>
          <w:szCs w:val="24"/>
          <w:lang w:eastAsia="en-AU"/>
          <w14:ligatures w14:val="standardContextual"/>
        </w:rPr>
      </w:pPr>
      <w:hyperlink w:anchor="_Toc185254684" w:history="1">
        <w:r w:rsidRPr="00966057">
          <w:rPr>
            <w:rStyle w:val="Hyperlink"/>
            <w:noProof/>
          </w:rPr>
          <w:t>G2</w:t>
        </w:r>
        <w:r>
          <w:rPr>
            <w:rFonts w:asciiTheme="minorHAnsi" w:eastAsiaTheme="minorEastAsia" w:hAnsiTheme="minorHAnsi" w:cstheme="minorBidi"/>
            <w:noProof/>
            <w:kern w:val="2"/>
            <w:sz w:val="24"/>
            <w:szCs w:val="24"/>
            <w:lang w:eastAsia="en-AU"/>
            <w14:ligatures w14:val="standardContextual"/>
          </w:rPr>
          <w:tab/>
        </w:r>
        <w:r w:rsidRPr="00966057">
          <w:rPr>
            <w:rStyle w:val="Hyperlink"/>
            <w:noProof/>
          </w:rPr>
          <w:t>Clarifications from protocol</w:t>
        </w:r>
        <w:r>
          <w:rPr>
            <w:noProof/>
            <w:webHidden/>
          </w:rPr>
          <w:tab/>
        </w:r>
        <w:r>
          <w:rPr>
            <w:noProof/>
            <w:webHidden/>
          </w:rPr>
          <w:fldChar w:fldCharType="begin"/>
        </w:r>
        <w:r>
          <w:rPr>
            <w:noProof/>
            <w:webHidden/>
          </w:rPr>
          <w:instrText xml:space="preserve"> PAGEREF _Toc185254684 \h </w:instrText>
        </w:r>
        <w:r>
          <w:rPr>
            <w:noProof/>
            <w:webHidden/>
          </w:rPr>
        </w:r>
        <w:r>
          <w:rPr>
            <w:noProof/>
            <w:webHidden/>
          </w:rPr>
          <w:fldChar w:fldCharType="separate"/>
        </w:r>
        <w:r w:rsidR="00C426C6">
          <w:rPr>
            <w:noProof/>
            <w:webHidden/>
          </w:rPr>
          <w:t>267</w:t>
        </w:r>
        <w:r>
          <w:rPr>
            <w:noProof/>
            <w:webHidden/>
          </w:rPr>
          <w:fldChar w:fldCharType="end"/>
        </w:r>
      </w:hyperlink>
    </w:p>
    <w:p w14:paraId="14D4211A" w14:textId="7D97225B" w:rsidR="00044C55" w:rsidRDefault="00044C55">
      <w:pPr>
        <w:pStyle w:val="TOC1"/>
        <w:tabs>
          <w:tab w:val="left" w:pos="1440"/>
        </w:tabs>
        <w:rPr>
          <w:rFonts w:asciiTheme="minorHAnsi" w:eastAsiaTheme="minorEastAsia" w:hAnsiTheme="minorHAnsi" w:cstheme="minorBidi"/>
          <w:noProof/>
          <w:color w:val="auto"/>
          <w:kern w:val="2"/>
          <w:sz w:val="24"/>
          <w:szCs w:val="24"/>
          <w:lang w:eastAsia="en-AU"/>
          <w14:ligatures w14:val="standardContextual"/>
        </w:rPr>
      </w:pPr>
      <w:hyperlink w:anchor="_Toc185254685" w:history="1">
        <w:r w:rsidRPr="00966057">
          <w:rPr>
            <w:rStyle w:val="Hyperlink"/>
            <w:b/>
            <w:noProof/>
          </w:rPr>
          <w:t>Appendix H</w:t>
        </w:r>
        <w:r>
          <w:rPr>
            <w:rFonts w:asciiTheme="minorHAnsi" w:eastAsiaTheme="minorEastAsia" w:hAnsiTheme="minorHAnsi" w:cstheme="minorBidi"/>
            <w:noProof/>
            <w:color w:val="auto"/>
            <w:kern w:val="2"/>
            <w:sz w:val="24"/>
            <w:szCs w:val="24"/>
            <w:lang w:eastAsia="en-AU"/>
            <w14:ligatures w14:val="standardContextual"/>
          </w:rPr>
          <w:tab/>
        </w:r>
        <w:r w:rsidRPr="00966057">
          <w:rPr>
            <w:rStyle w:val="Hyperlink"/>
            <w:b/>
            <w:noProof/>
          </w:rPr>
          <w:t>How comments from methodological review were addressed</w:t>
        </w:r>
        <w:r>
          <w:rPr>
            <w:noProof/>
            <w:webHidden/>
          </w:rPr>
          <w:tab/>
        </w:r>
        <w:r>
          <w:rPr>
            <w:noProof/>
            <w:webHidden/>
          </w:rPr>
          <w:fldChar w:fldCharType="begin"/>
        </w:r>
        <w:r>
          <w:rPr>
            <w:noProof/>
            <w:webHidden/>
          </w:rPr>
          <w:instrText xml:space="preserve"> PAGEREF _Toc185254685 \h </w:instrText>
        </w:r>
        <w:r>
          <w:rPr>
            <w:noProof/>
            <w:webHidden/>
          </w:rPr>
        </w:r>
        <w:r>
          <w:rPr>
            <w:noProof/>
            <w:webHidden/>
          </w:rPr>
          <w:fldChar w:fldCharType="separate"/>
        </w:r>
        <w:r w:rsidR="00C426C6">
          <w:rPr>
            <w:noProof/>
            <w:webHidden/>
          </w:rPr>
          <w:t>268</w:t>
        </w:r>
        <w:r>
          <w:rPr>
            <w:noProof/>
            <w:webHidden/>
          </w:rPr>
          <w:fldChar w:fldCharType="end"/>
        </w:r>
      </w:hyperlink>
    </w:p>
    <w:p w14:paraId="2906A00A" w14:textId="7338C1D9" w:rsidR="00044C55" w:rsidRDefault="00044C55">
      <w:pPr>
        <w:pStyle w:val="TOC1"/>
        <w:rPr>
          <w:rFonts w:asciiTheme="minorHAnsi" w:eastAsiaTheme="minorEastAsia" w:hAnsiTheme="minorHAnsi" w:cstheme="minorBidi"/>
          <w:noProof/>
          <w:color w:val="auto"/>
          <w:kern w:val="2"/>
          <w:sz w:val="24"/>
          <w:szCs w:val="24"/>
          <w:lang w:eastAsia="en-AU"/>
          <w14:ligatures w14:val="standardContextual"/>
        </w:rPr>
      </w:pPr>
      <w:hyperlink w:anchor="_Toc185254686" w:history="1">
        <w:r w:rsidRPr="00966057">
          <w:rPr>
            <w:rStyle w:val="Hyperlink"/>
            <w:b/>
            <w:bCs/>
            <w:noProof/>
            <w:w w:val="105"/>
          </w:rPr>
          <w:t>References</w:t>
        </w:r>
        <w:r>
          <w:rPr>
            <w:noProof/>
            <w:webHidden/>
          </w:rPr>
          <w:tab/>
        </w:r>
        <w:r>
          <w:rPr>
            <w:noProof/>
            <w:webHidden/>
          </w:rPr>
          <w:fldChar w:fldCharType="begin"/>
        </w:r>
        <w:r>
          <w:rPr>
            <w:noProof/>
            <w:webHidden/>
          </w:rPr>
          <w:instrText xml:space="preserve"> PAGEREF _Toc185254686 \h </w:instrText>
        </w:r>
        <w:r>
          <w:rPr>
            <w:noProof/>
            <w:webHidden/>
          </w:rPr>
        </w:r>
        <w:r>
          <w:rPr>
            <w:noProof/>
            <w:webHidden/>
          </w:rPr>
          <w:fldChar w:fldCharType="separate"/>
        </w:r>
        <w:r w:rsidR="00C426C6">
          <w:rPr>
            <w:noProof/>
            <w:webHidden/>
          </w:rPr>
          <w:t>269</w:t>
        </w:r>
        <w:r>
          <w:rPr>
            <w:noProof/>
            <w:webHidden/>
          </w:rPr>
          <w:fldChar w:fldCharType="end"/>
        </w:r>
      </w:hyperlink>
    </w:p>
    <w:p w14:paraId="7D2CD331" w14:textId="7E365EF2" w:rsidR="00B84414" w:rsidRDefault="00B84414" w:rsidP="00531D31">
      <w:pPr>
        <w:spacing w:after="120"/>
      </w:pPr>
      <w:r>
        <w:fldChar w:fldCharType="end"/>
      </w:r>
    </w:p>
    <w:p w14:paraId="255F3766" w14:textId="77777777" w:rsidR="00C31AA0" w:rsidRDefault="00C31AA0">
      <w:r>
        <w:br w:type="page"/>
      </w:r>
    </w:p>
    <w:p w14:paraId="547C5E42" w14:textId="77777777" w:rsidR="00DC4767" w:rsidRPr="00100DD4" w:rsidRDefault="00CE159F" w:rsidP="00531D31">
      <w:pPr>
        <w:spacing w:after="120"/>
        <w:rPr>
          <w:rFonts w:ascii="Aptos" w:hAnsi="Aptos"/>
          <w:b/>
          <w:bCs/>
          <w:color w:val="C00000"/>
          <w:sz w:val="28"/>
          <w:szCs w:val="28"/>
        </w:rPr>
      </w:pPr>
      <w:r w:rsidRPr="00100DD4">
        <w:rPr>
          <w:rFonts w:ascii="Aptos" w:hAnsi="Aptos"/>
          <w:b/>
          <w:bCs/>
          <w:color w:val="C00000"/>
          <w:sz w:val="28"/>
          <w:szCs w:val="28"/>
        </w:rPr>
        <w:lastRenderedPageBreak/>
        <w:t>Table of Tables</w:t>
      </w:r>
    </w:p>
    <w:p w14:paraId="0158A95F" w14:textId="6C4B71BF" w:rsidR="00044C55" w:rsidRDefault="00DC4767">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r>
        <w:rPr>
          <w:b/>
          <w:bCs/>
          <w:color w:val="FF0000"/>
          <w:sz w:val="28"/>
          <w:szCs w:val="28"/>
        </w:rPr>
        <w:fldChar w:fldCharType="begin"/>
      </w:r>
      <w:r>
        <w:rPr>
          <w:b/>
          <w:bCs/>
          <w:color w:val="FF0000"/>
          <w:sz w:val="28"/>
          <w:szCs w:val="28"/>
        </w:rPr>
        <w:instrText xml:space="preserve"> TOC \h \z \c "Table" </w:instrText>
      </w:r>
      <w:r>
        <w:rPr>
          <w:b/>
          <w:bCs/>
          <w:color w:val="FF0000"/>
          <w:sz w:val="28"/>
          <w:szCs w:val="28"/>
        </w:rPr>
        <w:fldChar w:fldCharType="separate"/>
      </w:r>
      <w:hyperlink w:anchor="_Toc185254527" w:history="1">
        <w:r w:rsidR="00044C55" w:rsidRPr="00BA6CD9">
          <w:rPr>
            <w:rStyle w:val="Hyperlink"/>
            <w:noProof/>
          </w:rPr>
          <w:t>Table A1. List of target population-supplement pairs by priority tier.</w:t>
        </w:r>
        <w:r w:rsidR="00044C55">
          <w:rPr>
            <w:noProof/>
            <w:webHidden/>
          </w:rPr>
          <w:tab/>
        </w:r>
        <w:r w:rsidR="00044C55">
          <w:rPr>
            <w:noProof/>
            <w:webHidden/>
          </w:rPr>
          <w:fldChar w:fldCharType="begin"/>
        </w:r>
        <w:r w:rsidR="00044C55">
          <w:rPr>
            <w:noProof/>
            <w:webHidden/>
          </w:rPr>
          <w:instrText xml:space="preserve"> PAGEREF _Toc185254527 \h </w:instrText>
        </w:r>
        <w:r w:rsidR="00044C55">
          <w:rPr>
            <w:noProof/>
            <w:webHidden/>
          </w:rPr>
        </w:r>
        <w:r w:rsidR="00044C55">
          <w:rPr>
            <w:noProof/>
            <w:webHidden/>
          </w:rPr>
          <w:fldChar w:fldCharType="separate"/>
        </w:r>
        <w:r w:rsidR="00C426C6">
          <w:rPr>
            <w:noProof/>
            <w:webHidden/>
          </w:rPr>
          <w:t>31</w:t>
        </w:r>
        <w:r w:rsidR="00044C55">
          <w:rPr>
            <w:noProof/>
            <w:webHidden/>
          </w:rPr>
          <w:fldChar w:fldCharType="end"/>
        </w:r>
      </w:hyperlink>
    </w:p>
    <w:p w14:paraId="41665536" w14:textId="2FB2EC89"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28" w:history="1">
        <w:r w:rsidRPr="00BA6CD9">
          <w:rPr>
            <w:rStyle w:val="Hyperlink"/>
            <w:noProof/>
          </w:rPr>
          <w:t>Table C</w:t>
        </w:r>
        <w:r w:rsidRPr="00BA6CD9">
          <w:rPr>
            <w:rStyle w:val="Hyperlink"/>
            <w:noProof/>
          </w:rPr>
          <w:noBreakHyphen/>
          <w:t>1. Excluded reviews, reason for exclusion – anxiety (including post-natal), magnesium (n=6).</w:t>
        </w:r>
        <w:r>
          <w:rPr>
            <w:noProof/>
            <w:webHidden/>
          </w:rPr>
          <w:tab/>
        </w:r>
        <w:r>
          <w:rPr>
            <w:noProof/>
            <w:webHidden/>
          </w:rPr>
          <w:fldChar w:fldCharType="begin"/>
        </w:r>
        <w:r>
          <w:rPr>
            <w:noProof/>
            <w:webHidden/>
          </w:rPr>
          <w:instrText xml:space="preserve"> PAGEREF _Toc185254528 \h </w:instrText>
        </w:r>
        <w:r>
          <w:rPr>
            <w:noProof/>
            <w:webHidden/>
          </w:rPr>
        </w:r>
        <w:r>
          <w:rPr>
            <w:noProof/>
            <w:webHidden/>
          </w:rPr>
          <w:fldChar w:fldCharType="separate"/>
        </w:r>
        <w:r w:rsidR="00C426C6">
          <w:rPr>
            <w:noProof/>
            <w:webHidden/>
          </w:rPr>
          <w:t>44</w:t>
        </w:r>
        <w:r>
          <w:rPr>
            <w:noProof/>
            <w:webHidden/>
          </w:rPr>
          <w:fldChar w:fldCharType="end"/>
        </w:r>
      </w:hyperlink>
    </w:p>
    <w:p w14:paraId="0DDFDF33" w14:textId="0739FFB0"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29" w:history="1">
        <w:r w:rsidRPr="00BA6CD9">
          <w:rPr>
            <w:rStyle w:val="Hyperlink"/>
            <w:noProof/>
          </w:rPr>
          <w:t>Table C</w:t>
        </w:r>
        <w:r w:rsidRPr="00BA6CD9">
          <w:rPr>
            <w:rStyle w:val="Hyperlink"/>
            <w:noProof/>
          </w:rPr>
          <w:noBreakHyphen/>
          <w:t>2. Excluded reviews, reason for exclusion – stress (perceived, occupational), magnesium (n=3).</w:t>
        </w:r>
        <w:r>
          <w:rPr>
            <w:noProof/>
            <w:webHidden/>
          </w:rPr>
          <w:tab/>
        </w:r>
        <w:r>
          <w:rPr>
            <w:noProof/>
            <w:webHidden/>
          </w:rPr>
          <w:fldChar w:fldCharType="begin"/>
        </w:r>
        <w:r>
          <w:rPr>
            <w:noProof/>
            <w:webHidden/>
          </w:rPr>
          <w:instrText xml:space="preserve"> PAGEREF _Toc185254529 \h </w:instrText>
        </w:r>
        <w:r>
          <w:rPr>
            <w:noProof/>
            <w:webHidden/>
          </w:rPr>
        </w:r>
        <w:r>
          <w:rPr>
            <w:noProof/>
            <w:webHidden/>
          </w:rPr>
          <w:fldChar w:fldCharType="separate"/>
        </w:r>
        <w:r w:rsidR="00C426C6">
          <w:rPr>
            <w:noProof/>
            <w:webHidden/>
          </w:rPr>
          <w:t>44</w:t>
        </w:r>
        <w:r>
          <w:rPr>
            <w:noProof/>
            <w:webHidden/>
          </w:rPr>
          <w:fldChar w:fldCharType="end"/>
        </w:r>
      </w:hyperlink>
    </w:p>
    <w:p w14:paraId="608259A7" w14:textId="04EF868B"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0" w:history="1">
        <w:r w:rsidRPr="00BA6CD9">
          <w:rPr>
            <w:rStyle w:val="Hyperlink"/>
            <w:noProof/>
          </w:rPr>
          <w:t>Table C</w:t>
        </w:r>
        <w:r w:rsidRPr="00BA6CD9">
          <w:rPr>
            <w:rStyle w:val="Hyperlink"/>
            <w:noProof/>
          </w:rPr>
          <w:noBreakHyphen/>
          <w:t>3. Excluded reviews, reason for exclusion – IBS/probiotics.</w:t>
        </w:r>
        <w:r>
          <w:rPr>
            <w:noProof/>
            <w:webHidden/>
          </w:rPr>
          <w:tab/>
        </w:r>
        <w:r>
          <w:rPr>
            <w:noProof/>
            <w:webHidden/>
          </w:rPr>
          <w:fldChar w:fldCharType="begin"/>
        </w:r>
        <w:r>
          <w:rPr>
            <w:noProof/>
            <w:webHidden/>
          </w:rPr>
          <w:instrText xml:space="preserve"> PAGEREF _Toc185254530 \h </w:instrText>
        </w:r>
        <w:r>
          <w:rPr>
            <w:noProof/>
            <w:webHidden/>
          </w:rPr>
        </w:r>
        <w:r>
          <w:rPr>
            <w:noProof/>
            <w:webHidden/>
          </w:rPr>
          <w:fldChar w:fldCharType="separate"/>
        </w:r>
        <w:r w:rsidR="00C426C6">
          <w:rPr>
            <w:noProof/>
            <w:webHidden/>
          </w:rPr>
          <w:t>45</w:t>
        </w:r>
        <w:r>
          <w:rPr>
            <w:noProof/>
            <w:webHidden/>
          </w:rPr>
          <w:fldChar w:fldCharType="end"/>
        </w:r>
      </w:hyperlink>
    </w:p>
    <w:p w14:paraId="03B6495E" w14:textId="223FCDEC"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1" w:history="1">
        <w:r w:rsidRPr="00BA6CD9">
          <w:rPr>
            <w:rStyle w:val="Hyperlink"/>
            <w:noProof/>
          </w:rPr>
          <w:t>Table C</w:t>
        </w:r>
        <w:r w:rsidRPr="00BA6CD9">
          <w:rPr>
            <w:rStyle w:val="Hyperlink"/>
            <w:noProof/>
          </w:rPr>
          <w:noBreakHyphen/>
          <w:t>4. Excluded reviews, reason for exclusion – insomnia/sleeping disorders, magnesium.</w:t>
        </w:r>
        <w:r>
          <w:rPr>
            <w:noProof/>
            <w:webHidden/>
          </w:rPr>
          <w:tab/>
        </w:r>
        <w:r>
          <w:rPr>
            <w:noProof/>
            <w:webHidden/>
          </w:rPr>
          <w:fldChar w:fldCharType="begin"/>
        </w:r>
        <w:r>
          <w:rPr>
            <w:noProof/>
            <w:webHidden/>
          </w:rPr>
          <w:instrText xml:space="preserve"> PAGEREF _Toc185254531 \h </w:instrText>
        </w:r>
        <w:r>
          <w:rPr>
            <w:noProof/>
            <w:webHidden/>
          </w:rPr>
        </w:r>
        <w:r>
          <w:rPr>
            <w:noProof/>
            <w:webHidden/>
          </w:rPr>
          <w:fldChar w:fldCharType="separate"/>
        </w:r>
        <w:r w:rsidR="00C426C6">
          <w:rPr>
            <w:noProof/>
            <w:webHidden/>
          </w:rPr>
          <w:t>46</w:t>
        </w:r>
        <w:r>
          <w:rPr>
            <w:noProof/>
            <w:webHidden/>
          </w:rPr>
          <w:fldChar w:fldCharType="end"/>
        </w:r>
      </w:hyperlink>
    </w:p>
    <w:p w14:paraId="03294BA2" w14:textId="11A9F276"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2" w:history="1">
        <w:r w:rsidRPr="00BA6CD9">
          <w:rPr>
            <w:rStyle w:val="Hyperlink"/>
            <w:noProof/>
          </w:rPr>
          <w:t>Table C</w:t>
        </w:r>
        <w:r w:rsidRPr="00BA6CD9">
          <w:rPr>
            <w:rStyle w:val="Hyperlink"/>
            <w:noProof/>
          </w:rPr>
          <w:noBreakHyphen/>
          <w:t>5. Excluded reviews, reason for exclusion – depression, omega-3 fatty acids.</w:t>
        </w:r>
        <w:r>
          <w:rPr>
            <w:noProof/>
            <w:webHidden/>
          </w:rPr>
          <w:tab/>
        </w:r>
        <w:r>
          <w:rPr>
            <w:noProof/>
            <w:webHidden/>
          </w:rPr>
          <w:fldChar w:fldCharType="begin"/>
        </w:r>
        <w:r>
          <w:rPr>
            <w:noProof/>
            <w:webHidden/>
          </w:rPr>
          <w:instrText xml:space="preserve"> PAGEREF _Toc185254532 \h </w:instrText>
        </w:r>
        <w:r>
          <w:rPr>
            <w:noProof/>
            <w:webHidden/>
          </w:rPr>
        </w:r>
        <w:r>
          <w:rPr>
            <w:noProof/>
            <w:webHidden/>
          </w:rPr>
          <w:fldChar w:fldCharType="separate"/>
        </w:r>
        <w:r w:rsidR="00C426C6">
          <w:rPr>
            <w:noProof/>
            <w:webHidden/>
          </w:rPr>
          <w:t>47</w:t>
        </w:r>
        <w:r>
          <w:rPr>
            <w:noProof/>
            <w:webHidden/>
          </w:rPr>
          <w:fldChar w:fldCharType="end"/>
        </w:r>
      </w:hyperlink>
    </w:p>
    <w:p w14:paraId="624726F8" w14:textId="5DDF4596"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3" w:history="1">
        <w:r w:rsidRPr="00BA6CD9">
          <w:rPr>
            <w:rStyle w:val="Hyperlink"/>
            <w:noProof/>
          </w:rPr>
          <w:t>Table C</w:t>
        </w:r>
        <w:r w:rsidRPr="00BA6CD9">
          <w:rPr>
            <w:rStyle w:val="Hyperlink"/>
            <w:noProof/>
          </w:rPr>
          <w:noBreakHyphen/>
          <w:t>6. Excluded reviews, reason for exclusion – Dysmenorrhea, cruciferous indoles (indole-3-carbinol, di-indolylmethane).</w:t>
        </w:r>
        <w:r>
          <w:rPr>
            <w:noProof/>
            <w:webHidden/>
          </w:rPr>
          <w:tab/>
        </w:r>
        <w:r>
          <w:rPr>
            <w:noProof/>
            <w:webHidden/>
          </w:rPr>
          <w:fldChar w:fldCharType="begin"/>
        </w:r>
        <w:r>
          <w:rPr>
            <w:noProof/>
            <w:webHidden/>
          </w:rPr>
          <w:instrText xml:space="preserve"> PAGEREF _Toc185254533 \h </w:instrText>
        </w:r>
        <w:r>
          <w:rPr>
            <w:noProof/>
            <w:webHidden/>
          </w:rPr>
        </w:r>
        <w:r>
          <w:rPr>
            <w:noProof/>
            <w:webHidden/>
          </w:rPr>
          <w:fldChar w:fldCharType="separate"/>
        </w:r>
        <w:r w:rsidR="00C426C6">
          <w:rPr>
            <w:noProof/>
            <w:webHidden/>
          </w:rPr>
          <w:t>53</w:t>
        </w:r>
        <w:r>
          <w:rPr>
            <w:noProof/>
            <w:webHidden/>
          </w:rPr>
          <w:fldChar w:fldCharType="end"/>
        </w:r>
      </w:hyperlink>
    </w:p>
    <w:p w14:paraId="5EAEDCE0" w14:textId="3AB0BF09"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4" w:history="1">
        <w:r w:rsidRPr="00BA6CD9">
          <w:rPr>
            <w:rStyle w:val="Hyperlink"/>
            <w:noProof/>
          </w:rPr>
          <w:t>Table C</w:t>
        </w:r>
        <w:r w:rsidRPr="00BA6CD9">
          <w:rPr>
            <w:rStyle w:val="Hyperlink"/>
            <w:noProof/>
          </w:rPr>
          <w:noBreakHyphen/>
          <w:t>7. Excluded reviews, reason for exclusion – PMS, cruciferous indoles (indole-3-carbinol, di-indolylmethane).</w:t>
        </w:r>
        <w:r>
          <w:rPr>
            <w:noProof/>
            <w:webHidden/>
          </w:rPr>
          <w:tab/>
        </w:r>
        <w:r>
          <w:rPr>
            <w:noProof/>
            <w:webHidden/>
          </w:rPr>
          <w:fldChar w:fldCharType="begin"/>
        </w:r>
        <w:r>
          <w:rPr>
            <w:noProof/>
            <w:webHidden/>
          </w:rPr>
          <w:instrText xml:space="preserve"> PAGEREF _Toc185254534 \h </w:instrText>
        </w:r>
        <w:r>
          <w:rPr>
            <w:noProof/>
            <w:webHidden/>
          </w:rPr>
        </w:r>
        <w:r>
          <w:rPr>
            <w:noProof/>
            <w:webHidden/>
          </w:rPr>
          <w:fldChar w:fldCharType="separate"/>
        </w:r>
        <w:r w:rsidR="00C426C6">
          <w:rPr>
            <w:noProof/>
            <w:webHidden/>
          </w:rPr>
          <w:t>54</w:t>
        </w:r>
        <w:r>
          <w:rPr>
            <w:noProof/>
            <w:webHidden/>
          </w:rPr>
          <w:fldChar w:fldCharType="end"/>
        </w:r>
      </w:hyperlink>
    </w:p>
    <w:p w14:paraId="755C539D" w14:textId="1B0ADF13"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5" w:history="1">
        <w:r w:rsidRPr="00BA6CD9">
          <w:rPr>
            <w:rStyle w:val="Hyperlink"/>
            <w:noProof/>
          </w:rPr>
          <w:t>Table C</w:t>
        </w:r>
        <w:r w:rsidRPr="00BA6CD9">
          <w:rPr>
            <w:rStyle w:val="Hyperlink"/>
            <w:noProof/>
          </w:rPr>
          <w:noBreakHyphen/>
          <w:t>8. Excluded reviews, reason for exclusion – Atopic disorders (including eczema, dermatitis, allergic rhinitis, allergies), zinc).</w:t>
        </w:r>
        <w:r>
          <w:rPr>
            <w:noProof/>
            <w:webHidden/>
          </w:rPr>
          <w:tab/>
        </w:r>
        <w:r>
          <w:rPr>
            <w:noProof/>
            <w:webHidden/>
          </w:rPr>
          <w:fldChar w:fldCharType="begin"/>
        </w:r>
        <w:r>
          <w:rPr>
            <w:noProof/>
            <w:webHidden/>
          </w:rPr>
          <w:instrText xml:space="preserve"> PAGEREF _Toc185254535 \h </w:instrText>
        </w:r>
        <w:r>
          <w:rPr>
            <w:noProof/>
            <w:webHidden/>
          </w:rPr>
        </w:r>
        <w:r>
          <w:rPr>
            <w:noProof/>
            <w:webHidden/>
          </w:rPr>
          <w:fldChar w:fldCharType="separate"/>
        </w:r>
        <w:r w:rsidR="00C426C6">
          <w:rPr>
            <w:noProof/>
            <w:webHidden/>
          </w:rPr>
          <w:t>54</w:t>
        </w:r>
        <w:r>
          <w:rPr>
            <w:noProof/>
            <w:webHidden/>
          </w:rPr>
          <w:fldChar w:fldCharType="end"/>
        </w:r>
      </w:hyperlink>
    </w:p>
    <w:p w14:paraId="7200B0DB" w14:textId="633C3C52"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6" w:history="1">
        <w:r w:rsidRPr="00BA6CD9">
          <w:rPr>
            <w:rStyle w:val="Hyperlink"/>
            <w:noProof/>
          </w:rPr>
          <w:t>Table C</w:t>
        </w:r>
        <w:r w:rsidRPr="00BA6CD9">
          <w:rPr>
            <w:rStyle w:val="Hyperlink"/>
            <w:noProof/>
          </w:rPr>
          <w:noBreakHyphen/>
          <w:t>9. Excluded reviews, reason for exclusion – fatigue/antioxidants.</w:t>
        </w:r>
        <w:r>
          <w:rPr>
            <w:noProof/>
            <w:webHidden/>
          </w:rPr>
          <w:tab/>
        </w:r>
        <w:r>
          <w:rPr>
            <w:noProof/>
            <w:webHidden/>
          </w:rPr>
          <w:fldChar w:fldCharType="begin"/>
        </w:r>
        <w:r>
          <w:rPr>
            <w:noProof/>
            <w:webHidden/>
          </w:rPr>
          <w:instrText xml:space="preserve"> PAGEREF _Toc185254536 \h </w:instrText>
        </w:r>
        <w:r>
          <w:rPr>
            <w:noProof/>
            <w:webHidden/>
          </w:rPr>
        </w:r>
        <w:r>
          <w:rPr>
            <w:noProof/>
            <w:webHidden/>
          </w:rPr>
          <w:fldChar w:fldCharType="separate"/>
        </w:r>
        <w:r w:rsidR="00C426C6">
          <w:rPr>
            <w:noProof/>
            <w:webHidden/>
          </w:rPr>
          <w:t>55</w:t>
        </w:r>
        <w:r>
          <w:rPr>
            <w:noProof/>
            <w:webHidden/>
          </w:rPr>
          <w:fldChar w:fldCharType="end"/>
        </w:r>
      </w:hyperlink>
    </w:p>
    <w:p w14:paraId="1F8DC775" w14:textId="573D6C12"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7" w:history="1">
        <w:r w:rsidRPr="00BA6CD9">
          <w:rPr>
            <w:rStyle w:val="Hyperlink"/>
            <w:noProof/>
          </w:rPr>
          <w:t>Table C</w:t>
        </w:r>
        <w:r w:rsidRPr="00BA6CD9">
          <w:rPr>
            <w:rStyle w:val="Hyperlink"/>
            <w:noProof/>
          </w:rPr>
          <w:noBreakHyphen/>
          <w:t>10. Excluded reviews, reason for exclusion – Headache and migraine, magnesium.</w:t>
        </w:r>
        <w:r>
          <w:rPr>
            <w:noProof/>
            <w:webHidden/>
          </w:rPr>
          <w:tab/>
        </w:r>
        <w:r>
          <w:rPr>
            <w:noProof/>
            <w:webHidden/>
          </w:rPr>
          <w:fldChar w:fldCharType="begin"/>
        </w:r>
        <w:r>
          <w:rPr>
            <w:noProof/>
            <w:webHidden/>
          </w:rPr>
          <w:instrText xml:space="preserve"> PAGEREF _Toc185254537 \h </w:instrText>
        </w:r>
        <w:r>
          <w:rPr>
            <w:noProof/>
            <w:webHidden/>
          </w:rPr>
        </w:r>
        <w:r>
          <w:rPr>
            <w:noProof/>
            <w:webHidden/>
          </w:rPr>
          <w:fldChar w:fldCharType="separate"/>
        </w:r>
        <w:r w:rsidR="00C426C6">
          <w:rPr>
            <w:noProof/>
            <w:webHidden/>
          </w:rPr>
          <w:t>56</w:t>
        </w:r>
        <w:r>
          <w:rPr>
            <w:noProof/>
            <w:webHidden/>
          </w:rPr>
          <w:fldChar w:fldCharType="end"/>
        </w:r>
      </w:hyperlink>
    </w:p>
    <w:p w14:paraId="1D299DC3" w14:textId="2B597915"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8" w:history="1">
        <w:r w:rsidRPr="00BA6CD9">
          <w:rPr>
            <w:rStyle w:val="Hyperlink"/>
            <w:noProof/>
          </w:rPr>
          <w:t>Table C</w:t>
        </w:r>
        <w:r w:rsidRPr="00BA6CD9">
          <w:rPr>
            <w:rStyle w:val="Hyperlink"/>
            <w:noProof/>
          </w:rPr>
          <w:noBreakHyphen/>
          <w:t>11. Excluded reviews, reason for exclusion – Arthritis/Osteoarthritis, Magnesium.</w:t>
        </w:r>
        <w:r>
          <w:rPr>
            <w:noProof/>
            <w:webHidden/>
          </w:rPr>
          <w:tab/>
        </w:r>
        <w:r>
          <w:rPr>
            <w:noProof/>
            <w:webHidden/>
          </w:rPr>
          <w:fldChar w:fldCharType="begin"/>
        </w:r>
        <w:r>
          <w:rPr>
            <w:noProof/>
            <w:webHidden/>
          </w:rPr>
          <w:instrText xml:space="preserve"> PAGEREF _Toc185254538 \h </w:instrText>
        </w:r>
        <w:r>
          <w:rPr>
            <w:noProof/>
            <w:webHidden/>
          </w:rPr>
        </w:r>
        <w:r>
          <w:rPr>
            <w:noProof/>
            <w:webHidden/>
          </w:rPr>
          <w:fldChar w:fldCharType="separate"/>
        </w:r>
        <w:r w:rsidR="00C426C6">
          <w:rPr>
            <w:noProof/>
            <w:webHidden/>
          </w:rPr>
          <w:t>58</w:t>
        </w:r>
        <w:r>
          <w:rPr>
            <w:noProof/>
            <w:webHidden/>
          </w:rPr>
          <w:fldChar w:fldCharType="end"/>
        </w:r>
      </w:hyperlink>
    </w:p>
    <w:p w14:paraId="6095F58A" w14:textId="2D5ABCE8"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39" w:history="1">
        <w:r w:rsidRPr="00BA6CD9">
          <w:rPr>
            <w:rStyle w:val="Hyperlink"/>
            <w:noProof/>
          </w:rPr>
          <w:t>Table C</w:t>
        </w:r>
        <w:r w:rsidRPr="00BA6CD9">
          <w:rPr>
            <w:rStyle w:val="Hyperlink"/>
            <w:noProof/>
          </w:rPr>
          <w:noBreakHyphen/>
          <w:t>12. Excluded reviews, reason for exclusion – hypertension, omega-3 fatty acids.</w:t>
        </w:r>
        <w:r>
          <w:rPr>
            <w:noProof/>
            <w:webHidden/>
          </w:rPr>
          <w:tab/>
        </w:r>
        <w:r>
          <w:rPr>
            <w:noProof/>
            <w:webHidden/>
          </w:rPr>
          <w:fldChar w:fldCharType="begin"/>
        </w:r>
        <w:r>
          <w:rPr>
            <w:noProof/>
            <w:webHidden/>
          </w:rPr>
          <w:instrText xml:space="preserve"> PAGEREF _Toc185254539 \h </w:instrText>
        </w:r>
        <w:r>
          <w:rPr>
            <w:noProof/>
            <w:webHidden/>
          </w:rPr>
        </w:r>
        <w:r>
          <w:rPr>
            <w:noProof/>
            <w:webHidden/>
          </w:rPr>
          <w:fldChar w:fldCharType="separate"/>
        </w:r>
        <w:r w:rsidR="00C426C6">
          <w:rPr>
            <w:noProof/>
            <w:webHidden/>
          </w:rPr>
          <w:t>58</w:t>
        </w:r>
        <w:r>
          <w:rPr>
            <w:noProof/>
            <w:webHidden/>
          </w:rPr>
          <w:fldChar w:fldCharType="end"/>
        </w:r>
      </w:hyperlink>
    </w:p>
    <w:p w14:paraId="73F995B5" w14:textId="67E18FB1"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0" w:history="1">
        <w:r w:rsidRPr="00BA6CD9">
          <w:rPr>
            <w:rStyle w:val="Hyperlink"/>
            <w:noProof/>
          </w:rPr>
          <w:t>Table C</w:t>
        </w:r>
        <w:r w:rsidRPr="00BA6CD9">
          <w:rPr>
            <w:rStyle w:val="Hyperlink"/>
            <w:noProof/>
          </w:rPr>
          <w:noBreakHyphen/>
          <w:t>13. Excluded reviews, reason for exclusion – fibromyalgia, magnesium.</w:t>
        </w:r>
        <w:r>
          <w:rPr>
            <w:noProof/>
            <w:webHidden/>
          </w:rPr>
          <w:tab/>
        </w:r>
        <w:r>
          <w:rPr>
            <w:noProof/>
            <w:webHidden/>
          </w:rPr>
          <w:fldChar w:fldCharType="begin"/>
        </w:r>
        <w:r>
          <w:rPr>
            <w:noProof/>
            <w:webHidden/>
          </w:rPr>
          <w:instrText xml:space="preserve"> PAGEREF _Toc185254540 \h </w:instrText>
        </w:r>
        <w:r>
          <w:rPr>
            <w:noProof/>
            <w:webHidden/>
          </w:rPr>
        </w:r>
        <w:r>
          <w:rPr>
            <w:noProof/>
            <w:webHidden/>
          </w:rPr>
          <w:fldChar w:fldCharType="separate"/>
        </w:r>
        <w:r w:rsidR="00C426C6">
          <w:rPr>
            <w:noProof/>
            <w:webHidden/>
          </w:rPr>
          <w:t>62</w:t>
        </w:r>
        <w:r>
          <w:rPr>
            <w:noProof/>
            <w:webHidden/>
          </w:rPr>
          <w:fldChar w:fldCharType="end"/>
        </w:r>
      </w:hyperlink>
    </w:p>
    <w:p w14:paraId="48F13425" w14:textId="1D70E285"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1" w:history="1">
        <w:r w:rsidRPr="00BA6CD9">
          <w:rPr>
            <w:rStyle w:val="Hyperlink"/>
            <w:noProof/>
          </w:rPr>
          <w:t>Table C</w:t>
        </w:r>
        <w:r w:rsidRPr="00BA6CD9">
          <w:rPr>
            <w:rStyle w:val="Hyperlink"/>
            <w:noProof/>
          </w:rPr>
          <w:noBreakHyphen/>
          <w:t>14. Excluded reviews, reason for exclusion – recurrent infection/s, zinc.</w:t>
        </w:r>
        <w:r>
          <w:rPr>
            <w:noProof/>
            <w:webHidden/>
          </w:rPr>
          <w:tab/>
        </w:r>
        <w:r>
          <w:rPr>
            <w:noProof/>
            <w:webHidden/>
          </w:rPr>
          <w:fldChar w:fldCharType="begin"/>
        </w:r>
        <w:r>
          <w:rPr>
            <w:noProof/>
            <w:webHidden/>
          </w:rPr>
          <w:instrText xml:space="preserve"> PAGEREF _Toc185254541 \h </w:instrText>
        </w:r>
        <w:r>
          <w:rPr>
            <w:noProof/>
            <w:webHidden/>
          </w:rPr>
        </w:r>
        <w:r>
          <w:rPr>
            <w:noProof/>
            <w:webHidden/>
          </w:rPr>
          <w:fldChar w:fldCharType="separate"/>
        </w:r>
        <w:r w:rsidR="00C426C6">
          <w:rPr>
            <w:noProof/>
            <w:webHidden/>
          </w:rPr>
          <w:t>62</w:t>
        </w:r>
        <w:r>
          <w:rPr>
            <w:noProof/>
            <w:webHidden/>
          </w:rPr>
          <w:fldChar w:fldCharType="end"/>
        </w:r>
      </w:hyperlink>
    </w:p>
    <w:p w14:paraId="686A3ECA" w14:textId="64F0782B"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2" w:history="1">
        <w:r w:rsidRPr="00BA6CD9">
          <w:rPr>
            <w:rStyle w:val="Hyperlink"/>
            <w:noProof/>
          </w:rPr>
          <w:t>Table C</w:t>
        </w:r>
        <w:r w:rsidRPr="00BA6CD9">
          <w:rPr>
            <w:rStyle w:val="Hyperlink"/>
            <w:noProof/>
          </w:rPr>
          <w:noBreakHyphen/>
          <w:t>15. Excluded reviews, reason for exclusion – Diabetes (Type II) (including metabolic syndrome), Antioxidants (specifically CoQ10 and ALA).</w:t>
        </w:r>
        <w:r>
          <w:rPr>
            <w:noProof/>
            <w:webHidden/>
          </w:rPr>
          <w:tab/>
        </w:r>
        <w:r>
          <w:rPr>
            <w:noProof/>
            <w:webHidden/>
          </w:rPr>
          <w:fldChar w:fldCharType="begin"/>
        </w:r>
        <w:r>
          <w:rPr>
            <w:noProof/>
            <w:webHidden/>
          </w:rPr>
          <w:instrText xml:space="preserve"> PAGEREF _Toc185254542 \h </w:instrText>
        </w:r>
        <w:r>
          <w:rPr>
            <w:noProof/>
            <w:webHidden/>
          </w:rPr>
        </w:r>
        <w:r>
          <w:rPr>
            <w:noProof/>
            <w:webHidden/>
          </w:rPr>
          <w:fldChar w:fldCharType="separate"/>
        </w:r>
        <w:r w:rsidR="00C426C6">
          <w:rPr>
            <w:noProof/>
            <w:webHidden/>
          </w:rPr>
          <w:t>65</w:t>
        </w:r>
        <w:r>
          <w:rPr>
            <w:noProof/>
            <w:webHidden/>
          </w:rPr>
          <w:fldChar w:fldCharType="end"/>
        </w:r>
      </w:hyperlink>
    </w:p>
    <w:p w14:paraId="4EF7B2EF" w14:textId="230D107C"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3" w:history="1">
        <w:r w:rsidRPr="00BA6CD9">
          <w:rPr>
            <w:rStyle w:val="Hyperlink"/>
            <w:noProof/>
          </w:rPr>
          <w:t>Table C</w:t>
        </w:r>
        <w:r w:rsidRPr="00BA6CD9">
          <w:rPr>
            <w:rStyle w:val="Hyperlink"/>
            <w:noProof/>
          </w:rPr>
          <w:noBreakHyphen/>
          <w:t>16. Evidence provided through the Department’s public call for evidence.</w:t>
        </w:r>
        <w:r>
          <w:rPr>
            <w:noProof/>
            <w:webHidden/>
          </w:rPr>
          <w:tab/>
        </w:r>
        <w:r>
          <w:rPr>
            <w:noProof/>
            <w:webHidden/>
          </w:rPr>
          <w:fldChar w:fldCharType="begin"/>
        </w:r>
        <w:r>
          <w:rPr>
            <w:noProof/>
            <w:webHidden/>
          </w:rPr>
          <w:instrText xml:space="preserve"> PAGEREF _Toc185254543 \h </w:instrText>
        </w:r>
        <w:r>
          <w:rPr>
            <w:noProof/>
            <w:webHidden/>
          </w:rPr>
        </w:r>
        <w:r>
          <w:rPr>
            <w:noProof/>
            <w:webHidden/>
          </w:rPr>
          <w:fldChar w:fldCharType="separate"/>
        </w:r>
        <w:r w:rsidR="00C426C6">
          <w:rPr>
            <w:noProof/>
            <w:webHidden/>
          </w:rPr>
          <w:t>67</w:t>
        </w:r>
        <w:r>
          <w:rPr>
            <w:noProof/>
            <w:webHidden/>
          </w:rPr>
          <w:fldChar w:fldCharType="end"/>
        </w:r>
      </w:hyperlink>
    </w:p>
    <w:p w14:paraId="0F9855B7" w14:textId="37647A2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4" w:history="1">
        <w:r w:rsidRPr="00BA6CD9">
          <w:rPr>
            <w:rStyle w:val="Hyperlink"/>
            <w:noProof/>
          </w:rPr>
          <w:t>Table C</w:t>
        </w:r>
        <w:r w:rsidRPr="00BA6CD9">
          <w:rPr>
            <w:rStyle w:val="Hyperlink"/>
            <w:noProof/>
          </w:rPr>
          <w:noBreakHyphen/>
          <w:t>17. Citation details of reviews awaiting classification – reviews not published in English.</w:t>
        </w:r>
        <w:r>
          <w:rPr>
            <w:noProof/>
            <w:webHidden/>
          </w:rPr>
          <w:tab/>
        </w:r>
        <w:r>
          <w:rPr>
            <w:noProof/>
            <w:webHidden/>
          </w:rPr>
          <w:fldChar w:fldCharType="begin"/>
        </w:r>
        <w:r>
          <w:rPr>
            <w:noProof/>
            <w:webHidden/>
          </w:rPr>
          <w:instrText xml:space="preserve"> PAGEREF _Toc185254544 \h </w:instrText>
        </w:r>
        <w:r>
          <w:rPr>
            <w:noProof/>
            <w:webHidden/>
          </w:rPr>
        </w:r>
        <w:r>
          <w:rPr>
            <w:noProof/>
            <w:webHidden/>
          </w:rPr>
          <w:fldChar w:fldCharType="separate"/>
        </w:r>
        <w:r w:rsidR="00C426C6">
          <w:rPr>
            <w:noProof/>
            <w:webHidden/>
          </w:rPr>
          <w:t>106</w:t>
        </w:r>
        <w:r>
          <w:rPr>
            <w:noProof/>
            <w:webHidden/>
          </w:rPr>
          <w:fldChar w:fldCharType="end"/>
        </w:r>
      </w:hyperlink>
    </w:p>
    <w:p w14:paraId="621D0D9E" w14:textId="57761EFE"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5" w:history="1">
        <w:r w:rsidRPr="00BA6CD9">
          <w:rPr>
            <w:rStyle w:val="Hyperlink"/>
            <w:noProof/>
          </w:rPr>
          <w:t>Table C</w:t>
        </w:r>
        <w:r w:rsidRPr="00BA6CD9">
          <w:rPr>
            <w:rStyle w:val="Hyperlink"/>
            <w:noProof/>
          </w:rPr>
          <w:noBreakHyphen/>
          <w:t>18. Citation details of reviews sought for retrieval – ongoing reviews.</w:t>
        </w:r>
        <w:r>
          <w:rPr>
            <w:noProof/>
            <w:webHidden/>
          </w:rPr>
          <w:tab/>
        </w:r>
        <w:r>
          <w:rPr>
            <w:noProof/>
            <w:webHidden/>
          </w:rPr>
          <w:fldChar w:fldCharType="begin"/>
        </w:r>
        <w:r>
          <w:rPr>
            <w:noProof/>
            <w:webHidden/>
          </w:rPr>
          <w:instrText xml:space="preserve"> PAGEREF _Toc185254545 \h </w:instrText>
        </w:r>
        <w:r>
          <w:rPr>
            <w:noProof/>
            <w:webHidden/>
          </w:rPr>
        </w:r>
        <w:r>
          <w:rPr>
            <w:noProof/>
            <w:webHidden/>
          </w:rPr>
          <w:fldChar w:fldCharType="separate"/>
        </w:r>
        <w:r w:rsidR="00C426C6">
          <w:rPr>
            <w:noProof/>
            <w:webHidden/>
          </w:rPr>
          <w:t>106</w:t>
        </w:r>
        <w:r>
          <w:rPr>
            <w:noProof/>
            <w:webHidden/>
          </w:rPr>
          <w:fldChar w:fldCharType="end"/>
        </w:r>
      </w:hyperlink>
    </w:p>
    <w:p w14:paraId="0FA052D3" w14:textId="4CC83EDD"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6" w:history="1">
        <w:r w:rsidRPr="00BA6CD9">
          <w:rPr>
            <w:rStyle w:val="Hyperlink"/>
            <w:noProof/>
          </w:rPr>
          <w:t>Table C</w:t>
        </w:r>
        <w:r w:rsidRPr="00BA6CD9">
          <w:rPr>
            <w:rStyle w:val="Hyperlink"/>
            <w:noProof/>
          </w:rPr>
          <w:noBreakHyphen/>
          <w:t>18. Citation details of reviews sought for retrieval – conference abstracts.</w:t>
        </w:r>
        <w:r>
          <w:rPr>
            <w:noProof/>
            <w:webHidden/>
          </w:rPr>
          <w:tab/>
        </w:r>
        <w:r>
          <w:rPr>
            <w:noProof/>
            <w:webHidden/>
          </w:rPr>
          <w:fldChar w:fldCharType="begin"/>
        </w:r>
        <w:r>
          <w:rPr>
            <w:noProof/>
            <w:webHidden/>
          </w:rPr>
          <w:instrText xml:space="preserve"> PAGEREF _Toc185254546 \h </w:instrText>
        </w:r>
        <w:r>
          <w:rPr>
            <w:noProof/>
            <w:webHidden/>
          </w:rPr>
        </w:r>
        <w:r>
          <w:rPr>
            <w:noProof/>
            <w:webHidden/>
          </w:rPr>
          <w:fldChar w:fldCharType="separate"/>
        </w:r>
        <w:r w:rsidR="00C426C6">
          <w:rPr>
            <w:noProof/>
            <w:webHidden/>
          </w:rPr>
          <w:t>112</w:t>
        </w:r>
        <w:r>
          <w:rPr>
            <w:noProof/>
            <w:webHidden/>
          </w:rPr>
          <w:fldChar w:fldCharType="end"/>
        </w:r>
      </w:hyperlink>
    </w:p>
    <w:p w14:paraId="149615C3" w14:textId="2DBEACDE"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7" w:history="1">
        <w:r w:rsidRPr="00BA6CD9">
          <w:rPr>
            <w:rStyle w:val="Hyperlink"/>
            <w:noProof/>
          </w:rPr>
          <w:t>Table D</w:t>
        </w:r>
        <w:r w:rsidRPr="00BA6CD9">
          <w:rPr>
            <w:rStyle w:val="Hyperlink"/>
            <w:noProof/>
          </w:rPr>
          <w:noBreakHyphen/>
          <w:t>1. Citation details of included reviews – anxiety (including post-natal), magnesium (n=2).</w:t>
        </w:r>
        <w:r>
          <w:rPr>
            <w:noProof/>
            <w:webHidden/>
          </w:rPr>
          <w:tab/>
        </w:r>
        <w:r>
          <w:rPr>
            <w:noProof/>
            <w:webHidden/>
          </w:rPr>
          <w:fldChar w:fldCharType="begin"/>
        </w:r>
        <w:r>
          <w:rPr>
            <w:noProof/>
            <w:webHidden/>
          </w:rPr>
          <w:instrText xml:space="preserve"> PAGEREF _Toc185254547 \h </w:instrText>
        </w:r>
        <w:r>
          <w:rPr>
            <w:noProof/>
            <w:webHidden/>
          </w:rPr>
        </w:r>
        <w:r>
          <w:rPr>
            <w:noProof/>
            <w:webHidden/>
          </w:rPr>
          <w:fldChar w:fldCharType="separate"/>
        </w:r>
        <w:r w:rsidR="00C426C6">
          <w:rPr>
            <w:noProof/>
            <w:webHidden/>
          </w:rPr>
          <w:t>113</w:t>
        </w:r>
        <w:r>
          <w:rPr>
            <w:noProof/>
            <w:webHidden/>
          </w:rPr>
          <w:fldChar w:fldCharType="end"/>
        </w:r>
      </w:hyperlink>
    </w:p>
    <w:p w14:paraId="5CCD9AA7" w14:textId="56A98338"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8" w:history="1">
        <w:r w:rsidRPr="00BA6CD9">
          <w:rPr>
            <w:rStyle w:val="Hyperlink"/>
            <w:noProof/>
          </w:rPr>
          <w:t>Table D</w:t>
        </w:r>
        <w:r w:rsidRPr="00BA6CD9">
          <w:rPr>
            <w:rStyle w:val="Hyperlink"/>
            <w:noProof/>
          </w:rPr>
          <w:noBreakHyphen/>
          <w:t>2. Characteristics of included reviews – anxiety (including post-natal), magnesium (n=2).</w:t>
        </w:r>
        <w:r>
          <w:rPr>
            <w:noProof/>
            <w:webHidden/>
          </w:rPr>
          <w:tab/>
        </w:r>
        <w:r>
          <w:rPr>
            <w:noProof/>
            <w:webHidden/>
          </w:rPr>
          <w:fldChar w:fldCharType="begin"/>
        </w:r>
        <w:r>
          <w:rPr>
            <w:noProof/>
            <w:webHidden/>
          </w:rPr>
          <w:instrText xml:space="preserve"> PAGEREF _Toc185254548 \h </w:instrText>
        </w:r>
        <w:r>
          <w:rPr>
            <w:noProof/>
            <w:webHidden/>
          </w:rPr>
        </w:r>
        <w:r>
          <w:rPr>
            <w:noProof/>
            <w:webHidden/>
          </w:rPr>
          <w:fldChar w:fldCharType="separate"/>
        </w:r>
        <w:r w:rsidR="00C426C6">
          <w:rPr>
            <w:noProof/>
            <w:webHidden/>
          </w:rPr>
          <w:t>113</w:t>
        </w:r>
        <w:r>
          <w:rPr>
            <w:noProof/>
            <w:webHidden/>
          </w:rPr>
          <w:fldChar w:fldCharType="end"/>
        </w:r>
      </w:hyperlink>
    </w:p>
    <w:p w14:paraId="56B2D714" w14:textId="0940E18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49" w:history="1">
        <w:r w:rsidRPr="00BA6CD9">
          <w:rPr>
            <w:rStyle w:val="Hyperlink"/>
            <w:noProof/>
          </w:rPr>
          <w:t>Table D</w:t>
        </w:r>
        <w:r w:rsidRPr="00BA6CD9">
          <w:rPr>
            <w:rStyle w:val="Hyperlink"/>
            <w:noProof/>
          </w:rPr>
          <w:noBreakHyphen/>
          <w:t>3. Citation details of included reviews – stress, magnesium (n=0).</w:t>
        </w:r>
        <w:r>
          <w:rPr>
            <w:noProof/>
            <w:webHidden/>
          </w:rPr>
          <w:tab/>
        </w:r>
        <w:r>
          <w:rPr>
            <w:noProof/>
            <w:webHidden/>
          </w:rPr>
          <w:fldChar w:fldCharType="begin"/>
        </w:r>
        <w:r>
          <w:rPr>
            <w:noProof/>
            <w:webHidden/>
          </w:rPr>
          <w:instrText xml:space="preserve"> PAGEREF _Toc185254549 \h </w:instrText>
        </w:r>
        <w:r>
          <w:rPr>
            <w:noProof/>
            <w:webHidden/>
          </w:rPr>
        </w:r>
        <w:r>
          <w:rPr>
            <w:noProof/>
            <w:webHidden/>
          </w:rPr>
          <w:fldChar w:fldCharType="separate"/>
        </w:r>
        <w:r w:rsidR="00C426C6">
          <w:rPr>
            <w:noProof/>
            <w:webHidden/>
          </w:rPr>
          <w:t>114</w:t>
        </w:r>
        <w:r>
          <w:rPr>
            <w:noProof/>
            <w:webHidden/>
          </w:rPr>
          <w:fldChar w:fldCharType="end"/>
        </w:r>
      </w:hyperlink>
    </w:p>
    <w:p w14:paraId="25F1EF03" w14:textId="0DFE69B9"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0" w:history="1">
        <w:r w:rsidRPr="00BA6CD9">
          <w:rPr>
            <w:rStyle w:val="Hyperlink"/>
            <w:noProof/>
          </w:rPr>
          <w:t>Table D</w:t>
        </w:r>
        <w:r w:rsidRPr="00BA6CD9">
          <w:rPr>
            <w:rStyle w:val="Hyperlink"/>
            <w:noProof/>
          </w:rPr>
          <w:noBreakHyphen/>
          <w:t>4. Citation details of included reviews – irritable bowel syndrome, probiotics (n=31).</w:t>
        </w:r>
        <w:r>
          <w:rPr>
            <w:noProof/>
            <w:webHidden/>
          </w:rPr>
          <w:tab/>
        </w:r>
        <w:r>
          <w:rPr>
            <w:noProof/>
            <w:webHidden/>
          </w:rPr>
          <w:fldChar w:fldCharType="begin"/>
        </w:r>
        <w:r>
          <w:rPr>
            <w:noProof/>
            <w:webHidden/>
          </w:rPr>
          <w:instrText xml:space="preserve"> PAGEREF _Toc185254550 \h </w:instrText>
        </w:r>
        <w:r>
          <w:rPr>
            <w:noProof/>
            <w:webHidden/>
          </w:rPr>
        </w:r>
        <w:r>
          <w:rPr>
            <w:noProof/>
            <w:webHidden/>
          </w:rPr>
          <w:fldChar w:fldCharType="separate"/>
        </w:r>
        <w:r w:rsidR="00C426C6">
          <w:rPr>
            <w:noProof/>
            <w:webHidden/>
          </w:rPr>
          <w:t>114</w:t>
        </w:r>
        <w:r>
          <w:rPr>
            <w:noProof/>
            <w:webHidden/>
          </w:rPr>
          <w:fldChar w:fldCharType="end"/>
        </w:r>
      </w:hyperlink>
    </w:p>
    <w:p w14:paraId="4D6B0A46" w14:textId="23B5CF1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1" w:history="1">
        <w:r w:rsidRPr="00BA6CD9">
          <w:rPr>
            <w:rStyle w:val="Hyperlink"/>
            <w:noProof/>
          </w:rPr>
          <w:t>Table D</w:t>
        </w:r>
        <w:r w:rsidRPr="00BA6CD9">
          <w:rPr>
            <w:rStyle w:val="Hyperlink"/>
            <w:noProof/>
          </w:rPr>
          <w:noBreakHyphen/>
          <w:t>5. Characteristics of included reviews – Irritable bowel syndrome, probiotics (n=31).</w:t>
        </w:r>
        <w:r>
          <w:rPr>
            <w:noProof/>
            <w:webHidden/>
          </w:rPr>
          <w:tab/>
        </w:r>
        <w:r>
          <w:rPr>
            <w:noProof/>
            <w:webHidden/>
          </w:rPr>
          <w:fldChar w:fldCharType="begin"/>
        </w:r>
        <w:r>
          <w:rPr>
            <w:noProof/>
            <w:webHidden/>
          </w:rPr>
          <w:instrText xml:space="preserve"> PAGEREF _Toc185254551 \h </w:instrText>
        </w:r>
        <w:r>
          <w:rPr>
            <w:noProof/>
            <w:webHidden/>
          </w:rPr>
        </w:r>
        <w:r>
          <w:rPr>
            <w:noProof/>
            <w:webHidden/>
          </w:rPr>
          <w:fldChar w:fldCharType="separate"/>
        </w:r>
        <w:r w:rsidR="00C426C6">
          <w:rPr>
            <w:noProof/>
            <w:webHidden/>
          </w:rPr>
          <w:t>117</w:t>
        </w:r>
        <w:r>
          <w:rPr>
            <w:noProof/>
            <w:webHidden/>
          </w:rPr>
          <w:fldChar w:fldCharType="end"/>
        </w:r>
      </w:hyperlink>
    </w:p>
    <w:p w14:paraId="1E760483" w14:textId="3CDB6C80"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2" w:history="1">
        <w:r w:rsidRPr="00BA6CD9">
          <w:rPr>
            <w:rStyle w:val="Hyperlink"/>
            <w:noProof/>
          </w:rPr>
          <w:t>Table D</w:t>
        </w:r>
        <w:r w:rsidRPr="00BA6CD9">
          <w:rPr>
            <w:rStyle w:val="Hyperlink"/>
            <w:noProof/>
          </w:rPr>
          <w:noBreakHyphen/>
          <w:t>6. Citation details of included reviews – insomnia/sleeping disorders, magnesium (n=4).</w:t>
        </w:r>
        <w:r>
          <w:rPr>
            <w:noProof/>
            <w:webHidden/>
          </w:rPr>
          <w:tab/>
        </w:r>
        <w:r>
          <w:rPr>
            <w:noProof/>
            <w:webHidden/>
          </w:rPr>
          <w:fldChar w:fldCharType="begin"/>
        </w:r>
        <w:r>
          <w:rPr>
            <w:noProof/>
            <w:webHidden/>
          </w:rPr>
          <w:instrText xml:space="preserve"> PAGEREF _Toc185254552 \h </w:instrText>
        </w:r>
        <w:r>
          <w:rPr>
            <w:noProof/>
            <w:webHidden/>
          </w:rPr>
        </w:r>
        <w:r>
          <w:rPr>
            <w:noProof/>
            <w:webHidden/>
          </w:rPr>
          <w:fldChar w:fldCharType="separate"/>
        </w:r>
        <w:r w:rsidR="00C426C6">
          <w:rPr>
            <w:noProof/>
            <w:webHidden/>
          </w:rPr>
          <w:t>130</w:t>
        </w:r>
        <w:r>
          <w:rPr>
            <w:noProof/>
            <w:webHidden/>
          </w:rPr>
          <w:fldChar w:fldCharType="end"/>
        </w:r>
      </w:hyperlink>
    </w:p>
    <w:p w14:paraId="3097CA57" w14:textId="0EBA7445"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3" w:history="1">
        <w:r w:rsidRPr="00BA6CD9">
          <w:rPr>
            <w:rStyle w:val="Hyperlink"/>
            <w:noProof/>
          </w:rPr>
          <w:t>Table D</w:t>
        </w:r>
        <w:r w:rsidRPr="00BA6CD9">
          <w:rPr>
            <w:rStyle w:val="Hyperlink"/>
            <w:noProof/>
          </w:rPr>
          <w:noBreakHyphen/>
          <w:t>7. Characteristics of included reviews – Insomnia/sleeping disorders, magnesium (n=4).</w:t>
        </w:r>
        <w:r>
          <w:rPr>
            <w:noProof/>
            <w:webHidden/>
          </w:rPr>
          <w:tab/>
        </w:r>
        <w:r>
          <w:rPr>
            <w:noProof/>
            <w:webHidden/>
          </w:rPr>
          <w:fldChar w:fldCharType="begin"/>
        </w:r>
        <w:r>
          <w:rPr>
            <w:noProof/>
            <w:webHidden/>
          </w:rPr>
          <w:instrText xml:space="preserve"> PAGEREF _Toc185254553 \h </w:instrText>
        </w:r>
        <w:r>
          <w:rPr>
            <w:noProof/>
            <w:webHidden/>
          </w:rPr>
        </w:r>
        <w:r>
          <w:rPr>
            <w:noProof/>
            <w:webHidden/>
          </w:rPr>
          <w:fldChar w:fldCharType="separate"/>
        </w:r>
        <w:r w:rsidR="00C426C6">
          <w:rPr>
            <w:noProof/>
            <w:webHidden/>
          </w:rPr>
          <w:t>130</w:t>
        </w:r>
        <w:r>
          <w:rPr>
            <w:noProof/>
            <w:webHidden/>
          </w:rPr>
          <w:fldChar w:fldCharType="end"/>
        </w:r>
      </w:hyperlink>
    </w:p>
    <w:p w14:paraId="4A3A40A6" w14:textId="205BEF4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4" w:history="1">
        <w:r w:rsidRPr="00BA6CD9">
          <w:rPr>
            <w:rStyle w:val="Hyperlink"/>
            <w:noProof/>
          </w:rPr>
          <w:t>Table D</w:t>
        </w:r>
        <w:r w:rsidRPr="00BA6CD9">
          <w:rPr>
            <w:rStyle w:val="Hyperlink"/>
            <w:noProof/>
          </w:rPr>
          <w:noBreakHyphen/>
          <w:t>8. Citation details of included reviews – depression (including post-natal), omega-3 (n=26).</w:t>
        </w:r>
        <w:r>
          <w:rPr>
            <w:noProof/>
            <w:webHidden/>
          </w:rPr>
          <w:tab/>
        </w:r>
        <w:r>
          <w:rPr>
            <w:noProof/>
            <w:webHidden/>
          </w:rPr>
          <w:fldChar w:fldCharType="begin"/>
        </w:r>
        <w:r>
          <w:rPr>
            <w:noProof/>
            <w:webHidden/>
          </w:rPr>
          <w:instrText xml:space="preserve"> PAGEREF _Toc185254554 \h </w:instrText>
        </w:r>
        <w:r>
          <w:rPr>
            <w:noProof/>
            <w:webHidden/>
          </w:rPr>
        </w:r>
        <w:r>
          <w:rPr>
            <w:noProof/>
            <w:webHidden/>
          </w:rPr>
          <w:fldChar w:fldCharType="separate"/>
        </w:r>
        <w:r w:rsidR="00C426C6">
          <w:rPr>
            <w:noProof/>
            <w:webHidden/>
          </w:rPr>
          <w:t>132</w:t>
        </w:r>
        <w:r>
          <w:rPr>
            <w:noProof/>
            <w:webHidden/>
          </w:rPr>
          <w:fldChar w:fldCharType="end"/>
        </w:r>
      </w:hyperlink>
    </w:p>
    <w:p w14:paraId="37CF005D" w14:textId="35345E4E"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5" w:history="1">
        <w:r w:rsidRPr="00BA6CD9">
          <w:rPr>
            <w:rStyle w:val="Hyperlink"/>
            <w:noProof/>
          </w:rPr>
          <w:t>Table D</w:t>
        </w:r>
        <w:r w:rsidRPr="00BA6CD9">
          <w:rPr>
            <w:rStyle w:val="Hyperlink"/>
            <w:noProof/>
          </w:rPr>
          <w:noBreakHyphen/>
          <w:t>9. Characteristics of included reviews – Depression (including post-natal), omega-3 fatty acids</w:t>
        </w:r>
        <w:r>
          <w:rPr>
            <w:noProof/>
            <w:webHidden/>
          </w:rPr>
          <w:tab/>
        </w:r>
        <w:r>
          <w:rPr>
            <w:noProof/>
            <w:webHidden/>
          </w:rPr>
          <w:fldChar w:fldCharType="begin"/>
        </w:r>
        <w:r>
          <w:rPr>
            <w:noProof/>
            <w:webHidden/>
          </w:rPr>
          <w:instrText xml:space="preserve"> PAGEREF _Toc185254555 \h </w:instrText>
        </w:r>
        <w:r>
          <w:rPr>
            <w:noProof/>
            <w:webHidden/>
          </w:rPr>
        </w:r>
        <w:r>
          <w:rPr>
            <w:noProof/>
            <w:webHidden/>
          </w:rPr>
          <w:fldChar w:fldCharType="separate"/>
        </w:r>
        <w:r w:rsidR="00C426C6">
          <w:rPr>
            <w:noProof/>
            <w:webHidden/>
          </w:rPr>
          <w:t>134</w:t>
        </w:r>
        <w:r>
          <w:rPr>
            <w:noProof/>
            <w:webHidden/>
          </w:rPr>
          <w:fldChar w:fldCharType="end"/>
        </w:r>
      </w:hyperlink>
    </w:p>
    <w:p w14:paraId="1B4DC462" w14:textId="2A3F888A"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6" w:history="1">
        <w:r w:rsidRPr="00BA6CD9">
          <w:rPr>
            <w:rStyle w:val="Hyperlink"/>
            <w:noProof/>
          </w:rPr>
          <w:t>Table D</w:t>
        </w:r>
        <w:r w:rsidRPr="00BA6CD9">
          <w:rPr>
            <w:rStyle w:val="Hyperlink"/>
            <w:noProof/>
          </w:rPr>
          <w:noBreakHyphen/>
          <w:t>10. Citation details of included reviews – dysmenorrhea, cruciferous indoles (indole-3-carbinol, di-indolylmethane) (n=0).</w:t>
        </w:r>
        <w:r>
          <w:rPr>
            <w:noProof/>
            <w:webHidden/>
          </w:rPr>
          <w:tab/>
        </w:r>
        <w:r>
          <w:rPr>
            <w:noProof/>
            <w:webHidden/>
          </w:rPr>
          <w:fldChar w:fldCharType="begin"/>
        </w:r>
        <w:r>
          <w:rPr>
            <w:noProof/>
            <w:webHidden/>
          </w:rPr>
          <w:instrText xml:space="preserve"> PAGEREF _Toc185254556 \h </w:instrText>
        </w:r>
        <w:r>
          <w:rPr>
            <w:noProof/>
            <w:webHidden/>
          </w:rPr>
        </w:r>
        <w:r>
          <w:rPr>
            <w:noProof/>
            <w:webHidden/>
          </w:rPr>
          <w:fldChar w:fldCharType="separate"/>
        </w:r>
        <w:r w:rsidR="00C426C6">
          <w:rPr>
            <w:noProof/>
            <w:webHidden/>
          </w:rPr>
          <w:t>146</w:t>
        </w:r>
        <w:r>
          <w:rPr>
            <w:noProof/>
            <w:webHidden/>
          </w:rPr>
          <w:fldChar w:fldCharType="end"/>
        </w:r>
      </w:hyperlink>
    </w:p>
    <w:p w14:paraId="117399DA" w14:textId="7A18E79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7" w:history="1">
        <w:r w:rsidRPr="00BA6CD9">
          <w:rPr>
            <w:rStyle w:val="Hyperlink"/>
            <w:noProof/>
          </w:rPr>
          <w:t>Table D</w:t>
        </w:r>
        <w:r w:rsidRPr="00BA6CD9">
          <w:rPr>
            <w:rStyle w:val="Hyperlink"/>
            <w:noProof/>
          </w:rPr>
          <w:noBreakHyphen/>
          <w:t>11. Citation details of included reviews – premenstrual syndrome (PMS), cruciferous indoles (indole-3-carbinol, di-indolylmethane) (n=0).</w:t>
        </w:r>
        <w:r>
          <w:rPr>
            <w:noProof/>
            <w:webHidden/>
          </w:rPr>
          <w:tab/>
        </w:r>
        <w:r>
          <w:rPr>
            <w:noProof/>
            <w:webHidden/>
          </w:rPr>
          <w:fldChar w:fldCharType="begin"/>
        </w:r>
        <w:r>
          <w:rPr>
            <w:noProof/>
            <w:webHidden/>
          </w:rPr>
          <w:instrText xml:space="preserve"> PAGEREF _Toc185254557 \h </w:instrText>
        </w:r>
        <w:r>
          <w:rPr>
            <w:noProof/>
            <w:webHidden/>
          </w:rPr>
        </w:r>
        <w:r>
          <w:rPr>
            <w:noProof/>
            <w:webHidden/>
          </w:rPr>
          <w:fldChar w:fldCharType="separate"/>
        </w:r>
        <w:r w:rsidR="00C426C6">
          <w:rPr>
            <w:noProof/>
            <w:webHidden/>
          </w:rPr>
          <w:t>147</w:t>
        </w:r>
        <w:r>
          <w:rPr>
            <w:noProof/>
            <w:webHidden/>
          </w:rPr>
          <w:fldChar w:fldCharType="end"/>
        </w:r>
      </w:hyperlink>
    </w:p>
    <w:p w14:paraId="1AE20728" w14:textId="043FA69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8" w:history="1">
        <w:r w:rsidRPr="00BA6CD9">
          <w:rPr>
            <w:rStyle w:val="Hyperlink"/>
            <w:noProof/>
          </w:rPr>
          <w:t>Table D</w:t>
        </w:r>
        <w:r w:rsidRPr="00BA6CD9">
          <w:rPr>
            <w:rStyle w:val="Hyperlink"/>
            <w:noProof/>
          </w:rPr>
          <w:noBreakHyphen/>
          <w:t>12. Citation details of included reviews – atopic disorders (including eczema, dermatitis, allergic rhinitis, allergies), zinc (n=3).</w:t>
        </w:r>
        <w:r>
          <w:rPr>
            <w:noProof/>
            <w:webHidden/>
          </w:rPr>
          <w:tab/>
        </w:r>
        <w:r>
          <w:rPr>
            <w:noProof/>
            <w:webHidden/>
          </w:rPr>
          <w:fldChar w:fldCharType="begin"/>
        </w:r>
        <w:r>
          <w:rPr>
            <w:noProof/>
            <w:webHidden/>
          </w:rPr>
          <w:instrText xml:space="preserve"> PAGEREF _Toc185254558 \h </w:instrText>
        </w:r>
        <w:r>
          <w:rPr>
            <w:noProof/>
            <w:webHidden/>
          </w:rPr>
        </w:r>
        <w:r>
          <w:rPr>
            <w:noProof/>
            <w:webHidden/>
          </w:rPr>
          <w:fldChar w:fldCharType="separate"/>
        </w:r>
        <w:r w:rsidR="00C426C6">
          <w:rPr>
            <w:noProof/>
            <w:webHidden/>
          </w:rPr>
          <w:t>147</w:t>
        </w:r>
        <w:r>
          <w:rPr>
            <w:noProof/>
            <w:webHidden/>
          </w:rPr>
          <w:fldChar w:fldCharType="end"/>
        </w:r>
      </w:hyperlink>
    </w:p>
    <w:p w14:paraId="6C393D87" w14:textId="11A16EB0"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59" w:history="1">
        <w:r w:rsidRPr="00BA6CD9">
          <w:rPr>
            <w:rStyle w:val="Hyperlink"/>
            <w:noProof/>
          </w:rPr>
          <w:t>Table D</w:t>
        </w:r>
        <w:r w:rsidRPr="00BA6CD9">
          <w:rPr>
            <w:rStyle w:val="Hyperlink"/>
            <w:noProof/>
          </w:rPr>
          <w:noBreakHyphen/>
          <w:t>13. Characteristics of included reviews – Atopic disorders (including eczema, dermatitis, allergic rhinitis, allergies), zinc (n=3).</w:t>
        </w:r>
        <w:r>
          <w:rPr>
            <w:noProof/>
            <w:webHidden/>
          </w:rPr>
          <w:tab/>
        </w:r>
        <w:r>
          <w:rPr>
            <w:noProof/>
            <w:webHidden/>
          </w:rPr>
          <w:fldChar w:fldCharType="begin"/>
        </w:r>
        <w:r>
          <w:rPr>
            <w:noProof/>
            <w:webHidden/>
          </w:rPr>
          <w:instrText xml:space="preserve"> PAGEREF _Toc185254559 \h </w:instrText>
        </w:r>
        <w:r>
          <w:rPr>
            <w:noProof/>
            <w:webHidden/>
          </w:rPr>
        </w:r>
        <w:r>
          <w:rPr>
            <w:noProof/>
            <w:webHidden/>
          </w:rPr>
          <w:fldChar w:fldCharType="separate"/>
        </w:r>
        <w:r w:rsidR="00C426C6">
          <w:rPr>
            <w:noProof/>
            <w:webHidden/>
          </w:rPr>
          <w:t>147</w:t>
        </w:r>
        <w:r>
          <w:rPr>
            <w:noProof/>
            <w:webHidden/>
          </w:rPr>
          <w:fldChar w:fldCharType="end"/>
        </w:r>
      </w:hyperlink>
    </w:p>
    <w:p w14:paraId="6AFA667E" w14:textId="5E5ACA90"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0" w:history="1">
        <w:r w:rsidRPr="00BA6CD9">
          <w:rPr>
            <w:rStyle w:val="Hyperlink"/>
            <w:noProof/>
          </w:rPr>
          <w:t>Table D</w:t>
        </w:r>
        <w:r w:rsidRPr="00BA6CD9">
          <w:rPr>
            <w:rStyle w:val="Hyperlink"/>
            <w:noProof/>
          </w:rPr>
          <w:noBreakHyphen/>
          <w:t>14. Citation details of included reviews – fatigue (general) (including myalgic encephalomyelitis (ME) and Chronic Fatigue Syndrome (CFS)), antioxidants (specifically CoQ10 and alpha-lipoic acid) (n=6).</w:t>
        </w:r>
        <w:r>
          <w:rPr>
            <w:noProof/>
            <w:webHidden/>
          </w:rPr>
          <w:tab/>
        </w:r>
        <w:r>
          <w:rPr>
            <w:noProof/>
            <w:webHidden/>
          </w:rPr>
          <w:fldChar w:fldCharType="begin"/>
        </w:r>
        <w:r>
          <w:rPr>
            <w:noProof/>
            <w:webHidden/>
          </w:rPr>
          <w:instrText xml:space="preserve"> PAGEREF _Toc185254560 \h </w:instrText>
        </w:r>
        <w:r>
          <w:rPr>
            <w:noProof/>
            <w:webHidden/>
          </w:rPr>
        </w:r>
        <w:r>
          <w:rPr>
            <w:noProof/>
            <w:webHidden/>
          </w:rPr>
          <w:fldChar w:fldCharType="separate"/>
        </w:r>
        <w:r w:rsidR="00C426C6">
          <w:rPr>
            <w:noProof/>
            <w:webHidden/>
          </w:rPr>
          <w:t>149</w:t>
        </w:r>
        <w:r>
          <w:rPr>
            <w:noProof/>
            <w:webHidden/>
          </w:rPr>
          <w:fldChar w:fldCharType="end"/>
        </w:r>
      </w:hyperlink>
    </w:p>
    <w:p w14:paraId="233AD2C1" w14:textId="6A38817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1" w:history="1">
        <w:r w:rsidRPr="00BA6CD9">
          <w:rPr>
            <w:rStyle w:val="Hyperlink"/>
            <w:noProof/>
          </w:rPr>
          <w:t>Table D</w:t>
        </w:r>
        <w:r w:rsidRPr="00BA6CD9">
          <w:rPr>
            <w:rStyle w:val="Hyperlink"/>
            <w:noProof/>
          </w:rPr>
          <w:noBreakHyphen/>
          <w:t>15. Characteristics of included reviews – Fatigue (general) (including myalgic encephalomyelitis and Chronic Fatigue Syndrome), antioxidants (specifically CoQ10 and alpha-lipoic acid)</w:t>
        </w:r>
        <w:r>
          <w:rPr>
            <w:noProof/>
            <w:webHidden/>
          </w:rPr>
          <w:tab/>
        </w:r>
        <w:r>
          <w:rPr>
            <w:noProof/>
            <w:webHidden/>
          </w:rPr>
          <w:fldChar w:fldCharType="begin"/>
        </w:r>
        <w:r>
          <w:rPr>
            <w:noProof/>
            <w:webHidden/>
          </w:rPr>
          <w:instrText xml:space="preserve"> PAGEREF _Toc185254561 \h </w:instrText>
        </w:r>
        <w:r>
          <w:rPr>
            <w:noProof/>
            <w:webHidden/>
          </w:rPr>
        </w:r>
        <w:r>
          <w:rPr>
            <w:noProof/>
            <w:webHidden/>
          </w:rPr>
          <w:fldChar w:fldCharType="separate"/>
        </w:r>
        <w:r w:rsidR="00C426C6">
          <w:rPr>
            <w:noProof/>
            <w:webHidden/>
          </w:rPr>
          <w:t>150</w:t>
        </w:r>
        <w:r>
          <w:rPr>
            <w:noProof/>
            <w:webHidden/>
          </w:rPr>
          <w:fldChar w:fldCharType="end"/>
        </w:r>
      </w:hyperlink>
    </w:p>
    <w:p w14:paraId="22B40E02" w14:textId="4F6A5CC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2" w:history="1">
        <w:r w:rsidRPr="00BA6CD9">
          <w:rPr>
            <w:rStyle w:val="Hyperlink"/>
            <w:noProof/>
          </w:rPr>
          <w:t>Table D</w:t>
        </w:r>
        <w:r w:rsidRPr="00BA6CD9">
          <w:rPr>
            <w:rStyle w:val="Hyperlink"/>
            <w:noProof/>
          </w:rPr>
          <w:noBreakHyphen/>
          <w:t>16. Citation details of included reviews – headache and migraine, magnesium (n=6).</w:t>
        </w:r>
        <w:r>
          <w:rPr>
            <w:noProof/>
            <w:webHidden/>
          </w:rPr>
          <w:tab/>
        </w:r>
        <w:r>
          <w:rPr>
            <w:noProof/>
            <w:webHidden/>
          </w:rPr>
          <w:fldChar w:fldCharType="begin"/>
        </w:r>
        <w:r>
          <w:rPr>
            <w:noProof/>
            <w:webHidden/>
          </w:rPr>
          <w:instrText xml:space="preserve"> PAGEREF _Toc185254562 \h </w:instrText>
        </w:r>
        <w:r>
          <w:rPr>
            <w:noProof/>
            <w:webHidden/>
          </w:rPr>
        </w:r>
        <w:r>
          <w:rPr>
            <w:noProof/>
            <w:webHidden/>
          </w:rPr>
          <w:fldChar w:fldCharType="separate"/>
        </w:r>
        <w:r w:rsidR="00C426C6">
          <w:rPr>
            <w:noProof/>
            <w:webHidden/>
          </w:rPr>
          <w:t>152</w:t>
        </w:r>
        <w:r>
          <w:rPr>
            <w:noProof/>
            <w:webHidden/>
          </w:rPr>
          <w:fldChar w:fldCharType="end"/>
        </w:r>
      </w:hyperlink>
    </w:p>
    <w:p w14:paraId="708A18AC" w14:textId="45CA4051"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3" w:history="1">
        <w:r w:rsidRPr="00BA6CD9">
          <w:rPr>
            <w:rStyle w:val="Hyperlink"/>
            <w:noProof/>
          </w:rPr>
          <w:t>Table D</w:t>
        </w:r>
        <w:r w:rsidRPr="00BA6CD9">
          <w:rPr>
            <w:rStyle w:val="Hyperlink"/>
            <w:noProof/>
          </w:rPr>
          <w:noBreakHyphen/>
          <w:t>17. Characteristics of included reviews – headache and migraine, magnesium (n=6).</w:t>
        </w:r>
        <w:r>
          <w:rPr>
            <w:noProof/>
            <w:webHidden/>
          </w:rPr>
          <w:tab/>
        </w:r>
        <w:r>
          <w:rPr>
            <w:noProof/>
            <w:webHidden/>
          </w:rPr>
          <w:fldChar w:fldCharType="begin"/>
        </w:r>
        <w:r>
          <w:rPr>
            <w:noProof/>
            <w:webHidden/>
          </w:rPr>
          <w:instrText xml:space="preserve"> PAGEREF _Toc185254563 \h </w:instrText>
        </w:r>
        <w:r>
          <w:rPr>
            <w:noProof/>
            <w:webHidden/>
          </w:rPr>
        </w:r>
        <w:r>
          <w:rPr>
            <w:noProof/>
            <w:webHidden/>
          </w:rPr>
          <w:fldChar w:fldCharType="separate"/>
        </w:r>
        <w:r w:rsidR="00C426C6">
          <w:rPr>
            <w:noProof/>
            <w:webHidden/>
          </w:rPr>
          <w:t>152</w:t>
        </w:r>
        <w:r>
          <w:rPr>
            <w:noProof/>
            <w:webHidden/>
          </w:rPr>
          <w:fldChar w:fldCharType="end"/>
        </w:r>
      </w:hyperlink>
    </w:p>
    <w:p w14:paraId="7CE1764B" w14:textId="087CCC15"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4" w:history="1">
        <w:r w:rsidRPr="00BA6CD9">
          <w:rPr>
            <w:rStyle w:val="Hyperlink"/>
            <w:noProof/>
          </w:rPr>
          <w:t>Table D</w:t>
        </w:r>
        <w:r w:rsidRPr="00BA6CD9">
          <w:rPr>
            <w:rStyle w:val="Hyperlink"/>
            <w:noProof/>
          </w:rPr>
          <w:noBreakHyphen/>
          <w:t>18. Citation details of included reviews – arthritis/osteoarthritis, magnesium (n=0)</w:t>
        </w:r>
        <w:r>
          <w:rPr>
            <w:noProof/>
            <w:webHidden/>
          </w:rPr>
          <w:tab/>
        </w:r>
        <w:r>
          <w:rPr>
            <w:noProof/>
            <w:webHidden/>
          </w:rPr>
          <w:fldChar w:fldCharType="begin"/>
        </w:r>
        <w:r>
          <w:rPr>
            <w:noProof/>
            <w:webHidden/>
          </w:rPr>
          <w:instrText xml:space="preserve"> PAGEREF _Toc185254564 \h </w:instrText>
        </w:r>
        <w:r>
          <w:rPr>
            <w:noProof/>
            <w:webHidden/>
          </w:rPr>
        </w:r>
        <w:r>
          <w:rPr>
            <w:noProof/>
            <w:webHidden/>
          </w:rPr>
          <w:fldChar w:fldCharType="separate"/>
        </w:r>
        <w:r w:rsidR="00C426C6">
          <w:rPr>
            <w:noProof/>
            <w:webHidden/>
          </w:rPr>
          <w:t>155</w:t>
        </w:r>
        <w:r>
          <w:rPr>
            <w:noProof/>
            <w:webHidden/>
          </w:rPr>
          <w:fldChar w:fldCharType="end"/>
        </w:r>
      </w:hyperlink>
    </w:p>
    <w:p w14:paraId="7084062B" w14:textId="4A955EF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5" w:history="1">
        <w:r w:rsidRPr="00BA6CD9">
          <w:rPr>
            <w:rStyle w:val="Hyperlink"/>
            <w:noProof/>
          </w:rPr>
          <w:t>Table D</w:t>
        </w:r>
        <w:r w:rsidRPr="00BA6CD9">
          <w:rPr>
            <w:rStyle w:val="Hyperlink"/>
            <w:noProof/>
          </w:rPr>
          <w:noBreakHyphen/>
          <w:t>19. Citation details of included reviews – hypertension, omega-3 fatty acids (n=3)</w:t>
        </w:r>
        <w:r>
          <w:rPr>
            <w:noProof/>
            <w:webHidden/>
          </w:rPr>
          <w:tab/>
        </w:r>
        <w:r>
          <w:rPr>
            <w:noProof/>
            <w:webHidden/>
          </w:rPr>
          <w:fldChar w:fldCharType="begin"/>
        </w:r>
        <w:r>
          <w:rPr>
            <w:noProof/>
            <w:webHidden/>
          </w:rPr>
          <w:instrText xml:space="preserve"> PAGEREF _Toc185254565 \h </w:instrText>
        </w:r>
        <w:r>
          <w:rPr>
            <w:noProof/>
            <w:webHidden/>
          </w:rPr>
        </w:r>
        <w:r>
          <w:rPr>
            <w:noProof/>
            <w:webHidden/>
          </w:rPr>
          <w:fldChar w:fldCharType="separate"/>
        </w:r>
        <w:r w:rsidR="00C426C6">
          <w:rPr>
            <w:noProof/>
            <w:webHidden/>
          </w:rPr>
          <w:t>155</w:t>
        </w:r>
        <w:r>
          <w:rPr>
            <w:noProof/>
            <w:webHidden/>
          </w:rPr>
          <w:fldChar w:fldCharType="end"/>
        </w:r>
      </w:hyperlink>
    </w:p>
    <w:p w14:paraId="13ED8141" w14:textId="0B1FDC52"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6" w:history="1">
        <w:r w:rsidRPr="00BA6CD9">
          <w:rPr>
            <w:rStyle w:val="Hyperlink"/>
            <w:noProof/>
          </w:rPr>
          <w:t>Table D</w:t>
        </w:r>
        <w:r w:rsidRPr="00BA6CD9">
          <w:rPr>
            <w:rStyle w:val="Hyperlink"/>
            <w:noProof/>
          </w:rPr>
          <w:noBreakHyphen/>
          <w:t>20. Characteristics of included reviews – hypertension, omega-3 fatty acids (n=3).</w:t>
        </w:r>
        <w:r>
          <w:rPr>
            <w:noProof/>
            <w:webHidden/>
          </w:rPr>
          <w:tab/>
        </w:r>
        <w:r>
          <w:rPr>
            <w:noProof/>
            <w:webHidden/>
          </w:rPr>
          <w:fldChar w:fldCharType="begin"/>
        </w:r>
        <w:r>
          <w:rPr>
            <w:noProof/>
            <w:webHidden/>
          </w:rPr>
          <w:instrText xml:space="preserve"> PAGEREF _Toc185254566 \h </w:instrText>
        </w:r>
        <w:r>
          <w:rPr>
            <w:noProof/>
            <w:webHidden/>
          </w:rPr>
        </w:r>
        <w:r>
          <w:rPr>
            <w:noProof/>
            <w:webHidden/>
          </w:rPr>
          <w:fldChar w:fldCharType="separate"/>
        </w:r>
        <w:r w:rsidR="00C426C6">
          <w:rPr>
            <w:noProof/>
            <w:webHidden/>
          </w:rPr>
          <w:t>156</w:t>
        </w:r>
        <w:r>
          <w:rPr>
            <w:noProof/>
            <w:webHidden/>
          </w:rPr>
          <w:fldChar w:fldCharType="end"/>
        </w:r>
      </w:hyperlink>
    </w:p>
    <w:p w14:paraId="1984682B" w14:textId="0E28A761"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7" w:history="1">
        <w:r w:rsidRPr="00BA6CD9">
          <w:rPr>
            <w:rStyle w:val="Hyperlink"/>
            <w:noProof/>
          </w:rPr>
          <w:t>Table D</w:t>
        </w:r>
        <w:r w:rsidRPr="00BA6CD9">
          <w:rPr>
            <w:rStyle w:val="Hyperlink"/>
            <w:noProof/>
          </w:rPr>
          <w:noBreakHyphen/>
          <w:t>21. Citation details of included reviews – fibromyalgia, magnesium (n=3).</w:t>
        </w:r>
        <w:r>
          <w:rPr>
            <w:noProof/>
            <w:webHidden/>
          </w:rPr>
          <w:tab/>
        </w:r>
        <w:r>
          <w:rPr>
            <w:noProof/>
            <w:webHidden/>
          </w:rPr>
          <w:fldChar w:fldCharType="begin"/>
        </w:r>
        <w:r>
          <w:rPr>
            <w:noProof/>
            <w:webHidden/>
          </w:rPr>
          <w:instrText xml:space="preserve"> PAGEREF _Toc185254567 \h </w:instrText>
        </w:r>
        <w:r>
          <w:rPr>
            <w:noProof/>
            <w:webHidden/>
          </w:rPr>
        </w:r>
        <w:r>
          <w:rPr>
            <w:noProof/>
            <w:webHidden/>
          </w:rPr>
          <w:fldChar w:fldCharType="separate"/>
        </w:r>
        <w:r w:rsidR="00C426C6">
          <w:rPr>
            <w:noProof/>
            <w:webHidden/>
          </w:rPr>
          <w:t>157</w:t>
        </w:r>
        <w:r>
          <w:rPr>
            <w:noProof/>
            <w:webHidden/>
          </w:rPr>
          <w:fldChar w:fldCharType="end"/>
        </w:r>
      </w:hyperlink>
    </w:p>
    <w:p w14:paraId="079CED07" w14:textId="3919E9EE"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8" w:history="1">
        <w:r w:rsidRPr="00BA6CD9">
          <w:rPr>
            <w:rStyle w:val="Hyperlink"/>
            <w:noProof/>
          </w:rPr>
          <w:t>Table D</w:t>
        </w:r>
        <w:r w:rsidRPr="00BA6CD9">
          <w:rPr>
            <w:rStyle w:val="Hyperlink"/>
            <w:noProof/>
          </w:rPr>
          <w:noBreakHyphen/>
          <w:t>22. Characteristics of included reviews – fibromyalgia, magnesium (n=3).</w:t>
        </w:r>
        <w:r>
          <w:rPr>
            <w:noProof/>
            <w:webHidden/>
          </w:rPr>
          <w:tab/>
        </w:r>
        <w:r>
          <w:rPr>
            <w:noProof/>
            <w:webHidden/>
          </w:rPr>
          <w:fldChar w:fldCharType="begin"/>
        </w:r>
        <w:r>
          <w:rPr>
            <w:noProof/>
            <w:webHidden/>
          </w:rPr>
          <w:instrText xml:space="preserve"> PAGEREF _Toc185254568 \h </w:instrText>
        </w:r>
        <w:r>
          <w:rPr>
            <w:noProof/>
            <w:webHidden/>
          </w:rPr>
        </w:r>
        <w:r>
          <w:rPr>
            <w:noProof/>
            <w:webHidden/>
          </w:rPr>
          <w:fldChar w:fldCharType="separate"/>
        </w:r>
        <w:r w:rsidR="00C426C6">
          <w:rPr>
            <w:noProof/>
            <w:webHidden/>
          </w:rPr>
          <w:t>158</w:t>
        </w:r>
        <w:r>
          <w:rPr>
            <w:noProof/>
            <w:webHidden/>
          </w:rPr>
          <w:fldChar w:fldCharType="end"/>
        </w:r>
      </w:hyperlink>
    </w:p>
    <w:p w14:paraId="2A3DC9E3" w14:textId="7A90D8F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69" w:history="1">
        <w:r w:rsidRPr="00BA6CD9">
          <w:rPr>
            <w:rStyle w:val="Hyperlink"/>
            <w:noProof/>
          </w:rPr>
          <w:t>Table D</w:t>
        </w:r>
        <w:r w:rsidRPr="00BA6CD9">
          <w:rPr>
            <w:rStyle w:val="Hyperlink"/>
            <w:noProof/>
          </w:rPr>
          <w:noBreakHyphen/>
          <w:t>23. Citation details of included reviews – recurrent infection/s (including urinary tract infections, cystitis, respiratory tract infection, otitis media in children), zinc (n=3).</w:t>
        </w:r>
        <w:r>
          <w:rPr>
            <w:noProof/>
            <w:webHidden/>
          </w:rPr>
          <w:tab/>
        </w:r>
        <w:r>
          <w:rPr>
            <w:noProof/>
            <w:webHidden/>
          </w:rPr>
          <w:fldChar w:fldCharType="begin"/>
        </w:r>
        <w:r>
          <w:rPr>
            <w:noProof/>
            <w:webHidden/>
          </w:rPr>
          <w:instrText xml:space="preserve"> PAGEREF _Toc185254569 \h </w:instrText>
        </w:r>
        <w:r>
          <w:rPr>
            <w:noProof/>
            <w:webHidden/>
          </w:rPr>
        </w:r>
        <w:r>
          <w:rPr>
            <w:noProof/>
            <w:webHidden/>
          </w:rPr>
          <w:fldChar w:fldCharType="separate"/>
        </w:r>
        <w:r w:rsidR="00C426C6">
          <w:rPr>
            <w:noProof/>
            <w:webHidden/>
          </w:rPr>
          <w:t>160</w:t>
        </w:r>
        <w:r>
          <w:rPr>
            <w:noProof/>
            <w:webHidden/>
          </w:rPr>
          <w:fldChar w:fldCharType="end"/>
        </w:r>
      </w:hyperlink>
    </w:p>
    <w:p w14:paraId="1F76C09D" w14:textId="2BCE4C0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0" w:history="1">
        <w:r w:rsidRPr="00BA6CD9">
          <w:rPr>
            <w:rStyle w:val="Hyperlink"/>
            <w:noProof/>
          </w:rPr>
          <w:t>Table D</w:t>
        </w:r>
        <w:r w:rsidRPr="00BA6CD9">
          <w:rPr>
            <w:rStyle w:val="Hyperlink"/>
            <w:noProof/>
          </w:rPr>
          <w:noBreakHyphen/>
          <w:t>24. Characteristics of included reviews – recurrent infection/s (including urinary tract infections, cystitis, respiratory tract infection, otitis media in children), zinc (n=3).</w:t>
        </w:r>
        <w:r>
          <w:rPr>
            <w:noProof/>
            <w:webHidden/>
          </w:rPr>
          <w:tab/>
        </w:r>
        <w:r>
          <w:rPr>
            <w:noProof/>
            <w:webHidden/>
          </w:rPr>
          <w:fldChar w:fldCharType="begin"/>
        </w:r>
        <w:r>
          <w:rPr>
            <w:noProof/>
            <w:webHidden/>
          </w:rPr>
          <w:instrText xml:space="preserve"> PAGEREF _Toc185254570 \h </w:instrText>
        </w:r>
        <w:r>
          <w:rPr>
            <w:noProof/>
            <w:webHidden/>
          </w:rPr>
        </w:r>
        <w:r>
          <w:rPr>
            <w:noProof/>
            <w:webHidden/>
          </w:rPr>
          <w:fldChar w:fldCharType="separate"/>
        </w:r>
        <w:r w:rsidR="00C426C6">
          <w:rPr>
            <w:noProof/>
            <w:webHidden/>
          </w:rPr>
          <w:t>161</w:t>
        </w:r>
        <w:r>
          <w:rPr>
            <w:noProof/>
            <w:webHidden/>
          </w:rPr>
          <w:fldChar w:fldCharType="end"/>
        </w:r>
      </w:hyperlink>
    </w:p>
    <w:p w14:paraId="29C814E3" w14:textId="14CA04C6"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1" w:history="1">
        <w:r w:rsidRPr="00BA6CD9">
          <w:rPr>
            <w:rStyle w:val="Hyperlink"/>
            <w:noProof/>
          </w:rPr>
          <w:t>Table D</w:t>
        </w:r>
        <w:r w:rsidRPr="00BA6CD9">
          <w:rPr>
            <w:rStyle w:val="Hyperlink"/>
            <w:noProof/>
          </w:rPr>
          <w:noBreakHyphen/>
          <w:t>25. Citation details of included reviews – diabetes (Type lI) (including metabolic syndrome), antioxidants (specifically CoQ10 and alpha-lipoic acid) (n=10).</w:t>
        </w:r>
        <w:r>
          <w:rPr>
            <w:noProof/>
            <w:webHidden/>
          </w:rPr>
          <w:tab/>
        </w:r>
        <w:r>
          <w:rPr>
            <w:noProof/>
            <w:webHidden/>
          </w:rPr>
          <w:fldChar w:fldCharType="begin"/>
        </w:r>
        <w:r>
          <w:rPr>
            <w:noProof/>
            <w:webHidden/>
          </w:rPr>
          <w:instrText xml:space="preserve"> PAGEREF _Toc185254571 \h </w:instrText>
        </w:r>
        <w:r>
          <w:rPr>
            <w:noProof/>
            <w:webHidden/>
          </w:rPr>
        </w:r>
        <w:r>
          <w:rPr>
            <w:noProof/>
            <w:webHidden/>
          </w:rPr>
          <w:fldChar w:fldCharType="separate"/>
        </w:r>
        <w:r w:rsidR="00C426C6">
          <w:rPr>
            <w:noProof/>
            <w:webHidden/>
          </w:rPr>
          <w:t>162</w:t>
        </w:r>
        <w:r>
          <w:rPr>
            <w:noProof/>
            <w:webHidden/>
          </w:rPr>
          <w:fldChar w:fldCharType="end"/>
        </w:r>
      </w:hyperlink>
    </w:p>
    <w:p w14:paraId="7BD617BC" w14:textId="37402D8C"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2" w:history="1">
        <w:r w:rsidRPr="00BA6CD9">
          <w:rPr>
            <w:rStyle w:val="Hyperlink"/>
            <w:noProof/>
          </w:rPr>
          <w:t>Table D</w:t>
        </w:r>
        <w:r w:rsidRPr="00BA6CD9">
          <w:rPr>
            <w:rStyle w:val="Hyperlink"/>
            <w:noProof/>
          </w:rPr>
          <w:noBreakHyphen/>
          <w:t>26. Characteristics of included reviews – diabetes (Type lI) (including metabolic syndrome), antioxidants (specifically CoQ10 and alpha-lipoic acid) (n=10).</w:t>
        </w:r>
        <w:r>
          <w:rPr>
            <w:noProof/>
            <w:webHidden/>
          </w:rPr>
          <w:tab/>
        </w:r>
        <w:r>
          <w:rPr>
            <w:noProof/>
            <w:webHidden/>
          </w:rPr>
          <w:fldChar w:fldCharType="begin"/>
        </w:r>
        <w:r>
          <w:rPr>
            <w:noProof/>
            <w:webHidden/>
          </w:rPr>
          <w:instrText xml:space="preserve"> PAGEREF _Toc185254572 \h </w:instrText>
        </w:r>
        <w:r>
          <w:rPr>
            <w:noProof/>
            <w:webHidden/>
          </w:rPr>
        </w:r>
        <w:r>
          <w:rPr>
            <w:noProof/>
            <w:webHidden/>
          </w:rPr>
          <w:fldChar w:fldCharType="separate"/>
        </w:r>
        <w:r w:rsidR="00C426C6">
          <w:rPr>
            <w:noProof/>
            <w:webHidden/>
          </w:rPr>
          <w:t>163</w:t>
        </w:r>
        <w:r>
          <w:rPr>
            <w:noProof/>
            <w:webHidden/>
          </w:rPr>
          <w:fldChar w:fldCharType="end"/>
        </w:r>
      </w:hyperlink>
    </w:p>
    <w:p w14:paraId="5F598E3E" w14:textId="52E1CE0D"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3" w:history="1">
        <w:r w:rsidRPr="00BA6CD9">
          <w:rPr>
            <w:rStyle w:val="Hyperlink"/>
            <w:noProof/>
          </w:rPr>
          <w:t>Table E</w:t>
        </w:r>
        <w:r w:rsidRPr="00BA6CD9">
          <w:rPr>
            <w:rStyle w:val="Hyperlink"/>
            <w:noProof/>
          </w:rPr>
          <w:noBreakHyphen/>
          <w:t>1. Results of preferred reviews by outcome domain – anxiety (including post-natal), magnesium</w:t>
        </w:r>
        <w:r>
          <w:rPr>
            <w:noProof/>
            <w:webHidden/>
          </w:rPr>
          <w:tab/>
        </w:r>
        <w:r>
          <w:rPr>
            <w:noProof/>
            <w:webHidden/>
          </w:rPr>
          <w:fldChar w:fldCharType="begin"/>
        </w:r>
        <w:r>
          <w:rPr>
            <w:noProof/>
            <w:webHidden/>
          </w:rPr>
          <w:instrText xml:space="preserve"> PAGEREF _Toc185254573 \h </w:instrText>
        </w:r>
        <w:r>
          <w:rPr>
            <w:noProof/>
            <w:webHidden/>
          </w:rPr>
        </w:r>
        <w:r>
          <w:rPr>
            <w:noProof/>
            <w:webHidden/>
          </w:rPr>
          <w:fldChar w:fldCharType="separate"/>
        </w:r>
        <w:r w:rsidR="00C426C6">
          <w:rPr>
            <w:noProof/>
            <w:webHidden/>
          </w:rPr>
          <w:t>167</w:t>
        </w:r>
        <w:r>
          <w:rPr>
            <w:noProof/>
            <w:webHidden/>
          </w:rPr>
          <w:fldChar w:fldCharType="end"/>
        </w:r>
      </w:hyperlink>
    </w:p>
    <w:p w14:paraId="09B2BF9C" w14:textId="1C1CE0A2"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4" w:history="1">
        <w:r w:rsidRPr="00BA6CD9">
          <w:rPr>
            <w:rStyle w:val="Hyperlink"/>
            <w:noProof/>
          </w:rPr>
          <w:t>Table E</w:t>
        </w:r>
        <w:r w:rsidRPr="00BA6CD9">
          <w:rPr>
            <w:rStyle w:val="Hyperlink"/>
            <w:noProof/>
          </w:rPr>
          <w:noBreakHyphen/>
          <w:t>2. Results of preferred reviews by outcome domain – irritable bowel syndrome, probiotics.</w:t>
        </w:r>
        <w:r>
          <w:rPr>
            <w:noProof/>
            <w:webHidden/>
          </w:rPr>
          <w:tab/>
        </w:r>
        <w:r>
          <w:rPr>
            <w:noProof/>
            <w:webHidden/>
          </w:rPr>
          <w:fldChar w:fldCharType="begin"/>
        </w:r>
        <w:r>
          <w:rPr>
            <w:noProof/>
            <w:webHidden/>
          </w:rPr>
          <w:instrText xml:space="preserve"> PAGEREF _Toc185254574 \h </w:instrText>
        </w:r>
        <w:r>
          <w:rPr>
            <w:noProof/>
            <w:webHidden/>
          </w:rPr>
        </w:r>
        <w:r>
          <w:rPr>
            <w:noProof/>
            <w:webHidden/>
          </w:rPr>
          <w:fldChar w:fldCharType="separate"/>
        </w:r>
        <w:r w:rsidR="00C426C6">
          <w:rPr>
            <w:noProof/>
            <w:webHidden/>
          </w:rPr>
          <w:t>168</w:t>
        </w:r>
        <w:r>
          <w:rPr>
            <w:noProof/>
            <w:webHidden/>
          </w:rPr>
          <w:fldChar w:fldCharType="end"/>
        </w:r>
      </w:hyperlink>
    </w:p>
    <w:p w14:paraId="296D8A68" w14:textId="7BB55765"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5" w:history="1">
        <w:r w:rsidRPr="00BA6CD9">
          <w:rPr>
            <w:rStyle w:val="Hyperlink"/>
            <w:noProof/>
          </w:rPr>
          <w:t>Table E</w:t>
        </w:r>
        <w:r w:rsidRPr="00BA6CD9">
          <w:rPr>
            <w:rStyle w:val="Hyperlink"/>
            <w:noProof/>
          </w:rPr>
          <w:noBreakHyphen/>
          <w:t>3. Results of included (non-preferred) reviews by outcome domain – irritable bowel syndrome, probiotics</w:t>
        </w:r>
        <w:r>
          <w:rPr>
            <w:noProof/>
            <w:webHidden/>
          </w:rPr>
          <w:tab/>
        </w:r>
        <w:r>
          <w:rPr>
            <w:noProof/>
            <w:webHidden/>
          </w:rPr>
          <w:fldChar w:fldCharType="begin"/>
        </w:r>
        <w:r>
          <w:rPr>
            <w:noProof/>
            <w:webHidden/>
          </w:rPr>
          <w:instrText xml:space="preserve"> PAGEREF _Toc185254575 \h </w:instrText>
        </w:r>
        <w:r>
          <w:rPr>
            <w:noProof/>
            <w:webHidden/>
          </w:rPr>
        </w:r>
        <w:r>
          <w:rPr>
            <w:noProof/>
            <w:webHidden/>
          </w:rPr>
          <w:fldChar w:fldCharType="separate"/>
        </w:r>
        <w:r w:rsidR="00C426C6">
          <w:rPr>
            <w:noProof/>
            <w:webHidden/>
          </w:rPr>
          <w:t>173</w:t>
        </w:r>
        <w:r>
          <w:rPr>
            <w:noProof/>
            <w:webHidden/>
          </w:rPr>
          <w:fldChar w:fldCharType="end"/>
        </w:r>
      </w:hyperlink>
    </w:p>
    <w:p w14:paraId="6A637D3D" w14:textId="0D96E5F0"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6" w:history="1">
        <w:r w:rsidRPr="00BA6CD9">
          <w:rPr>
            <w:rStyle w:val="Hyperlink"/>
            <w:noProof/>
          </w:rPr>
          <w:t>Table E</w:t>
        </w:r>
        <w:r w:rsidRPr="00BA6CD9">
          <w:rPr>
            <w:rStyle w:val="Hyperlink"/>
            <w:noProof/>
          </w:rPr>
          <w:noBreakHyphen/>
          <w:t>4. Results of preferred reviews by outcome domain – insomnia/sleeping disorders, magnesium</w:t>
        </w:r>
        <w:r>
          <w:rPr>
            <w:noProof/>
            <w:webHidden/>
          </w:rPr>
          <w:tab/>
        </w:r>
        <w:r>
          <w:rPr>
            <w:noProof/>
            <w:webHidden/>
          </w:rPr>
          <w:fldChar w:fldCharType="begin"/>
        </w:r>
        <w:r>
          <w:rPr>
            <w:noProof/>
            <w:webHidden/>
          </w:rPr>
          <w:instrText xml:space="preserve"> PAGEREF _Toc185254576 \h </w:instrText>
        </w:r>
        <w:r>
          <w:rPr>
            <w:noProof/>
            <w:webHidden/>
          </w:rPr>
        </w:r>
        <w:r>
          <w:rPr>
            <w:noProof/>
            <w:webHidden/>
          </w:rPr>
          <w:fldChar w:fldCharType="separate"/>
        </w:r>
        <w:r w:rsidR="00C426C6">
          <w:rPr>
            <w:noProof/>
            <w:webHidden/>
          </w:rPr>
          <w:t>198</w:t>
        </w:r>
        <w:r>
          <w:rPr>
            <w:noProof/>
            <w:webHidden/>
          </w:rPr>
          <w:fldChar w:fldCharType="end"/>
        </w:r>
      </w:hyperlink>
    </w:p>
    <w:p w14:paraId="05C8759D" w14:textId="245B4642"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7" w:history="1">
        <w:r w:rsidRPr="00BA6CD9">
          <w:rPr>
            <w:rStyle w:val="Hyperlink"/>
            <w:noProof/>
          </w:rPr>
          <w:t>Table E</w:t>
        </w:r>
        <w:r w:rsidRPr="00BA6CD9">
          <w:rPr>
            <w:rStyle w:val="Hyperlink"/>
            <w:noProof/>
          </w:rPr>
          <w:noBreakHyphen/>
          <w:t>5. Results of included (non-preferred) reviews by outcome domain – insomnia/sleeping disorders, magnesium</w:t>
        </w:r>
        <w:r>
          <w:rPr>
            <w:noProof/>
            <w:webHidden/>
          </w:rPr>
          <w:tab/>
        </w:r>
        <w:r>
          <w:rPr>
            <w:noProof/>
            <w:webHidden/>
          </w:rPr>
          <w:fldChar w:fldCharType="begin"/>
        </w:r>
        <w:r>
          <w:rPr>
            <w:noProof/>
            <w:webHidden/>
          </w:rPr>
          <w:instrText xml:space="preserve"> PAGEREF _Toc185254577 \h </w:instrText>
        </w:r>
        <w:r>
          <w:rPr>
            <w:noProof/>
            <w:webHidden/>
          </w:rPr>
        </w:r>
        <w:r>
          <w:rPr>
            <w:noProof/>
            <w:webHidden/>
          </w:rPr>
          <w:fldChar w:fldCharType="separate"/>
        </w:r>
        <w:r w:rsidR="00C426C6">
          <w:rPr>
            <w:noProof/>
            <w:webHidden/>
          </w:rPr>
          <w:t>201</w:t>
        </w:r>
        <w:r>
          <w:rPr>
            <w:noProof/>
            <w:webHidden/>
          </w:rPr>
          <w:fldChar w:fldCharType="end"/>
        </w:r>
      </w:hyperlink>
    </w:p>
    <w:p w14:paraId="7654C373" w14:textId="766DF54A"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8" w:history="1">
        <w:r w:rsidRPr="00BA6CD9">
          <w:rPr>
            <w:rStyle w:val="Hyperlink"/>
            <w:noProof/>
          </w:rPr>
          <w:t>Table E</w:t>
        </w:r>
        <w:r w:rsidRPr="00BA6CD9">
          <w:rPr>
            <w:rStyle w:val="Hyperlink"/>
            <w:noProof/>
          </w:rPr>
          <w:noBreakHyphen/>
          <w:t>6. Results of preferred reviews by outcome domain – depression (including post-natal), omega-3 fatty acids</w:t>
        </w:r>
        <w:r>
          <w:rPr>
            <w:noProof/>
            <w:webHidden/>
          </w:rPr>
          <w:tab/>
        </w:r>
        <w:r>
          <w:rPr>
            <w:noProof/>
            <w:webHidden/>
          </w:rPr>
          <w:fldChar w:fldCharType="begin"/>
        </w:r>
        <w:r>
          <w:rPr>
            <w:noProof/>
            <w:webHidden/>
          </w:rPr>
          <w:instrText xml:space="preserve"> PAGEREF _Toc185254578 \h </w:instrText>
        </w:r>
        <w:r>
          <w:rPr>
            <w:noProof/>
            <w:webHidden/>
          </w:rPr>
        </w:r>
        <w:r>
          <w:rPr>
            <w:noProof/>
            <w:webHidden/>
          </w:rPr>
          <w:fldChar w:fldCharType="separate"/>
        </w:r>
        <w:r w:rsidR="00C426C6">
          <w:rPr>
            <w:noProof/>
            <w:webHidden/>
          </w:rPr>
          <w:t>203</w:t>
        </w:r>
        <w:r>
          <w:rPr>
            <w:noProof/>
            <w:webHidden/>
          </w:rPr>
          <w:fldChar w:fldCharType="end"/>
        </w:r>
      </w:hyperlink>
    </w:p>
    <w:p w14:paraId="2CDB148E" w14:textId="7C008F45"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79" w:history="1">
        <w:r w:rsidRPr="00BA6CD9">
          <w:rPr>
            <w:rStyle w:val="Hyperlink"/>
            <w:noProof/>
          </w:rPr>
          <w:t>Table E</w:t>
        </w:r>
        <w:r w:rsidRPr="00BA6CD9">
          <w:rPr>
            <w:rStyle w:val="Hyperlink"/>
            <w:noProof/>
          </w:rPr>
          <w:noBreakHyphen/>
          <w:t>7. Results of included (non-preferred) reviews by outcome domain – depression (including post-natal), omega-3 fatty acids</w:t>
        </w:r>
        <w:r>
          <w:rPr>
            <w:noProof/>
            <w:webHidden/>
          </w:rPr>
          <w:tab/>
        </w:r>
        <w:r>
          <w:rPr>
            <w:noProof/>
            <w:webHidden/>
          </w:rPr>
          <w:fldChar w:fldCharType="begin"/>
        </w:r>
        <w:r>
          <w:rPr>
            <w:noProof/>
            <w:webHidden/>
          </w:rPr>
          <w:instrText xml:space="preserve"> PAGEREF _Toc185254579 \h </w:instrText>
        </w:r>
        <w:r>
          <w:rPr>
            <w:noProof/>
            <w:webHidden/>
          </w:rPr>
        </w:r>
        <w:r>
          <w:rPr>
            <w:noProof/>
            <w:webHidden/>
          </w:rPr>
          <w:fldChar w:fldCharType="separate"/>
        </w:r>
        <w:r w:rsidR="00C426C6">
          <w:rPr>
            <w:noProof/>
            <w:webHidden/>
          </w:rPr>
          <w:t>206</w:t>
        </w:r>
        <w:r>
          <w:rPr>
            <w:noProof/>
            <w:webHidden/>
          </w:rPr>
          <w:fldChar w:fldCharType="end"/>
        </w:r>
      </w:hyperlink>
    </w:p>
    <w:p w14:paraId="6BB05623" w14:textId="5F59D801"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0" w:history="1">
        <w:r w:rsidRPr="00BA6CD9">
          <w:rPr>
            <w:rStyle w:val="Hyperlink"/>
            <w:noProof/>
          </w:rPr>
          <w:t>Table E</w:t>
        </w:r>
        <w:r w:rsidRPr="00BA6CD9">
          <w:rPr>
            <w:rStyle w:val="Hyperlink"/>
            <w:noProof/>
          </w:rPr>
          <w:noBreakHyphen/>
          <w:t>8. Results of preferred reviews by outcome domain – atopic disorders (including eczema, dermatitis, allergic rhinitis, allergies), zinc.</w:t>
        </w:r>
        <w:r>
          <w:rPr>
            <w:noProof/>
            <w:webHidden/>
          </w:rPr>
          <w:tab/>
        </w:r>
        <w:r>
          <w:rPr>
            <w:noProof/>
            <w:webHidden/>
          </w:rPr>
          <w:fldChar w:fldCharType="begin"/>
        </w:r>
        <w:r>
          <w:rPr>
            <w:noProof/>
            <w:webHidden/>
          </w:rPr>
          <w:instrText xml:space="preserve"> PAGEREF _Toc185254580 \h </w:instrText>
        </w:r>
        <w:r>
          <w:rPr>
            <w:noProof/>
            <w:webHidden/>
          </w:rPr>
        </w:r>
        <w:r>
          <w:rPr>
            <w:noProof/>
            <w:webHidden/>
          </w:rPr>
          <w:fldChar w:fldCharType="separate"/>
        </w:r>
        <w:r w:rsidR="00C426C6">
          <w:rPr>
            <w:noProof/>
            <w:webHidden/>
          </w:rPr>
          <w:t>216</w:t>
        </w:r>
        <w:r>
          <w:rPr>
            <w:noProof/>
            <w:webHidden/>
          </w:rPr>
          <w:fldChar w:fldCharType="end"/>
        </w:r>
      </w:hyperlink>
    </w:p>
    <w:p w14:paraId="66E572A6" w14:textId="378B0C28"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1" w:history="1">
        <w:r w:rsidRPr="00BA6CD9">
          <w:rPr>
            <w:rStyle w:val="Hyperlink"/>
            <w:noProof/>
          </w:rPr>
          <w:t>Table E</w:t>
        </w:r>
        <w:r w:rsidRPr="00BA6CD9">
          <w:rPr>
            <w:rStyle w:val="Hyperlink"/>
            <w:noProof/>
          </w:rPr>
          <w:noBreakHyphen/>
          <w:t>9. Results of included (non-preferred) reviews by outcome domain – atopic disorders (including eczema, dermatitis, allergic rhinitis, allergies), zinc.</w:t>
        </w:r>
        <w:r>
          <w:rPr>
            <w:noProof/>
            <w:webHidden/>
          </w:rPr>
          <w:tab/>
        </w:r>
        <w:r>
          <w:rPr>
            <w:noProof/>
            <w:webHidden/>
          </w:rPr>
          <w:fldChar w:fldCharType="begin"/>
        </w:r>
        <w:r>
          <w:rPr>
            <w:noProof/>
            <w:webHidden/>
          </w:rPr>
          <w:instrText xml:space="preserve"> PAGEREF _Toc185254581 \h </w:instrText>
        </w:r>
        <w:r>
          <w:rPr>
            <w:noProof/>
            <w:webHidden/>
          </w:rPr>
        </w:r>
        <w:r>
          <w:rPr>
            <w:noProof/>
            <w:webHidden/>
          </w:rPr>
          <w:fldChar w:fldCharType="separate"/>
        </w:r>
        <w:r w:rsidR="00C426C6">
          <w:rPr>
            <w:noProof/>
            <w:webHidden/>
          </w:rPr>
          <w:t>217</w:t>
        </w:r>
        <w:r>
          <w:rPr>
            <w:noProof/>
            <w:webHidden/>
          </w:rPr>
          <w:fldChar w:fldCharType="end"/>
        </w:r>
      </w:hyperlink>
    </w:p>
    <w:p w14:paraId="0B6C46EA" w14:textId="751491CB"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2" w:history="1">
        <w:r w:rsidRPr="00BA6CD9">
          <w:rPr>
            <w:rStyle w:val="Hyperlink"/>
            <w:noProof/>
          </w:rPr>
          <w:t>Table E</w:t>
        </w:r>
        <w:r w:rsidRPr="00BA6CD9">
          <w:rPr>
            <w:rStyle w:val="Hyperlink"/>
            <w:noProof/>
          </w:rPr>
          <w:noBreakHyphen/>
          <w:t>10. Results of preferred reviews by outcome domain – fatigue (general) (including myalgic encephalomyelitis (ME) and Chronic Fatigue Syndrome (CFS)), antioxidants (specifically coq10 and alpha-lipoic acid)</w:t>
        </w:r>
        <w:r>
          <w:rPr>
            <w:noProof/>
            <w:webHidden/>
          </w:rPr>
          <w:tab/>
        </w:r>
        <w:r>
          <w:rPr>
            <w:noProof/>
            <w:webHidden/>
          </w:rPr>
          <w:fldChar w:fldCharType="begin"/>
        </w:r>
        <w:r>
          <w:rPr>
            <w:noProof/>
            <w:webHidden/>
          </w:rPr>
          <w:instrText xml:space="preserve"> PAGEREF _Toc185254582 \h </w:instrText>
        </w:r>
        <w:r>
          <w:rPr>
            <w:noProof/>
            <w:webHidden/>
          </w:rPr>
        </w:r>
        <w:r>
          <w:rPr>
            <w:noProof/>
            <w:webHidden/>
          </w:rPr>
          <w:fldChar w:fldCharType="separate"/>
        </w:r>
        <w:r w:rsidR="00C426C6">
          <w:rPr>
            <w:noProof/>
            <w:webHidden/>
          </w:rPr>
          <w:t>218</w:t>
        </w:r>
        <w:r>
          <w:rPr>
            <w:noProof/>
            <w:webHidden/>
          </w:rPr>
          <w:fldChar w:fldCharType="end"/>
        </w:r>
      </w:hyperlink>
    </w:p>
    <w:p w14:paraId="53E9351B" w14:textId="35234A03"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3" w:history="1">
        <w:r w:rsidRPr="00BA6CD9">
          <w:rPr>
            <w:rStyle w:val="Hyperlink"/>
            <w:noProof/>
          </w:rPr>
          <w:t>Table E</w:t>
        </w:r>
        <w:r w:rsidRPr="00BA6CD9">
          <w:rPr>
            <w:rStyle w:val="Hyperlink"/>
            <w:noProof/>
          </w:rPr>
          <w:noBreakHyphen/>
          <w:t>11. Results of included (non-preferred) reviews by outcome domain – fatigue (general) (including myalgic encephalomyelitis (ME) and Chronic Fatigue Syndrome (CFS)), antioxidants (specifically coq10 and alpha-lipoic acid)</w:t>
        </w:r>
        <w:r>
          <w:rPr>
            <w:noProof/>
            <w:webHidden/>
          </w:rPr>
          <w:tab/>
        </w:r>
        <w:r>
          <w:rPr>
            <w:noProof/>
            <w:webHidden/>
          </w:rPr>
          <w:fldChar w:fldCharType="begin"/>
        </w:r>
        <w:r>
          <w:rPr>
            <w:noProof/>
            <w:webHidden/>
          </w:rPr>
          <w:instrText xml:space="preserve"> PAGEREF _Toc185254583 \h </w:instrText>
        </w:r>
        <w:r>
          <w:rPr>
            <w:noProof/>
            <w:webHidden/>
          </w:rPr>
        </w:r>
        <w:r>
          <w:rPr>
            <w:noProof/>
            <w:webHidden/>
          </w:rPr>
          <w:fldChar w:fldCharType="separate"/>
        </w:r>
        <w:r w:rsidR="00C426C6">
          <w:rPr>
            <w:noProof/>
            <w:webHidden/>
          </w:rPr>
          <w:t>220</w:t>
        </w:r>
        <w:r>
          <w:rPr>
            <w:noProof/>
            <w:webHidden/>
          </w:rPr>
          <w:fldChar w:fldCharType="end"/>
        </w:r>
      </w:hyperlink>
    </w:p>
    <w:p w14:paraId="34A72C31" w14:textId="615FB7C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4" w:history="1">
        <w:r w:rsidRPr="00BA6CD9">
          <w:rPr>
            <w:rStyle w:val="Hyperlink"/>
            <w:noProof/>
          </w:rPr>
          <w:t>Table E</w:t>
        </w:r>
        <w:r w:rsidRPr="00BA6CD9">
          <w:rPr>
            <w:rStyle w:val="Hyperlink"/>
            <w:noProof/>
          </w:rPr>
          <w:noBreakHyphen/>
          <w:t>12. Results of preferred reviews by outcome domain – headache and migraine, magnesium.</w:t>
        </w:r>
        <w:r>
          <w:rPr>
            <w:noProof/>
            <w:webHidden/>
          </w:rPr>
          <w:tab/>
        </w:r>
        <w:r>
          <w:rPr>
            <w:noProof/>
            <w:webHidden/>
          </w:rPr>
          <w:fldChar w:fldCharType="begin"/>
        </w:r>
        <w:r>
          <w:rPr>
            <w:noProof/>
            <w:webHidden/>
          </w:rPr>
          <w:instrText xml:space="preserve"> PAGEREF _Toc185254584 \h </w:instrText>
        </w:r>
        <w:r>
          <w:rPr>
            <w:noProof/>
            <w:webHidden/>
          </w:rPr>
        </w:r>
        <w:r>
          <w:rPr>
            <w:noProof/>
            <w:webHidden/>
          </w:rPr>
          <w:fldChar w:fldCharType="separate"/>
        </w:r>
        <w:r w:rsidR="00C426C6">
          <w:rPr>
            <w:noProof/>
            <w:webHidden/>
          </w:rPr>
          <w:t>222</w:t>
        </w:r>
        <w:r>
          <w:rPr>
            <w:noProof/>
            <w:webHidden/>
          </w:rPr>
          <w:fldChar w:fldCharType="end"/>
        </w:r>
      </w:hyperlink>
    </w:p>
    <w:p w14:paraId="0C573669" w14:textId="6689EB3E"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5" w:history="1">
        <w:r w:rsidRPr="00BA6CD9">
          <w:rPr>
            <w:rStyle w:val="Hyperlink"/>
            <w:noProof/>
          </w:rPr>
          <w:t>Table E</w:t>
        </w:r>
        <w:r w:rsidRPr="00BA6CD9">
          <w:rPr>
            <w:rStyle w:val="Hyperlink"/>
            <w:noProof/>
          </w:rPr>
          <w:noBreakHyphen/>
          <w:t>13. Results of included (non-preferred) reviews by outcome domain – headache and migraine, magnesium.</w:t>
        </w:r>
        <w:r>
          <w:rPr>
            <w:noProof/>
            <w:webHidden/>
          </w:rPr>
          <w:tab/>
        </w:r>
        <w:r>
          <w:rPr>
            <w:noProof/>
            <w:webHidden/>
          </w:rPr>
          <w:fldChar w:fldCharType="begin"/>
        </w:r>
        <w:r>
          <w:rPr>
            <w:noProof/>
            <w:webHidden/>
          </w:rPr>
          <w:instrText xml:space="preserve"> PAGEREF _Toc185254585 \h </w:instrText>
        </w:r>
        <w:r>
          <w:rPr>
            <w:noProof/>
            <w:webHidden/>
          </w:rPr>
        </w:r>
        <w:r>
          <w:rPr>
            <w:noProof/>
            <w:webHidden/>
          </w:rPr>
          <w:fldChar w:fldCharType="separate"/>
        </w:r>
        <w:r w:rsidR="00C426C6">
          <w:rPr>
            <w:noProof/>
            <w:webHidden/>
          </w:rPr>
          <w:t>223</w:t>
        </w:r>
        <w:r>
          <w:rPr>
            <w:noProof/>
            <w:webHidden/>
          </w:rPr>
          <w:fldChar w:fldCharType="end"/>
        </w:r>
      </w:hyperlink>
    </w:p>
    <w:p w14:paraId="08CF0F1F" w14:textId="67432190"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6" w:history="1">
        <w:r w:rsidRPr="00BA6CD9">
          <w:rPr>
            <w:rStyle w:val="Hyperlink"/>
            <w:noProof/>
          </w:rPr>
          <w:t>Table E</w:t>
        </w:r>
        <w:r w:rsidRPr="00BA6CD9">
          <w:rPr>
            <w:rStyle w:val="Hyperlink"/>
            <w:noProof/>
          </w:rPr>
          <w:noBreakHyphen/>
          <w:t>14. Results of preferred reviews by outcome domain – hypertension, omega-3 fatty acids.</w:t>
        </w:r>
        <w:r>
          <w:rPr>
            <w:noProof/>
            <w:webHidden/>
          </w:rPr>
          <w:tab/>
        </w:r>
        <w:r>
          <w:rPr>
            <w:noProof/>
            <w:webHidden/>
          </w:rPr>
          <w:fldChar w:fldCharType="begin"/>
        </w:r>
        <w:r>
          <w:rPr>
            <w:noProof/>
            <w:webHidden/>
          </w:rPr>
          <w:instrText xml:space="preserve"> PAGEREF _Toc185254586 \h </w:instrText>
        </w:r>
        <w:r>
          <w:rPr>
            <w:noProof/>
            <w:webHidden/>
          </w:rPr>
        </w:r>
        <w:r>
          <w:rPr>
            <w:noProof/>
            <w:webHidden/>
          </w:rPr>
          <w:fldChar w:fldCharType="separate"/>
        </w:r>
        <w:r w:rsidR="00C426C6">
          <w:rPr>
            <w:noProof/>
            <w:webHidden/>
          </w:rPr>
          <w:t>227</w:t>
        </w:r>
        <w:r>
          <w:rPr>
            <w:noProof/>
            <w:webHidden/>
          </w:rPr>
          <w:fldChar w:fldCharType="end"/>
        </w:r>
      </w:hyperlink>
    </w:p>
    <w:p w14:paraId="0A83DBDA" w14:textId="5A94E84E"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7" w:history="1">
        <w:r w:rsidRPr="00BA6CD9">
          <w:rPr>
            <w:rStyle w:val="Hyperlink"/>
            <w:noProof/>
          </w:rPr>
          <w:t>Table E</w:t>
        </w:r>
        <w:r w:rsidRPr="00BA6CD9">
          <w:rPr>
            <w:rStyle w:val="Hyperlink"/>
            <w:noProof/>
          </w:rPr>
          <w:noBreakHyphen/>
          <w:t>15. Results of included (non-preferred) reviews by outcome domain – hypertension, omega-3 fatty acids.</w:t>
        </w:r>
        <w:r>
          <w:rPr>
            <w:noProof/>
            <w:webHidden/>
          </w:rPr>
          <w:tab/>
        </w:r>
        <w:r>
          <w:rPr>
            <w:noProof/>
            <w:webHidden/>
          </w:rPr>
          <w:fldChar w:fldCharType="begin"/>
        </w:r>
        <w:r>
          <w:rPr>
            <w:noProof/>
            <w:webHidden/>
          </w:rPr>
          <w:instrText xml:space="preserve"> PAGEREF _Toc185254587 \h </w:instrText>
        </w:r>
        <w:r>
          <w:rPr>
            <w:noProof/>
            <w:webHidden/>
          </w:rPr>
        </w:r>
        <w:r>
          <w:rPr>
            <w:noProof/>
            <w:webHidden/>
          </w:rPr>
          <w:fldChar w:fldCharType="separate"/>
        </w:r>
        <w:r w:rsidR="00C426C6">
          <w:rPr>
            <w:noProof/>
            <w:webHidden/>
          </w:rPr>
          <w:t>228</w:t>
        </w:r>
        <w:r>
          <w:rPr>
            <w:noProof/>
            <w:webHidden/>
          </w:rPr>
          <w:fldChar w:fldCharType="end"/>
        </w:r>
      </w:hyperlink>
    </w:p>
    <w:p w14:paraId="7F95E786" w14:textId="3FE2208B"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8" w:history="1">
        <w:r w:rsidRPr="00BA6CD9">
          <w:rPr>
            <w:rStyle w:val="Hyperlink"/>
            <w:noProof/>
          </w:rPr>
          <w:t>Table E</w:t>
        </w:r>
        <w:r w:rsidRPr="00BA6CD9">
          <w:rPr>
            <w:rStyle w:val="Hyperlink"/>
            <w:noProof/>
          </w:rPr>
          <w:noBreakHyphen/>
          <w:t>16. Results of preferred reviews by outcome domain – fibromyalgia, magnesium.</w:t>
        </w:r>
        <w:r>
          <w:rPr>
            <w:noProof/>
            <w:webHidden/>
          </w:rPr>
          <w:tab/>
        </w:r>
        <w:r>
          <w:rPr>
            <w:noProof/>
            <w:webHidden/>
          </w:rPr>
          <w:fldChar w:fldCharType="begin"/>
        </w:r>
        <w:r>
          <w:rPr>
            <w:noProof/>
            <w:webHidden/>
          </w:rPr>
          <w:instrText xml:space="preserve"> PAGEREF _Toc185254588 \h </w:instrText>
        </w:r>
        <w:r>
          <w:rPr>
            <w:noProof/>
            <w:webHidden/>
          </w:rPr>
        </w:r>
        <w:r>
          <w:rPr>
            <w:noProof/>
            <w:webHidden/>
          </w:rPr>
          <w:fldChar w:fldCharType="separate"/>
        </w:r>
        <w:r w:rsidR="00C426C6">
          <w:rPr>
            <w:noProof/>
            <w:webHidden/>
          </w:rPr>
          <w:t>229</w:t>
        </w:r>
        <w:r>
          <w:rPr>
            <w:noProof/>
            <w:webHidden/>
          </w:rPr>
          <w:fldChar w:fldCharType="end"/>
        </w:r>
      </w:hyperlink>
    </w:p>
    <w:p w14:paraId="34DFFBC3" w14:textId="6F55366C"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89" w:history="1">
        <w:r w:rsidRPr="00BA6CD9">
          <w:rPr>
            <w:rStyle w:val="Hyperlink"/>
            <w:noProof/>
          </w:rPr>
          <w:t>Table E</w:t>
        </w:r>
        <w:r w:rsidRPr="00BA6CD9">
          <w:rPr>
            <w:rStyle w:val="Hyperlink"/>
            <w:noProof/>
          </w:rPr>
          <w:noBreakHyphen/>
          <w:t>17. Results of included (non-preferred) reviews by outcome domain – fibromyalgia, magnesium.</w:t>
        </w:r>
        <w:r>
          <w:rPr>
            <w:noProof/>
            <w:webHidden/>
          </w:rPr>
          <w:tab/>
        </w:r>
        <w:r>
          <w:rPr>
            <w:noProof/>
            <w:webHidden/>
          </w:rPr>
          <w:fldChar w:fldCharType="begin"/>
        </w:r>
        <w:r>
          <w:rPr>
            <w:noProof/>
            <w:webHidden/>
          </w:rPr>
          <w:instrText xml:space="preserve"> PAGEREF _Toc185254589 \h </w:instrText>
        </w:r>
        <w:r>
          <w:rPr>
            <w:noProof/>
            <w:webHidden/>
          </w:rPr>
        </w:r>
        <w:r>
          <w:rPr>
            <w:noProof/>
            <w:webHidden/>
          </w:rPr>
          <w:fldChar w:fldCharType="separate"/>
        </w:r>
        <w:r w:rsidR="00C426C6">
          <w:rPr>
            <w:noProof/>
            <w:webHidden/>
          </w:rPr>
          <w:t>230</w:t>
        </w:r>
        <w:r>
          <w:rPr>
            <w:noProof/>
            <w:webHidden/>
          </w:rPr>
          <w:fldChar w:fldCharType="end"/>
        </w:r>
      </w:hyperlink>
    </w:p>
    <w:p w14:paraId="0FCA39E4" w14:textId="63DF113B"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0" w:history="1">
        <w:r w:rsidRPr="00BA6CD9">
          <w:rPr>
            <w:rStyle w:val="Hyperlink"/>
            <w:noProof/>
          </w:rPr>
          <w:t>Table E</w:t>
        </w:r>
        <w:r w:rsidRPr="00BA6CD9">
          <w:rPr>
            <w:rStyle w:val="Hyperlink"/>
            <w:noProof/>
          </w:rPr>
          <w:noBreakHyphen/>
          <w:t>18. Results of preferred reviews by outcome domain – recurrent infection/s (including urinary tract infections, cystitis, respiratory tract infection, otitis media in children), zinc.</w:t>
        </w:r>
        <w:r>
          <w:rPr>
            <w:noProof/>
            <w:webHidden/>
          </w:rPr>
          <w:tab/>
        </w:r>
        <w:r>
          <w:rPr>
            <w:noProof/>
            <w:webHidden/>
          </w:rPr>
          <w:fldChar w:fldCharType="begin"/>
        </w:r>
        <w:r>
          <w:rPr>
            <w:noProof/>
            <w:webHidden/>
          </w:rPr>
          <w:instrText xml:space="preserve"> PAGEREF _Toc185254590 \h </w:instrText>
        </w:r>
        <w:r>
          <w:rPr>
            <w:noProof/>
            <w:webHidden/>
          </w:rPr>
        </w:r>
        <w:r>
          <w:rPr>
            <w:noProof/>
            <w:webHidden/>
          </w:rPr>
          <w:fldChar w:fldCharType="separate"/>
        </w:r>
        <w:r w:rsidR="00C426C6">
          <w:rPr>
            <w:noProof/>
            <w:webHidden/>
          </w:rPr>
          <w:t>233</w:t>
        </w:r>
        <w:r>
          <w:rPr>
            <w:noProof/>
            <w:webHidden/>
          </w:rPr>
          <w:fldChar w:fldCharType="end"/>
        </w:r>
      </w:hyperlink>
    </w:p>
    <w:p w14:paraId="5C1B8F55" w14:textId="778D5FF2"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1" w:history="1">
        <w:r w:rsidRPr="00BA6CD9">
          <w:rPr>
            <w:rStyle w:val="Hyperlink"/>
            <w:noProof/>
          </w:rPr>
          <w:t>Table E</w:t>
        </w:r>
        <w:r w:rsidRPr="00BA6CD9">
          <w:rPr>
            <w:rStyle w:val="Hyperlink"/>
            <w:noProof/>
          </w:rPr>
          <w:noBreakHyphen/>
          <w:t>19. Results of preferred reviews by outcome domain – diabetes (Type li) (including metabolic syndrome), antioxidants (specifically coq10 and alpha-lipoic acid).</w:t>
        </w:r>
        <w:r>
          <w:rPr>
            <w:noProof/>
            <w:webHidden/>
          </w:rPr>
          <w:tab/>
        </w:r>
        <w:r>
          <w:rPr>
            <w:noProof/>
            <w:webHidden/>
          </w:rPr>
          <w:fldChar w:fldCharType="begin"/>
        </w:r>
        <w:r>
          <w:rPr>
            <w:noProof/>
            <w:webHidden/>
          </w:rPr>
          <w:instrText xml:space="preserve"> PAGEREF _Toc185254591 \h </w:instrText>
        </w:r>
        <w:r>
          <w:rPr>
            <w:noProof/>
            <w:webHidden/>
          </w:rPr>
        </w:r>
        <w:r>
          <w:rPr>
            <w:noProof/>
            <w:webHidden/>
          </w:rPr>
          <w:fldChar w:fldCharType="separate"/>
        </w:r>
        <w:r w:rsidR="00C426C6">
          <w:rPr>
            <w:noProof/>
            <w:webHidden/>
          </w:rPr>
          <w:t>235</w:t>
        </w:r>
        <w:r>
          <w:rPr>
            <w:noProof/>
            <w:webHidden/>
          </w:rPr>
          <w:fldChar w:fldCharType="end"/>
        </w:r>
      </w:hyperlink>
    </w:p>
    <w:p w14:paraId="28568FDD" w14:textId="6945E63F"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2" w:history="1">
        <w:r w:rsidRPr="00BA6CD9">
          <w:rPr>
            <w:rStyle w:val="Hyperlink"/>
            <w:noProof/>
          </w:rPr>
          <w:t>Table E</w:t>
        </w:r>
        <w:r w:rsidRPr="00BA6CD9">
          <w:rPr>
            <w:rStyle w:val="Hyperlink"/>
            <w:noProof/>
          </w:rPr>
          <w:noBreakHyphen/>
          <w:t>20. Results of included (non-preferred) reviews by outcome domain – diabetes (Type li) (including metabolic syndrome), antioxidants (specifically coq10 and alpha-lipoic acid).</w:t>
        </w:r>
        <w:r>
          <w:rPr>
            <w:noProof/>
            <w:webHidden/>
          </w:rPr>
          <w:tab/>
        </w:r>
        <w:r>
          <w:rPr>
            <w:noProof/>
            <w:webHidden/>
          </w:rPr>
          <w:fldChar w:fldCharType="begin"/>
        </w:r>
        <w:r>
          <w:rPr>
            <w:noProof/>
            <w:webHidden/>
          </w:rPr>
          <w:instrText xml:space="preserve"> PAGEREF _Toc185254592 \h </w:instrText>
        </w:r>
        <w:r>
          <w:rPr>
            <w:noProof/>
            <w:webHidden/>
          </w:rPr>
        </w:r>
        <w:r>
          <w:rPr>
            <w:noProof/>
            <w:webHidden/>
          </w:rPr>
          <w:fldChar w:fldCharType="separate"/>
        </w:r>
        <w:r w:rsidR="00C426C6">
          <w:rPr>
            <w:noProof/>
            <w:webHidden/>
          </w:rPr>
          <w:t>238</w:t>
        </w:r>
        <w:r>
          <w:rPr>
            <w:noProof/>
            <w:webHidden/>
          </w:rPr>
          <w:fldChar w:fldCharType="end"/>
        </w:r>
      </w:hyperlink>
    </w:p>
    <w:p w14:paraId="1BD9DEEA" w14:textId="238D487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3" w:history="1">
        <w:r w:rsidRPr="00BA6CD9">
          <w:rPr>
            <w:rStyle w:val="Hyperlink"/>
            <w:noProof/>
          </w:rPr>
          <w:t>Table F</w:t>
        </w:r>
        <w:r w:rsidRPr="00BA6CD9">
          <w:rPr>
            <w:rStyle w:val="Hyperlink"/>
            <w:noProof/>
          </w:rPr>
          <w:noBreakHyphen/>
          <w:t>1. ROBIS assessment for included reviews – anxiety, magnesium</w:t>
        </w:r>
        <w:r>
          <w:rPr>
            <w:noProof/>
            <w:webHidden/>
          </w:rPr>
          <w:tab/>
        </w:r>
        <w:r>
          <w:rPr>
            <w:noProof/>
            <w:webHidden/>
          </w:rPr>
          <w:fldChar w:fldCharType="begin"/>
        </w:r>
        <w:r>
          <w:rPr>
            <w:noProof/>
            <w:webHidden/>
          </w:rPr>
          <w:instrText xml:space="preserve"> PAGEREF _Toc185254593 \h </w:instrText>
        </w:r>
        <w:r>
          <w:rPr>
            <w:noProof/>
            <w:webHidden/>
          </w:rPr>
        </w:r>
        <w:r>
          <w:rPr>
            <w:noProof/>
            <w:webHidden/>
          </w:rPr>
          <w:fldChar w:fldCharType="separate"/>
        </w:r>
        <w:r w:rsidR="00C426C6">
          <w:rPr>
            <w:noProof/>
            <w:webHidden/>
          </w:rPr>
          <w:t>243</w:t>
        </w:r>
        <w:r>
          <w:rPr>
            <w:noProof/>
            <w:webHidden/>
          </w:rPr>
          <w:fldChar w:fldCharType="end"/>
        </w:r>
      </w:hyperlink>
    </w:p>
    <w:p w14:paraId="10497161" w14:textId="5D3FBCD1"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4" w:history="1">
        <w:r w:rsidRPr="00BA6CD9">
          <w:rPr>
            <w:rStyle w:val="Hyperlink"/>
            <w:noProof/>
          </w:rPr>
          <w:t>Table F</w:t>
        </w:r>
        <w:r w:rsidRPr="00BA6CD9">
          <w:rPr>
            <w:rStyle w:val="Hyperlink"/>
            <w:noProof/>
          </w:rPr>
          <w:noBreakHyphen/>
          <w:t>2. ROBIS assessment for included reviews – irritable bowel syndrome, probiotics</w:t>
        </w:r>
        <w:r>
          <w:rPr>
            <w:noProof/>
            <w:webHidden/>
          </w:rPr>
          <w:tab/>
        </w:r>
        <w:r>
          <w:rPr>
            <w:noProof/>
            <w:webHidden/>
          </w:rPr>
          <w:fldChar w:fldCharType="begin"/>
        </w:r>
        <w:r>
          <w:rPr>
            <w:noProof/>
            <w:webHidden/>
          </w:rPr>
          <w:instrText xml:space="preserve"> PAGEREF _Toc185254594 \h </w:instrText>
        </w:r>
        <w:r>
          <w:rPr>
            <w:noProof/>
            <w:webHidden/>
          </w:rPr>
        </w:r>
        <w:r>
          <w:rPr>
            <w:noProof/>
            <w:webHidden/>
          </w:rPr>
          <w:fldChar w:fldCharType="separate"/>
        </w:r>
        <w:r w:rsidR="00C426C6">
          <w:rPr>
            <w:noProof/>
            <w:webHidden/>
          </w:rPr>
          <w:t>244</w:t>
        </w:r>
        <w:r>
          <w:rPr>
            <w:noProof/>
            <w:webHidden/>
          </w:rPr>
          <w:fldChar w:fldCharType="end"/>
        </w:r>
      </w:hyperlink>
    </w:p>
    <w:p w14:paraId="6C8F5CD1" w14:textId="15230133"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5" w:history="1">
        <w:r w:rsidRPr="00BA6CD9">
          <w:rPr>
            <w:rStyle w:val="Hyperlink"/>
            <w:noProof/>
          </w:rPr>
          <w:t>Table F</w:t>
        </w:r>
        <w:r w:rsidRPr="00BA6CD9">
          <w:rPr>
            <w:rStyle w:val="Hyperlink"/>
            <w:noProof/>
          </w:rPr>
          <w:noBreakHyphen/>
          <w:t>3. Results of included reviews by outcome domain – insomnia/sleeping disorders, magnesium</w:t>
        </w:r>
        <w:r>
          <w:rPr>
            <w:noProof/>
            <w:webHidden/>
          </w:rPr>
          <w:tab/>
        </w:r>
        <w:r>
          <w:rPr>
            <w:noProof/>
            <w:webHidden/>
          </w:rPr>
          <w:fldChar w:fldCharType="begin"/>
        </w:r>
        <w:r>
          <w:rPr>
            <w:noProof/>
            <w:webHidden/>
          </w:rPr>
          <w:instrText xml:space="preserve"> PAGEREF _Toc185254595 \h </w:instrText>
        </w:r>
        <w:r>
          <w:rPr>
            <w:noProof/>
            <w:webHidden/>
          </w:rPr>
        </w:r>
        <w:r>
          <w:rPr>
            <w:noProof/>
            <w:webHidden/>
          </w:rPr>
          <w:fldChar w:fldCharType="separate"/>
        </w:r>
        <w:r w:rsidR="00C426C6">
          <w:rPr>
            <w:noProof/>
            <w:webHidden/>
          </w:rPr>
          <w:t>247</w:t>
        </w:r>
        <w:r>
          <w:rPr>
            <w:noProof/>
            <w:webHidden/>
          </w:rPr>
          <w:fldChar w:fldCharType="end"/>
        </w:r>
      </w:hyperlink>
    </w:p>
    <w:p w14:paraId="52E8C22C" w14:textId="28D31558"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6" w:history="1">
        <w:r w:rsidRPr="00BA6CD9">
          <w:rPr>
            <w:rStyle w:val="Hyperlink"/>
            <w:noProof/>
          </w:rPr>
          <w:t>Table F</w:t>
        </w:r>
        <w:r w:rsidRPr="00BA6CD9">
          <w:rPr>
            <w:rStyle w:val="Hyperlink"/>
            <w:noProof/>
          </w:rPr>
          <w:noBreakHyphen/>
          <w:t>4. Results of included reviews by outcome domain – depression, omega-3 fatty acids</w:t>
        </w:r>
        <w:r>
          <w:rPr>
            <w:noProof/>
            <w:webHidden/>
          </w:rPr>
          <w:tab/>
        </w:r>
        <w:r>
          <w:rPr>
            <w:noProof/>
            <w:webHidden/>
          </w:rPr>
          <w:fldChar w:fldCharType="begin"/>
        </w:r>
        <w:r>
          <w:rPr>
            <w:noProof/>
            <w:webHidden/>
          </w:rPr>
          <w:instrText xml:space="preserve"> PAGEREF _Toc185254596 \h </w:instrText>
        </w:r>
        <w:r>
          <w:rPr>
            <w:noProof/>
            <w:webHidden/>
          </w:rPr>
        </w:r>
        <w:r>
          <w:rPr>
            <w:noProof/>
            <w:webHidden/>
          </w:rPr>
          <w:fldChar w:fldCharType="separate"/>
        </w:r>
        <w:r w:rsidR="00C426C6">
          <w:rPr>
            <w:noProof/>
            <w:webHidden/>
          </w:rPr>
          <w:t>248</w:t>
        </w:r>
        <w:r>
          <w:rPr>
            <w:noProof/>
            <w:webHidden/>
          </w:rPr>
          <w:fldChar w:fldCharType="end"/>
        </w:r>
      </w:hyperlink>
    </w:p>
    <w:p w14:paraId="466E02C0" w14:textId="5C6DC453"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7" w:history="1">
        <w:r w:rsidRPr="00BA6CD9">
          <w:rPr>
            <w:rStyle w:val="Hyperlink"/>
            <w:noProof/>
          </w:rPr>
          <w:t>Table F</w:t>
        </w:r>
        <w:r w:rsidRPr="00BA6CD9">
          <w:rPr>
            <w:rStyle w:val="Hyperlink"/>
            <w:noProof/>
          </w:rPr>
          <w:noBreakHyphen/>
          <w:t>5. Results of included reviews by outcome domain – atopic disorders (including eczema, dermatitis, allergic rhinitis, allergies), zinc</w:t>
        </w:r>
        <w:r>
          <w:rPr>
            <w:noProof/>
            <w:webHidden/>
          </w:rPr>
          <w:tab/>
        </w:r>
        <w:r>
          <w:rPr>
            <w:noProof/>
            <w:webHidden/>
          </w:rPr>
          <w:fldChar w:fldCharType="begin"/>
        </w:r>
        <w:r>
          <w:rPr>
            <w:noProof/>
            <w:webHidden/>
          </w:rPr>
          <w:instrText xml:space="preserve"> PAGEREF _Toc185254597 \h </w:instrText>
        </w:r>
        <w:r>
          <w:rPr>
            <w:noProof/>
            <w:webHidden/>
          </w:rPr>
        </w:r>
        <w:r>
          <w:rPr>
            <w:noProof/>
            <w:webHidden/>
          </w:rPr>
          <w:fldChar w:fldCharType="separate"/>
        </w:r>
        <w:r w:rsidR="00C426C6">
          <w:rPr>
            <w:noProof/>
            <w:webHidden/>
          </w:rPr>
          <w:t>251</w:t>
        </w:r>
        <w:r>
          <w:rPr>
            <w:noProof/>
            <w:webHidden/>
          </w:rPr>
          <w:fldChar w:fldCharType="end"/>
        </w:r>
      </w:hyperlink>
    </w:p>
    <w:p w14:paraId="056C67C1" w14:textId="0C94058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8" w:history="1">
        <w:r w:rsidRPr="00BA6CD9">
          <w:rPr>
            <w:rStyle w:val="Hyperlink"/>
            <w:noProof/>
          </w:rPr>
          <w:t>Table F</w:t>
        </w:r>
        <w:r w:rsidRPr="00BA6CD9">
          <w:rPr>
            <w:rStyle w:val="Hyperlink"/>
            <w:noProof/>
          </w:rPr>
          <w:noBreakHyphen/>
          <w:t>6. ROBIS assessments – fatigue (general) (including myalgic encephalomyelitis (ME) and Chronic Fatigue Syndrome (CFS)), antioxidants (specifically coq10 and alpha-lipoic acid)</w:t>
        </w:r>
        <w:r>
          <w:rPr>
            <w:noProof/>
            <w:webHidden/>
          </w:rPr>
          <w:tab/>
        </w:r>
        <w:r>
          <w:rPr>
            <w:noProof/>
            <w:webHidden/>
          </w:rPr>
          <w:fldChar w:fldCharType="begin"/>
        </w:r>
        <w:r>
          <w:rPr>
            <w:noProof/>
            <w:webHidden/>
          </w:rPr>
          <w:instrText xml:space="preserve"> PAGEREF _Toc185254598 \h </w:instrText>
        </w:r>
        <w:r>
          <w:rPr>
            <w:noProof/>
            <w:webHidden/>
          </w:rPr>
        </w:r>
        <w:r>
          <w:rPr>
            <w:noProof/>
            <w:webHidden/>
          </w:rPr>
          <w:fldChar w:fldCharType="separate"/>
        </w:r>
        <w:r w:rsidR="00C426C6">
          <w:rPr>
            <w:noProof/>
            <w:webHidden/>
          </w:rPr>
          <w:t>252</w:t>
        </w:r>
        <w:r>
          <w:rPr>
            <w:noProof/>
            <w:webHidden/>
          </w:rPr>
          <w:fldChar w:fldCharType="end"/>
        </w:r>
      </w:hyperlink>
    </w:p>
    <w:p w14:paraId="2AD50F16" w14:textId="2DD24A14"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599" w:history="1">
        <w:r w:rsidRPr="00BA6CD9">
          <w:rPr>
            <w:rStyle w:val="Hyperlink"/>
            <w:noProof/>
          </w:rPr>
          <w:t>Table F</w:t>
        </w:r>
        <w:r w:rsidRPr="00BA6CD9">
          <w:rPr>
            <w:rStyle w:val="Hyperlink"/>
            <w:noProof/>
          </w:rPr>
          <w:noBreakHyphen/>
          <w:t>7. Results of included reviews by outcome domain – headache and migraine, magnesium</w:t>
        </w:r>
        <w:r>
          <w:rPr>
            <w:noProof/>
            <w:webHidden/>
          </w:rPr>
          <w:tab/>
        </w:r>
        <w:r>
          <w:rPr>
            <w:noProof/>
            <w:webHidden/>
          </w:rPr>
          <w:fldChar w:fldCharType="begin"/>
        </w:r>
        <w:r>
          <w:rPr>
            <w:noProof/>
            <w:webHidden/>
          </w:rPr>
          <w:instrText xml:space="preserve"> PAGEREF _Toc185254599 \h </w:instrText>
        </w:r>
        <w:r>
          <w:rPr>
            <w:noProof/>
            <w:webHidden/>
          </w:rPr>
        </w:r>
        <w:r>
          <w:rPr>
            <w:noProof/>
            <w:webHidden/>
          </w:rPr>
          <w:fldChar w:fldCharType="separate"/>
        </w:r>
        <w:r w:rsidR="00C426C6">
          <w:rPr>
            <w:noProof/>
            <w:webHidden/>
          </w:rPr>
          <w:t>254</w:t>
        </w:r>
        <w:r>
          <w:rPr>
            <w:noProof/>
            <w:webHidden/>
          </w:rPr>
          <w:fldChar w:fldCharType="end"/>
        </w:r>
      </w:hyperlink>
    </w:p>
    <w:p w14:paraId="4AB08CC4" w14:textId="397F1B39"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00" w:history="1">
        <w:r w:rsidRPr="00BA6CD9">
          <w:rPr>
            <w:rStyle w:val="Hyperlink"/>
            <w:noProof/>
          </w:rPr>
          <w:t>Table F</w:t>
        </w:r>
        <w:r w:rsidRPr="00BA6CD9">
          <w:rPr>
            <w:rStyle w:val="Hyperlink"/>
            <w:noProof/>
          </w:rPr>
          <w:noBreakHyphen/>
          <w:t>8. Results of included reviews by outcome domain – hypertension, omega-3 fatty acids</w:t>
        </w:r>
        <w:r>
          <w:rPr>
            <w:noProof/>
            <w:webHidden/>
          </w:rPr>
          <w:tab/>
        </w:r>
        <w:r>
          <w:rPr>
            <w:noProof/>
            <w:webHidden/>
          </w:rPr>
          <w:fldChar w:fldCharType="begin"/>
        </w:r>
        <w:r>
          <w:rPr>
            <w:noProof/>
            <w:webHidden/>
          </w:rPr>
          <w:instrText xml:space="preserve"> PAGEREF _Toc185254600 \h </w:instrText>
        </w:r>
        <w:r>
          <w:rPr>
            <w:noProof/>
            <w:webHidden/>
          </w:rPr>
        </w:r>
        <w:r>
          <w:rPr>
            <w:noProof/>
            <w:webHidden/>
          </w:rPr>
          <w:fldChar w:fldCharType="separate"/>
        </w:r>
        <w:r w:rsidR="00C426C6">
          <w:rPr>
            <w:noProof/>
            <w:webHidden/>
          </w:rPr>
          <w:t>256</w:t>
        </w:r>
        <w:r>
          <w:rPr>
            <w:noProof/>
            <w:webHidden/>
          </w:rPr>
          <w:fldChar w:fldCharType="end"/>
        </w:r>
      </w:hyperlink>
    </w:p>
    <w:p w14:paraId="721529DF" w14:textId="40D34403"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01" w:history="1">
        <w:r w:rsidRPr="00BA6CD9">
          <w:rPr>
            <w:rStyle w:val="Hyperlink"/>
            <w:noProof/>
          </w:rPr>
          <w:t>Table F</w:t>
        </w:r>
        <w:r w:rsidRPr="00BA6CD9">
          <w:rPr>
            <w:rStyle w:val="Hyperlink"/>
            <w:noProof/>
          </w:rPr>
          <w:noBreakHyphen/>
          <w:t>9. Results of included reviews by outcome domain – fibromyalgia, magnesium</w:t>
        </w:r>
        <w:r>
          <w:rPr>
            <w:noProof/>
            <w:webHidden/>
          </w:rPr>
          <w:tab/>
        </w:r>
        <w:r>
          <w:rPr>
            <w:noProof/>
            <w:webHidden/>
          </w:rPr>
          <w:fldChar w:fldCharType="begin"/>
        </w:r>
        <w:r>
          <w:rPr>
            <w:noProof/>
            <w:webHidden/>
          </w:rPr>
          <w:instrText xml:space="preserve"> PAGEREF _Toc185254601 \h </w:instrText>
        </w:r>
        <w:r>
          <w:rPr>
            <w:noProof/>
            <w:webHidden/>
          </w:rPr>
        </w:r>
        <w:r>
          <w:rPr>
            <w:noProof/>
            <w:webHidden/>
          </w:rPr>
          <w:fldChar w:fldCharType="separate"/>
        </w:r>
        <w:r w:rsidR="00C426C6">
          <w:rPr>
            <w:noProof/>
            <w:webHidden/>
          </w:rPr>
          <w:t>258</w:t>
        </w:r>
        <w:r>
          <w:rPr>
            <w:noProof/>
            <w:webHidden/>
          </w:rPr>
          <w:fldChar w:fldCharType="end"/>
        </w:r>
      </w:hyperlink>
    </w:p>
    <w:p w14:paraId="30F434B7" w14:textId="03F135AC"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02" w:history="1">
        <w:r w:rsidRPr="00BA6CD9">
          <w:rPr>
            <w:rStyle w:val="Hyperlink"/>
            <w:noProof/>
          </w:rPr>
          <w:t>Table F</w:t>
        </w:r>
        <w:r w:rsidRPr="00BA6CD9">
          <w:rPr>
            <w:rStyle w:val="Hyperlink"/>
            <w:noProof/>
          </w:rPr>
          <w:noBreakHyphen/>
          <w:t>10. Results of included reviews by outcome domain – recurrent infection/s (including urinary tract infections, cystitis, respiratory tract infection, otitis media in children), zinc</w:t>
        </w:r>
        <w:r>
          <w:rPr>
            <w:noProof/>
            <w:webHidden/>
          </w:rPr>
          <w:tab/>
        </w:r>
        <w:r>
          <w:rPr>
            <w:noProof/>
            <w:webHidden/>
          </w:rPr>
          <w:fldChar w:fldCharType="begin"/>
        </w:r>
        <w:r>
          <w:rPr>
            <w:noProof/>
            <w:webHidden/>
          </w:rPr>
          <w:instrText xml:space="preserve"> PAGEREF _Toc185254602 \h </w:instrText>
        </w:r>
        <w:r>
          <w:rPr>
            <w:noProof/>
            <w:webHidden/>
          </w:rPr>
        </w:r>
        <w:r>
          <w:rPr>
            <w:noProof/>
            <w:webHidden/>
          </w:rPr>
          <w:fldChar w:fldCharType="separate"/>
        </w:r>
        <w:r w:rsidR="00C426C6">
          <w:rPr>
            <w:noProof/>
            <w:webHidden/>
          </w:rPr>
          <w:t>260</w:t>
        </w:r>
        <w:r>
          <w:rPr>
            <w:noProof/>
            <w:webHidden/>
          </w:rPr>
          <w:fldChar w:fldCharType="end"/>
        </w:r>
      </w:hyperlink>
    </w:p>
    <w:p w14:paraId="23972F1E" w14:textId="6371DA63" w:rsidR="00044C55" w:rsidRDefault="00044C55">
      <w:pPr>
        <w:pStyle w:val="TableofFigures"/>
        <w:tabs>
          <w:tab w:val="right" w:leader="dot" w:pos="9204"/>
        </w:tabs>
        <w:rPr>
          <w:rFonts w:asciiTheme="minorHAnsi" w:eastAsiaTheme="minorEastAsia" w:hAnsiTheme="minorHAnsi" w:cstheme="minorBidi"/>
          <w:noProof/>
          <w:kern w:val="2"/>
          <w:sz w:val="24"/>
          <w:szCs w:val="24"/>
          <w:lang w:eastAsia="en-AU"/>
          <w14:ligatures w14:val="standardContextual"/>
        </w:rPr>
      </w:pPr>
      <w:hyperlink w:anchor="_Toc185254603" w:history="1">
        <w:r w:rsidRPr="00BA6CD9">
          <w:rPr>
            <w:rStyle w:val="Hyperlink"/>
            <w:noProof/>
          </w:rPr>
          <w:t>Table F</w:t>
        </w:r>
        <w:r w:rsidRPr="00BA6CD9">
          <w:rPr>
            <w:rStyle w:val="Hyperlink"/>
            <w:noProof/>
          </w:rPr>
          <w:noBreakHyphen/>
          <w:t>11. Results of included reviews by outcome domain – diabetes (Type II) (including metabolic syndrome), antioxidants (specifically coq10 and alpha-lipoic acid)</w:t>
        </w:r>
        <w:r>
          <w:rPr>
            <w:noProof/>
            <w:webHidden/>
          </w:rPr>
          <w:tab/>
        </w:r>
        <w:r>
          <w:rPr>
            <w:noProof/>
            <w:webHidden/>
          </w:rPr>
          <w:fldChar w:fldCharType="begin"/>
        </w:r>
        <w:r>
          <w:rPr>
            <w:noProof/>
            <w:webHidden/>
          </w:rPr>
          <w:instrText xml:space="preserve"> PAGEREF _Toc185254603 \h </w:instrText>
        </w:r>
        <w:r>
          <w:rPr>
            <w:noProof/>
            <w:webHidden/>
          </w:rPr>
        </w:r>
        <w:r>
          <w:rPr>
            <w:noProof/>
            <w:webHidden/>
          </w:rPr>
          <w:fldChar w:fldCharType="separate"/>
        </w:r>
        <w:r w:rsidR="00C426C6">
          <w:rPr>
            <w:noProof/>
            <w:webHidden/>
          </w:rPr>
          <w:t>262</w:t>
        </w:r>
        <w:r>
          <w:rPr>
            <w:noProof/>
            <w:webHidden/>
          </w:rPr>
          <w:fldChar w:fldCharType="end"/>
        </w:r>
      </w:hyperlink>
    </w:p>
    <w:p w14:paraId="19A1060A" w14:textId="49AB08AB" w:rsidR="00531D31" w:rsidRPr="00DC4767" w:rsidRDefault="00DC4767" w:rsidP="00531D31">
      <w:pPr>
        <w:spacing w:after="120"/>
        <w:rPr>
          <w:rFonts w:ascii="Aptos" w:hAnsi="Aptos"/>
          <w:b/>
          <w:bCs/>
          <w:color w:val="FF0000"/>
          <w:sz w:val="22"/>
          <w:szCs w:val="22"/>
          <w:u w:val="single"/>
        </w:rPr>
      </w:pPr>
      <w:r>
        <w:rPr>
          <w:rFonts w:ascii="Aptos" w:hAnsi="Aptos"/>
          <w:b/>
          <w:bCs/>
          <w:color w:val="FF0000"/>
          <w:sz w:val="28"/>
          <w:szCs w:val="28"/>
        </w:rPr>
        <w:lastRenderedPageBreak/>
        <w:fldChar w:fldCharType="end"/>
      </w:r>
    </w:p>
    <w:p w14:paraId="1456ED6E" w14:textId="566B2420" w:rsidR="00F726B5" w:rsidRPr="00D518FF" w:rsidRDefault="00F726B5" w:rsidP="00D518FF">
      <w:pPr>
        <w:spacing w:before="120" w:after="120"/>
        <w:outlineLvl w:val="0"/>
        <w:rPr>
          <w:rFonts w:ascii="Aptos" w:hAnsi="Aptos" w:cs="Arial"/>
          <w:b/>
          <w:bCs/>
          <w:color w:val="C00000"/>
          <w:w w:val="105"/>
          <w:sz w:val="36"/>
          <w:szCs w:val="36"/>
        </w:rPr>
      </w:pPr>
      <w:bookmarkStart w:id="2" w:name="_Toc185254604"/>
      <w:r w:rsidRPr="00D518FF">
        <w:rPr>
          <w:rFonts w:ascii="Aptos" w:hAnsi="Aptos" w:cs="Arial"/>
          <w:b/>
          <w:bCs/>
          <w:color w:val="C00000"/>
          <w:w w:val="105"/>
          <w:sz w:val="36"/>
          <w:szCs w:val="36"/>
        </w:rPr>
        <w:t xml:space="preserve">Appendix A. </w:t>
      </w:r>
      <w:r w:rsidR="0055680C">
        <w:rPr>
          <w:rFonts w:ascii="Aptos" w:hAnsi="Aptos" w:cs="Arial"/>
          <w:b/>
          <w:bCs/>
          <w:color w:val="C00000"/>
          <w:w w:val="105"/>
          <w:sz w:val="36"/>
          <w:szCs w:val="36"/>
        </w:rPr>
        <w:t>Searching, selection criteria and screening</w:t>
      </w:r>
      <w:bookmarkEnd w:id="2"/>
    </w:p>
    <w:p w14:paraId="65DF3E8B" w14:textId="6F3130FD"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This </w:t>
      </w:r>
      <w:r w:rsidR="00A2182D">
        <w:rPr>
          <w:rFonts w:ascii="Aptos" w:hAnsi="Aptos" w:cs="Arial"/>
          <w:sz w:val="21"/>
          <w:szCs w:val="21"/>
        </w:rPr>
        <w:t>o</w:t>
      </w:r>
      <w:r w:rsidRPr="00D518FF">
        <w:rPr>
          <w:rFonts w:ascii="Aptos" w:hAnsi="Aptos" w:cs="Arial"/>
          <w:sz w:val="21"/>
          <w:szCs w:val="21"/>
        </w:rPr>
        <w:t>verview</w:t>
      </w:r>
      <w:r w:rsidR="009A5224">
        <w:rPr>
          <w:rFonts w:ascii="Aptos" w:hAnsi="Aptos" w:cs="Arial"/>
          <w:sz w:val="21"/>
          <w:szCs w:val="21"/>
        </w:rPr>
        <w:t>’s</w:t>
      </w:r>
      <w:r w:rsidRPr="00D518FF" w:rsidDel="00193772">
        <w:rPr>
          <w:rFonts w:ascii="Aptos" w:hAnsi="Aptos" w:cs="Arial"/>
          <w:sz w:val="21"/>
          <w:szCs w:val="21"/>
        </w:rPr>
        <w:t xml:space="preserve"> </w:t>
      </w:r>
      <w:r w:rsidRPr="00D518FF">
        <w:rPr>
          <w:rFonts w:ascii="Aptos" w:hAnsi="Aptos" w:cs="Arial"/>
          <w:sz w:val="21"/>
          <w:szCs w:val="21"/>
        </w:rPr>
        <w:t>protocol was approved by</w:t>
      </w:r>
      <w:r w:rsidR="00DD1704">
        <w:rPr>
          <w:rFonts w:ascii="Aptos" w:hAnsi="Aptos" w:cs="Arial"/>
          <w:sz w:val="21"/>
          <w:szCs w:val="21"/>
        </w:rPr>
        <w:t xml:space="preserve"> NHMRC’s</w:t>
      </w:r>
      <w:r w:rsidRPr="00D518FF">
        <w:rPr>
          <w:rFonts w:ascii="Aptos" w:hAnsi="Aptos" w:cs="Arial"/>
          <w:sz w:val="21"/>
          <w:szCs w:val="21"/>
        </w:rPr>
        <w:t xml:space="preserve"> </w:t>
      </w:r>
      <w:r w:rsidR="00DD1704">
        <w:rPr>
          <w:rFonts w:ascii="Aptos" w:hAnsi="Aptos" w:cs="Arial"/>
          <w:sz w:val="21"/>
          <w:szCs w:val="21"/>
        </w:rPr>
        <w:t>Natural Therapies Working Committee (</w:t>
      </w:r>
      <w:r w:rsidRPr="00D518FF">
        <w:rPr>
          <w:rFonts w:ascii="Aptos" w:hAnsi="Aptos" w:cs="Arial"/>
          <w:sz w:val="21"/>
          <w:szCs w:val="21"/>
        </w:rPr>
        <w:t>NTWC</w:t>
      </w:r>
      <w:r w:rsidR="00DD1704">
        <w:rPr>
          <w:rFonts w:ascii="Aptos" w:hAnsi="Aptos" w:cs="Arial"/>
          <w:sz w:val="21"/>
          <w:szCs w:val="21"/>
        </w:rPr>
        <w:t>)</w:t>
      </w:r>
      <w:r w:rsidRPr="00D518FF">
        <w:rPr>
          <w:rFonts w:ascii="Aptos" w:hAnsi="Aptos" w:cs="Arial"/>
          <w:sz w:val="21"/>
          <w:szCs w:val="21"/>
        </w:rPr>
        <w:t xml:space="preserve"> on 15 December 2022 (PROSPERO: CRD42023410906). Deviation</w:t>
      </w:r>
      <w:r w:rsidR="00F30101">
        <w:rPr>
          <w:rFonts w:ascii="Aptos" w:hAnsi="Aptos" w:cs="Arial"/>
          <w:sz w:val="21"/>
          <w:szCs w:val="21"/>
        </w:rPr>
        <w:t>s</w:t>
      </w:r>
      <w:r w:rsidRPr="00D518FF">
        <w:rPr>
          <w:rFonts w:ascii="Aptos" w:hAnsi="Aptos" w:cs="Arial"/>
          <w:sz w:val="21"/>
          <w:szCs w:val="21"/>
        </w:rPr>
        <w:t xml:space="preserve"> from the protocol are reported in </w:t>
      </w:r>
      <w:r w:rsidR="00B511B2">
        <w:rPr>
          <w:rFonts w:ascii="Aptos" w:hAnsi="Aptos" w:cs="Arial"/>
          <w:sz w:val="21"/>
          <w:szCs w:val="21"/>
        </w:rPr>
        <w:t xml:space="preserve">Appendix </w:t>
      </w:r>
      <w:r w:rsidR="000F1142">
        <w:rPr>
          <w:rFonts w:ascii="Aptos" w:hAnsi="Aptos" w:cs="Arial"/>
          <w:sz w:val="21"/>
          <w:szCs w:val="21"/>
        </w:rPr>
        <w:t>G</w:t>
      </w:r>
      <w:r w:rsidRPr="00D518FF">
        <w:rPr>
          <w:rFonts w:ascii="Aptos" w:hAnsi="Aptos" w:cs="Arial"/>
          <w:sz w:val="21"/>
          <w:szCs w:val="21"/>
        </w:rPr>
        <w:t>.</w:t>
      </w:r>
    </w:p>
    <w:p w14:paraId="09E0833F" w14:textId="41520D60"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methodologies for this </w:t>
      </w:r>
      <w:r w:rsidR="00A2182D">
        <w:rPr>
          <w:rFonts w:ascii="Aptos" w:hAnsi="Aptos" w:cs="Arial"/>
          <w:sz w:val="21"/>
          <w:szCs w:val="21"/>
        </w:rPr>
        <w:t>o</w:t>
      </w:r>
      <w:r w:rsidRPr="00D518FF">
        <w:rPr>
          <w:rFonts w:ascii="Aptos" w:hAnsi="Aptos" w:cs="Arial"/>
          <w:sz w:val="21"/>
          <w:szCs w:val="21"/>
        </w:rPr>
        <w:t xml:space="preserve">verview are based on those reported in the Cochrane Handbook Chapter V: Overviews of Reviews </w:t>
      </w:r>
      <w:r w:rsidR="000935F9">
        <w:rPr>
          <w:rFonts w:ascii="Aptos" w:hAnsi="Aptos" w:cs="Arial"/>
          <w:noProof/>
          <w:sz w:val="21"/>
          <w:szCs w:val="21"/>
        </w:rPr>
        <w:t>(2)</w:t>
      </w:r>
      <w:r w:rsidRPr="00D518FF">
        <w:rPr>
          <w:rFonts w:ascii="Aptos" w:hAnsi="Aptos" w:cs="Arial"/>
          <w:sz w:val="21"/>
          <w:szCs w:val="21"/>
        </w:rPr>
        <w:t xml:space="preserve"> and the Preferred Reporting Items for Overviews of Reviews (PRIOR) checklist </w:t>
      </w:r>
      <w:r w:rsidR="000935F9">
        <w:rPr>
          <w:rFonts w:ascii="Aptos" w:hAnsi="Aptos" w:cs="Arial"/>
          <w:noProof/>
          <w:sz w:val="21"/>
          <w:szCs w:val="21"/>
        </w:rPr>
        <w:t>(3)</w:t>
      </w:r>
      <w:r w:rsidRPr="00D518FF">
        <w:rPr>
          <w:rFonts w:ascii="Aptos" w:hAnsi="Aptos" w:cs="Arial"/>
          <w:sz w:val="21"/>
          <w:szCs w:val="21"/>
        </w:rPr>
        <w:t xml:space="preserve">. The final Evidence Evaluation Report </w:t>
      </w:r>
      <w:r w:rsidR="009B53AD">
        <w:rPr>
          <w:rFonts w:ascii="Aptos" w:hAnsi="Aptos" w:cs="Arial"/>
          <w:sz w:val="21"/>
          <w:szCs w:val="21"/>
        </w:rPr>
        <w:t>is</w:t>
      </w:r>
      <w:r w:rsidRPr="00D518FF">
        <w:rPr>
          <w:rFonts w:ascii="Aptos" w:hAnsi="Aptos" w:cs="Arial"/>
          <w:sz w:val="21"/>
          <w:szCs w:val="21"/>
        </w:rPr>
        <w:t xml:space="preserve"> reported in line with the PRIOR </w:t>
      </w:r>
      <w:r w:rsidR="009B53AD">
        <w:rPr>
          <w:rFonts w:ascii="Aptos" w:hAnsi="Aptos" w:cs="Arial"/>
          <w:sz w:val="21"/>
          <w:szCs w:val="21"/>
        </w:rPr>
        <w:t xml:space="preserve">checklist </w:t>
      </w:r>
      <w:r w:rsidR="000935F9">
        <w:rPr>
          <w:rFonts w:ascii="Aptos" w:hAnsi="Aptos" w:cs="Arial"/>
          <w:noProof/>
          <w:sz w:val="21"/>
          <w:szCs w:val="21"/>
        </w:rPr>
        <w:t>(3)</w:t>
      </w:r>
      <w:r w:rsidRPr="00D518FF">
        <w:rPr>
          <w:rFonts w:ascii="Aptos" w:hAnsi="Aptos" w:cs="Arial"/>
          <w:sz w:val="21"/>
          <w:szCs w:val="21"/>
        </w:rPr>
        <w:t xml:space="preserve">. </w:t>
      </w:r>
    </w:p>
    <w:p w14:paraId="0517CB07" w14:textId="0F563B04" w:rsidR="00F726B5" w:rsidRDefault="00F726B5" w:rsidP="00F726B5">
      <w:pPr>
        <w:spacing w:before="120" w:after="120"/>
        <w:rPr>
          <w:rFonts w:ascii="Aptos" w:hAnsi="Aptos" w:cs="Arial"/>
          <w:sz w:val="21"/>
          <w:szCs w:val="21"/>
        </w:rPr>
      </w:pPr>
      <w:r w:rsidRPr="00D518FF">
        <w:rPr>
          <w:rFonts w:ascii="Aptos" w:hAnsi="Aptos" w:cs="Arial"/>
          <w:sz w:val="21"/>
          <w:szCs w:val="21"/>
        </w:rPr>
        <w:t xml:space="preserve">This </w:t>
      </w:r>
      <w:r w:rsidR="00EF06A6">
        <w:rPr>
          <w:rFonts w:ascii="Aptos" w:hAnsi="Aptos" w:cs="Arial"/>
          <w:sz w:val="21"/>
          <w:szCs w:val="21"/>
        </w:rPr>
        <w:t>evidence evaluation</w:t>
      </w:r>
      <w:r w:rsidR="00EF06A6" w:rsidRPr="00D518FF">
        <w:rPr>
          <w:rFonts w:ascii="Aptos" w:hAnsi="Aptos" w:cs="Arial"/>
          <w:sz w:val="21"/>
          <w:szCs w:val="21"/>
        </w:rPr>
        <w:t xml:space="preserve"> </w:t>
      </w:r>
      <w:r w:rsidRPr="00D518FF">
        <w:rPr>
          <w:rFonts w:ascii="Aptos" w:hAnsi="Aptos" w:cs="Arial"/>
          <w:sz w:val="21"/>
          <w:szCs w:val="21"/>
        </w:rPr>
        <w:t>primarily assess</w:t>
      </w:r>
      <w:r w:rsidR="002F7D4C">
        <w:rPr>
          <w:rFonts w:ascii="Aptos" w:hAnsi="Aptos" w:cs="Arial"/>
          <w:sz w:val="21"/>
          <w:szCs w:val="21"/>
        </w:rPr>
        <w:t>ed</w:t>
      </w:r>
      <w:r w:rsidRPr="00D518FF">
        <w:rPr>
          <w:rFonts w:ascii="Aptos" w:hAnsi="Aptos" w:cs="Arial"/>
          <w:sz w:val="21"/>
          <w:szCs w:val="21"/>
        </w:rPr>
        <w:t xml:space="preserve"> systematic reviews of randomised controlled trials (RCTs) using an Overview methodology (a systematic review of systematic reviews) </w:t>
      </w:r>
      <w:r w:rsidR="000935F9">
        <w:rPr>
          <w:rFonts w:ascii="Aptos" w:hAnsi="Aptos" w:cs="Arial"/>
          <w:noProof/>
          <w:sz w:val="21"/>
          <w:szCs w:val="21"/>
        </w:rPr>
        <w:t>(2)</w:t>
      </w:r>
      <w:r w:rsidRPr="00D518FF">
        <w:rPr>
          <w:rFonts w:ascii="Aptos" w:hAnsi="Aptos" w:cs="Arial"/>
          <w:sz w:val="21"/>
          <w:szCs w:val="21"/>
        </w:rPr>
        <w:t>. EndNote20 (</w:t>
      </w:r>
      <w:hyperlink r:id="rId15" w:history="1">
        <w:r w:rsidRPr="00D518FF">
          <w:rPr>
            <w:rFonts w:ascii="Aptos" w:hAnsi="Aptos" w:cs="Arial"/>
            <w:color w:val="0563C1"/>
            <w:sz w:val="21"/>
            <w:szCs w:val="21"/>
            <w:u w:val="single"/>
          </w:rPr>
          <w:t>endnote.com</w:t>
        </w:r>
      </w:hyperlink>
      <w:r w:rsidRPr="00D518FF">
        <w:rPr>
          <w:rFonts w:ascii="Aptos" w:hAnsi="Aptos" w:cs="Arial"/>
          <w:sz w:val="21"/>
          <w:szCs w:val="21"/>
        </w:rPr>
        <w:t>) and Covidence (</w:t>
      </w:r>
      <w:hyperlink r:id="rId16" w:history="1">
        <w:r w:rsidRPr="00D518FF">
          <w:rPr>
            <w:rFonts w:ascii="Aptos" w:hAnsi="Aptos" w:cs="Arial"/>
            <w:color w:val="0563C1"/>
            <w:sz w:val="21"/>
            <w:szCs w:val="21"/>
            <w:u w:val="single"/>
          </w:rPr>
          <w:t>covidence.org</w:t>
        </w:r>
      </w:hyperlink>
      <w:r w:rsidRPr="00D518FF">
        <w:rPr>
          <w:rFonts w:ascii="Aptos" w:hAnsi="Aptos" w:cs="Arial"/>
          <w:sz w:val="21"/>
          <w:szCs w:val="21"/>
        </w:rPr>
        <w:t xml:space="preserve">) </w:t>
      </w:r>
      <w:r w:rsidR="002F7D4C">
        <w:rPr>
          <w:rFonts w:ascii="Aptos" w:hAnsi="Aptos" w:cs="Arial"/>
          <w:sz w:val="21"/>
          <w:szCs w:val="21"/>
        </w:rPr>
        <w:t>were</w:t>
      </w:r>
      <w:r w:rsidRPr="00D518FF">
        <w:rPr>
          <w:rFonts w:ascii="Aptos" w:hAnsi="Aptos" w:cs="Arial"/>
          <w:sz w:val="21"/>
          <w:szCs w:val="21"/>
        </w:rPr>
        <w:t xml:space="preserve"> used for screening, managing citations, and data extraction. GRADEpro GDT software (</w:t>
      </w:r>
      <w:hyperlink r:id="rId17" w:history="1">
        <w:r w:rsidRPr="00D518FF">
          <w:rPr>
            <w:rFonts w:ascii="Aptos" w:hAnsi="Aptos" w:cs="Arial"/>
            <w:color w:val="0563C1"/>
            <w:sz w:val="21"/>
            <w:szCs w:val="21"/>
            <w:u w:val="single"/>
          </w:rPr>
          <w:t>gradepro.org</w:t>
        </w:r>
      </w:hyperlink>
      <w:r w:rsidRPr="00D518FF">
        <w:rPr>
          <w:rFonts w:ascii="Aptos" w:hAnsi="Aptos" w:cs="Arial"/>
          <w:sz w:val="21"/>
          <w:szCs w:val="21"/>
        </w:rPr>
        <w:t xml:space="preserve">) </w:t>
      </w:r>
      <w:r w:rsidR="002F7D4C">
        <w:rPr>
          <w:rFonts w:ascii="Aptos" w:hAnsi="Aptos" w:cs="Arial"/>
          <w:sz w:val="21"/>
          <w:szCs w:val="21"/>
        </w:rPr>
        <w:t>was</w:t>
      </w:r>
      <w:r w:rsidRPr="00D518FF">
        <w:rPr>
          <w:rFonts w:ascii="Aptos" w:hAnsi="Aptos" w:cs="Arial"/>
          <w:sz w:val="21"/>
          <w:szCs w:val="21"/>
        </w:rPr>
        <w:t xml:space="preserve"> used to record decisions and derive an overall assessment of the certainty of evidence for each outcome guided by GRADE methodology. </w:t>
      </w:r>
    </w:p>
    <w:p w14:paraId="51904FF8" w14:textId="33E455E7" w:rsidR="00DD18FA" w:rsidRPr="00D518FF" w:rsidRDefault="00DD18FA" w:rsidP="00F726B5">
      <w:pPr>
        <w:spacing w:before="120" w:after="120"/>
        <w:rPr>
          <w:rFonts w:ascii="Aptos" w:hAnsi="Aptos" w:cs="Arial"/>
          <w:sz w:val="21"/>
          <w:szCs w:val="21"/>
        </w:rPr>
      </w:pPr>
      <w:r>
        <w:rPr>
          <w:rFonts w:ascii="Aptos" w:hAnsi="Aptos" w:cs="Arial"/>
          <w:sz w:val="21"/>
          <w:szCs w:val="21"/>
        </w:rPr>
        <w:t xml:space="preserve">This document contains the </w:t>
      </w:r>
      <w:r w:rsidR="00872A7A">
        <w:rPr>
          <w:rFonts w:ascii="Aptos" w:hAnsi="Aptos" w:cs="Arial"/>
          <w:sz w:val="21"/>
          <w:szCs w:val="21"/>
        </w:rPr>
        <w:t>methodological and technical</w:t>
      </w:r>
      <w:r>
        <w:rPr>
          <w:rFonts w:ascii="Aptos" w:hAnsi="Aptos" w:cs="Arial"/>
          <w:sz w:val="21"/>
          <w:szCs w:val="21"/>
        </w:rPr>
        <w:t xml:space="preserve"> details</w:t>
      </w:r>
      <w:r w:rsidR="00872A7A">
        <w:rPr>
          <w:rFonts w:ascii="Aptos" w:hAnsi="Aptos" w:cs="Arial"/>
          <w:sz w:val="21"/>
          <w:szCs w:val="21"/>
        </w:rPr>
        <w:t>.</w:t>
      </w:r>
      <w:r>
        <w:rPr>
          <w:rFonts w:ascii="Aptos" w:hAnsi="Aptos" w:cs="Arial"/>
          <w:sz w:val="21"/>
          <w:szCs w:val="21"/>
        </w:rPr>
        <w:t xml:space="preserve"> </w:t>
      </w:r>
    </w:p>
    <w:p w14:paraId="07C64549" w14:textId="504F8C0E" w:rsidR="001612DE" w:rsidRPr="00863F86" w:rsidRDefault="001612DE" w:rsidP="00B06C66">
      <w:pPr>
        <w:pStyle w:val="Heading2"/>
        <w:rPr>
          <w:rFonts w:ascii="Aptos" w:hAnsi="Aptos"/>
          <w:b/>
          <w:bCs w:val="0"/>
          <w:color w:val="C00000"/>
          <w:w w:val="105"/>
          <w:szCs w:val="28"/>
        </w:rPr>
      </w:pPr>
      <w:bookmarkStart w:id="3" w:name="_Toc100711487"/>
      <w:bookmarkStart w:id="4" w:name="_Toc126835782"/>
      <w:bookmarkStart w:id="5" w:name="_Toc185254605"/>
      <w:bookmarkStart w:id="6" w:name="_Toc100711478"/>
      <w:bookmarkStart w:id="7" w:name="_Toc126835775"/>
      <w:r w:rsidRPr="00863F86">
        <w:rPr>
          <w:rFonts w:ascii="Aptos" w:hAnsi="Aptos"/>
          <w:b/>
          <w:bCs w:val="0"/>
          <w:color w:val="C00000"/>
          <w:w w:val="105"/>
          <w:szCs w:val="28"/>
        </w:rPr>
        <w:t xml:space="preserve">Search methods for identification of </w:t>
      </w:r>
      <w:sdt>
        <w:sdtPr>
          <w:rPr>
            <w:rFonts w:ascii="Aptos" w:hAnsi="Aptos"/>
            <w:b/>
            <w:bCs w:val="0"/>
            <w:color w:val="C00000"/>
            <w:w w:val="105"/>
            <w:szCs w:val="28"/>
          </w:rPr>
          <w:tag w:val="goog_rdk_17"/>
          <w:id w:val="249637657"/>
        </w:sdtPr>
        <w:sdtContent>
          <w:r w:rsidRPr="00863F86">
            <w:rPr>
              <w:rFonts w:ascii="Aptos" w:hAnsi="Aptos"/>
              <w:b/>
              <w:bCs w:val="0"/>
              <w:color w:val="C00000"/>
              <w:w w:val="105"/>
              <w:szCs w:val="28"/>
            </w:rPr>
            <w:t>reviews</w:t>
          </w:r>
        </w:sdtContent>
      </w:sdt>
      <w:bookmarkEnd w:id="3"/>
      <w:bookmarkEnd w:id="4"/>
      <w:bookmarkEnd w:id="5"/>
    </w:p>
    <w:p w14:paraId="5C5CB538" w14:textId="77777777" w:rsidR="001612DE" w:rsidRPr="00040858" w:rsidRDefault="001612DE" w:rsidP="00040858">
      <w:pPr>
        <w:pStyle w:val="Heading3"/>
        <w:rPr>
          <w:rFonts w:ascii="Aptos" w:eastAsia="Calibri" w:hAnsi="Aptos"/>
          <w:b/>
          <w:bCs w:val="0"/>
          <w:color w:val="C00000"/>
        </w:rPr>
      </w:pPr>
      <w:bookmarkStart w:id="8" w:name="_Toc100711488"/>
      <w:bookmarkStart w:id="9" w:name="_Toc126835783"/>
      <w:bookmarkStart w:id="10" w:name="_Toc185254606"/>
      <w:r w:rsidRPr="00040858">
        <w:rPr>
          <w:rFonts w:ascii="Aptos" w:eastAsia="Calibri" w:hAnsi="Aptos"/>
          <w:b/>
          <w:bCs w:val="0"/>
          <w:color w:val="C00000"/>
        </w:rPr>
        <w:t>Electronic searches</w:t>
      </w:r>
      <w:bookmarkEnd w:id="8"/>
      <w:bookmarkEnd w:id="9"/>
      <w:bookmarkEnd w:id="10"/>
    </w:p>
    <w:p w14:paraId="6BA10BEB" w14:textId="50695C49" w:rsidR="001612DE" w:rsidRPr="00D518FF" w:rsidRDefault="001612DE" w:rsidP="001612DE">
      <w:pPr>
        <w:spacing w:before="120" w:after="120"/>
        <w:rPr>
          <w:rFonts w:ascii="Aptos" w:hAnsi="Aptos" w:cs="Arial"/>
          <w:sz w:val="21"/>
          <w:szCs w:val="21"/>
        </w:rPr>
      </w:pPr>
      <w:r w:rsidRPr="00D518FF">
        <w:rPr>
          <w:rFonts w:ascii="Aptos" w:hAnsi="Aptos" w:cs="Arial"/>
          <w:sz w:val="21"/>
          <w:szCs w:val="21"/>
        </w:rPr>
        <w:t>Search strategies (see</w:t>
      </w:r>
      <w:r w:rsidR="00984A80">
        <w:rPr>
          <w:rFonts w:ascii="Aptos" w:hAnsi="Aptos" w:cs="Arial"/>
          <w:sz w:val="21"/>
          <w:szCs w:val="21"/>
        </w:rPr>
        <w:t xml:space="preserve"> </w:t>
      </w:r>
      <w:r w:rsidR="00675BB7">
        <w:rPr>
          <w:rFonts w:ascii="Aptos" w:hAnsi="Aptos" w:cs="Arial"/>
          <w:sz w:val="21"/>
          <w:szCs w:val="21"/>
        </w:rPr>
        <w:t>Appendix</w:t>
      </w:r>
      <w:r w:rsidRPr="00D518FF" w:rsidDel="000E5E31">
        <w:rPr>
          <w:rFonts w:ascii="Aptos" w:hAnsi="Aptos" w:cs="Arial"/>
          <w:sz w:val="21"/>
          <w:szCs w:val="21"/>
        </w:rPr>
        <w:t xml:space="preserve"> </w:t>
      </w:r>
      <w:r w:rsidR="00984A80">
        <w:rPr>
          <w:rFonts w:ascii="Aptos" w:hAnsi="Aptos" w:cs="Arial"/>
          <w:sz w:val="21"/>
          <w:szCs w:val="21"/>
        </w:rPr>
        <w:fldChar w:fldCharType="begin" w:fldLock="1"/>
      </w:r>
      <w:r w:rsidR="00984A80">
        <w:rPr>
          <w:rFonts w:ascii="Aptos" w:hAnsi="Aptos" w:cs="Arial"/>
          <w:sz w:val="21"/>
          <w:szCs w:val="21"/>
        </w:rPr>
        <w:instrText xml:space="preserve"> REF _Ref172746304 \r </w:instrText>
      </w:r>
      <w:r w:rsidR="00984A80">
        <w:rPr>
          <w:rFonts w:ascii="Aptos" w:hAnsi="Aptos" w:cs="Arial"/>
          <w:sz w:val="21"/>
          <w:szCs w:val="21"/>
        </w:rPr>
        <w:fldChar w:fldCharType="separate"/>
      </w:r>
      <w:r w:rsidR="00984A80">
        <w:rPr>
          <w:rFonts w:ascii="Aptos" w:hAnsi="Aptos" w:cs="Arial"/>
          <w:sz w:val="21"/>
          <w:szCs w:val="21"/>
        </w:rPr>
        <w:t>A2</w:t>
      </w:r>
      <w:r w:rsidR="00984A80">
        <w:rPr>
          <w:rFonts w:ascii="Aptos" w:hAnsi="Aptos" w:cs="Arial"/>
          <w:sz w:val="21"/>
          <w:szCs w:val="21"/>
        </w:rPr>
        <w:fldChar w:fldCharType="end"/>
      </w:r>
      <w:r w:rsidRPr="00D518FF">
        <w:rPr>
          <w:rFonts w:ascii="Aptos" w:hAnsi="Aptos" w:cs="Arial"/>
          <w:sz w:val="21"/>
          <w:szCs w:val="21"/>
        </w:rPr>
        <w:t>)</w:t>
      </w:r>
      <w:r w:rsidRPr="00D518FF" w:rsidDel="006E05CF">
        <w:rPr>
          <w:rFonts w:ascii="Aptos" w:hAnsi="Aptos" w:cs="Arial"/>
          <w:sz w:val="21"/>
          <w:szCs w:val="21"/>
        </w:rPr>
        <w:t xml:space="preserve"> </w:t>
      </w:r>
      <w:r w:rsidR="006E05CF">
        <w:rPr>
          <w:rFonts w:ascii="Aptos" w:hAnsi="Aptos" w:cs="Arial"/>
          <w:sz w:val="21"/>
          <w:szCs w:val="21"/>
        </w:rPr>
        <w:t>were</w:t>
      </w:r>
      <w:r w:rsidR="006E05CF" w:rsidRPr="00D518FF">
        <w:rPr>
          <w:rFonts w:ascii="Aptos" w:hAnsi="Aptos" w:cs="Arial"/>
          <w:sz w:val="21"/>
          <w:szCs w:val="21"/>
        </w:rPr>
        <w:t xml:space="preserve"> </w:t>
      </w:r>
      <w:r w:rsidRPr="00D518FF">
        <w:rPr>
          <w:rFonts w:ascii="Aptos" w:hAnsi="Aptos" w:cs="Arial"/>
          <w:sz w:val="21"/>
          <w:szCs w:val="21"/>
        </w:rPr>
        <w:t xml:space="preserve">based on key elements of the research question (i.e. intervention, population, and study design). Individual searches </w:t>
      </w:r>
      <w:r w:rsidR="00651AA6">
        <w:rPr>
          <w:rFonts w:ascii="Aptos" w:hAnsi="Aptos" w:cs="Arial"/>
          <w:sz w:val="21"/>
          <w:szCs w:val="21"/>
        </w:rPr>
        <w:t>were</w:t>
      </w:r>
      <w:r w:rsidRPr="00D518FF">
        <w:rPr>
          <w:rFonts w:ascii="Aptos" w:hAnsi="Aptos" w:cs="Arial"/>
          <w:sz w:val="21"/>
          <w:szCs w:val="21"/>
        </w:rPr>
        <w:t xml:space="preserve"> conducted for each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 xml:space="preserve">. In developing the proposed search strategy, relevant search strategies from Cochrane Overviews of </w:t>
      </w:r>
      <w:r w:rsidR="00664037">
        <w:rPr>
          <w:rFonts w:ascii="Aptos" w:hAnsi="Aptos" w:cs="Arial"/>
          <w:sz w:val="21"/>
          <w:szCs w:val="21"/>
        </w:rPr>
        <w:t>S</w:t>
      </w:r>
      <w:r w:rsidRPr="00D518FF">
        <w:rPr>
          <w:rFonts w:ascii="Aptos" w:hAnsi="Aptos" w:cs="Arial"/>
          <w:sz w:val="21"/>
          <w:szCs w:val="21"/>
        </w:rPr>
        <w:t xml:space="preserve">ystematic </w:t>
      </w:r>
      <w:r w:rsidR="00664037">
        <w:rPr>
          <w:rFonts w:ascii="Aptos" w:hAnsi="Aptos" w:cs="Arial"/>
          <w:sz w:val="21"/>
          <w:szCs w:val="21"/>
        </w:rPr>
        <w:t>R</w:t>
      </w:r>
      <w:r w:rsidRPr="00D518FF">
        <w:rPr>
          <w:rFonts w:ascii="Aptos" w:hAnsi="Aptos" w:cs="Arial"/>
          <w:sz w:val="21"/>
          <w:szCs w:val="21"/>
        </w:rPr>
        <w:t xml:space="preserve">eviews were appraised. The following electronic databases </w:t>
      </w:r>
      <w:r w:rsidR="00651AA6">
        <w:rPr>
          <w:rFonts w:ascii="Aptos" w:hAnsi="Aptos" w:cs="Arial"/>
          <w:sz w:val="21"/>
          <w:szCs w:val="21"/>
        </w:rPr>
        <w:t>were</w:t>
      </w:r>
      <w:r w:rsidRPr="00D518FF">
        <w:rPr>
          <w:rFonts w:ascii="Aptos" w:hAnsi="Aptos" w:cs="Arial"/>
          <w:sz w:val="21"/>
          <w:szCs w:val="21"/>
        </w:rPr>
        <w:t xml:space="preserve"> searched (based on guidance from </w:t>
      </w:r>
      <w:r w:rsidR="00DD1704" w:rsidRPr="00D518FF">
        <w:rPr>
          <w:rFonts w:ascii="Aptos" w:hAnsi="Aptos" w:cs="Arial"/>
          <w:sz w:val="21"/>
          <w:szCs w:val="21"/>
        </w:rPr>
        <w:t xml:space="preserve">NTWC </w:t>
      </w:r>
      <w:r w:rsidR="00DD1704">
        <w:rPr>
          <w:rFonts w:ascii="Aptos" w:hAnsi="Aptos" w:cs="Arial"/>
          <w:sz w:val="21"/>
          <w:szCs w:val="21"/>
        </w:rPr>
        <w:t>and the Department</w:t>
      </w:r>
      <w:r w:rsidR="004E404D">
        <w:rPr>
          <w:rFonts w:ascii="Aptos" w:hAnsi="Aptos" w:cs="Arial"/>
          <w:sz w:val="21"/>
          <w:szCs w:val="21"/>
        </w:rPr>
        <w:t xml:space="preserve"> </w:t>
      </w:r>
      <w:r w:rsidR="00DD1704">
        <w:rPr>
          <w:rFonts w:ascii="Aptos" w:hAnsi="Aptos" w:cs="Arial"/>
          <w:sz w:val="21"/>
          <w:szCs w:val="21"/>
        </w:rPr>
        <w:t xml:space="preserve">of </w:t>
      </w:r>
      <w:r w:rsidR="004E404D">
        <w:rPr>
          <w:rFonts w:ascii="Aptos" w:hAnsi="Aptos" w:cs="Arial"/>
          <w:sz w:val="21"/>
          <w:szCs w:val="21"/>
        </w:rPr>
        <w:t xml:space="preserve">Aged Care’s Natural Therapies Review Expert Advisory Panel - </w:t>
      </w:r>
      <w:r w:rsidRPr="00D518FF">
        <w:rPr>
          <w:rFonts w:ascii="Aptos" w:hAnsi="Aptos" w:cs="Arial"/>
          <w:sz w:val="21"/>
          <w:szCs w:val="21"/>
        </w:rPr>
        <w:t xml:space="preserve">NTREAP), from inception until </w:t>
      </w:r>
      <w:r w:rsidR="001561D2">
        <w:rPr>
          <w:rFonts w:ascii="Aptos" w:hAnsi="Aptos" w:cs="Arial"/>
          <w:sz w:val="21"/>
          <w:szCs w:val="21"/>
        </w:rPr>
        <w:t>April or May 2023 (</w:t>
      </w:r>
      <w:r w:rsidR="009C51EC">
        <w:rPr>
          <w:rFonts w:ascii="Aptos" w:hAnsi="Aptos" w:cs="Arial"/>
          <w:sz w:val="21"/>
          <w:szCs w:val="21"/>
        </w:rPr>
        <w:t>depending on the pairing)</w:t>
      </w:r>
      <w:r w:rsidRPr="00D518FF">
        <w:rPr>
          <w:rFonts w:ascii="Aptos" w:hAnsi="Aptos" w:cs="Arial"/>
          <w:sz w:val="21"/>
          <w:szCs w:val="21"/>
        </w:rPr>
        <w:t>:</w:t>
      </w:r>
    </w:p>
    <w:p w14:paraId="1C5329C3" w14:textId="77777777" w:rsidR="001612DE" w:rsidRPr="00D518FF" w:rsidRDefault="001612DE" w:rsidP="00A4650A">
      <w:pPr>
        <w:pStyle w:val="ListParagraph"/>
        <w:numPr>
          <w:ilvl w:val="0"/>
          <w:numId w:val="25"/>
        </w:numPr>
        <w:spacing w:before="120" w:after="120"/>
        <w:rPr>
          <w:rFonts w:ascii="Aptos" w:hAnsi="Aptos" w:cs="Arial"/>
          <w:sz w:val="21"/>
          <w:szCs w:val="21"/>
        </w:rPr>
      </w:pPr>
      <w:r w:rsidRPr="00D518FF">
        <w:rPr>
          <w:rFonts w:ascii="Aptos" w:hAnsi="Aptos" w:cs="Arial"/>
          <w:sz w:val="21"/>
          <w:szCs w:val="21"/>
        </w:rPr>
        <w:t>Epistemonikos (includes; Cochrane, PubMed, Embase, CINAHL, PsycINFO, Campbell, JBI)</w:t>
      </w:r>
    </w:p>
    <w:p w14:paraId="3D75ED30" w14:textId="174059A8" w:rsidR="001612DE" w:rsidRPr="00D518FF" w:rsidRDefault="001612DE" w:rsidP="00A4650A">
      <w:pPr>
        <w:pStyle w:val="ListParagraph"/>
        <w:numPr>
          <w:ilvl w:val="0"/>
          <w:numId w:val="25"/>
        </w:numPr>
        <w:spacing w:before="120" w:after="120"/>
        <w:rPr>
          <w:rFonts w:ascii="Aptos" w:hAnsi="Aptos" w:cs="Arial"/>
          <w:sz w:val="21"/>
          <w:szCs w:val="21"/>
        </w:rPr>
      </w:pPr>
      <w:r w:rsidRPr="00D518FF">
        <w:rPr>
          <w:rFonts w:ascii="Aptos" w:hAnsi="Aptos" w:cs="Arial"/>
          <w:sz w:val="21"/>
          <w:szCs w:val="21"/>
        </w:rPr>
        <w:t>AMED</w:t>
      </w:r>
      <w:r w:rsidR="0038008F">
        <w:rPr>
          <w:rFonts w:ascii="Aptos" w:hAnsi="Aptos" w:cs="Arial"/>
          <w:sz w:val="21"/>
          <w:szCs w:val="21"/>
        </w:rPr>
        <w:t xml:space="preserve"> (OVID)</w:t>
      </w:r>
    </w:p>
    <w:p w14:paraId="701931FC" w14:textId="279A30AA" w:rsidR="001612DE" w:rsidRPr="00D518FF" w:rsidRDefault="001612DE" w:rsidP="00A4650A">
      <w:pPr>
        <w:pStyle w:val="ListParagraph"/>
        <w:numPr>
          <w:ilvl w:val="0"/>
          <w:numId w:val="25"/>
        </w:numPr>
        <w:spacing w:before="120" w:after="120"/>
        <w:rPr>
          <w:rFonts w:ascii="Aptos" w:hAnsi="Aptos" w:cs="Arial"/>
          <w:sz w:val="21"/>
          <w:szCs w:val="21"/>
        </w:rPr>
      </w:pPr>
      <w:r w:rsidRPr="00D518FF">
        <w:rPr>
          <w:rFonts w:ascii="Aptos" w:hAnsi="Aptos" w:cs="Arial"/>
          <w:sz w:val="21"/>
          <w:szCs w:val="21"/>
        </w:rPr>
        <w:t>Emcare</w:t>
      </w:r>
      <w:r w:rsidR="0038008F">
        <w:rPr>
          <w:rFonts w:ascii="Aptos" w:hAnsi="Aptos" w:cs="Arial"/>
          <w:sz w:val="21"/>
          <w:szCs w:val="21"/>
        </w:rPr>
        <w:t xml:space="preserve"> (OVID)</w:t>
      </w:r>
    </w:p>
    <w:p w14:paraId="119F91CD" w14:textId="77777777" w:rsidR="001612DE" w:rsidRPr="00D518FF" w:rsidRDefault="001612DE" w:rsidP="00A4650A">
      <w:pPr>
        <w:pStyle w:val="ListParagraph"/>
        <w:numPr>
          <w:ilvl w:val="0"/>
          <w:numId w:val="25"/>
        </w:numPr>
        <w:spacing w:before="120" w:after="120"/>
        <w:rPr>
          <w:rFonts w:ascii="Aptos" w:hAnsi="Aptos" w:cs="Arial"/>
          <w:sz w:val="21"/>
          <w:szCs w:val="21"/>
        </w:rPr>
      </w:pPr>
      <w:r w:rsidRPr="00D518FF">
        <w:rPr>
          <w:rFonts w:ascii="Aptos" w:hAnsi="Aptos" w:cs="Arial"/>
          <w:sz w:val="21"/>
          <w:szCs w:val="21"/>
        </w:rPr>
        <w:t>Natural Medicines Comprehensive Database</w:t>
      </w:r>
    </w:p>
    <w:p w14:paraId="31A925B0" w14:textId="77777777" w:rsidR="001612DE" w:rsidRPr="00D518FF" w:rsidRDefault="001612DE" w:rsidP="00A4650A">
      <w:pPr>
        <w:pStyle w:val="ListParagraph"/>
        <w:numPr>
          <w:ilvl w:val="0"/>
          <w:numId w:val="25"/>
        </w:numPr>
        <w:spacing w:before="120" w:after="120"/>
        <w:rPr>
          <w:rFonts w:ascii="Aptos" w:hAnsi="Aptos" w:cs="Arial"/>
          <w:sz w:val="21"/>
          <w:szCs w:val="21"/>
        </w:rPr>
      </w:pPr>
      <w:r w:rsidRPr="00D518FF">
        <w:rPr>
          <w:rFonts w:ascii="Aptos" w:hAnsi="Aptos" w:cs="Arial"/>
          <w:sz w:val="21"/>
          <w:szCs w:val="21"/>
        </w:rPr>
        <w:t>PROSPERO</w:t>
      </w:r>
    </w:p>
    <w:p w14:paraId="41179DF7" w14:textId="42C3BFDC" w:rsidR="001612DE" w:rsidRPr="00D518FF" w:rsidRDefault="001612DE" w:rsidP="001612DE">
      <w:pPr>
        <w:spacing w:before="120" w:after="120"/>
        <w:rPr>
          <w:rFonts w:ascii="Aptos" w:hAnsi="Aptos" w:cs="Arial"/>
          <w:sz w:val="21"/>
          <w:szCs w:val="21"/>
        </w:rPr>
      </w:pPr>
      <w:bookmarkStart w:id="11" w:name="_Toc100711489"/>
      <w:r w:rsidRPr="00D518FF">
        <w:rPr>
          <w:rFonts w:ascii="Aptos" w:hAnsi="Aptos" w:cs="Arial"/>
          <w:sz w:val="21"/>
          <w:szCs w:val="21"/>
        </w:rPr>
        <w:t xml:space="preserve">Specifically, PROSPERO </w:t>
      </w:r>
      <w:r w:rsidR="009C51EC">
        <w:rPr>
          <w:rFonts w:ascii="Aptos" w:hAnsi="Aptos" w:cs="Arial"/>
          <w:sz w:val="21"/>
          <w:szCs w:val="21"/>
        </w:rPr>
        <w:t>was</w:t>
      </w:r>
      <w:r w:rsidRPr="00D518FF">
        <w:rPr>
          <w:rFonts w:ascii="Aptos" w:hAnsi="Aptos" w:cs="Arial"/>
          <w:sz w:val="21"/>
          <w:szCs w:val="21"/>
        </w:rPr>
        <w:t xml:space="preserve"> searched for population-</w:t>
      </w:r>
      <w:r w:rsidR="00BF0EB3">
        <w:rPr>
          <w:rFonts w:ascii="Aptos" w:hAnsi="Aptos" w:cs="Arial"/>
          <w:sz w:val="21"/>
          <w:szCs w:val="21"/>
        </w:rPr>
        <w:t>supplement</w:t>
      </w:r>
      <w:r w:rsidR="00BF0EB3" w:rsidRPr="00D518FF">
        <w:rPr>
          <w:rFonts w:ascii="Aptos" w:hAnsi="Aptos" w:cs="Arial"/>
          <w:sz w:val="21"/>
          <w:szCs w:val="21"/>
        </w:rPr>
        <w:t xml:space="preserve"> </w:t>
      </w:r>
      <w:r w:rsidR="00BF0EB3">
        <w:rPr>
          <w:rFonts w:ascii="Aptos" w:hAnsi="Aptos" w:cs="Arial"/>
          <w:sz w:val="21"/>
          <w:szCs w:val="21"/>
        </w:rPr>
        <w:t>pairs</w:t>
      </w:r>
      <w:r w:rsidR="00BF0EB3" w:rsidRPr="00D518FF">
        <w:rPr>
          <w:rFonts w:ascii="Aptos" w:hAnsi="Aptos" w:cs="Arial"/>
          <w:sz w:val="21"/>
          <w:szCs w:val="21"/>
        </w:rPr>
        <w:t xml:space="preserve"> </w:t>
      </w:r>
      <w:r w:rsidRPr="00D518FF">
        <w:rPr>
          <w:rFonts w:ascii="Aptos" w:hAnsi="Aptos" w:cs="Arial"/>
          <w:sz w:val="21"/>
          <w:szCs w:val="21"/>
        </w:rPr>
        <w:t xml:space="preserve">which were identified as priority, but where no systematic reviews were identified from other sources. This is to check if any relevant systematic reviews </w:t>
      </w:r>
      <w:r w:rsidR="00271DE2">
        <w:rPr>
          <w:rFonts w:ascii="Aptos" w:hAnsi="Aptos" w:cs="Arial"/>
          <w:sz w:val="21"/>
          <w:szCs w:val="21"/>
        </w:rPr>
        <w:t>were</w:t>
      </w:r>
      <w:r w:rsidR="00271DE2" w:rsidRPr="00D518FF">
        <w:rPr>
          <w:rFonts w:ascii="Aptos" w:hAnsi="Aptos" w:cs="Arial"/>
          <w:sz w:val="21"/>
          <w:szCs w:val="21"/>
        </w:rPr>
        <w:t xml:space="preserve"> </w:t>
      </w:r>
      <w:r w:rsidRPr="00D518FF">
        <w:rPr>
          <w:rFonts w:ascii="Aptos" w:hAnsi="Aptos" w:cs="Arial"/>
          <w:sz w:val="21"/>
          <w:szCs w:val="21"/>
        </w:rPr>
        <w:t>ongoing or completed, but not yet published.</w:t>
      </w:r>
    </w:p>
    <w:p w14:paraId="4213DC14" w14:textId="77777777" w:rsidR="001612DE" w:rsidRPr="0027240E" w:rsidRDefault="001612DE" w:rsidP="0027240E">
      <w:pPr>
        <w:pStyle w:val="heading3numbers"/>
      </w:pPr>
      <w:bookmarkStart w:id="12" w:name="_Toc126835784"/>
      <w:bookmarkStart w:id="13" w:name="_Toc185254607"/>
      <w:r w:rsidRPr="0027240E">
        <w:t>Search restrictions</w:t>
      </w:r>
      <w:bookmarkEnd w:id="11"/>
      <w:bookmarkEnd w:id="12"/>
      <w:bookmarkEnd w:id="13"/>
    </w:p>
    <w:p w14:paraId="0EEED2D2" w14:textId="1CDE89F5" w:rsidR="001612DE" w:rsidRPr="00D518FF" w:rsidRDefault="001612DE" w:rsidP="001612DE">
      <w:pPr>
        <w:spacing w:before="120" w:after="120"/>
        <w:rPr>
          <w:rFonts w:ascii="Aptos" w:hAnsi="Aptos" w:cs="Arial"/>
          <w:sz w:val="21"/>
          <w:szCs w:val="21"/>
        </w:rPr>
      </w:pPr>
      <w:r w:rsidRPr="00D518FF">
        <w:rPr>
          <w:rFonts w:ascii="Aptos" w:hAnsi="Aptos" w:cs="Arial"/>
          <w:sz w:val="21"/>
          <w:szCs w:val="21"/>
        </w:rPr>
        <w:t xml:space="preserve">Searches </w:t>
      </w:r>
      <w:r w:rsidR="009C51EC">
        <w:rPr>
          <w:rFonts w:ascii="Aptos" w:hAnsi="Aptos" w:cs="Arial"/>
          <w:sz w:val="21"/>
          <w:szCs w:val="21"/>
        </w:rPr>
        <w:t>were</w:t>
      </w:r>
      <w:r w:rsidRPr="00D518FF">
        <w:rPr>
          <w:rFonts w:ascii="Aptos" w:hAnsi="Aptos" w:cs="Arial"/>
          <w:sz w:val="21"/>
          <w:szCs w:val="21"/>
        </w:rPr>
        <w:t xml:space="preserve"> limited to human research (by excluding articles that </w:t>
      </w:r>
      <w:r w:rsidR="00271DE2">
        <w:rPr>
          <w:rFonts w:ascii="Aptos" w:hAnsi="Aptos" w:cs="Arial"/>
          <w:sz w:val="21"/>
          <w:szCs w:val="21"/>
        </w:rPr>
        <w:t>were</w:t>
      </w:r>
      <w:r w:rsidR="00271DE2" w:rsidRPr="00D518FF">
        <w:rPr>
          <w:rFonts w:ascii="Aptos" w:hAnsi="Aptos" w:cs="Arial"/>
          <w:sz w:val="21"/>
          <w:szCs w:val="21"/>
        </w:rPr>
        <w:t xml:space="preserve"> </w:t>
      </w:r>
      <w:r w:rsidRPr="00D518FF">
        <w:rPr>
          <w:rFonts w:ascii="Aptos" w:hAnsi="Aptos" w:cs="Arial"/>
          <w:sz w:val="21"/>
          <w:szCs w:val="21"/>
        </w:rPr>
        <w:t xml:space="preserve">tagged as “animal” and “not human”, so as not to miss articles which are not specifically tagged as “human” but </w:t>
      </w:r>
      <w:r w:rsidR="00B52D91">
        <w:rPr>
          <w:rFonts w:ascii="Aptos" w:hAnsi="Aptos" w:cs="Arial"/>
          <w:sz w:val="21"/>
          <w:szCs w:val="21"/>
        </w:rPr>
        <w:t>would</w:t>
      </w:r>
      <w:r w:rsidR="00B52D91" w:rsidRPr="00D518FF">
        <w:rPr>
          <w:rFonts w:ascii="Aptos" w:hAnsi="Aptos" w:cs="Arial"/>
          <w:sz w:val="21"/>
          <w:szCs w:val="21"/>
        </w:rPr>
        <w:t xml:space="preserve"> </w:t>
      </w:r>
      <w:r w:rsidRPr="00D518FF">
        <w:rPr>
          <w:rFonts w:ascii="Aptos" w:hAnsi="Aptos" w:cs="Arial"/>
          <w:sz w:val="21"/>
          <w:szCs w:val="21"/>
        </w:rPr>
        <w:t xml:space="preserve">still </w:t>
      </w:r>
      <w:r w:rsidR="00B52D91">
        <w:rPr>
          <w:rFonts w:ascii="Aptos" w:hAnsi="Aptos" w:cs="Arial"/>
          <w:sz w:val="21"/>
          <w:szCs w:val="21"/>
        </w:rPr>
        <w:t xml:space="preserve">be </w:t>
      </w:r>
      <w:r w:rsidRPr="00D518FF">
        <w:rPr>
          <w:rFonts w:ascii="Aptos" w:hAnsi="Aptos" w:cs="Arial"/>
          <w:sz w:val="21"/>
          <w:szCs w:val="21"/>
        </w:rPr>
        <w:t xml:space="preserve">relevant). No date, language or geographic limitations </w:t>
      </w:r>
      <w:r w:rsidR="00273401">
        <w:rPr>
          <w:rFonts w:ascii="Aptos" w:hAnsi="Aptos" w:cs="Arial"/>
          <w:sz w:val="21"/>
          <w:szCs w:val="21"/>
        </w:rPr>
        <w:t>were</w:t>
      </w:r>
      <w:r w:rsidRPr="00D518FF">
        <w:rPr>
          <w:rFonts w:ascii="Aptos" w:hAnsi="Aptos" w:cs="Arial"/>
          <w:sz w:val="21"/>
          <w:szCs w:val="21"/>
        </w:rPr>
        <w:t xml:space="preserve"> applied when conducting the search of databases. </w:t>
      </w:r>
      <w:r w:rsidR="00B52D91" w:rsidRPr="00B52D91">
        <w:rPr>
          <w:rFonts w:ascii="Aptos" w:hAnsi="Aptos" w:cs="Arial"/>
          <w:sz w:val="21"/>
          <w:szCs w:val="21"/>
        </w:rPr>
        <w:t xml:space="preserve">Non-English databases were not searched, however when non-English reviews were found because of English language database searches, </w:t>
      </w:r>
      <w:r w:rsidRPr="00D518FF">
        <w:rPr>
          <w:rFonts w:ascii="Aptos" w:hAnsi="Aptos" w:cs="Arial"/>
          <w:sz w:val="21"/>
          <w:szCs w:val="21"/>
        </w:rPr>
        <w:t xml:space="preserve">the process outlined in “Reviews published in languages other than English” </w:t>
      </w:r>
      <w:r w:rsidR="00273401">
        <w:rPr>
          <w:rFonts w:ascii="Aptos" w:hAnsi="Aptos" w:cs="Arial"/>
          <w:sz w:val="21"/>
          <w:szCs w:val="21"/>
        </w:rPr>
        <w:t>was</w:t>
      </w:r>
      <w:r w:rsidRPr="00D518FF">
        <w:rPr>
          <w:rFonts w:ascii="Aptos" w:hAnsi="Aptos" w:cs="Arial"/>
          <w:sz w:val="21"/>
          <w:szCs w:val="21"/>
        </w:rPr>
        <w:t xml:space="preserve"> followed.</w:t>
      </w:r>
    </w:p>
    <w:p w14:paraId="7B1A76CF" w14:textId="77777777" w:rsidR="001612DE" w:rsidRPr="00D518FF" w:rsidRDefault="001612DE" w:rsidP="0027240E">
      <w:pPr>
        <w:pStyle w:val="heading3numbers"/>
      </w:pPr>
      <w:bookmarkStart w:id="14" w:name="_Toc100711490"/>
      <w:bookmarkStart w:id="15" w:name="_Toc126835785"/>
      <w:bookmarkStart w:id="16" w:name="_Toc185254608"/>
      <w:r w:rsidRPr="00D518FF">
        <w:t>Other sources</w:t>
      </w:r>
      <w:bookmarkEnd w:id="14"/>
      <w:bookmarkEnd w:id="15"/>
      <w:bookmarkEnd w:id="16"/>
    </w:p>
    <w:p w14:paraId="414CF011" w14:textId="2EA3D418" w:rsidR="001612DE" w:rsidRPr="00D518FF" w:rsidRDefault="001612DE" w:rsidP="001612DE">
      <w:pPr>
        <w:spacing w:before="120" w:after="120"/>
        <w:rPr>
          <w:rFonts w:ascii="Aptos" w:hAnsi="Aptos" w:cs="Arial"/>
          <w:sz w:val="21"/>
          <w:szCs w:val="21"/>
        </w:rPr>
      </w:pPr>
      <w:r w:rsidRPr="00D518FF">
        <w:rPr>
          <w:rFonts w:ascii="Aptos" w:hAnsi="Aptos" w:cs="Arial"/>
          <w:sz w:val="21"/>
          <w:szCs w:val="21"/>
        </w:rPr>
        <w:t xml:space="preserve">Reference lists of all included reviews </w:t>
      </w:r>
      <w:r w:rsidR="00944301">
        <w:rPr>
          <w:rFonts w:ascii="Aptos" w:hAnsi="Aptos" w:cs="Arial"/>
          <w:sz w:val="21"/>
          <w:szCs w:val="21"/>
        </w:rPr>
        <w:t>were</w:t>
      </w:r>
      <w:r w:rsidRPr="00D518FF">
        <w:rPr>
          <w:rFonts w:ascii="Aptos" w:hAnsi="Aptos" w:cs="Arial"/>
          <w:sz w:val="21"/>
          <w:szCs w:val="21"/>
        </w:rPr>
        <w:t xml:space="preserve"> reviewed for potential additional eligible reviews (ancestry search). The Department of Health</w:t>
      </w:r>
      <w:r w:rsidR="001459C1">
        <w:rPr>
          <w:rFonts w:ascii="Aptos" w:hAnsi="Aptos" w:cs="Arial"/>
          <w:sz w:val="21"/>
          <w:szCs w:val="21"/>
        </w:rPr>
        <w:t xml:space="preserve"> and Aged </w:t>
      </w:r>
      <w:r w:rsidR="00B52D91">
        <w:rPr>
          <w:rFonts w:ascii="Aptos" w:hAnsi="Aptos" w:cs="Arial"/>
          <w:sz w:val="21"/>
          <w:szCs w:val="21"/>
        </w:rPr>
        <w:t>C</w:t>
      </w:r>
      <w:r w:rsidR="001459C1">
        <w:rPr>
          <w:rFonts w:ascii="Aptos" w:hAnsi="Aptos" w:cs="Arial"/>
          <w:sz w:val="21"/>
          <w:szCs w:val="21"/>
        </w:rPr>
        <w:t>are</w:t>
      </w:r>
      <w:r w:rsidRPr="00D518FF">
        <w:rPr>
          <w:rFonts w:ascii="Aptos" w:hAnsi="Aptos" w:cs="Arial"/>
          <w:sz w:val="21"/>
          <w:szCs w:val="21"/>
        </w:rPr>
        <w:t xml:space="preserve"> invited the public and key stakeholders to provide published research evidence. Publicly submitted evidence </w:t>
      </w:r>
      <w:r w:rsidR="00CF5720">
        <w:rPr>
          <w:rFonts w:ascii="Aptos" w:hAnsi="Aptos" w:cs="Arial"/>
          <w:sz w:val="21"/>
          <w:szCs w:val="21"/>
        </w:rPr>
        <w:t>was</w:t>
      </w:r>
      <w:r w:rsidRPr="00D518FF">
        <w:rPr>
          <w:rFonts w:ascii="Aptos" w:hAnsi="Aptos" w:cs="Arial"/>
          <w:sz w:val="21"/>
          <w:szCs w:val="21"/>
        </w:rPr>
        <w:t xml:space="preserve"> provided to evidence reviewers once </w:t>
      </w:r>
      <w:r w:rsidRPr="00D518FF">
        <w:rPr>
          <w:rFonts w:ascii="Aptos" w:hAnsi="Aptos" w:cs="Arial"/>
          <w:sz w:val="21"/>
          <w:szCs w:val="21"/>
        </w:rPr>
        <w:lastRenderedPageBreak/>
        <w:t xml:space="preserve">the protocol </w:t>
      </w:r>
      <w:r w:rsidR="00B52D91">
        <w:rPr>
          <w:rFonts w:ascii="Aptos" w:hAnsi="Aptos" w:cs="Arial"/>
          <w:sz w:val="21"/>
          <w:szCs w:val="21"/>
        </w:rPr>
        <w:t>was</w:t>
      </w:r>
      <w:r w:rsidR="00B52D91" w:rsidRPr="00D518FF">
        <w:rPr>
          <w:rFonts w:ascii="Aptos" w:hAnsi="Aptos" w:cs="Arial"/>
          <w:sz w:val="21"/>
          <w:szCs w:val="21"/>
        </w:rPr>
        <w:t xml:space="preserve"> </w:t>
      </w:r>
      <w:r w:rsidRPr="00D518FF">
        <w:rPr>
          <w:rFonts w:ascii="Aptos" w:hAnsi="Aptos" w:cs="Arial"/>
          <w:sz w:val="21"/>
          <w:szCs w:val="21"/>
        </w:rPr>
        <w:t xml:space="preserve">finalised. Potential reviews </w:t>
      </w:r>
      <w:r w:rsidR="00CF5720">
        <w:rPr>
          <w:rFonts w:ascii="Aptos" w:hAnsi="Aptos" w:cs="Arial"/>
          <w:sz w:val="21"/>
          <w:szCs w:val="21"/>
        </w:rPr>
        <w:t>were</w:t>
      </w:r>
      <w:r w:rsidRPr="00D518FF">
        <w:rPr>
          <w:rFonts w:ascii="Aptos" w:hAnsi="Aptos" w:cs="Arial"/>
          <w:sz w:val="21"/>
          <w:szCs w:val="21"/>
        </w:rPr>
        <w:t xml:space="preserve"> considered and assessed against the predetermined inclusion criteria (see</w:t>
      </w:r>
      <w:r w:rsidRPr="00D518FF" w:rsidDel="00B20BD8">
        <w:rPr>
          <w:rFonts w:ascii="Aptos" w:hAnsi="Aptos" w:cs="Arial"/>
          <w:sz w:val="21"/>
          <w:szCs w:val="21"/>
        </w:rPr>
        <w:t xml:space="preserve"> </w:t>
      </w:r>
      <w:r w:rsidR="000E5E31">
        <w:rPr>
          <w:rFonts w:ascii="Aptos" w:hAnsi="Aptos" w:cs="Arial"/>
          <w:sz w:val="21"/>
          <w:szCs w:val="21"/>
        </w:rPr>
        <w:t xml:space="preserve">Section </w:t>
      </w:r>
      <w:r w:rsidR="000E5E31">
        <w:rPr>
          <w:rFonts w:ascii="Aptos" w:hAnsi="Aptos" w:cs="Arial"/>
          <w:sz w:val="21"/>
          <w:szCs w:val="21"/>
        </w:rPr>
        <w:fldChar w:fldCharType="begin" w:fldLock="1"/>
      </w:r>
      <w:r w:rsidR="000E5E31">
        <w:rPr>
          <w:rFonts w:ascii="Aptos" w:hAnsi="Aptos" w:cs="Arial"/>
          <w:sz w:val="21"/>
          <w:szCs w:val="21"/>
        </w:rPr>
        <w:instrText xml:space="preserve"> REF _Ref172746244 \w </w:instrText>
      </w:r>
      <w:r w:rsidR="000E5E31">
        <w:rPr>
          <w:rFonts w:ascii="Aptos" w:hAnsi="Aptos" w:cs="Arial"/>
          <w:sz w:val="21"/>
          <w:szCs w:val="21"/>
        </w:rPr>
        <w:fldChar w:fldCharType="separate"/>
      </w:r>
      <w:r w:rsidR="000E5E31">
        <w:rPr>
          <w:rFonts w:ascii="Aptos" w:hAnsi="Aptos" w:cs="Arial"/>
          <w:sz w:val="21"/>
          <w:szCs w:val="21"/>
        </w:rPr>
        <w:t>A3</w:t>
      </w:r>
      <w:r w:rsidR="000E5E31">
        <w:rPr>
          <w:rFonts w:ascii="Aptos" w:hAnsi="Aptos" w:cs="Arial"/>
          <w:sz w:val="21"/>
          <w:szCs w:val="21"/>
        </w:rPr>
        <w:fldChar w:fldCharType="end"/>
      </w:r>
      <w:r w:rsidRPr="00D518FF">
        <w:rPr>
          <w:rFonts w:ascii="Aptos" w:hAnsi="Aptos" w:cs="Arial"/>
          <w:sz w:val="21"/>
          <w:szCs w:val="21"/>
        </w:rPr>
        <w:t xml:space="preserve">). Grey literature </w:t>
      </w:r>
      <w:r w:rsidR="00CF5720">
        <w:rPr>
          <w:rFonts w:ascii="Aptos" w:hAnsi="Aptos" w:cs="Arial"/>
          <w:sz w:val="21"/>
          <w:szCs w:val="21"/>
        </w:rPr>
        <w:t>was</w:t>
      </w:r>
      <w:r w:rsidRPr="00D518FF">
        <w:rPr>
          <w:rFonts w:ascii="Aptos" w:hAnsi="Aptos" w:cs="Arial"/>
          <w:sz w:val="21"/>
          <w:szCs w:val="21"/>
        </w:rPr>
        <w:t xml:space="preserve"> out of scope (including conference abstracts).</w:t>
      </w:r>
    </w:p>
    <w:p w14:paraId="52A52801" w14:textId="77777777" w:rsidR="0027240E" w:rsidRPr="0027240E" w:rsidRDefault="0027240E" w:rsidP="0027240E">
      <w:pPr>
        <w:pStyle w:val="heading2numbers"/>
      </w:pPr>
      <w:bookmarkStart w:id="17" w:name="_Ref172746304"/>
      <w:bookmarkStart w:id="18" w:name="_Toc185254609"/>
      <w:r w:rsidRPr="0027240E">
        <w:t>Search strategies</w:t>
      </w:r>
      <w:bookmarkEnd w:id="17"/>
      <w:bookmarkEnd w:id="18"/>
    </w:p>
    <w:tbl>
      <w:tblPr>
        <w:tblStyle w:val="TableGrid"/>
        <w:tblW w:w="9351" w:type="dxa"/>
        <w:tblLook w:val="04A0" w:firstRow="1" w:lastRow="0" w:firstColumn="1" w:lastColumn="0" w:noHBand="0" w:noVBand="1"/>
      </w:tblPr>
      <w:tblGrid>
        <w:gridCol w:w="2331"/>
        <w:gridCol w:w="7020"/>
      </w:tblGrid>
      <w:tr w:rsidR="0027240E" w:rsidRPr="00C66AD1" w14:paraId="49935AA6" w14:textId="77777777" w:rsidTr="00047995">
        <w:tc>
          <w:tcPr>
            <w:tcW w:w="2331" w:type="dxa"/>
            <w:shd w:val="clear" w:color="auto" w:fill="D9D9D9" w:themeFill="background1" w:themeFillShade="D9"/>
          </w:tcPr>
          <w:p w14:paraId="24FC9D7C" w14:textId="77777777" w:rsidR="0027240E" w:rsidRPr="00C66AD1" w:rsidRDefault="0027240E">
            <w:pPr>
              <w:pStyle w:val="2024TABLEHEADER"/>
              <w:spacing w:line="240" w:lineRule="auto"/>
            </w:pPr>
            <w:r w:rsidRPr="00C66AD1">
              <w:t>Condition/intervention</w:t>
            </w:r>
          </w:p>
        </w:tc>
        <w:tc>
          <w:tcPr>
            <w:tcW w:w="7020" w:type="dxa"/>
            <w:shd w:val="clear" w:color="auto" w:fill="D9D9D9" w:themeFill="background1" w:themeFillShade="D9"/>
          </w:tcPr>
          <w:p w14:paraId="0A325FD6" w14:textId="77777777" w:rsidR="0027240E" w:rsidRPr="00C66AD1" w:rsidRDefault="0027240E">
            <w:pPr>
              <w:pStyle w:val="2024TABLEHEADER"/>
              <w:spacing w:line="240" w:lineRule="auto"/>
            </w:pPr>
            <w:r w:rsidRPr="00C66AD1">
              <w:t>Search syntax</w:t>
            </w:r>
          </w:p>
        </w:tc>
      </w:tr>
      <w:tr w:rsidR="0027240E" w:rsidRPr="00C66AD1" w14:paraId="70EB3BB5" w14:textId="77777777" w:rsidTr="00047995">
        <w:trPr>
          <w:trHeight w:val="208"/>
        </w:trPr>
        <w:tc>
          <w:tcPr>
            <w:tcW w:w="2331" w:type="dxa"/>
            <w:vMerge w:val="restart"/>
          </w:tcPr>
          <w:p w14:paraId="35097E34" w14:textId="393F6A9E" w:rsidR="0027240E" w:rsidRPr="00C66AD1" w:rsidRDefault="0027240E">
            <w:pPr>
              <w:rPr>
                <w:rFonts w:ascii="Aptos" w:hAnsi="Aptos"/>
                <w:sz w:val="18"/>
                <w:szCs w:val="18"/>
              </w:rPr>
            </w:pPr>
            <w:r w:rsidRPr="00C66AD1">
              <w:rPr>
                <w:rFonts w:ascii="Aptos" w:hAnsi="Aptos"/>
                <w:sz w:val="18"/>
                <w:szCs w:val="18"/>
              </w:rPr>
              <w:t>1. Anxiety (including postnatal)</w:t>
            </w:r>
            <w:r w:rsidR="009C66E2">
              <w:rPr>
                <w:rFonts w:ascii="Aptos" w:hAnsi="Aptos"/>
                <w:sz w:val="18"/>
                <w:szCs w:val="18"/>
              </w:rPr>
              <w:t xml:space="preserve"> and</w:t>
            </w:r>
            <w:r w:rsidRPr="00C66AD1">
              <w:rPr>
                <w:rFonts w:ascii="Aptos" w:hAnsi="Aptos"/>
                <w:sz w:val="18"/>
                <w:szCs w:val="18"/>
              </w:rPr>
              <w:t>magnesium</w:t>
            </w:r>
          </w:p>
          <w:p w14:paraId="483B59F2" w14:textId="77777777" w:rsidR="0027240E" w:rsidRPr="00C66AD1" w:rsidRDefault="0027240E">
            <w:pPr>
              <w:rPr>
                <w:rFonts w:ascii="Aptos" w:hAnsi="Aptos"/>
                <w:sz w:val="18"/>
                <w:szCs w:val="18"/>
              </w:rPr>
            </w:pPr>
          </w:p>
          <w:p w14:paraId="27F67694" w14:textId="77777777" w:rsidR="0027240E" w:rsidRPr="00C66AD1" w:rsidRDefault="0027240E">
            <w:pPr>
              <w:rPr>
                <w:rFonts w:ascii="Aptos" w:hAnsi="Aptos"/>
                <w:sz w:val="18"/>
                <w:szCs w:val="18"/>
              </w:rPr>
            </w:pPr>
            <w:r w:rsidRPr="00C66AD1">
              <w:rPr>
                <w:rFonts w:ascii="Aptos" w:hAnsi="Aptos"/>
                <w:sz w:val="18"/>
                <w:szCs w:val="18"/>
              </w:rPr>
              <w:t>Conducted 29/04/2023</w:t>
            </w:r>
          </w:p>
        </w:tc>
        <w:tc>
          <w:tcPr>
            <w:tcW w:w="7020" w:type="dxa"/>
          </w:tcPr>
          <w:p w14:paraId="352FC131" w14:textId="77777777" w:rsidR="0027240E" w:rsidRPr="00C66AD1" w:rsidRDefault="0027240E">
            <w:pPr>
              <w:pStyle w:val="2024TABLETEXT"/>
              <w:framePr w:hSpace="0" w:wrap="auto" w:vAnchor="margin" w:yAlign="inline"/>
              <w:spacing w:line="240" w:lineRule="auto"/>
              <w:suppressOverlap w:val="0"/>
            </w:pPr>
            <w:r w:rsidRPr="00C66AD1">
              <w:t>Epistemonikis</w:t>
            </w:r>
          </w:p>
          <w:p w14:paraId="04133BD6" w14:textId="77777777" w:rsidR="0027240E" w:rsidRPr="00C66AD1" w:rsidRDefault="0027240E">
            <w:pPr>
              <w:rPr>
                <w:rFonts w:ascii="Aptos" w:hAnsi="Aptos"/>
                <w:sz w:val="18"/>
                <w:szCs w:val="18"/>
              </w:rPr>
            </w:pPr>
            <w:r w:rsidRPr="00C66AD1">
              <w:rPr>
                <w:rFonts w:ascii="Aptos" w:hAnsi="Aptos"/>
                <w:sz w:val="18"/>
                <w:szCs w:val="18"/>
              </w:rPr>
              <w:t>(title:(anxiety OR "affective disorder" OR anxiousness OR anxious) OR abstract:(anxiety OR "affective disorder" OR anxiousness OR anxious)) AND (title:(magnesium) OR abstract:(magnesium))</w:t>
            </w:r>
          </w:p>
        </w:tc>
      </w:tr>
      <w:tr w:rsidR="004944B1" w:rsidRPr="00C66AD1" w14:paraId="26DDB944" w14:textId="77777777" w:rsidTr="00047995">
        <w:trPr>
          <w:trHeight w:val="208"/>
        </w:trPr>
        <w:tc>
          <w:tcPr>
            <w:tcW w:w="2331" w:type="dxa"/>
            <w:vMerge/>
          </w:tcPr>
          <w:p w14:paraId="0B870475" w14:textId="77777777" w:rsidR="004944B1" w:rsidRPr="00C66AD1" w:rsidRDefault="004944B1">
            <w:pPr>
              <w:rPr>
                <w:rFonts w:ascii="Aptos" w:hAnsi="Aptos"/>
                <w:sz w:val="18"/>
                <w:szCs w:val="18"/>
              </w:rPr>
            </w:pPr>
          </w:p>
        </w:tc>
        <w:tc>
          <w:tcPr>
            <w:tcW w:w="7020" w:type="dxa"/>
          </w:tcPr>
          <w:p w14:paraId="45E15F42" w14:textId="77777777" w:rsidR="004944B1" w:rsidRDefault="00F41E89">
            <w:pPr>
              <w:pStyle w:val="2024TABLETEXT"/>
              <w:framePr w:hSpace="0" w:wrap="auto" w:vAnchor="margin" w:yAlign="inline"/>
              <w:spacing w:line="240" w:lineRule="auto"/>
              <w:suppressOverlap w:val="0"/>
            </w:pPr>
            <w:r>
              <w:t>AMED</w:t>
            </w:r>
          </w:p>
          <w:p w14:paraId="55C2A26B" w14:textId="47165CB3" w:rsidR="00580FCA" w:rsidRPr="00C66AD1" w:rsidRDefault="00580FCA">
            <w:pPr>
              <w:pStyle w:val="2024TABLETEXT"/>
              <w:framePr w:hSpace="0" w:wrap="auto" w:vAnchor="margin" w:yAlign="inline"/>
              <w:spacing w:line="240" w:lineRule="auto"/>
              <w:suppressOverlap w:val="0"/>
            </w:pPr>
            <w:r w:rsidRPr="00580FCA">
              <w:t>(magnesium and (anxiety or anxious) and ((living and review) or (rapid and review) or meta*analysis or meta review or (overview and (reviews or systematic)) or (systematic and review))).mp. [mp=abstract, heading words, title]</w:t>
            </w:r>
          </w:p>
        </w:tc>
      </w:tr>
      <w:tr w:rsidR="0027240E" w:rsidRPr="00C66AD1" w14:paraId="37153613" w14:textId="77777777" w:rsidTr="00047995">
        <w:trPr>
          <w:trHeight w:val="2599"/>
        </w:trPr>
        <w:tc>
          <w:tcPr>
            <w:tcW w:w="2331" w:type="dxa"/>
            <w:vMerge/>
          </w:tcPr>
          <w:p w14:paraId="0B5E8D16" w14:textId="77777777" w:rsidR="0027240E" w:rsidRPr="00C66AD1" w:rsidRDefault="0027240E">
            <w:pPr>
              <w:rPr>
                <w:rFonts w:ascii="Aptos" w:hAnsi="Aptos"/>
                <w:sz w:val="18"/>
                <w:szCs w:val="18"/>
              </w:rPr>
            </w:pPr>
          </w:p>
        </w:tc>
        <w:tc>
          <w:tcPr>
            <w:tcW w:w="7020" w:type="dxa"/>
          </w:tcPr>
          <w:p w14:paraId="4557420F" w14:textId="77777777" w:rsidR="0027240E" w:rsidRPr="00C66AD1" w:rsidRDefault="0027240E">
            <w:pPr>
              <w:spacing w:after="120"/>
              <w:rPr>
                <w:rFonts w:ascii="Aptos" w:hAnsi="Aptos"/>
                <w:sz w:val="18"/>
                <w:szCs w:val="18"/>
              </w:rPr>
            </w:pPr>
            <w:r w:rsidRPr="00C66AD1">
              <w:rPr>
                <w:rFonts w:ascii="Aptos" w:hAnsi="Aptos"/>
                <w:sz w:val="18"/>
                <w:szCs w:val="18"/>
              </w:rPr>
              <w:t>Ovid Emcare &lt;1995 to 2023 Week 15&gt;</w:t>
            </w:r>
          </w:p>
          <w:p w14:paraId="41B5FDFC" w14:textId="77777777" w:rsidR="00DB67AE" w:rsidRPr="00DB67AE" w:rsidRDefault="00DB67AE" w:rsidP="00DB67AE">
            <w:pPr>
              <w:rPr>
                <w:rFonts w:ascii="Aptos" w:hAnsi="Aptos"/>
                <w:sz w:val="18"/>
                <w:szCs w:val="18"/>
              </w:rPr>
            </w:pPr>
            <w:r w:rsidRPr="00DB67AE">
              <w:rPr>
                <w:rFonts w:ascii="Aptos" w:hAnsi="Aptos"/>
                <w:sz w:val="18"/>
                <w:szCs w:val="18"/>
              </w:rPr>
              <w:t>1. exp anxiety/ or exp anxiety neurosis/ or exp generalized anxiety disorder/ or exp anxiety disorder/ or anxiety.mp. or exp "mixed anxiety and depression"/</w:t>
            </w:r>
          </w:p>
          <w:p w14:paraId="7DDD748D" w14:textId="6AA8E5B1" w:rsidR="00DB67AE" w:rsidRPr="00DB67AE" w:rsidRDefault="00DB67AE" w:rsidP="00DB67AE">
            <w:pPr>
              <w:rPr>
                <w:rFonts w:ascii="Aptos" w:hAnsi="Aptos"/>
                <w:sz w:val="18"/>
                <w:szCs w:val="18"/>
              </w:rPr>
            </w:pPr>
            <w:r w:rsidRPr="00DB67AE">
              <w:rPr>
                <w:rFonts w:ascii="Aptos" w:hAnsi="Aptos"/>
                <w:sz w:val="18"/>
                <w:szCs w:val="18"/>
              </w:rPr>
              <w:t>2. magnesium.mp. or exp magnesium/</w:t>
            </w:r>
          </w:p>
          <w:p w14:paraId="33CD346B" w14:textId="4292A6EB" w:rsidR="00DB67AE" w:rsidRPr="00DB67AE" w:rsidRDefault="00DB67AE" w:rsidP="00DB67AE">
            <w:pPr>
              <w:rPr>
                <w:rFonts w:ascii="Aptos" w:hAnsi="Aptos"/>
                <w:sz w:val="18"/>
                <w:szCs w:val="18"/>
              </w:rPr>
            </w:pPr>
            <w:r w:rsidRPr="00DB67AE">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6260B5A0" w14:textId="43C5F74E" w:rsidR="00DB67AE" w:rsidRPr="00DB67AE" w:rsidRDefault="00DB67AE" w:rsidP="00DB67AE">
            <w:pPr>
              <w:rPr>
                <w:rFonts w:ascii="Aptos" w:hAnsi="Aptos"/>
                <w:sz w:val="18"/>
                <w:szCs w:val="18"/>
              </w:rPr>
            </w:pPr>
            <w:r w:rsidRPr="00DB67AE">
              <w:rPr>
                <w:rFonts w:ascii="Aptos" w:hAnsi="Aptos"/>
                <w:sz w:val="18"/>
                <w:szCs w:val="18"/>
              </w:rPr>
              <w:t>4. 1 and 2 and 3</w:t>
            </w:r>
          </w:p>
          <w:p w14:paraId="41B77BCD" w14:textId="3324A347" w:rsidR="0027240E" w:rsidRPr="00C66AD1" w:rsidRDefault="00DB67AE">
            <w:pPr>
              <w:rPr>
                <w:rFonts w:ascii="Aptos" w:hAnsi="Aptos"/>
                <w:sz w:val="18"/>
                <w:szCs w:val="18"/>
              </w:rPr>
            </w:pPr>
            <w:r w:rsidRPr="00DB67AE">
              <w:rPr>
                <w:rFonts w:ascii="Aptos" w:hAnsi="Aptos"/>
                <w:sz w:val="18"/>
                <w:szCs w:val="18"/>
              </w:rPr>
              <w:t>5. limit 4 to human</w:t>
            </w:r>
          </w:p>
        </w:tc>
      </w:tr>
      <w:tr w:rsidR="0027240E" w:rsidRPr="00C66AD1" w14:paraId="15B79FD0" w14:textId="77777777" w:rsidTr="00047995">
        <w:trPr>
          <w:trHeight w:val="63"/>
        </w:trPr>
        <w:tc>
          <w:tcPr>
            <w:tcW w:w="2331" w:type="dxa"/>
            <w:vMerge/>
          </w:tcPr>
          <w:p w14:paraId="43C83F22" w14:textId="77777777" w:rsidR="0027240E" w:rsidRPr="00C66AD1" w:rsidRDefault="0027240E">
            <w:pPr>
              <w:rPr>
                <w:rFonts w:ascii="Aptos" w:hAnsi="Aptos"/>
                <w:sz w:val="18"/>
                <w:szCs w:val="18"/>
              </w:rPr>
            </w:pPr>
          </w:p>
        </w:tc>
        <w:tc>
          <w:tcPr>
            <w:tcW w:w="7020" w:type="dxa"/>
          </w:tcPr>
          <w:p w14:paraId="742AD916" w14:textId="77777777" w:rsidR="0027240E" w:rsidRPr="00C66AD1" w:rsidRDefault="0027240E">
            <w:pPr>
              <w:spacing w:after="120"/>
              <w:rPr>
                <w:rFonts w:ascii="Aptos" w:hAnsi="Aptos"/>
                <w:sz w:val="18"/>
                <w:szCs w:val="18"/>
              </w:rPr>
            </w:pPr>
            <w:r w:rsidRPr="00C66AD1">
              <w:rPr>
                <w:rFonts w:ascii="Aptos" w:hAnsi="Aptos"/>
                <w:sz w:val="18"/>
                <w:szCs w:val="18"/>
              </w:rPr>
              <w:t>PROSPERO</w:t>
            </w:r>
          </w:p>
          <w:p w14:paraId="2AD703C0" w14:textId="77777777" w:rsidR="0027240E" w:rsidRPr="00C66AD1" w:rsidRDefault="0027240E">
            <w:pPr>
              <w:rPr>
                <w:rFonts w:ascii="Aptos" w:hAnsi="Aptos"/>
                <w:sz w:val="18"/>
                <w:szCs w:val="18"/>
              </w:rPr>
            </w:pPr>
            <w:r w:rsidRPr="00C66AD1">
              <w:rPr>
                <w:rFonts w:ascii="Aptos" w:hAnsi="Aptos"/>
                <w:sz w:val="18"/>
                <w:szCs w:val="18"/>
              </w:rPr>
              <w:t>((MeSH DESCRIPTOR Anxiety EXPLODE 1) OR (MeSH DESCRIPTOR Mood Disorders EXPLODE ALL TREES) OR anxiety OR "affective disorder" OR anxiousness OR anxious) AND ((MeSH DESCRIPTOR Magnesium EXPLODE ALL TREES) OR magnesium)</w:t>
            </w:r>
          </w:p>
        </w:tc>
      </w:tr>
      <w:tr w:rsidR="0027240E" w:rsidRPr="00C66AD1" w14:paraId="5AB96F50" w14:textId="77777777" w:rsidTr="00047995">
        <w:trPr>
          <w:trHeight w:val="514"/>
        </w:trPr>
        <w:tc>
          <w:tcPr>
            <w:tcW w:w="2331" w:type="dxa"/>
            <w:vMerge/>
          </w:tcPr>
          <w:p w14:paraId="407AB7D8" w14:textId="77777777" w:rsidR="0027240E" w:rsidRPr="00C66AD1" w:rsidRDefault="0027240E">
            <w:pPr>
              <w:rPr>
                <w:rFonts w:ascii="Aptos" w:hAnsi="Aptos"/>
                <w:sz w:val="18"/>
                <w:szCs w:val="18"/>
              </w:rPr>
            </w:pPr>
          </w:p>
        </w:tc>
        <w:tc>
          <w:tcPr>
            <w:tcW w:w="7020" w:type="dxa"/>
          </w:tcPr>
          <w:p w14:paraId="3EEBA5AC" w14:textId="77777777" w:rsidR="0027240E" w:rsidRPr="00C66AD1" w:rsidRDefault="0027240E">
            <w:pPr>
              <w:spacing w:after="120"/>
              <w:rPr>
                <w:rFonts w:ascii="Aptos" w:hAnsi="Aptos"/>
                <w:sz w:val="18"/>
                <w:szCs w:val="18"/>
              </w:rPr>
            </w:pPr>
            <w:r w:rsidRPr="00C66AD1">
              <w:rPr>
                <w:rFonts w:ascii="Aptos" w:hAnsi="Aptos"/>
                <w:sz w:val="18"/>
                <w:szCs w:val="18"/>
              </w:rPr>
              <w:t>NatMed Pro database</w:t>
            </w:r>
          </w:p>
          <w:p w14:paraId="713F86E8" w14:textId="77777777" w:rsidR="0027240E" w:rsidRPr="00C66AD1" w:rsidRDefault="0027240E">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2D2760CD" w14:textId="77777777" w:rsidR="0027240E" w:rsidRPr="00C66AD1" w:rsidRDefault="0027240E">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27240E" w:rsidRPr="00C66AD1" w14:paraId="1D250BC1" w14:textId="77777777" w:rsidTr="00047995">
        <w:tc>
          <w:tcPr>
            <w:tcW w:w="2331" w:type="dxa"/>
            <w:vMerge w:val="restart"/>
          </w:tcPr>
          <w:p w14:paraId="16F03DE9" w14:textId="77777777" w:rsidR="0027240E" w:rsidRPr="00C66AD1" w:rsidRDefault="0027240E">
            <w:pPr>
              <w:rPr>
                <w:rFonts w:ascii="Aptos" w:hAnsi="Aptos"/>
                <w:sz w:val="18"/>
                <w:szCs w:val="18"/>
              </w:rPr>
            </w:pPr>
            <w:r w:rsidRPr="00C66AD1">
              <w:rPr>
                <w:rFonts w:ascii="Aptos" w:hAnsi="Aptos"/>
                <w:sz w:val="18"/>
                <w:szCs w:val="18"/>
              </w:rPr>
              <w:t>2. Stress (perceived/occupational) and magnesium</w:t>
            </w:r>
          </w:p>
          <w:p w14:paraId="1983D210" w14:textId="77777777" w:rsidR="0027240E" w:rsidRPr="00C66AD1" w:rsidRDefault="0027240E">
            <w:pPr>
              <w:rPr>
                <w:rFonts w:ascii="Aptos" w:hAnsi="Aptos"/>
                <w:sz w:val="18"/>
                <w:szCs w:val="18"/>
              </w:rPr>
            </w:pPr>
          </w:p>
          <w:p w14:paraId="711E6F0D" w14:textId="77777777" w:rsidR="0027240E" w:rsidRPr="00C66AD1" w:rsidRDefault="0027240E">
            <w:pPr>
              <w:rPr>
                <w:rFonts w:ascii="Aptos" w:hAnsi="Aptos"/>
                <w:sz w:val="18"/>
                <w:szCs w:val="18"/>
              </w:rPr>
            </w:pPr>
            <w:r w:rsidRPr="00C66AD1">
              <w:rPr>
                <w:rFonts w:ascii="Aptos" w:hAnsi="Aptos"/>
                <w:sz w:val="18"/>
                <w:szCs w:val="18"/>
              </w:rPr>
              <w:t>Conducted 20/04/2023</w:t>
            </w:r>
          </w:p>
        </w:tc>
        <w:tc>
          <w:tcPr>
            <w:tcW w:w="7020" w:type="dxa"/>
          </w:tcPr>
          <w:p w14:paraId="37972B40" w14:textId="77777777" w:rsidR="0027240E" w:rsidRPr="00C66AD1" w:rsidRDefault="0027240E">
            <w:pPr>
              <w:spacing w:after="120"/>
              <w:rPr>
                <w:rFonts w:ascii="Aptos" w:hAnsi="Aptos"/>
                <w:sz w:val="18"/>
                <w:szCs w:val="18"/>
              </w:rPr>
            </w:pPr>
            <w:r w:rsidRPr="00C66AD1">
              <w:rPr>
                <w:rFonts w:ascii="Aptos" w:hAnsi="Aptos"/>
                <w:sz w:val="18"/>
                <w:szCs w:val="18"/>
              </w:rPr>
              <w:t>Epistemonikos</w:t>
            </w:r>
          </w:p>
          <w:p w14:paraId="3D6314E3" w14:textId="77777777" w:rsidR="0027240E" w:rsidRPr="00C66AD1" w:rsidRDefault="0027240E">
            <w:pPr>
              <w:spacing w:after="120"/>
              <w:rPr>
                <w:rFonts w:ascii="Aptos" w:hAnsi="Aptos"/>
                <w:sz w:val="18"/>
                <w:szCs w:val="18"/>
              </w:rPr>
            </w:pPr>
            <w:r w:rsidRPr="00C66AD1">
              <w:rPr>
                <w:rFonts w:ascii="Aptos" w:hAnsi="Aptos"/>
                <w:sz w:val="18"/>
                <w:szCs w:val="18"/>
              </w:rPr>
              <w:t>(title:((title:(stress OR distress OR crisis) OR abstract:(stress OR distress OR crisis)) AND (title:(magnesium OR mg*) OR abstract:(magnesium OR mg*))) OR abstract:((title:(stress OR distress OR crisis) OR abstract:(stress OR distress OR crisis)) AND (title:(magnesium OR mg*) OR abstract:(magnesium OR mg*))))</w:t>
            </w:r>
          </w:p>
        </w:tc>
      </w:tr>
      <w:tr w:rsidR="00047995" w:rsidRPr="00C66AD1" w14:paraId="3EF16AE6" w14:textId="77777777" w:rsidTr="00047995">
        <w:tc>
          <w:tcPr>
            <w:tcW w:w="2331" w:type="dxa"/>
            <w:vMerge/>
          </w:tcPr>
          <w:p w14:paraId="74072076" w14:textId="77777777" w:rsidR="00047995" w:rsidRPr="00C66AD1" w:rsidRDefault="00047995" w:rsidP="00047995">
            <w:pPr>
              <w:rPr>
                <w:rFonts w:ascii="Aptos" w:hAnsi="Aptos"/>
                <w:sz w:val="18"/>
                <w:szCs w:val="18"/>
              </w:rPr>
            </w:pPr>
          </w:p>
        </w:tc>
        <w:tc>
          <w:tcPr>
            <w:tcW w:w="7020" w:type="dxa"/>
          </w:tcPr>
          <w:p w14:paraId="7AC9E747" w14:textId="77777777" w:rsidR="00047995" w:rsidRPr="00B75508" w:rsidRDefault="00047995" w:rsidP="00B75508">
            <w:pPr>
              <w:spacing w:after="120"/>
              <w:rPr>
                <w:rFonts w:ascii="Aptos" w:hAnsi="Aptos"/>
                <w:sz w:val="18"/>
                <w:szCs w:val="18"/>
              </w:rPr>
            </w:pPr>
            <w:r w:rsidRPr="00B75508">
              <w:rPr>
                <w:rFonts w:ascii="Aptos" w:hAnsi="Aptos"/>
                <w:sz w:val="18"/>
                <w:szCs w:val="18"/>
              </w:rPr>
              <w:t>AMED</w:t>
            </w:r>
          </w:p>
          <w:p w14:paraId="50754C00" w14:textId="69A04EA8" w:rsidR="00047995" w:rsidRPr="00C66AD1" w:rsidRDefault="00B75508" w:rsidP="00B75508">
            <w:pPr>
              <w:spacing w:after="120"/>
              <w:rPr>
                <w:rFonts w:ascii="Aptos" w:hAnsi="Aptos"/>
                <w:sz w:val="18"/>
                <w:szCs w:val="18"/>
              </w:rPr>
            </w:pPr>
            <w:r w:rsidRPr="00B75508">
              <w:rPr>
                <w:rFonts w:ascii="Aptos" w:hAnsi="Aptos"/>
                <w:sz w:val="18"/>
                <w:szCs w:val="18"/>
              </w:rPr>
              <w:t>(magnesium and (stress or distress or crisis) and ((living and review) or (rapid and review) or meta*analysis or meta review or (overview and (reviews or systematic)) or (systematic and review))).mp. [mp=abstract, heading words, title]</w:t>
            </w:r>
          </w:p>
        </w:tc>
      </w:tr>
      <w:tr w:rsidR="00047995" w:rsidRPr="00C66AD1" w14:paraId="78438A16" w14:textId="77777777" w:rsidTr="00047995">
        <w:trPr>
          <w:trHeight w:val="2729"/>
        </w:trPr>
        <w:tc>
          <w:tcPr>
            <w:tcW w:w="2331" w:type="dxa"/>
            <w:vMerge/>
          </w:tcPr>
          <w:p w14:paraId="3140A2F0" w14:textId="77777777" w:rsidR="00047995" w:rsidRPr="00C66AD1" w:rsidRDefault="00047995" w:rsidP="00047995">
            <w:pPr>
              <w:rPr>
                <w:rFonts w:ascii="Aptos" w:hAnsi="Aptos"/>
                <w:sz w:val="18"/>
                <w:szCs w:val="18"/>
              </w:rPr>
            </w:pPr>
          </w:p>
        </w:tc>
        <w:tc>
          <w:tcPr>
            <w:tcW w:w="7020" w:type="dxa"/>
          </w:tcPr>
          <w:p w14:paraId="1AAE749D" w14:textId="77777777" w:rsidR="00047995" w:rsidRPr="00C66AD1" w:rsidRDefault="00047995" w:rsidP="00047995">
            <w:pPr>
              <w:spacing w:after="120"/>
              <w:rPr>
                <w:rFonts w:ascii="Aptos" w:hAnsi="Aptos"/>
                <w:sz w:val="18"/>
                <w:szCs w:val="18"/>
              </w:rPr>
            </w:pPr>
            <w:r w:rsidRPr="00C66AD1">
              <w:rPr>
                <w:rFonts w:ascii="Aptos" w:hAnsi="Aptos"/>
                <w:sz w:val="18"/>
                <w:szCs w:val="18"/>
              </w:rPr>
              <w:t>Ovid Emcare &lt;1995 to 2023 Week 15&gt;</w:t>
            </w:r>
          </w:p>
          <w:p w14:paraId="52ABCFA2" w14:textId="4EEC04CB" w:rsidR="00047995" w:rsidRDefault="00047995" w:rsidP="00047995">
            <w:pPr>
              <w:rPr>
                <w:rFonts w:ascii="Aptos" w:hAnsi="Aptos"/>
                <w:sz w:val="18"/>
                <w:szCs w:val="18"/>
              </w:rPr>
            </w:pPr>
            <w:r w:rsidRPr="004F0547">
              <w:rPr>
                <w:rFonts w:ascii="Aptos" w:hAnsi="Aptos"/>
                <w:sz w:val="18"/>
                <w:szCs w:val="18"/>
              </w:rPr>
              <w:t>1. exp distress syndrome/ or exp physiological stress/ or stress.mp. or distress.mp. or crisis.mp.</w:t>
            </w:r>
          </w:p>
          <w:p w14:paraId="0988954B" w14:textId="4F80B9E2" w:rsidR="00047995" w:rsidRPr="004F0547" w:rsidRDefault="00047995" w:rsidP="00047995">
            <w:pPr>
              <w:rPr>
                <w:rFonts w:ascii="Aptos" w:hAnsi="Aptos"/>
                <w:sz w:val="18"/>
                <w:szCs w:val="18"/>
              </w:rPr>
            </w:pPr>
            <w:r w:rsidRPr="004F0547">
              <w:rPr>
                <w:rFonts w:ascii="Aptos" w:hAnsi="Aptos"/>
                <w:sz w:val="18"/>
                <w:szCs w:val="18"/>
              </w:rPr>
              <w:t>2. magnesium.mp. or exp magnesium/</w:t>
            </w:r>
          </w:p>
          <w:p w14:paraId="57D411CC" w14:textId="77777777" w:rsidR="00047995" w:rsidRPr="004F0547" w:rsidRDefault="00047995" w:rsidP="00047995">
            <w:pPr>
              <w:rPr>
                <w:rFonts w:ascii="Aptos" w:hAnsi="Aptos"/>
                <w:sz w:val="18"/>
                <w:szCs w:val="18"/>
              </w:rPr>
            </w:pPr>
            <w:r w:rsidRPr="004F0547">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7DBB97BF" w14:textId="77777777" w:rsidR="00047995" w:rsidRPr="004F0547" w:rsidRDefault="00047995" w:rsidP="00047995">
            <w:pPr>
              <w:rPr>
                <w:rFonts w:ascii="Aptos" w:hAnsi="Aptos"/>
                <w:sz w:val="18"/>
                <w:szCs w:val="18"/>
              </w:rPr>
            </w:pPr>
            <w:r w:rsidRPr="004F0547">
              <w:rPr>
                <w:rFonts w:ascii="Aptos" w:hAnsi="Aptos"/>
                <w:sz w:val="18"/>
                <w:szCs w:val="18"/>
              </w:rPr>
              <w:t>4. 1 and 2 and 3</w:t>
            </w:r>
          </w:p>
          <w:p w14:paraId="17B79107" w14:textId="20B97605" w:rsidR="00047995" w:rsidRPr="00FA70B9" w:rsidRDefault="00047995" w:rsidP="00047995">
            <w:pPr>
              <w:rPr>
                <w:rFonts w:ascii="Aptos" w:hAnsi="Aptos"/>
                <w:sz w:val="18"/>
                <w:szCs w:val="18"/>
              </w:rPr>
            </w:pPr>
            <w:r w:rsidRPr="004F0547">
              <w:rPr>
                <w:rFonts w:ascii="Aptos" w:hAnsi="Aptos"/>
                <w:sz w:val="18"/>
                <w:szCs w:val="18"/>
              </w:rPr>
              <w:t>5. limit 4 to human</w:t>
            </w:r>
          </w:p>
        </w:tc>
      </w:tr>
      <w:tr w:rsidR="00047995" w:rsidRPr="00C66AD1" w14:paraId="73B091BB" w14:textId="77777777" w:rsidTr="00047995">
        <w:tc>
          <w:tcPr>
            <w:tcW w:w="2331" w:type="dxa"/>
            <w:vMerge/>
          </w:tcPr>
          <w:p w14:paraId="5215784F" w14:textId="77777777" w:rsidR="00047995" w:rsidRPr="00C66AD1" w:rsidRDefault="00047995" w:rsidP="00047995">
            <w:pPr>
              <w:rPr>
                <w:rFonts w:ascii="Aptos" w:hAnsi="Aptos"/>
                <w:sz w:val="18"/>
                <w:szCs w:val="18"/>
              </w:rPr>
            </w:pPr>
          </w:p>
        </w:tc>
        <w:tc>
          <w:tcPr>
            <w:tcW w:w="7020" w:type="dxa"/>
          </w:tcPr>
          <w:p w14:paraId="1CB55487"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7378931C" w14:textId="77777777" w:rsidR="00047995" w:rsidRPr="00C66AD1" w:rsidRDefault="00047995" w:rsidP="00047995">
            <w:pPr>
              <w:spacing w:after="120"/>
              <w:rPr>
                <w:rFonts w:ascii="Aptos" w:hAnsi="Aptos"/>
                <w:sz w:val="18"/>
                <w:szCs w:val="18"/>
              </w:rPr>
            </w:pPr>
            <w:r w:rsidRPr="00C66AD1">
              <w:rPr>
                <w:rFonts w:ascii="Aptos" w:hAnsi="Aptos"/>
                <w:sz w:val="18"/>
                <w:szCs w:val="18"/>
              </w:rPr>
              <w:t>((MeSH DESCRIPTOR Occupational Stress EXPLODE ALL TREES) OR (MeSH DESCRIPTOR Psychological Distress EXPLODE ALL TREES) OR (MeSH DESCRIPTOR Stress, Psychological EXPLODE ALL TREEs) or stress or crisis or distress) AND ((MeSH DESCRIPTOR Magnesium EXPLODE ALL TREES) OR magnesium)</w:t>
            </w:r>
          </w:p>
        </w:tc>
      </w:tr>
      <w:tr w:rsidR="00047995" w:rsidRPr="00C66AD1" w14:paraId="78EAF1FE" w14:textId="77777777" w:rsidTr="00047995">
        <w:tc>
          <w:tcPr>
            <w:tcW w:w="2331" w:type="dxa"/>
            <w:vMerge/>
          </w:tcPr>
          <w:p w14:paraId="57D396D0" w14:textId="77777777" w:rsidR="00047995" w:rsidRPr="00C66AD1" w:rsidRDefault="00047995" w:rsidP="00047995">
            <w:pPr>
              <w:rPr>
                <w:rFonts w:ascii="Aptos" w:hAnsi="Aptos"/>
                <w:sz w:val="18"/>
                <w:szCs w:val="18"/>
              </w:rPr>
            </w:pPr>
          </w:p>
        </w:tc>
        <w:tc>
          <w:tcPr>
            <w:tcW w:w="7020" w:type="dxa"/>
          </w:tcPr>
          <w:p w14:paraId="6B4D8858"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18748F8F"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4AB41087"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7FF534B6" w14:textId="77777777" w:rsidTr="00047995">
        <w:tc>
          <w:tcPr>
            <w:tcW w:w="2331" w:type="dxa"/>
            <w:vMerge w:val="restart"/>
          </w:tcPr>
          <w:p w14:paraId="68528D24" w14:textId="77777777" w:rsidR="00047995" w:rsidRPr="00C66AD1" w:rsidRDefault="00047995" w:rsidP="00047995">
            <w:pPr>
              <w:rPr>
                <w:rFonts w:ascii="Aptos" w:hAnsi="Aptos"/>
                <w:sz w:val="18"/>
                <w:szCs w:val="18"/>
              </w:rPr>
            </w:pPr>
            <w:r w:rsidRPr="00C66AD1">
              <w:rPr>
                <w:rFonts w:ascii="Aptos" w:hAnsi="Aptos"/>
                <w:sz w:val="18"/>
                <w:szCs w:val="18"/>
              </w:rPr>
              <w:t>3. Irritable bowel syndrome and probiotics</w:t>
            </w:r>
          </w:p>
          <w:p w14:paraId="41FD7F43" w14:textId="77777777" w:rsidR="00047995" w:rsidRPr="00C66AD1" w:rsidRDefault="00047995" w:rsidP="00047995">
            <w:pPr>
              <w:rPr>
                <w:rFonts w:ascii="Aptos" w:hAnsi="Aptos"/>
                <w:sz w:val="18"/>
                <w:szCs w:val="18"/>
              </w:rPr>
            </w:pPr>
          </w:p>
          <w:p w14:paraId="3507F75F" w14:textId="77777777" w:rsidR="00047995" w:rsidRPr="00C66AD1" w:rsidRDefault="00047995" w:rsidP="00047995">
            <w:pPr>
              <w:rPr>
                <w:rFonts w:ascii="Aptos" w:hAnsi="Aptos"/>
                <w:sz w:val="18"/>
                <w:szCs w:val="18"/>
              </w:rPr>
            </w:pPr>
            <w:r w:rsidRPr="00C66AD1">
              <w:rPr>
                <w:rFonts w:ascii="Aptos" w:hAnsi="Aptos"/>
                <w:sz w:val="18"/>
                <w:szCs w:val="18"/>
              </w:rPr>
              <w:t>Conducted 22/05/2023</w:t>
            </w:r>
          </w:p>
        </w:tc>
        <w:tc>
          <w:tcPr>
            <w:tcW w:w="7020" w:type="dxa"/>
          </w:tcPr>
          <w:p w14:paraId="0DA9BCAD"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Epistemonikos</w:t>
            </w:r>
          </w:p>
          <w:p w14:paraId="43B7DF10" w14:textId="77777777" w:rsidR="00047995" w:rsidRPr="00C66AD1" w:rsidRDefault="00047995" w:rsidP="00047995">
            <w:pPr>
              <w:spacing w:after="120"/>
              <w:rPr>
                <w:rFonts w:ascii="Aptos" w:hAnsi="Aptos"/>
                <w:sz w:val="18"/>
                <w:szCs w:val="18"/>
              </w:rPr>
            </w:pPr>
            <w:r w:rsidRPr="00C66AD1">
              <w:rPr>
                <w:rFonts w:ascii="Aptos" w:hAnsi="Aptos"/>
                <w:sz w:val="18"/>
                <w:szCs w:val="18"/>
              </w:rPr>
              <w:t>(title:(probiotic* OR synbiotic* OR symbiotic* OR lactobacill* OR bifidobacteri* OR saccharomyces OR "escherichia coli" OR bacillus OR "clostridium butyricum"  OR streptococcus) OR abstract:(probiotic* OR synbiotic* OR symbiotic* OR lactobacill* OR bifidobacteri* OR saccharomyces OR "escherichia coli" OR bacillus OR "clostridium butyricum"  OR streptococcus)) AND (title:("irritable bowel syndrome" OR "irritable bowel disorder" OR IBS) OR abstract:("irritable bowel syndrome" OR "irritable bowel disorder" OR IBS))</w:t>
            </w:r>
          </w:p>
        </w:tc>
      </w:tr>
      <w:tr w:rsidR="00B75508" w:rsidRPr="00C66AD1" w14:paraId="2D37DA5E" w14:textId="77777777" w:rsidTr="00047995">
        <w:tc>
          <w:tcPr>
            <w:tcW w:w="2331" w:type="dxa"/>
            <w:vMerge/>
          </w:tcPr>
          <w:p w14:paraId="0B8F63B5" w14:textId="77777777" w:rsidR="00B75508" w:rsidRPr="00C66AD1" w:rsidRDefault="00B75508" w:rsidP="00047995">
            <w:pPr>
              <w:rPr>
                <w:rFonts w:ascii="Aptos" w:hAnsi="Aptos"/>
                <w:sz w:val="18"/>
                <w:szCs w:val="18"/>
              </w:rPr>
            </w:pPr>
          </w:p>
        </w:tc>
        <w:tc>
          <w:tcPr>
            <w:tcW w:w="7020" w:type="dxa"/>
          </w:tcPr>
          <w:p w14:paraId="6E12081A" w14:textId="77777777" w:rsidR="00D60E2B" w:rsidRDefault="00D60E2B" w:rsidP="00D60E2B">
            <w:pPr>
              <w:pStyle w:val="NormalWeb"/>
              <w:spacing w:before="0" w:beforeAutospacing="0" w:after="0" w:afterAutospacing="0"/>
              <w:rPr>
                <w:rFonts w:ascii="Calibri" w:hAnsi="Calibri" w:cs="Calibri"/>
                <w:color w:val="000000"/>
                <w:sz w:val="18"/>
                <w:szCs w:val="18"/>
              </w:rPr>
            </w:pPr>
            <w:r>
              <w:rPr>
                <w:rFonts w:ascii="Calibri" w:hAnsi="Calibri" w:cs="Calibri"/>
                <w:color w:val="000000"/>
                <w:sz w:val="18"/>
                <w:szCs w:val="18"/>
              </w:rPr>
              <w:t>AMED</w:t>
            </w:r>
          </w:p>
          <w:p w14:paraId="16F0C164" w14:textId="272FC129" w:rsidR="00B75508" w:rsidRPr="00D60E2B" w:rsidRDefault="00D60E2B" w:rsidP="00D60E2B">
            <w:pPr>
              <w:pStyle w:val="NormalWeb"/>
              <w:spacing w:before="0" w:beforeAutospacing="0" w:after="0" w:afterAutospacing="0"/>
            </w:pPr>
            <w:r>
              <w:rPr>
                <w:rFonts w:ascii="Calibri" w:hAnsi="Calibri" w:cs="Calibri"/>
                <w:color w:val="000000"/>
                <w:sz w:val="18"/>
                <w:szCs w:val="18"/>
              </w:rPr>
              <w:t>((probiotic* or synbiotic* or symbiotic* or lactobacill* or bifidobacteri* or saccharomyces or escherichia coli or bacillus or clostridium butyricum or streptococcus) and (Irritable bowel syndrome or ibs) and ((living and review) or (rapid and review) or meta*analysis or meta review or (overview and (reviews or systematic)) or (systematic and review))).mp. [mp=abstract, heading words, title]</w:t>
            </w:r>
          </w:p>
        </w:tc>
      </w:tr>
      <w:tr w:rsidR="00047995" w:rsidRPr="00C66AD1" w14:paraId="503CBB39" w14:textId="77777777" w:rsidTr="00047995">
        <w:trPr>
          <w:trHeight w:val="3640"/>
        </w:trPr>
        <w:tc>
          <w:tcPr>
            <w:tcW w:w="2331" w:type="dxa"/>
            <w:vMerge/>
          </w:tcPr>
          <w:p w14:paraId="7CF42A64" w14:textId="77777777" w:rsidR="00047995" w:rsidRPr="00C66AD1" w:rsidRDefault="00047995" w:rsidP="00047995">
            <w:pPr>
              <w:rPr>
                <w:rFonts w:ascii="Aptos" w:hAnsi="Aptos"/>
                <w:sz w:val="18"/>
                <w:szCs w:val="18"/>
              </w:rPr>
            </w:pPr>
          </w:p>
        </w:tc>
        <w:tc>
          <w:tcPr>
            <w:tcW w:w="7020" w:type="dxa"/>
          </w:tcPr>
          <w:p w14:paraId="4D02EDFA" w14:textId="0147BA6B" w:rsidR="00047995" w:rsidRDefault="00047995" w:rsidP="00047995">
            <w:pPr>
              <w:spacing w:after="120"/>
              <w:rPr>
                <w:rFonts w:ascii="Aptos" w:hAnsi="Aptos"/>
                <w:sz w:val="18"/>
                <w:szCs w:val="18"/>
              </w:rPr>
            </w:pPr>
            <w:r w:rsidRPr="00E14653">
              <w:rPr>
                <w:rFonts w:ascii="Aptos" w:hAnsi="Aptos"/>
                <w:sz w:val="18"/>
                <w:szCs w:val="18"/>
              </w:rPr>
              <w:t>Ovid Emcare &lt;1995 to 2023 Week 15&gt;</w:t>
            </w:r>
          </w:p>
          <w:p w14:paraId="3FAFF080" w14:textId="0112E5B4" w:rsidR="00047995" w:rsidRPr="00623AF0" w:rsidRDefault="00047995" w:rsidP="00047995">
            <w:pPr>
              <w:rPr>
                <w:rFonts w:ascii="Aptos" w:hAnsi="Aptos"/>
                <w:sz w:val="18"/>
                <w:szCs w:val="18"/>
              </w:rPr>
            </w:pPr>
            <w:r w:rsidRPr="00623AF0">
              <w:rPr>
                <w:rFonts w:ascii="Aptos" w:hAnsi="Aptos"/>
                <w:sz w:val="18"/>
                <w:szCs w:val="18"/>
              </w:rPr>
              <w:t>1. exp probiotic agent/ or probiotic*.mp. or exp synbiotic agent/ or synbiotic*.mp. or exp prebiotic agent/ or prebiotic*.mp. or symbiotic*.mp. or lactobacillus.mp. or exp lactobacillus/ or exp saccharomyces/ or saccharomyces.mp. or bifidobacteri*.mp. or exp bifidobacterium/ or escherichia coli.mp. or exp escherichia coli/ or bacillus.mp. or exp bacillus/ or clostridium butyricum.mp. or exp clostridium butyricum/ or streptococc*.mp. or exp streptococcus/</w:t>
            </w:r>
          </w:p>
          <w:p w14:paraId="5BAA37D0" w14:textId="77777777" w:rsidR="00047995" w:rsidRPr="00623AF0" w:rsidRDefault="00047995" w:rsidP="00047995">
            <w:pPr>
              <w:rPr>
                <w:rFonts w:ascii="Aptos" w:hAnsi="Aptos"/>
                <w:sz w:val="18"/>
                <w:szCs w:val="18"/>
              </w:rPr>
            </w:pPr>
            <w:r w:rsidRPr="00623AF0">
              <w:rPr>
                <w:rFonts w:ascii="Aptos" w:hAnsi="Aptos"/>
                <w:sz w:val="18"/>
                <w:szCs w:val="18"/>
              </w:rPr>
              <w:t>2. (Irritable bowel syndrome or IBS).mp. or exp irritable colon/</w:t>
            </w:r>
          </w:p>
          <w:p w14:paraId="2C2C142F" w14:textId="77777777" w:rsidR="00047995" w:rsidRPr="00623AF0" w:rsidRDefault="00047995" w:rsidP="00047995">
            <w:pPr>
              <w:rPr>
                <w:rFonts w:ascii="Aptos" w:hAnsi="Aptos"/>
                <w:sz w:val="18"/>
                <w:szCs w:val="18"/>
              </w:rPr>
            </w:pPr>
            <w:r w:rsidRPr="00623AF0">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320F1EF3" w14:textId="77777777" w:rsidR="00047995" w:rsidRPr="00623AF0" w:rsidRDefault="00047995" w:rsidP="00047995">
            <w:pPr>
              <w:rPr>
                <w:rFonts w:ascii="Aptos" w:hAnsi="Aptos"/>
                <w:sz w:val="18"/>
                <w:szCs w:val="18"/>
              </w:rPr>
            </w:pPr>
            <w:r w:rsidRPr="00623AF0">
              <w:rPr>
                <w:rFonts w:ascii="Aptos" w:hAnsi="Aptos"/>
                <w:sz w:val="18"/>
                <w:szCs w:val="18"/>
              </w:rPr>
              <w:t>4. 1 and 2 and 3</w:t>
            </w:r>
          </w:p>
          <w:p w14:paraId="3E0B3D55" w14:textId="062C4DF9" w:rsidR="00047995" w:rsidRPr="00C66AD1" w:rsidRDefault="00047995" w:rsidP="00047995">
            <w:pPr>
              <w:rPr>
                <w:rFonts w:ascii="Aptos" w:hAnsi="Aptos"/>
                <w:sz w:val="18"/>
                <w:szCs w:val="18"/>
              </w:rPr>
            </w:pPr>
            <w:r w:rsidRPr="00623AF0">
              <w:rPr>
                <w:rFonts w:ascii="Aptos" w:hAnsi="Aptos"/>
                <w:sz w:val="18"/>
                <w:szCs w:val="18"/>
              </w:rPr>
              <w:t>5. limit 4 to human</w:t>
            </w:r>
          </w:p>
        </w:tc>
      </w:tr>
      <w:tr w:rsidR="00047995" w:rsidRPr="00C66AD1" w14:paraId="185D61C8" w14:textId="77777777" w:rsidTr="00047995">
        <w:tc>
          <w:tcPr>
            <w:tcW w:w="2331" w:type="dxa"/>
            <w:vMerge/>
          </w:tcPr>
          <w:p w14:paraId="44E74F46" w14:textId="77777777" w:rsidR="00047995" w:rsidRPr="00C66AD1" w:rsidRDefault="00047995" w:rsidP="00047995">
            <w:pPr>
              <w:rPr>
                <w:rFonts w:ascii="Aptos" w:hAnsi="Aptos"/>
                <w:sz w:val="18"/>
                <w:szCs w:val="18"/>
              </w:rPr>
            </w:pPr>
          </w:p>
        </w:tc>
        <w:tc>
          <w:tcPr>
            <w:tcW w:w="7020" w:type="dxa"/>
          </w:tcPr>
          <w:p w14:paraId="78D91AE6"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3BE9EE07" w14:textId="77777777" w:rsidR="00047995" w:rsidRPr="00C66AD1" w:rsidRDefault="00047995" w:rsidP="00047995">
            <w:pPr>
              <w:spacing w:after="120"/>
              <w:rPr>
                <w:rFonts w:ascii="Aptos" w:hAnsi="Aptos"/>
                <w:i/>
                <w:iCs/>
                <w:sz w:val="18"/>
                <w:szCs w:val="18"/>
              </w:rPr>
            </w:pPr>
            <w:r w:rsidRPr="00C66AD1">
              <w:rPr>
                <w:rFonts w:ascii="Aptos" w:hAnsi="Aptos"/>
                <w:sz w:val="18"/>
                <w:szCs w:val="18"/>
              </w:rPr>
              <w:t xml:space="preserve">((MeSH DESCRIPTOR Irritable Bowel Syndrome EXPLODE ALL TREES) OR "irritable bowel" OR IBS) AND ((MeSH DESCRIPTOR Probiotics EXPLODE ALL TREES) OR probiotic* OR synbiotic* OR symbiotic* OR lactobacill* OR bifidobacteri* OR </w:t>
            </w:r>
            <w:r w:rsidRPr="00C66AD1">
              <w:rPr>
                <w:rFonts w:ascii="Aptos" w:hAnsi="Aptos"/>
                <w:sz w:val="18"/>
                <w:szCs w:val="18"/>
              </w:rPr>
              <w:lastRenderedPageBreak/>
              <w:t>saccharomyces OR "escherichia coli" OR bacillus OR "clostridium butyricum" OR streptococcus)</w:t>
            </w:r>
          </w:p>
        </w:tc>
      </w:tr>
      <w:tr w:rsidR="00047995" w:rsidRPr="00C66AD1" w14:paraId="05014500" w14:textId="77777777" w:rsidTr="00047995">
        <w:tc>
          <w:tcPr>
            <w:tcW w:w="2331" w:type="dxa"/>
            <w:vMerge/>
          </w:tcPr>
          <w:p w14:paraId="517CE3F6" w14:textId="77777777" w:rsidR="00047995" w:rsidRPr="00C66AD1" w:rsidRDefault="00047995" w:rsidP="00047995">
            <w:pPr>
              <w:rPr>
                <w:rFonts w:ascii="Aptos" w:hAnsi="Aptos"/>
                <w:sz w:val="18"/>
                <w:szCs w:val="18"/>
              </w:rPr>
            </w:pPr>
          </w:p>
        </w:tc>
        <w:tc>
          <w:tcPr>
            <w:tcW w:w="7020" w:type="dxa"/>
          </w:tcPr>
          <w:p w14:paraId="3F4237F2"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6A69281C"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5F34BB46"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0383325D" w14:textId="77777777" w:rsidTr="00047995">
        <w:tc>
          <w:tcPr>
            <w:tcW w:w="2331" w:type="dxa"/>
            <w:vMerge w:val="restart"/>
          </w:tcPr>
          <w:p w14:paraId="1CC0B8F0" w14:textId="77777777" w:rsidR="00047995" w:rsidRPr="00C66AD1" w:rsidRDefault="00047995" w:rsidP="00047995">
            <w:pPr>
              <w:rPr>
                <w:rFonts w:ascii="Aptos" w:hAnsi="Aptos"/>
                <w:sz w:val="18"/>
                <w:szCs w:val="18"/>
              </w:rPr>
            </w:pPr>
            <w:r w:rsidRPr="00C66AD1">
              <w:rPr>
                <w:rFonts w:ascii="Aptos" w:hAnsi="Aptos"/>
                <w:sz w:val="18"/>
                <w:szCs w:val="18"/>
              </w:rPr>
              <w:t>4. Insomnia/sleep disorders and magnesium</w:t>
            </w:r>
          </w:p>
          <w:p w14:paraId="2883A1E9" w14:textId="77777777" w:rsidR="00047995" w:rsidRPr="00C66AD1" w:rsidRDefault="00047995" w:rsidP="00047995">
            <w:pPr>
              <w:rPr>
                <w:rFonts w:ascii="Aptos" w:hAnsi="Aptos"/>
                <w:sz w:val="18"/>
                <w:szCs w:val="18"/>
              </w:rPr>
            </w:pPr>
          </w:p>
          <w:p w14:paraId="5CE72F80" w14:textId="77777777" w:rsidR="00047995" w:rsidRPr="00C66AD1" w:rsidRDefault="00047995" w:rsidP="00047995">
            <w:pPr>
              <w:rPr>
                <w:rFonts w:ascii="Aptos" w:hAnsi="Aptos"/>
                <w:sz w:val="18"/>
                <w:szCs w:val="18"/>
              </w:rPr>
            </w:pPr>
            <w:r w:rsidRPr="00C66AD1">
              <w:rPr>
                <w:rFonts w:ascii="Aptos" w:hAnsi="Aptos"/>
                <w:sz w:val="18"/>
                <w:szCs w:val="18"/>
              </w:rPr>
              <w:t>Conducted 04/04/3023</w:t>
            </w:r>
          </w:p>
        </w:tc>
        <w:tc>
          <w:tcPr>
            <w:tcW w:w="7020" w:type="dxa"/>
          </w:tcPr>
          <w:p w14:paraId="2C1622C2"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Epistemonikos</w:t>
            </w:r>
          </w:p>
          <w:p w14:paraId="68403D79" w14:textId="77777777" w:rsidR="00047995" w:rsidRPr="00C66AD1" w:rsidRDefault="00047995" w:rsidP="00047995">
            <w:pPr>
              <w:spacing w:after="120"/>
              <w:rPr>
                <w:rFonts w:ascii="Aptos" w:hAnsi="Aptos"/>
                <w:sz w:val="18"/>
                <w:szCs w:val="18"/>
              </w:rPr>
            </w:pPr>
            <w:r w:rsidRPr="00C66AD1">
              <w:rPr>
                <w:rFonts w:ascii="Aptos" w:hAnsi="Aptos"/>
                <w:sz w:val="18"/>
                <w:szCs w:val="18"/>
              </w:rPr>
              <w:t>(title:((title:(insomnia OR narcolepsy OR hypersomnia OR dyssomnia OR sleep OR nightmare OR snoring OR "Nocturnal paroxysmal dystonia" OR "Restless leg syndrome" OR "periodic limb movement disorder" OR "rhythmic movement disorder" OR "hypnagogic hallucinations") OR abstract:(insomnia OR narcolepsy OR hypersomnia OR dyssomnia OR sleep OR nightmare OR snoring OR "Nocturnal paroxysmal dystonia" OR "Restless leg syndrome" OR "periodic limb movement disorder" OR "rhythmic movement disorder" OR "hypnagogic hallucinations")) AND (title:(magnesium) OR abstract:(magnesium))) OR abstract:((title:(insomnia OR narcolepsy OR hypersomnia OR dyssomnia OR sleep OR nightmare OR snoring OR "Nocturnal paroxysmal dystonia" OR "Restless leg syndrome" OR "periodic limb movement disorder" OR "rhythmic movement disorder" OR "hypnagogic hallucinations") OR abstract:(insomnia OR narcolepsy OR hypersomnia OR dyssomnia OR sleep OR nightmare OR snoring OR "Nocturnal paroxysmal dystonia" OR "Restless leg syndrome" OR "periodic limb movement disorder" OR "rhythmic movement disorder" OR "hypnagogic hallucinations")) AND (title:(magnesium) OR abstract:(magnesium))))</w:t>
            </w:r>
          </w:p>
        </w:tc>
      </w:tr>
      <w:tr w:rsidR="00D60E2B" w:rsidRPr="00C66AD1" w14:paraId="19B2726E" w14:textId="77777777" w:rsidTr="00047995">
        <w:tc>
          <w:tcPr>
            <w:tcW w:w="2331" w:type="dxa"/>
            <w:vMerge/>
          </w:tcPr>
          <w:p w14:paraId="0609183F" w14:textId="77777777" w:rsidR="00D60E2B" w:rsidRPr="00C66AD1" w:rsidRDefault="00D60E2B" w:rsidP="00047995">
            <w:pPr>
              <w:rPr>
                <w:rFonts w:ascii="Aptos" w:hAnsi="Aptos"/>
                <w:sz w:val="18"/>
                <w:szCs w:val="18"/>
              </w:rPr>
            </w:pPr>
          </w:p>
        </w:tc>
        <w:tc>
          <w:tcPr>
            <w:tcW w:w="7020" w:type="dxa"/>
          </w:tcPr>
          <w:p w14:paraId="30D07AE3" w14:textId="77777777" w:rsidR="00D60E2B" w:rsidRDefault="00D60E2B" w:rsidP="00047995">
            <w:pPr>
              <w:spacing w:after="120"/>
              <w:rPr>
                <w:rFonts w:ascii="Aptos" w:hAnsi="Aptos"/>
                <w:sz w:val="18"/>
                <w:szCs w:val="18"/>
              </w:rPr>
            </w:pPr>
            <w:r>
              <w:rPr>
                <w:rFonts w:ascii="Aptos" w:hAnsi="Aptos"/>
                <w:sz w:val="18"/>
                <w:szCs w:val="18"/>
              </w:rPr>
              <w:t>AMED</w:t>
            </w:r>
          </w:p>
          <w:p w14:paraId="25F3EC06" w14:textId="1CF73A54" w:rsidR="00D60E2B" w:rsidRPr="00C66AD1" w:rsidRDefault="00D60E2B" w:rsidP="00047995">
            <w:pPr>
              <w:spacing w:after="120"/>
              <w:rPr>
                <w:rFonts w:ascii="Aptos" w:hAnsi="Aptos"/>
                <w:sz w:val="18"/>
                <w:szCs w:val="18"/>
              </w:rPr>
            </w:pPr>
            <w:r w:rsidRPr="00D60E2B">
              <w:rPr>
                <w:rFonts w:ascii="Aptos" w:hAnsi="Aptos"/>
                <w:sz w:val="18"/>
                <w:szCs w:val="18"/>
              </w:rPr>
              <w:t>(magnesium and (insomnia or narcolepsy or hypersomnia or dyssomnia or sleep or nightmare or snoring or "Nocturnal paroxysmal dystonia" or "Restless leg syndrome" or "periodic limb movement disorder" or "rhythmic movement disorder" or "hypnagogic hallucinations") and ((living and review) or (rapid and review) or meta*analysis or meta review or (overview and (reviews or systematic)) or (systematic and review))).mp. [mp=abstract, heading words, title]</w:t>
            </w:r>
          </w:p>
        </w:tc>
      </w:tr>
      <w:tr w:rsidR="00047995" w:rsidRPr="00C66AD1" w14:paraId="4C1A6B91" w14:textId="77777777" w:rsidTr="00047995">
        <w:trPr>
          <w:trHeight w:val="3965"/>
        </w:trPr>
        <w:tc>
          <w:tcPr>
            <w:tcW w:w="2331" w:type="dxa"/>
            <w:vMerge/>
          </w:tcPr>
          <w:p w14:paraId="5B2FC05F" w14:textId="77777777" w:rsidR="00047995" w:rsidRPr="00C66AD1" w:rsidRDefault="00047995" w:rsidP="00047995">
            <w:pPr>
              <w:rPr>
                <w:rFonts w:ascii="Aptos" w:hAnsi="Aptos"/>
                <w:sz w:val="18"/>
                <w:szCs w:val="18"/>
              </w:rPr>
            </w:pPr>
          </w:p>
        </w:tc>
        <w:tc>
          <w:tcPr>
            <w:tcW w:w="7020" w:type="dxa"/>
          </w:tcPr>
          <w:p w14:paraId="51F3EB41" w14:textId="77777777" w:rsidR="00047995" w:rsidRPr="00C66AD1" w:rsidRDefault="00047995" w:rsidP="00047995">
            <w:pPr>
              <w:spacing w:after="120"/>
              <w:rPr>
                <w:rFonts w:ascii="Aptos" w:hAnsi="Aptos"/>
                <w:sz w:val="18"/>
                <w:szCs w:val="18"/>
              </w:rPr>
            </w:pPr>
            <w:r w:rsidRPr="00C66AD1">
              <w:rPr>
                <w:rFonts w:ascii="Aptos" w:hAnsi="Aptos"/>
                <w:sz w:val="18"/>
                <w:szCs w:val="18"/>
              </w:rPr>
              <w:t>Ovid Emcare &lt;1995 to 2023 Week 13&gt;</w:t>
            </w:r>
          </w:p>
          <w:p w14:paraId="0A96F5E0" w14:textId="77777777" w:rsidR="00047995" w:rsidRPr="00DA3B5C" w:rsidRDefault="00047995" w:rsidP="00047995">
            <w:pPr>
              <w:rPr>
                <w:rFonts w:ascii="Aptos" w:hAnsi="Aptos"/>
                <w:sz w:val="18"/>
                <w:szCs w:val="18"/>
              </w:rPr>
            </w:pPr>
            <w:r w:rsidRPr="00DA3B5C">
              <w:rPr>
                <w:rFonts w:ascii="Aptos" w:hAnsi="Aptos"/>
                <w:sz w:val="18"/>
                <w:szCs w:val="18"/>
              </w:rPr>
              <w:t>1. magnesium.mp. or exp magnesium</w:t>
            </w:r>
          </w:p>
          <w:p w14:paraId="5C634327" w14:textId="77777777" w:rsidR="00047995" w:rsidRPr="00DA3B5C" w:rsidRDefault="00047995" w:rsidP="00047995">
            <w:pPr>
              <w:rPr>
                <w:rFonts w:ascii="Aptos" w:hAnsi="Aptos"/>
                <w:sz w:val="18"/>
                <w:szCs w:val="18"/>
              </w:rPr>
            </w:pPr>
            <w:r w:rsidRPr="00DA3B5C">
              <w:rPr>
                <w:rFonts w:ascii="Aptos" w:hAnsi="Aptos"/>
                <w:sz w:val="18"/>
                <w:szCs w:val="18"/>
              </w:rPr>
              <w:t>2. /exp sleep deprivation/ or exp sleep disorder/ or sleep disordered breathing/ or insomnia.mp. or narcolepsy.mp. or hypersomnia.mp. or dyssomnia.mp. or sleep hypoventilation.mp. or sleep hypoxemia.mp. or nightmare.mp. or sleep enuresis.mp. or sleep bruxism.mp. or snoring.mp. or nocturnal paroxysmal dystonia.mp. or restless legs syndrome.mp. or periodic limb movement disorder.mp. or rhythmic movement disorder.mp. or sleep walking.mp. or sleep talking.mp. or sleep myoclonus.mp. or sleep hyperhidrosis.mp. or hypnagogic hallucinations.mp. or sleeplessness.mp. or sleep disorder.mp. or daytime somnolence.mp.</w:t>
            </w:r>
          </w:p>
          <w:p w14:paraId="67141285" w14:textId="77777777" w:rsidR="00047995" w:rsidRPr="00DA3B5C" w:rsidRDefault="00047995" w:rsidP="00047995">
            <w:pPr>
              <w:rPr>
                <w:rFonts w:ascii="Aptos" w:hAnsi="Aptos"/>
                <w:sz w:val="18"/>
                <w:szCs w:val="18"/>
              </w:rPr>
            </w:pPr>
            <w:r w:rsidRPr="00DA3B5C">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081772FA" w14:textId="77777777" w:rsidR="00047995" w:rsidRPr="00DA3B5C" w:rsidRDefault="00047995" w:rsidP="00047995">
            <w:pPr>
              <w:rPr>
                <w:rFonts w:ascii="Aptos" w:hAnsi="Aptos"/>
                <w:sz w:val="18"/>
                <w:szCs w:val="18"/>
              </w:rPr>
            </w:pPr>
            <w:r w:rsidRPr="00DA3B5C">
              <w:rPr>
                <w:rFonts w:ascii="Aptos" w:hAnsi="Aptos"/>
                <w:sz w:val="18"/>
                <w:szCs w:val="18"/>
              </w:rPr>
              <w:t>4. 1 and 2 and 3</w:t>
            </w:r>
          </w:p>
          <w:p w14:paraId="3C42072F" w14:textId="06A2A190" w:rsidR="00047995" w:rsidRPr="00C66AD1" w:rsidRDefault="00047995" w:rsidP="00047995">
            <w:pPr>
              <w:rPr>
                <w:rFonts w:ascii="Aptos" w:hAnsi="Aptos"/>
                <w:sz w:val="18"/>
                <w:szCs w:val="18"/>
              </w:rPr>
            </w:pPr>
            <w:r w:rsidRPr="00DA3B5C">
              <w:rPr>
                <w:rFonts w:ascii="Aptos" w:hAnsi="Aptos"/>
                <w:sz w:val="18"/>
                <w:szCs w:val="18"/>
              </w:rPr>
              <w:t>5. limit 4 to human</w:t>
            </w:r>
          </w:p>
        </w:tc>
      </w:tr>
      <w:tr w:rsidR="00047995" w:rsidRPr="00C66AD1" w14:paraId="46C00756" w14:textId="77777777" w:rsidTr="00047995">
        <w:tc>
          <w:tcPr>
            <w:tcW w:w="2331" w:type="dxa"/>
            <w:vMerge/>
          </w:tcPr>
          <w:p w14:paraId="2C9D7D2F" w14:textId="77777777" w:rsidR="00047995" w:rsidRPr="00C66AD1" w:rsidRDefault="00047995" w:rsidP="00047995">
            <w:pPr>
              <w:rPr>
                <w:rFonts w:ascii="Aptos" w:hAnsi="Aptos"/>
                <w:sz w:val="18"/>
                <w:szCs w:val="18"/>
              </w:rPr>
            </w:pPr>
          </w:p>
        </w:tc>
        <w:tc>
          <w:tcPr>
            <w:tcW w:w="7020" w:type="dxa"/>
          </w:tcPr>
          <w:p w14:paraId="30D82FF1"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70B40F68" w14:textId="77777777" w:rsidR="00047995" w:rsidRPr="00C66AD1" w:rsidRDefault="00047995" w:rsidP="00047995">
            <w:pPr>
              <w:spacing w:after="120"/>
              <w:rPr>
                <w:rFonts w:ascii="Aptos" w:hAnsi="Aptos"/>
                <w:sz w:val="18"/>
                <w:szCs w:val="18"/>
              </w:rPr>
            </w:pPr>
            <w:r w:rsidRPr="00C66AD1">
              <w:rPr>
                <w:rFonts w:ascii="Aptos" w:hAnsi="Aptos"/>
                <w:sz w:val="18"/>
                <w:szCs w:val="18"/>
              </w:rPr>
              <w:t>((MeSH DESCRIPTOR Sleep Wake Disorders EXPLODE ALL TREES) OR insomnia or narcolepsy or hypersomnia or dyssomnia OR sleep hypoventilation OR sleep hypoxemia OR nightmare OR sleep enuresis OR sleep bruxism OR snoring OR Nocturnal paroxysmal dystonia OR Restless legs syndrome OR periodic limb movement disorder OR rhythmic movement disorder OR sleep walking OR sleep talking OR sleep myoclonus OR sleep hyperhidrosis OR hypnagogic hallucinations) AND ((MeSH DESCRIPTOR Magnesium EXPLODE ALL TREES) OR magnesium)</w:t>
            </w:r>
          </w:p>
        </w:tc>
      </w:tr>
      <w:tr w:rsidR="00047995" w:rsidRPr="00C66AD1" w14:paraId="48DC6DBB" w14:textId="77777777" w:rsidTr="00047995">
        <w:tc>
          <w:tcPr>
            <w:tcW w:w="2331" w:type="dxa"/>
            <w:vMerge/>
          </w:tcPr>
          <w:p w14:paraId="4FE64023" w14:textId="77777777" w:rsidR="00047995" w:rsidRPr="00C66AD1" w:rsidRDefault="00047995" w:rsidP="00047995">
            <w:pPr>
              <w:rPr>
                <w:rFonts w:ascii="Aptos" w:hAnsi="Aptos"/>
                <w:sz w:val="18"/>
                <w:szCs w:val="18"/>
              </w:rPr>
            </w:pPr>
          </w:p>
        </w:tc>
        <w:tc>
          <w:tcPr>
            <w:tcW w:w="7020" w:type="dxa"/>
          </w:tcPr>
          <w:p w14:paraId="4F376D02"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1C5DCDF4"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55B2D684"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4CB7EFCC" w14:textId="77777777" w:rsidTr="00047995">
        <w:tc>
          <w:tcPr>
            <w:tcW w:w="2331" w:type="dxa"/>
            <w:vMerge w:val="restart"/>
          </w:tcPr>
          <w:p w14:paraId="4B6A685D"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5. Depression (including postpartum) and omega-3</w:t>
            </w:r>
          </w:p>
          <w:p w14:paraId="4C3291EC" w14:textId="77777777" w:rsidR="00047995" w:rsidRPr="00C66AD1" w:rsidRDefault="00047995" w:rsidP="00047995">
            <w:pPr>
              <w:tabs>
                <w:tab w:val="center" w:pos="866"/>
                <w:tab w:val="right" w:pos="1732"/>
              </w:tabs>
              <w:rPr>
                <w:rFonts w:ascii="Aptos" w:hAnsi="Aptos"/>
                <w:sz w:val="18"/>
                <w:szCs w:val="18"/>
              </w:rPr>
            </w:pPr>
          </w:p>
          <w:p w14:paraId="4B14F847"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 xml:space="preserve">Conducted 29/04/2023 </w:t>
            </w:r>
          </w:p>
        </w:tc>
        <w:tc>
          <w:tcPr>
            <w:tcW w:w="7020" w:type="dxa"/>
          </w:tcPr>
          <w:p w14:paraId="7E85AB0F"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Epistemonikos</w:t>
            </w:r>
          </w:p>
          <w:p w14:paraId="69005489" w14:textId="77777777" w:rsidR="00047995" w:rsidRPr="00C66AD1" w:rsidRDefault="00047995" w:rsidP="00047995">
            <w:pPr>
              <w:spacing w:after="120"/>
              <w:rPr>
                <w:rFonts w:ascii="Aptos" w:hAnsi="Aptos"/>
                <w:sz w:val="18"/>
                <w:szCs w:val="18"/>
              </w:rPr>
            </w:pPr>
            <w:r w:rsidRPr="00C66AD1">
              <w:rPr>
                <w:rFonts w:ascii="Aptos" w:hAnsi="Aptos"/>
                <w:sz w:val="18"/>
                <w:szCs w:val="18"/>
              </w:rPr>
              <w:t>(title:((title:(depression OR depressive OR "mood disorder*" OR "affective disorder*" OR post?natal OR post?partum) OR abstract:(depression OR depressive OR "mood disorder*" OR "affective disorder*" OR post?natal OR post?partum))) OR abstract:((title:(depression OR depressive OR "mood disorder*" OR "affective disorder*" OR post?natal OR post?partum)) OR abstract:(depression OR depressive OR "mood disorder*" OR "affective disorder*" OR post?natal OR post?partum))) AND (title:((Fatty acid* OR omega-3* OR fish oil* OR linolen* OR eicosapent*enoic* OR docosapent*enoic* OR docosahex?enoic* OR hexadecatrienoic* OR stearidonic* OR eicosatrienoic* OR eicosatetr*enoic* OR icosatrienoic* OR icosapent*enoic* OR icosatetr*enoic* OR heneicosapent*enoic* OR tetracosapent*enoic* OR tetracosahex*enoic*)) OR abstract:((Fatty acid* OR omega-3* OR fish oil* OR linolen* OR eicosapent*enoic* OR docosapent*enoic* OR docosahex?enoic* OR hexadecatrienoic* OR stearidonic* OR eicosatrienoic* OR eicosatetr*enoic* OR icosatrienoic* OR icosapent*enoic* OR icosatetr*enoic* OR heneicosapent*enoic* OR tetracosapent*enoic* OR tetracosahex*enoic*)))</w:t>
            </w:r>
          </w:p>
        </w:tc>
      </w:tr>
      <w:tr w:rsidR="00E457C5" w:rsidRPr="00C66AD1" w14:paraId="747BBE09" w14:textId="77777777" w:rsidTr="00047995">
        <w:tc>
          <w:tcPr>
            <w:tcW w:w="2331" w:type="dxa"/>
            <w:vMerge/>
          </w:tcPr>
          <w:p w14:paraId="4371FA59" w14:textId="77777777" w:rsidR="00E457C5" w:rsidRPr="00C66AD1" w:rsidRDefault="00E457C5" w:rsidP="00047995">
            <w:pPr>
              <w:tabs>
                <w:tab w:val="center" w:pos="866"/>
                <w:tab w:val="right" w:pos="1732"/>
              </w:tabs>
              <w:rPr>
                <w:rFonts w:ascii="Aptos" w:hAnsi="Aptos"/>
                <w:sz w:val="18"/>
                <w:szCs w:val="18"/>
              </w:rPr>
            </w:pPr>
          </w:p>
        </w:tc>
        <w:tc>
          <w:tcPr>
            <w:tcW w:w="7020" w:type="dxa"/>
          </w:tcPr>
          <w:p w14:paraId="6E17BB08" w14:textId="77777777" w:rsidR="00E457C5" w:rsidRDefault="00E457C5" w:rsidP="00047995">
            <w:pPr>
              <w:spacing w:after="120"/>
              <w:rPr>
                <w:rFonts w:ascii="Aptos" w:hAnsi="Aptos"/>
                <w:sz w:val="18"/>
                <w:szCs w:val="18"/>
              </w:rPr>
            </w:pPr>
            <w:r>
              <w:rPr>
                <w:rFonts w:ascii="Aptos" w:hAnsi="Aptos"/>
                <w:sz w:val="18"/>
                <w:szCs w:val="18"/>
              </w:rPr>
              <w:t>AMED</w:t>
            </w:r>
          </w:p>
          <w:p w14:paraId="069DF2E4" w14:textId="4DB88925" w:rsidR="00E457C5" w:rsidRPr="00C66AD1" w:rsidRDefault="00E457C5" w:rsidP="00047995">
            <w:pPr>
              <w:spacing w:after="120"/>
              <w:rPr>
                <w:rFonts w:ascii="Aptos" w:hAnsi="Aptos"/>
                <w:sz w:val="18"/>
                <w:szCs w:val="18"/>
              </w:rPr>
            </w:pPr>
            <w:r w:rsidRPr="00E457C5">
              <w:rPr>
                <w:rFonts w:ascii="Aptos" w:hAnsi="Aptos"/>
                <w:sz w:val="18"/>
                <w:szCs w:val="18"/>
              </w:rPr>
              <w:t>(depression or depressive or affective disorder*) AND (Fatty acid* or omega-3* or fish oil* or linolen* or eicosapent*enoic* or docosapent*enoic* or docosahex?enoic* or hexadecatrienoic* or stearidonic* or eicosatrienoic* or eicosatetr*enoic* or icosatrienoic* or icosapent*enoic* or icosatetr*enoic* or heneicosapent*enoic* or tetracosapent*enoic* or tetracosahex*enoic*) AND ((systematic and review) or (living and review) or (rapid and review) or meta*analysis or meta*review or overview).mp</w:t>
            </w:r>
          </w:p>
        </w:tc>
      </w:tr>
      <w:tr w:rsidR="00047995" w:rsidRPr="00C66AD1" w14:paraId="6915DD53" w14:textId="77777777" w:rsidTr="00047995">
        <w:trPr>
          <w:trHeight w:val="5525"/>
        </w:trPr>
        <w:tc>
          <w:tcPr>
            <w:tcW w:w="2331" w:type="dxa"/>
            <w:vMerge/>
          </w:tcPr>
          <w:p w14:paraId="477751C1"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4788417D" w14:textId="77777777" w:rsidR="00047995" w:rsidRPr="00C66AD1" w:rsidRDefault="00047995" w:rsidP="00047995">
            <w:pPr>
              <w:spacing w:after="120"/>
              <w:rPr>
                <w:rFonts w:ascii="Aptos" w:hAnsi="Aptos"/>
                <w:sz w:val="18"/>
                <w:szCs w:val="18"/>
              </w:rPr>
            </w:pPr>
            <w:r w:rsidRPr="00C66AD1">
              <w:rPr>
                <w:rFonts w:ascii="Aptos" w:hAnsi="Aptos"/>
                <w:sz w:val="18"/>
                <w:szCs w:val="18"/>
              </w:rPr>
              <w:t>Ovid Emcare &lt;1995 to 2023 Week 16&gt;</w:t>
            </w:r>
          </w:p>
          <w:p w14:paraId="5BC81770" w14:textId="77777777" w:rsidR="00047995" w:rsidRPr="00BE7308" w:rsidRDefault="00047995" w:rsidP="00047995">
            <w:pPr>
              <w:rPr>
                <w:rFonts w:ascii="Aptos" w:hAnsi="Aptos"/>
                <w:sz w:val="18"/>
                <w:szCs w:val="18"/>
              </w:rPr>
            </w:pPr>
            <w:r w:rsidRPr="00BE7308">
              <w:rPr>
                <w:rFonts w:ascii="Aptos" w:hAnsi="Aptos"/>
                <w:sz w:val="18"/>
                <w:szCs w:val="18"/>
              </w:rPr>
              <w:t>1. exp fatty acid/ or fatty acid*.mp. or exp omega 3 fatty acid/ or exp fish oil/ or omega 3.mp. or exp docosahexaenoic acid/ or docosahex*.mp. or hexadecatrienoic*.mp. or exp docosapentaenoic acid/ or docosapent*.mp. or exp linolenic acid/ or linolen*.mp. or exp icosapentaenoic acid/ or icosapent*.mp. or exp icosatrienoic acid/ or icosatrie*.mp. or icosatetr*.mp. or eicosatr*.mp. or eicosatetr*.mp. or eicosapent*.mp. or exp stearidonic acid/ or stearidonic*.mp. or heneicosapent*.mp. or tetracosapent*.mp. or tetracosahex*.mp.</w:t>
            </w:r>
          </w:p>
          <w:p w14:paraId="26380F36" w14:textId="77777777" w:rsidR="00047995" w:rsidRPr="00BE7308" w:rsidRDefault="00047995" w:rsidP="00047995">
            <w:pPr>
              <w:rPr>
                <w:rFonts w:ascii="Aptos" w:hAnsi="Aptos"/>
                <w:sz w:val="18"/>
                <w:szCs w:val="18"/>
              </w:rPr>
            </w:pPr>
            <w:r w:rsidRPr="00BE7308">
              <w:rPr>
                <w:rFonts w:ascii="Aptos" w:hAnsi="Aptos"/>
                <w:sz w:val="18"/>
                <w:szCs w:val="18"/>
              </w:rPr>
              <w:t>2. exp chronic depression/ or exp minor depression/ or exp "mixed anxiety and depression"/ or exp "mixed depression and dementia"/ or exp antenatal depression/ or exp agitated depression/ or exp adolescent depression/ or exp major depression/ or exp long term depression/ or depression.mp. or exp endogenous depression/ or exp postoperative depression/ or exp late life depression/ or exp reactive depression/ or exp perinatal depression/ or exp atypical depression/ or exp recurrent brief depression/ or exp depression/ or exp treatment resistant depression/ or exp postnatal depression/ or exp "mixed mania and depression"/ or exp post-stroke depression/ or exp bipolar depression/ or exp organic depression/ or depressi*.mp. or affective disorder*.mp.</w:t>
            </w:r>
          </w:p>
          <w:p w14:paraId="4FAC5731" w14:textId="77777777" w:rsidR="00047995" w:rsidRPr="00BE7308" w:rsidRDefault="00047995" w:rsidP="00047995">
            <w:pPr>
              <w:rPr>
                <w:rFonts w:ascii="Aptos" w:hAnsi="Aptos"/>
                <w:sz w:val="18"/>
                <w:szCs w:val="18"/>
              </w:rPr>
            </w:pPr>
            <w:r w:rsidRPr="00BE7308">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2199E512" w14:textId="77777777" w:rsidR="00047995" w:rsidRPr="00BE7308" w:rsidRDefault="00047995" w:rsidP="00047995">
            <w:pPr>
              <w:rPr>
                <w:rFonts w:ascii="Aptos" w:hAnsi="Aptos"/>
                <w:sz w:val="18"/>
                <w:szCs w:val="18"/>
              </w:rPr>
            </w:pPr>
            <w:r w:rsidRPr="00BE7308">
              <w:rPr>
                <w:rFonts w:ascii="Aptos" w:hAnsi="Aptos"/>
                <w:sz w:val="18"/>
                <w:szCs w:val="18"/>
              </w:rPr>
              <w:t>4. 1 and 2 and 3</w:t>
            </w:r>
          </w:p>
          <w:p w14:paraId="61C1F661" w14:textId="27F59717" w:rsidR="00047995" w:rsidRPr="00C66AD1" w:rsidRDefault="00047995" w:rsidP="00047995">
            <w:pPr>
              <w:rPr>
                <w:rFonts w:ascii="Aptos" w:hAnsi="Aptos"/>
                <w:sz w:val="18"/>
                <w:szCs w:val="18"/>
              </w:rPr>
            </w:pPr>
            <w:r w:rsidRPr="00BE7308">
              <w:rPr>
                <w:rFonts w:ascii="Aptos" w:hAnsi="Aptos"/>
                <w:sz w:val="18"/>
                <w:szCs w:val="18"/>
              </w:rPr>
              <w:t>5. limit 4 to human</w:t>
            </w:r>
          </w:p>
        </w:tc>
      </w:tr>
      <w:tr w:rsidR="00047995" w:rsidRPr="00C66AD1" w14:paraId="7B232622" w14:textId="77777777" w:rsidTr="00047995">
        <w:tc>
          <w:tcPr>
            <w:tcW w:w="2331" w:type="dxa"/>
            <w:vMerge/>
          </w:tcPr>
          <w:p w14:paraId="06D89D2F"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3F12DA5B"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514FBD6F" w14:textId="77777777" w:rsidR="00047995" w:rsidRPr="00C66AD1" w:rsidRDefault="00047995" w:rsidP="00047995">
            <w:pPr>
              <w:spacing w:after="120"/>
              <w:rPr>
                <w:rFonts w:ascii="Aptos" w:hAnsi="Aptos"/>
                <w:sz w:val="18"/>
                <w:szCs w:val="18"/>
              </w:rPr>
            </w:pPr>
            <w:r w:rsidRPr="00C66AD1">
              <w:rPr>
                <w:rFonts w:ascii="Aptos" w:hAnsi="Aptos"/>
                <w:sz w:val="18"/>
                <w:szCs w:val="18"/>
              </w:rPr>
              <w:t xml:space="preserve">((MeSH DESCRIPTOR Mood Disorders EXPLODE ALL TREES) OR mood.tw OR (MeSH DESCRIPTOR Depression EXPLODE ALL TREES) or depression OR depressive OR affect* AND (Fatty ADJ acid* OR fish ADJ oil* OR omega-3 OR omega 3 OR icosapent* OR </w:t>
            </w:r>
            <w:r w:rsidRPr="00C66AD1">
              <w:rPr>
                <w:rFonts w:ascii="Aptos" w:hAnsi="Aptos"/>
                <w:sz w:val="18"/>
                <w:szCs w:val="18"/>
              </w:rPr>
              <w:lastRenderedPageBreak/>
              <w:t>linolen* OR eicosapent* OR docosapent* OR PUFA* OR polyunsaturated OR poly-unsaturated OR hexadeca* OR steari* OR eicosatrie* OR eicosatet* OR icosapent* OR icosatet* OR icosatetr* OR heneicosa* OR tetracosapent* OR tetracosahex*))</w:t>
            </w:r>
          </w:p>
        </w:tc>
      </w:tr>
      <w:tr w:rsidR="00047995" w:rsidRPr="00C66AD1" w14:paraId="4939EAF3" w14:textId="77777777" w:rsidTr="00047995">
        <w:tc>
          <w:tcPr>
            <w:tcW w:w="2331" w:type="dxa"/>
            <w:vMerge/>
          </w:tcPr>
          <w:p w14:paraId="0E7AEC40"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1CC61D82"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7766B7ED"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3AAAE5AD"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228050A8" w14:textId="77777777" w:rsidTr="00047995">
        <w:tc>
          <w:tcPr>
            <w:tcW w:w="2331" w:type="dxa"/>
            <w:vMerge w:val="restart"/>
          </w:tcPr>
          <w:p w14:paraId="6A4FED90" w14:textId="77777777" w:rsidR="00047995" w:rsidRDefault="00047995" w:rsidP="00047995">
            <w:pPr>
              <w:tabs>
                <w:tab w:val="center" w:pos="866"/>
                <w:tab w:val="right" w:pos="1732"/>
              </w:tabs>
              <w:rPr>
                <w:rFonts w:ascii="Aptos" w:hAnsi="Aptos"/>
                <w:sz w:val="18"/>
                <w:szCs w:val="18"/>
              </w:rPr>
            </w:pPr>
            <w:r w:rsidRPr="00C66AD1">
              <w:rPr>
                <w:rFonts w:ascii="Aptos" w:hAnsi="Aptos"/>
                <w:sz w:val="18"/>
                <w:szCs w:val="18"/>
              </w:rPr>
              <w:t>6. Dysmenorrhea and Cruciferous Indoles (indole-3- carbinol, di -indolylmethane)</w:t>
            </w:r>
          </w:p>
          <w:p w14:paraId="3EC7C2BC" w14:textId="77777777" w:rsidR="00047995" w:rsidRDefault="00047995" w:rsidP="00047995">
            <w:pPr>
              <w:tabs>
                <w:tab w:val="center" w:pos="866"/>
                <w:tab w:val="right" w:pos="1732"/>
              </w:tabs>
              <w:rPr>
                <w:rFonts w:ascii="Aptos" w:hAnsi="Aptos"/>
                <w:sz w:val="18"/>
                <w:szCs w:val="18"/>
              </w:rPr>
            </w:pPr>
          </w:p>
          <w:p w14:paraId="4DF74298" w14:textId="7759F5B0" w:rsidR="00047995" w:rsidRPr="00C66AD1" w:rsidRDefault="00047995" w:rsidP="00047995">
            <w:pPr>
              <w:tabs>
                <w:tab w:val="center" w:pos="866"/>
                <w:tab w:val="right" w:pos="1732"/>
              </w:tabs>
              <w:rPr>
                <w:rFonts w:ascii="Aptos" w:hAnsi="Aptos"/>
                <w:sz w:val="18"/>
                <w:szCs w:val="18"/>
              </w:rPr>
            </w:pPr>
            <w:r>
              <w:rPr>
                <w:rFonts w:ascii="Aptos" w:hAnsi="Aptos"/>
                <w:sz w:val="18"/>
                <w:szCs w:val="18"/>
              </w:rPr>
              <w:t>Conducted 28/04/2023</w:t>
            </w:r>
          </w:p>
        </w:tc>
        <w:tc>
          <w:tcPr>
            <w:tcW w:w="7020" w:type="dxa"/>
          </w:tcPr>
          <w:p w14:paraId="21C2A4A7"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Epistemonokis</w:t>
            </w:r>
          </w:p>
          <w:p w14:paraId="43334F91" w14:textId="77777777" w:rsidR="00047995" w:rsidRPr="00C66AD1" w:rsidRDefault="00047995" w:rsidP="00047995">
            <w:pPr>
              <w:spacing w:after="120"/>
              <w:rPr>
                <w:rFonts w:ascii="Aptos" w:hAnsi="Aptos"/>
                <w:sz w:val="18"/>
                <w:szCs w:val="18"/>
              </w:rPr>
            </w:pPr>
            <w:r w:rsidRPr="00C66AD1">
              <w:rPr>
                <w:rFonts w:ascii="Aptos" w:hAnsi="Aptos"/>
                <w:sz w:val="18"/>
                <w:szCs w:val="18"/>
              </w:rPr>
              <w:t>(title:(dysmenorrhea OR (menstrua* AND disturbance*) OR (menstrua* AND disorder*) OR (menstrua* AND disease*) OR (pelvic AND pain*) OR (menstrua* AND pain*) OR (period* AND pain*)) OR abstract:(dysmenorrhea OR (menstrua* AND disturbance*) OR (menstrua* AND disorder*) OR (menstrua* AND disease*) OR (pelvic AND pain*) OR (menstrua* AND pain*) OR (period* AND pain*))) AND (title:((title:(cruciferae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 OR abstract:(cruciferae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 OR abstract:((title:(cruciferae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 OR abstract:(cruciferae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w:t>
            </w:r>
          </w:p>
        </w:tc>
      </w:tr>
      <w:tr w:rsidR="00084760" w:rsidRPr="00C66AD1" w14:paraId="0660BC09" w14:textId="77777777" w:rsidTr="00047995">
        <w:tc>
          <w:tcPr>
            <w:tcW w:w="2331" w:type="dxa"/>
            <w:vMerge/>
          </w:tcPr>
          <w:p w14:paraId="663C8690" w14:textId="77777777" w:rsidR="00084760" w:rsidRPr="00C66AD1" w:rsidRDefault="00084760" w:rsidP="00047995">
            <w:pPr>
              <w:tabs>
                <w:tab w:val="center" w:pos="866"/>
                <w:tab w:val="right" w:pos="1732"/>
              </w:tabs>
              <w:rPr>
                <w:rFonts w:ascii="Aptos" w:hAnsi="Aptos"/>
                <w:sz w:val="18"/>
                <w:szCs w:val="18"/>
              </w:rPr>
            </w:pPr>
          </w:p>
        </w:tc>
        <w:tc>
          <w:tcPr>
            <w:tcW w:w="7020" w:type="dxa"/>
          </w:tcPr>
          <w:p w14:paraId="72E8C5CE" w14:textId="77777777" w:rsidR="00084760" w:rsidRDefault="00084760" w:rsidP="00047995">
            <w:pPr>
              <w:spacing w:after="120"/>
              <w:rPr>
                <w:rFonts w:ascii="Aptos" w:hAnsi="Aptos"/>
                <w:sz w:val="18"/>
                <w:szCs w:val="18"/>
              </w:rPr>
            </w:pPr>
            <w:r>
              <w:rPr>
                <w:rFonts w:ascii="Aptos" w:hAnsi="Aptos"/>
                <w:sz w:val="18"/>
                <w:szCs w:val="18"/>
              </w:rPr>
              <w:t>AMED</w:t>
            </w:r>
          </w:p>
          <w:p w14:paraId="3B033DA5" w14:textId="0F450A04" w:rsidR="00084760" w:rsidRPr="00C66AD1" w:rsidRDefault="00084760" w:rsidP="00047995">
            <w:pPr>
              <w:spacing w:after="120"/>
              <w:rPr>
                <w:rFonts w:ascii="Aptos" w:hAnsi="Aptos"/>
                <w:sz w:val="18"/>
                <w:szCs w:val="18"/>
              </w:rPr>
            </w:pPr>
            <w:r w:rsidRPr="00084760">
              <w:rPr>
                <w:rFonts w:ascii="Aptos" w:hAnsi="Aptos"/>
                <w:sz w:val="18"/>
                <w:szCs w:val="18"/>
              </w:rPr>
              <w:t>(Dysmenorrhea or (menstrua* and disturbance*) or (menstrua* and disorder*) or (menstrua* and disease*) or (pelvic and pain*) or (menstrua* and pain*) or (period* and pain*)) AND (cruciferae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 AND ((systematic and review) or (living and review) or (rapid and review) or meta*analysis or meta*review or overview).mp</w:t>
            </w:r>
          </w:p>
        </w:tc>
      </w:tr>
      <w:tr w:rsidR="00047995" w:rsidRPr="00C66AD1" w14:paraId="36E288DC" w14:textId="77777777" w:rsidTr="00047995">
        <w:trPr>
          <w:trHeight w:val="5235"/>
        </w:trPr>
        <w:tc>
          <w:tcPr>
            <w:tcW w:w="2331" w:type="dxa"/>
            <w:vMerge/>
          </w:tcPr>
          <w:p w14:paraId="2FA314D9"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6FEA7D08" w14:textId="77777777" w:rsidR="00047995" w:rsidRPr="00C66AD1" w:rsidRDefault="00047995" w:rsidP="00047995">
            <w:pPr>
              <w:spacing w:after="120"/>
              <w:rPr>
                <w:rFonts w:ascii="Aptos" w:hAnsi="Aptos"/>
                <w:sz w:val="18"/>
                <w:szCs w:val="18"/>
              </w:rPr>
            </w:pPr>
            <w:r w:rsidRPr="00C66AD1">
              <w:rPr>
                <w:rFonts w:ascii="Aptos" w:hAnsi="Aptos"/>
                <w:sz w:val="18"/>
                <w:szCs w:val="18"/>
              </w:rPr>
              <w:t>Ovid Emcare &lt;1995 to 2023 Week 16&gt;</w:t>
            </w:r>
          </w:p>
          <w:p w14:paraId="64E12E21" w14:textId="77777777" w:rsidR="00047995" w:rsidRPr="004D4F31" w:rsidRDefault="00047995" w:rsidP="00047995">
            <w:pPr>
              <w:rPr>
                <w:rFonts w:ascii="Aptos" w:hAnsi="Aptos"/>
                <w:sz w:val="18"/>
                <w:szCs w:val="18"/>
              </w:rPr>
            </w:pPr>
            <w:r w:rsidRPr="004D4F31">
              <w:rPr>
                <w:rFonts w:ascii="Aptos" w:hAnsi="Aptos"/>
                <w:sz w:val="18"/>
                <w:szCs w:val="18"/>
              </w:rPr>
              <w:t>1. brassicaceae.mp. or exp brassicaceae/ or brassica.mp. or (cruciferae or cruciferous).mp. or cabbage*.mp. or exp celery/ or cabbage/ or exp white cabbage/ or exp cabbage/ or exp red cabbage/ or exp Chinese cabbage/ or exp Savoy cabbage/ or exp celery/ or celery.mp. or exp cauliflower/ or cauliflower*.mp. or broccoli.mp. or exp broccoli/ or exp brussels sprout/ or (brussel* and sprout*).mp. or coleslaw.mp. or cole slaw.mp. or exp bok choy/ or bok choy.mp. or exp turnip/ or turnip*.mp. or radish.mp. or exp radish/ or raddish*.mp. or indole*.mp. or exp indole/ or indole derivative*.mp. or exp indole derivative/ or carbinol*.mp. or exp carbinol/ or 3 indolemethanol*.mp. or exp 3 indolemethanol/ or 3,3' diindolylmethane*.mp. or exp 3,3' diindolylmethane/ or IC3.mp. or di*indolylmethane.mp.</w:t>
            </w:r>
          </w:p>
          <w:p w14:paraId="2DB3A5B8" w14:textId="77777777" w:rsidR="00047995" w:rsidRPr="004D4F31" w:rsidRDefault="00047995" w:rsidP="00047995">
            <w:pPr>
              <w:rPr>
                <w:rFonts w:ascii="Aptos" w:hAnsi="Aptos"/>
                <w:sz w:val="18"/>
                <w:szCs w:val="18"/>
              </w:rPr>
            </w:pPr>
            <w:r w:rsidRPr="004D4F31">
              <w:rPr>
                <w:rFonts w:ascii="Aptos" w:hAnsi="Aptos"/>
                <w:sz w:val="18"/>
                <w:szCs w:val="18"/>
              </w:rPr>
              <w:t>2. exp dysmenorrhea/ or exp menstruation disorder/ or dysmenorrhea.mp. or dys-menorrhea.mp. or dys-menorrhoea.mp. or (menstrua* and disorder*).mp. or (menstrua* and disturbance*).mp. or (pelvic and pain*).mp. or exp pelvic pain/ or (menstrua* and pain*).mp. or (period* and pain*).mp. or (pain* and menstrua*).mp. or (menstrua* and cramp*).mp.</w:t>
            </w:r>
          </w:p>
          <w:p w14:paraId="5FE955BD" w14:textId="77777777" w:rsidR="00047995" w:rsidRPr="004D4F31" w:rsidRDefault="00047995" w:rsidP="00047995">
            <w:pPr>
              <w:rPr>
                <w:rFonts w:ascii="Aptos" w:hAnsi="Aptos"/>
                <w:sz w:val="18"/>
                <w:szCs w:val="18"/>
              </w:rPr>
            </w:pPr>
            <w:r w:rsidRPr="004D4F31">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158B21F5" w14:textId="77777777" w:rsidR="00047995" w:rsidRPr="004D4F31" w:rsidRDefault="00047995" w:rsidP="00047995">
            <w:pPr>
              <w:rPr>
                <w:rFonts w:ascii="Aptos" w:hAnsi="Aptos"/>
                <w:sz w:val="18"/>
                <w:szCs w:val="18"/>
              </w:rPr>
            </w:pPr>
            <w:r w:rsidRPr="004D4F31">
              <w:rPr>
                <w:rFonts w:ascii="Aptos" w:hAnsi="Aptos"/>
                <w:sz w:val="18"/>
                <w:szCs w:val="18"/>
              </w:rPr>
              <w:t>4. 1 and 2 and 3</w:t>
            </w:r>
          </w:p>
          <w:p w14:paraId="5E42772B" w14:textId="45A9B1BE" w:rsidR="00047995" w:rsidRPr="00C66AD1" w:rsidRDefault="00047995" w:rsidP="00047995">
            <w:pPr>
              <w:rPr>
                <w:rFonts w:ascii="Aptos" w:hAnsi="Aptos"/>
                <w:sz w:val="18"/>
                <w:szCs w:val="18"/>
              </w:rPr>
            </w:pPr>
            <w:r w:rsidRPr="004D4F31">
              <w:rPr>
                <w:rFonts w:ascii="Aptos" w:hAnsi="Aptos"/>
                <w:sz w:val="18"/>
                <w:szCs w:val="18"/>
              </w:rPr>
              <w:t>5. limit 4 to human</w:t>
            </w:r>
          </w:p>
        </w:tc>
      </w:tr>
      <w:tr w:rsidR="00047995" w:rsidRPr="00C66AD1" w14:paraId="01387AD9" w14:textId="77777777" w:rsidTr="00047995">
        <w:tc>
          <w:tcPr>
            <w:tcW w:w="2331" w:type="dxa"/>
            <w:vMerge/>
          </w:tcPr>
          <w:p w14:paraId="2BA92A67"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13CC7A07"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26721265" w14:textId="77777777" w:rsidR="00047995" w:rsidRPr="00C66AD1" w:rsidRDefault="00047995" w:rsidP="00047995">
            <w:pPr>
              <w:spacing w:after="120"/>
              <w:rPr>
                <w:rFonts w:ascii="Aptos" w:hAnsi="Aptos"/>
                <w:sz w:val="18"/>
                <w:szCs w:val="18"/>
              </w:rPr>
            </w:pPr>
            <w:r w:rsidRPr="00C66AD1">
              <w:rPr>
                <w:rFonts w:ascii="Aptos" w:hAnsi="Aptos"/>
                <w:sz w:val="18"/>
                <w:szCs w:val="18"/>
              </w:rPr>
              <w:t>(dysmenorrhea OR (menstrua* AND disturbance*) OR (menstrua* AND disorder*) OR (menstrua* AND disease*) OR (pelvic AND pain*) OR (menstrua* AND pain*) OR (period* AND pain*)) AND (</w:t>
            </w:r>
            <w:r w:rsidRPr="00C66AD1">
              <w:rPr>
                <w:rFonts w:ascii="Aptos" w:hAnsi="Aptos"/>
                <w:sz w:val="18"/>
                <w:szCs w:val="18"/>
              </w:rPr>
              <w:tab/>
              <w:t>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w:t>
            </w:r>
          </w:p>
        </w:tc>
      </w:tr>
      <w:tr w:rsidR="00047995" w:rsidRPr="00C66AD1" w14:paraId="203DB890" w14:textId="77777777" w:rsidTr="00047995">
        <w:tc>
          <w:tcPr>
            <w:tcW w:w="2331" w:type="dxa"/>
            <w:vMerge/>
          </w:tcPr>
          <w:p w14:paraId="6ECD7540"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5B180EB6"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44F9483D"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2A552A1F"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3D50C274" w14:textId="77777777" w:rsidTr="00047995">
        <w:tc>
          <w:tcPr>
            <w:tcW w:w="2331" w:type="dxa"/>
            <w:vMerge w:val="restart"/>
          </w:tcPr>
          <w:p w14:paraId="7ADE22DB"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7. Premenstrual syndrome and Cruciferous Indoles (indole-3- carbinol, di -indolylmethane)</w:t>
            </w:r>
          </w:p>
          <w:p w14:paraId="36EC34C1" w14:textId="77777777" w:rsidR="00047995" w:rsidRPr="00C66AD1" w:rsidRDefault="00047995" w:rsidP="00047995">
            <w:pPr>
              <w:tabs>
                <w:tab w:val="center" w:pos="866"/>
                <w:tab w:val="right" w:pos="1732"/>
              </w:tabs>
              <w:rPr>
                <w:rFonts w:ascii="Aptos" w:hAnsi="Aptos"/>
                <w:sz w:val="18"/>
                <w:szCs w:val="18"/>
              </w:rPr>
            </w:pPr>
          </w:p>
          <w:p w14:paraId="1EB09A12" w14:textId="5EBC1D80"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Conducted 2</w:t>
            </w:r>
            <w:r>
              <w:rPr>
                <w:rFonts w:ascii="Aptos" w:hAnsi="Aptos"/>
                <w:sz w:val="18"/>
                <w:szCs w:val="18"/>
              </w:rPr>
              <w:t>8</w:t>
            </w:r>
            <w:r w:rsidRPr="00C66AD1">
              <w:rPr>
                <w:rFonts w:ascii="Aptos" w:hAnsi="Aptos"/>
                <w:sz w:val="18"/>
                <w:szCs w:val="18"/>
              </w:rPr>
              <w:t>/04/2023</w:t>
            </w:r>
          </w:p>
        </w:tc>
        <w:tc>
          <w:tcPr>
            <w:tcW w:w="7020" w:type="dxa"/>
          </w:tcPr>
          <w:p w14:paraId="781362BA"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Epistemonikis</w:t>
            </w:r>
          </w:p>
          <w:p w14:paraId="1ABF70A2" w14:textId="77777777" w:rsidR="00047995" w:rsidRPr="00C66AD1" w:rsidRDefault="00047995" w:rsidP="00047995">
            <w:pPr>
              <w:spacing w:after="120"/>
              <w:rPr>
                <w:rFonts w:ascii="Aptos" w:hAnsi="Aptos"/>
                <w:sz w:val="18"/>
                <w:szCs w:val="18"/>
              </w:rPr>
            </w:pPr>
            <w:r w:rsidRPr="00C66AD1">
              <w:rPr>
                <w:rFonts w:ascii="Aptos" w:hAnsi="Aptos"/>
                <w:sz w:val="18"/>
                <w:szCs w:val="18"/>
              </w:rPr>
              <w:t>(title:((cruciferae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 OR abstract:((cruciferae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 AND (title:(premenstrual syndrome) OR abstract:(premenstrual syndrome))</w:t>
            </w:r>
          </w:p>
        </w:tc>
      </w:tr>
      <w:tr w:rsidR="008D3B4D" w:rsidRPr="00C66AD1" w14:paraId="31DC5DB8" w14:textId="77777777" w:rsidTr="00047995">
        <w:tc>
          <w:tcPr>
            <w:tcW w:w="2331" w:type="dxa"/>
            <w:vMerge/>
          </w:tcPr>
          <w:p w14:paraId="45E1C203" w14:textId="77777777" w:rsidR="008D3B4D" w:rsidRPr="00C66AD1" w:rsidRDefault="008D3B4D" w:rsidP="00047995">
            <w:pPr>
              <w:tabs>
                <w:tab w:val="center" w:pos="866"/>
                <w:tab w:val="right" w:pos="1732"/>
              </w:tabs>
              <w:rPr>
                <w:rFonts w:ascii="Aptos" w:hAnsi="Aptos"/>
                <w:sz w:val="18"/>
                <w:szCs w:val="18"/>
              </w:rPr>
            </w:pPr>
          </w:p>
        </w:tc>
        <w:tc>
          <w:tcPr>
            <w:tcW w:w="7020" w:type="dxa"/>
          </w:tcPr>
          <w:p w14:paraId="6B9A5263" w14:textId="77777777" w:rsidR="008D3B4D" w:rsidRDefault="008D3B4D" w:rsidP="00047995">
            <w:pPr>
              <w:spacing w:after="120"/>
              <w:rPr>
                <w:rFonts w:ascii="Aptos" w:hAnsi="Aptos"/>
                <w:sz w:val="18"/>
                <w:szCs w:val="18"/>
              </w:rPr>
            </w:pPr>
            <w:r>
              <w:rPr>
                <w:rFonts w:ascii="Aptos" w:hAnsi="Aptos"/>
                <w:sz w:val="18"/>
                <w:szCs w:val="18"/>
              </w:rPr>
              <w:t>AMED</w:t>
            </w:r>
          </w:p>
          <w:p w14:paraId="00DCCE20" w14:textId="4DBC6627" w:rsidR="008D3B4D" w:rsidRPr="00C66AD1" w:rsidRDefault="008D3B4D" w:rsidP="00047995">
            <w:pPr>
              <w:spacing w:after="120"/>
              <w:rPr>
                <w:rFonts w:ascii="Aptos" w:hAnsi="Aptos"/>
                <w:sz w:val="18"/>
                <w:szCs w:val="18"/>
              </w:rPr>
            </w:pPr>
            <w:r w:rsidRPr="008D3B4D">
              <w:rPr>
                <w:rFonts w:ascii="Aptos" w:hAnsi="Aptos"/>
                <w:sz w:val="18"/>
                <w:szCs w:val="18"/>
              </w:rPr>
              <w:t xml:space="preserve">((premenstrual AND syndrome) OR PMS OR (premenstrual AND disorder) OR (premenstrual AND dysphoria) OR PMDD OR (premenstrual AND tension) OR PMT OR (premenstrual AND cramp*) OR (premenstrual AND pain) OR (prementrual AND symptoms)) AND (cruciferae or brassicacea* or brassica* or (cruciferous and vegetable*) or broccoli or cabbage* or cauliflower* or (brussel and sprout*) or mustard or sauerkraut or coleslaw or (cole and slaw) or collard* or (bok and choy) or (turnip and green) or raddish* or (indole and carbinol) or I3C or di*indolylmethane) AND </w:t>
            </w:r>
            <w:r w:rsidRPr="008D3B4D">
              <w:rPr>
                <w:rFonts w:ascii="Aptos" w:hAnsi="Aptos"/>
                <w:sz w:val="18"/>
                <w:szCs w:val="18"/>
              </w:rPr>
              <w:lastRenderedPageBreak/>
              <w:t>((systematic and review) or (living and review) or (rapid and review) or meta*analysis or meta*review or overview).mp</w:t>
            </w:r>
          </w:p>
        </w:tc>
      </w:tr>
      <w:tr w:rsidR="00047995" w:rsidRPr="00C66AD1" w14:paraId="63F9EA06" w14:textId="77777777" w:rsidTr="00047995">
        <w:tc>
          <w:tcPr>
            <w:tcW w:w="2331" w:type="dxa"/>
            <w:vMerge/>
          </w:tcPr>
          <w:p w14:paraId="5E40C08B"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4AE21F00" w14:textId="77777777" w:rsidR="00047995" w:rsidRPr="00C66AD1" w:rsidRDefault="00047995" w:rsidP="00047995">
            <w:pPr>
              <w:spacing w:after="120"/>
              <w:rPr>
                <w:rFonts w:ascii="Aptos" w:hAnsi="Aptos"/>
                <w:sz w:val="18"/>
                <w:szCs w:val="18"/>
              </w:rPr>
            </w:pPr>
            <w:r w:rsidRPr="00C66AD1">
              <w:rPr>
                <w:rFonts w:ascii="Aptos" w:hAnsi="Aptos"/>
                <w:sz w:val="18"/>
                <w:szCs w:val="18"/>
              </w:rPr>
              <w:t>Ovid Emcare &lt;1995 to 2023 Week 16&gt;</w:t>
            </w:r>
          </w:p>
          <w:p w14:paraId="50B678E8" w14:textId="77777777" w:rsidR="00047995" w:rsidRPr="00C66AD1" w:rsidRDefault="00047995" w:rsidP="00047995">
            <w:pPr>
              <w:rPr>
                <w:rFonts w:ascii="Aptos" w:hAnsi="Aptos"/>
                <w:sz w:val="18"/>
                <w:szCs w:val="18"/>
              </w:rPr>
            </w:pPr>
            <w:r w:rsidRPr="00C66AD1">
              <w:rPr>
                <w:rFonts w:ascii="Aptos" w:hAnsi="Aptos"/>
                <w:sz w:val="18"/>
                <w:szCs w:val="18"/>
              </w:rPr>
              <w:t xml:space="preserve">1. </w:t>
            </w:r>
            <w:r w:rsidRPr="008E4501">
              <w:rPr>
                <w:rFonts w:ascii="Aptos" w:hAnsi="Aptos"/>
                <w:sz w:val="18"/>
                <w:szCs w:val="18"/>
              </w:rPr>
              <w:t>brassicaceae.mp. or exp brassicaceae/ or brassica.mp. or (cruciferae or cruciferous).mp. or cabbage*.mp. or exp celery/ or cabbage/ or exp white cabbage/ or exp cabbage/ or exp red cabbage/ or exp Chinese cabbage/ or exp Savoy cabbage/ or exp celery/ or celery.mp. or exp cauliflower/ or cauliflower*.mp. or broccoli.mp. or exp broccoli/ or exp brussels sprout/ or (brussel* and sprout*).mp. or coleslaw.mp. or cole slaw.mp. or exp bok choy/ or bok choy.mp. or exp turnip/ or turnip*.mp. or radish.mp. or exp radish/ or raddish*.mp. or indole*.mp. or exp indole/ or indole derivative*.mp. or exp indole derivative/ or carbinol*.mp. or exp carbinol/ or 3 indolemethanol*.mp. or exp 3 indolemethanol/ or 3,3' diindolylmethane*.mp. or exp 3,3' diindolylmethane/ or IC3.mp. or di*indolylmethane.mp.</w:t>
            </w:r>
          </w:p>
          <w:p w14:paraId="03494A81" w14:textId="77777777" w:rsidR="00047995" w:rsidRPr="008E4501" w:rsidRDefault="00047995" w:rsidP="00047995">
            <w:pPr>
              <w:rPr>
                <w:rFonts w:ascii="Aptos" w:hAnsi="Aptos"/>
                <w:sz w:val="18"/>
                <w:szCs w:val="18"/>
              </w:rPr>
            </w:pPr>
            <w:r w:rsidRPr="008E4501">
              <w:rPr>
                <w:rFonts w:ascii="Aptos" w:hAnsi="Aptos"/>
                <w:sz w:val="18"/>
                <w:szCs w:val="18"/>
              </w:rPr>
              <w:t>2. exp premenstrual syndrome/ or (premenstrual and dysphoria).mp. or exp premenstrual syndrome/ or exp premenstrual dysphoric disorder/ or premenstrual.mp. or (premenstrual and syndrome).mp. or exp premenstrual syndrome/ or PMS.mp. or (premenstrual and disorder).mp. or (premenstrual and dysphoria).mp. or PMDD.mp. or (premenstrual and tension).mp. or PMT.mp. or (premenstrual and cramp*).mp. or (premenstrual and pain).mp.</w:t>
            </w:r>
          </w:p>
          <w:p w14:paraId="2DBBF1C2" w14:textId="77777777" w:rsidR="00047995" w:rsidRPr="008E4501" w:rsidRDefault="00047995" w:rsidP="00047995">
            <w:pPr>
              <w:rPr>
                <w:rFonts w:ascii="Aptos" w:hAnsi="Aptos"/>
                <w:sz w:val="18"/>
                <w:szCs w:val="18"/>
              </w:rPr>
            </w:pPr>
            <w:r w:rsidRPr="008E4501">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1E36707B" w14:textId="77777777" w:rsidR="00047995" w:rsidRPr="008E4501" w:rsidRDefault="00047995" w:rsidP="00047995">
            <w:pPr>
              <w:rPr>
                <w:rFonts w:ascii="Aptos" w:hAnsi="Aptos"/>
                <w:sz w:val="18"/>
                <w:szCs w:val="18"/>
              </w:rPr>
            </w:pPr>
            <w:r w:rsidRPr="008E4501">
              <w:rPr>
                <w:rFonts w:ascii="Aptos" w:hAnsi="Aptos"/>
                <w:sz w:val="18"/>
                <w:szCs w:val="18"/>
              </w:rPr>
              <w:t>4. 1 and 2 and 3</w:t>
            </w:r>
          </w:p>
          <w:p w14:paraId="1373FE92" w14:textId="2985D05D" w:rsidR="00047995" w:rsidRPr="00C66AD1" w:rsidRDefault="00047995" w:rsidP="00047995">
            <w:pPr>
              <w:rPr>
                <w:rFonts w:ascii="Aptos" w:hAnsi="Aptos"/>
                <w:sz w:val="18"/>
                <w:szCs w:val="18"/>
              </w:rPr>
            </w:pPr>
            <w:r w:rsidRPr="008E4501">
              <w:rPr>
                <w:rFonts w:ascii="Aptos" w:hAnsi="Aptos"/>
                <w:sz w:val="18"/>
                <w:szCs w:val="18"/>
              </w:rPr>
              <w:t>5</w:t>
            </w:r>
            <w:r w:rsidRPr="00C66AD1">
              <w:rPr>
                <w:rFonts w:ascii="Aptos" w:hAnsi="Aptos"/>
                <w:sz w:val="18"/>
                <w:szCs w:val="18"/>
              </w:rPr>
              <w:t xml:space="preserve">. limit </w:t>
            </w:r>
            <w:r w:rsidRPr="008E4501">
              <w:rPr>
                <w:rFonts w:ascii="Aptos" w:hAnsi="Aptos"/>
                <w:sz w:val="18"/>
                <w:szCs w:val="18"/>
              </w:rPr>
              <w:t>4</w:t>
            </w:r>
            <w:r w:rsidRPr="00C66AD1">
              <w:rPr>
                <w:rFonts w:ascii="Aptos" w:hAnsi="Aptos"/>
                <w:sz w:val="18"/>
                <w:szCs w:val="18"/>
              </w:rPr>
              <w:t xml:space="preserve"> to human</w:t>
            </w:r>
          </w:p>
        </w:tc>
      </w:tr>
      <w:tr w:rsidR="00047995" w:rsidRPr="00C66AD1" w14:paraId="14C8F5D9" w14:textId="77777777" w:rsidTr="00047995">
        <w:tc>
          <w:tcPr>
            <w:tcW w:w="2331" w:type="dxa"/>
            <w:vMerge/>
          </w:tcPr>
          <w:p w14:paraId="0593D0DC"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12C031E3"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72467A26" w14:textId="77777777" w:rsidR="00047995" w:rsidRPr="00C66AD1" w:rsidRDefault="00047995" w:rsidP="00047995">
            <w:pPr>
              <w:rPr>
                <w:rFonts w:ascii="Aptos" w:hAnsi="Aptos"/>
                <w:sz w:val="18"/>
                <w:szCs w:val="18"/>
              </w:rPr>
            </w:pPr>
            <w:r w:rsidRPr="00C66AD1">
              <w:rPr>
                <w:rFonts w:ascii="Aptos" w:hAnsi="Aptos"/>
                <w:sz w:val="18"/>
                <w:szCs w:val="18"/>
              </w:rPr>
              <w:t>cruciferae OR brassicacea?  OR brassica? OR cruciferous vegetable* OR broccoli OR cabbage OR cauliflower OR (brussel adj1 sprout*) OR (mustard adj1 plant*)  OR sauerkraut  OR coleslaw OR (cole adj1 slaw) OR collard* OR (bok adj1 choy) OR (turnip adj1 green*) OR raddish OR indole-3-carbinol OR indole-3 carbinol OR I3C OR di?ndolylmethane AND (MeSH DESCRIPTOR Premenstrual Syndrome EXPLODE ALL TREES)</w:t>
            </w:r>
          </w:p>
        </w:tc>
      </w:tr>
      <w:tr w:rsidR="00047995" w:rsidRPr="00C66AD1" w14:paraId="6C11400E" w14:textId="77777777" w:rsidTr="00047995">
        <w:tc>
          <w:tcPr>
            <w:tcW w:w="2331" w:type="dxa"/>
            <w:vMerge/>
          </w:tcPr>
          <w:p w14:paraId="7C8C4AFD"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2D25BEDA"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1C177D40" w14:textId="77777777" w:rsidR="00047995" w:rsidRPr="00C66AD1" w:rsidRDefault="00047995" w:rsidP="00047995">
            <w:pPr>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4C2CC1BD" w14:textId="77777777" w:rsidR="00047995" w:rsidRPr="00C66AD1" w:rsidRDefault="00047995" w:rsidP="00047995">
            <w:pPr>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67436AC8" w14:textId="77777777" w:rsidTr="00047995">
        <w:tc>
          <w:tcPr>
            <w:tcW w:w="2331" w:type="dxa"/>
            <w:vMerge w:val="restart"/>
          </w:tcPr>
          <w:p w14:paraId="6CD35577"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8. Atopic disorders (incl. Eczema/ dermatitis / Allergic rhinitis/ allergy (incl. Hay fever)) and zinc</w:t>
            </w:r>
          </w:p>
          <w:p w14:paraId="0282A428" w14:textId="77777777" w:rsidR="00047995" w:rsidRPr="00C66AD1" w:rsidRDefault="00047995" w:rsidP="00047995">
            <w:pPr>
              <w:tabs>
                <w:tab w:val="center" w:pos="866"/>
                <w:tab w:val="right" w:pos="1732"/>
              </w:tabs>
              <w:rPr>
                <w:rFonts w:ascii="Aptos" w:hAnsi="Aptos"/>
                <w:sz w:val="18"/>
                <w:szCs w:val="18"/>
              </w:rPr>
            </w:pPr>
          </w:p>
          <w:p w14:paraId="68E031A0"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Conducted 21/04/2023</w:t>
            </w:r>
          </w:p>
        </w:tc>
        <w:tc>
          <w:tcPr>
            <w:tcW w:w="7020" w:type="dxa"/>
          </w:tcPr>
          <w:p w14:paraId="7BDCAF93"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Epistemonikis</w:t>
            </w:r>
          </w:p>
          <w:p w14:paraId="5C48932F" w14:textId="77777777" w:rsidR="00047995" w:rsidRPr="00C66AD1" w:rsidRDefault="00047995" w:rsidP="00047995">
            <w:pPr>
              <w:rPr>
                <w:rFonts w:ascii="Aptos" w:hAnsi="Aptos"/>
                <w:sz w:val="18"/>
                <w:szCs w:val="18"/>
              </w:rPr>
            </w:pPr>
            <w:r w:rsidRPr="00C66AD1">
              <w:rPr>
                <w:rFonts w:ascii="Aptos" w:hAnsi="Aptos"/>
                <w:sz w:val="18"/>
                <w:szCs w:val="18"/>
              </w:rPr>
              <w:t xml:space="preserve">(title:(zinc OR zn) OR abstract:(zinc OR zn)) AND (title:(atopic OR atopy OR atopia OR hypersenitivit* OR hyper-sensitivit* OR  hyper-responsiven* OR  hyperresponsiv* OR sensitisat* OR sensitizat* OR (skin AND prick) OR (skin AND test) OR SPT OR (patch AND test) OR allerg* OR asthma OR asthmat* OR wheez* OR bronchial OR bronch* OR dermatiti* OR eczem* OR neurodermatit* OR epidermal* OR (besnier* AND prurigo) OR rhinitis OR rhinitides OR hayfever OR (hay AND fever) OR rhinoconjunctivitis OR pollinosis OR pollen* OR(nasal AND obstruction) OR radioallergosorbent OR RAST OR "immunogloblin E" OR IgE OR intradermal OR anaphylaxis OR anaphylactic OR anaphylactoid OR shock* OR react* OR hives OR weals OR welts OR rash OR pruriti* OR itch* OR (dust AND mite) OR (immun* AND dysregulation) OR immunogenicity OR intolerance* OR tolerance OR urticar* OR angioedema) OR abstract:(atopic OR atopy OR atopia OR hypersenitivit* OR hyper-sensitivit* OR  hyper-responsiven* OR  hyperresponsiv* OR sensitisat* OR sensitizat* OR (skin AND prick) OR (skin AND test) OR SPT OR (patch AND test) OR allerg* OR asthma OR asthmat* OR wheez* OR bronchial OR bronch* OR dermatiti* OR eczem* OR neurodermatit* OR epidermal* OR (besnier* AND prurigo) OR rhinitis OR rhinitides OR hayfever OR (hay AND fever) OR rhinoconjunctivitis OR pollinosis OR pollen* OR(nasal AND obstruction) OR radioallergosorbent OR RAST OR "immunogloblin E" OR IgE OR intradermal OR anaphylaxis OR anaphylactic OR anaphylactoid OR shock* OR react* OR hives OR </w:t>
            </w:r>
            <w:r w:rsidRPr="00C66AD1">
              <w:rPr>
                <w:rFonts w:ascii="Aptos" w:hAnsi="Aptos"/>
                <w:sz w:val="18"/>
                <w:szCs w:val="18"/>
              </w:rPr>
              <w:lastRenderedPageBreak/>
              <w:t>weals OR welts OR rash OR pruriti* OR itch* OR (dust AND mite) OR (immun* AND dysregulation) OR immunogenicity OR intolerance* OR tolerance OR urticar* OR angioedema))</w:t>
            </w:r>
          </w:p>
        </w:tc>
      </w:tr>
      <w:tr w:rsidR="00592DB7" w:rsidRPr="00C66AD1" w14:paraId="5ECC905D" w14:textId="77777777" w:rsidTr="00047995">
        <w:tc>
          <w:tcPr>
            <w:tcW w:w="2331" w:type="dxa"/>
            <w:vMerge/>
          </w:tcPr>
          <w:p w14:paraId="4905ED85" w14:textId="77777777" w:rsidR="00592DB7" w:rsidRPr="00C66AD1" w:rsidRDefault="00592DB7" w:rsidP="00047995">
            <w:pPr>
              <w:tabs>
                <w:tab w:val="center" w:pos="866"/>
                <w:tab w:val="right" w:pos="1732"/>
              </w:tabs>
              <w:rPr>
                <w:rFonts w:ascii="Aptos" w:hAnsi="Aptos"/>
                <w:sz w:val="18"/>
                <w:szCs w:val="18"/>
              </w:rPr>
            </w:pPr>
          </w:p>
        </w:tc>
        <w:tc>
          <w:tcPr>
            <w:tcW w:w="7020" w:type="dxa"/>
          </w:tcPr>
          <w:p w14:paraId="01B1C94D" w14:textId="266F509A" w:rsidR="00592DB7" w:rsidRPr="00592DB7" w:rsidRDefault="00592DB7" w:rsidP="00592DB7">
            <w:pPr>
              <w:spacing w:after="120"/>
              <w:rPr>
                <w:rFonts w:ascii="Aptos" w:hAnsi="Aptos"/>
                <w:sz w:val="18"/>
                <w:szCs w:val="18"/>
              </w:rPr>
            </w:pPr>
            <w:r>
              <w:rPr>
                <w:rFonts w:ascii="Aptos" w:hAnsi="Aptos"/>
                <w:sz w:val="18"/>
                <w:szCs w:val="18"/>
              </w:rPr>
              <w:t>AMED</w:t>
            </w:r>
          </w:p>
          <w:p w14:paraId="0375F1DE" w14:textId="1C845303" w:rsidR="00592DB7" w:rsidRPr="00C66AD1" w:rsidRDefault="00592DB7" w:rsidP="00592DB7">
            <w:pPr>
              <w:spacing w:after="120"/>
              <w:rPr>
                <w:rFonts w:ascii="Aptos" w:hAnsi="Aptos"/>
                <w:sz w:val="18"/>
                <w:szCs w:val="18"/>
              </w:rPr>
            </w:pPr>
            <w:r w:rsidRPr="00592DB7">
              <w:rPr>
                <w:rFonts w:ascii="Aptos" w:hAnsi="Aptos"/>
                <w:sz w:val="18"/>
                <w:szCs w:val="18"/>
              </w:rPr>
              <w:t>(zinc or zn) AND (atopic or atopy or atopia or hypersenitivit* or hyper-sensitivit* or hyper-responsiven* or hyperresponsiv* or sensitisat* or sensitizat* or (skin and prick) or (skin and test) or SPT or (patch and test) or allerg* or asthma or asthmat* or wheez* or bronchial or bronch* or dermatiti* or eczem* or neurodermatit* or epidermal* or (besnier* and prurigo) or rhinitis or rhinitides or hayfever or (hay and fever) or rhinoconjunctivitis or pollinosis or pollen* or (nasal and obstruction) or radioallergosorbent or RAST or "immunogloblin E" or IgE or intradermal or anaphylaxis or anaphylactic or anaphylactoid or shock* or react* or hives or weals or welts or rash or pruriti* or itch* or (dust and mite) or (immun* and dysregulation) or immunogenicity or intolerance* or tolerance or urticar* or angioedema) AND ((systematic and review) or (living and review) or (rapid and review) or meta*analysis or meta*review or overview).mp"</w:t>
            </w:r>
          </w:p>
        </w:tc>
      </w:tr>
      <w:tr w:rsidR="00047995" w:rsidRPr="00C66AD1" w14:paraId="0D87EAFE" w14:textId="77777777" w:rsidTr="00047995">
        <w:tc>
          <w:tcPr>
            <w:tcW w:w="2331" w:type="dxa"/>
            <w:vMerge/>
          </w:tcPr>
          <w:p w14:paraId="20646C66"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479F548E" w14:textId="77777777" w:rsidR="00047995" w:rsidRPr="00C66AD1" w:rsidRDefault="00047995" w:rsidP="00047995">
            <w:pPr>
              <w:spacing w:after="120"/>
              <w:rPr>
                <w:rFonts w:ascii="Aptos" w:hAnsi="Aptos"/>
                <w:sz w:val="18"/>
                <w:szCs w:val="18"/>
              </w:rPr>
            </w:pPr>
            <w:r w:rsidRPr="00C66AD1">
              <w:rPr>
                <w:rFonts w:ascii="Aptos" w:hAnsi="Aptos"/>
                <w:sz w:val="18"/>
                <w:szCs w:val="18"/>
              </w:rPr>
              <w:t>Ovid Emcare &lt;1995 to 2023 Week 17&gt;</w:t>
            </w:r>
          </w:p>
          <w:p w14:paraId="467B9AB6" w14:textId="6F1933BF" w:rsidR="00047995" w:rsidRPr="00C66AD1" w:rsidRDefault="00047995" w:rsidP="00047995">
            <w:pPr>
              <w:rPr>
                <w:rFonts w:ascii="Aptos" w:hAnsi="Aptos"/>
                <w:sz w:val="18"/>
                <w:szCs w:val="18"/>
              </w:rPr>
            </w:pPr>
            <w:r w:rsidRPr="00C66AD1">
              <w:rPr>
                <w:rFonts w:ascii="Aptos" w:hAnsi="Aptos"/>
                <w:sz w:val="18"/>
                <w:szCs w:val="18"/>
              </w:rPr>
              <w:t>1. exp atopic keratoconjunctivitis/ or atopic.mp. or exp atopic dermatitis/ or exp "Severity Scoring of Atopic Dermatitis"/</w:t>
            </w:r>
          </w:p>
          <w:p w14:paraId="0EEB0AC4" w14:textId="643EAEB9" w:rsidR="00047995" w:rsidRPr="00C66AD1" w:rsidRDefault="00047995" w:rsidP="00047995">
            <w:pPr>
              <w:rPr>
                <w:rFonts w:ascii="Aptos" w:hAnsi="Aptos"/>
                <w:sz w:val="18"/>
                <w:szCs w:val="18"/>
              </w:rPr>
            </w:pPr>
            <w:r w:rsidRPr="00C66AD1">
              <w:rPr>
                <w:rFonts w:ascii="Aptos" w:hAnsi="Aptos"/>
                <w:sz w:val="18"/>
                <w:szCs w:val="18"/>
              </w:rPr>
              <w:t>2. atopy.mp. or exp atopy/</w:t>
            </w:r>
          </w:p>
          <w:p w14:paraId="6A08C217" w14:textId="324EBC3D" w:rsidR="00047995" w:rsidRPr="00C66AD1" w:rsidRDefault="00047995" w:rsidP="00047995">
            <w:pPr>
              <w:rPr>
                <w:rFonts w:ascii="Aptos" w:hAnsi="Aptos"/>
                <w:sz w:val="18"/>
                <w:szCs w:val="18"/>
              </w:rPr>
            </w:pPr>
            <w:r w:rsidRPr="00C66AD1">
              <w:rPr>
                <w:rFonts w:ascii="Aptos" w:hAnsi="Aptos"/>
                <w:sz w:val="18"/>
                <w:szCs w:val="18"/>
              </w:rPr>
              <w:t>3. atopia.mp. or exp atopy/</w:t>
            </w:r>
          </w:p>
          <w:p w14:paraId="6D0AD1BB" w14:textId="4ECECB76" w:rsidR="00047995" w:rsidRPr="00C66AD1" w:rsidRDefault="00047995" w:rsidP="00047995">
            <w:pPr>
              <w:rPr>
                <w:rFonts w:ascii="Aptos" w:hAnsi="Aptos"/>
                <w:sz w:val="18"/>
                <w:szCs w:val="18"/>
              </w:rPr>
            </w:pPr>
            <w:r w:rsidRPr="00C66AD1">
              <w:rPr>
                <w:rFonts w:ascii="Aptos" w:hAnsi="Aptos"/>
                <w:sz w:val="18"/>
                <w:szCs w:val="18"/>
              </w:rPr>
              <w:t>4. exp hypersensitivity/ or hypersensitivit*.mp.</w:t>
            </w:r>
          </w:p>
          <w:p w14:paraId="531CE9EB" w14:textId="11E0829E" w:rsidR="00047995" w:rsidRPr="00C66AD1" w:rsidRDefault="00047995" w:rsidP="00047995">
            <w:pPr>
              <w:rPr>
                <w:rFonts w:ascii="Aptos" w:hAnsi="Aptos"/>
                <w:sz w:val="18"/>
                <w:szCs w:val="18"/>
              </w:rPr>
            </w:pPr>
            <w:r w:rsidRPr="00C66AD1">
              <w:rPr>
                <w:rFonts w:ascii="Aptos" w:hAnsi="Aptos"/>
                <w:sz w:val="18"/>
                <w:szCs w:val="18"/>
              </w:rPr>
              <w:t>5. hyperresponsive.mp.</w:t>
            </w:r>
          </w:p>
          <w:p w14:paraId="1746C74C" w14:textId="58E28B48" w:rsidR="00047995" w:rsidRPr="00C66AD1" w:rsidRDefault="00047995" w:rsidP="00047995">
            <w:pPr>
              <w:rPr>
                <w:rFonts w:ascii="Aptos" w:hAnsi="Aptos"/>
                <w:sz w:val="18"/>
                <w:szCs w:val="18"/>
              </w:rPr>
            </w:pPr>
            <w:r w:rsidRPr="00C66AD1">
              <w:rPr>
                <w:rFonts w:ascii="Aptos" w:hAnsi="Aptos"/>
                <w:sz w:val="18"/>
                <w:szCs w:val="18"/>
              </w:rPr>
              <w:t>6. hyperresponsiv*.mp.</w:t>
            </w:r>
          </w:p>
          <w:p w14:paraId="115869CE" w14:textId="4042934B" w:rsidR="00047995" w:rsidRPr="00C66AD1" w:rsidRDefault="00047995" w:rsidP="00047995">
            <w:pPr>
              <w:rPr>
                <w:rFonts w:ascii="Aptos" w:hAnsi="Aptos"/>
                <w:sz w:val="18"/>
                <w:szCs w:val="18"/>
              </w:rPr>
            </w:pPr>
            <w:r w:rsidRPr="00C66AD1">
              <w:rPr>
                <w:rFonts w:ascii="Aptos" w:hAnsi="Aptos"/>
                <w:sz w:val="18"/>
                <w:szCs w:val="18"/>
              </w:rPr>
              <w:t>7. sensitisation.mp. or exp sensitization/</w:t>
            </w:r>
          </w:p>
          <w:p w14:paraId="07DFCA59" w14:textId="5D2225FB" w:rsidR="00047995" w:rsidRPr="00C66AD1" w:rsidRDefault="00047995" w:rsidP="00047995">
            <w:pPr>
              <w:rPr>
                <w:rFonts w:ascii="Aptos" w:hAnsi="Aptos"/>
                <w:sz w:val="18"/>
                <w:szCs w:val="18"/>
              </w:rPr>
            </w:pPr>
            <w:r w:rsidRPr="00C66AD1">
              <w:rPr>
                <w:rFonts w:ascii="Aptos" w:hAnsi="Aptos"/>
                <w:sz w:val="18"/>
                <w:szCs w:val="18"/>
              </w:rPr>
              <w:t>8. sensitisat*.ti.</w:t>
            </w:r>
          </w:p>
          <w:p w14:paraId="2F6268E3" w14:textId="0ECD78BC" w:rsidR="00047995" w:rsidRPr="00C66AD1" w:rsidRDefault="00047995" w:rsidP="00047995">
            <w:pPr>
              <w:rPr>
                <w:rFonts w:ascii="Aptos" w:hAnsi="Aptos"/>
                <w:sz w:val="18"/>
                <w:szCs w:val="18"/>
              </w:rPr>
            </w:pPr>
            <w:r w:rsidRPr="00C66AD1">
              <w:rPr>
                <w:rFonts w:ascii="Aptos" w:hAnsi="Aptos"/>
                <w:sz w:val="18"/>
                <w:szCs w:val="18"/>
              </w:rPr>
              <w:t>9. sensitizat*.ti</w:t>
            </w:r>
            <w:r>
              <w:rPr>
                <w:rFonts w:ascii="Aptos" w:hAnsi="Aptos"/>
                <w:sz w:val="18"/>
                <w:szCs w:val="18"/>
              </w:rPr>
              <w:t>.</w:t>
            </w:r>
          </w:p>
          <w:p w14:paraId="6D5E9AEA" w14:textId="334A619D" w:rsidR="00047995" w:rsidRPr="00C66AD1" w:rsidRDefault="00047995" w:rsidP="00047995">
            <w:pPr>
              <w:rPr>
                <w:rFonts w:ascii="Aptos" w:hAnsi="Aptos"/>
                <w:sz w:val="18"/>
                <w:szCs w:val="18"/>
              </w:rPr>
            </w:pPr>
            <w:r w:rsidRPr="00C66AD1">
              <w:rPr>
                <w:rFonts w:ascii="Aptos" w:hAnsi="Aptos"/>
                <w:sz w:val="18"/>
                <w:szCs w:val="18"/>
              </w:rPr>
              <w:t>10. (skin and prick).mp.</w:t>
            </w:r>
          </w:p>
          <w:p w14:paraId="6169E3AA" w14:textId="6B699961" w:rsidR="00047995" w:rsidRPr="00C66AD1" w:rsidRDefault="00047995" w:rsidP="00047995">
            <w:pPr>
              <w:rPr>
                <w:rFonts w:ascii="Aptos" w:hAnsi="Aptos"/>
                <w:sz w:val="18"/>
                <w:szCs w:val="18"/>
              </w:rPr>
            </w:pPr>
            <w:r w:rsidRPr="00C66AD1">
              <w:rPr>
                <w:rFonts w:ascii="Aptos" w:hAnsi="Aptos"/>
                <w:sz w:val="18"/>
                <w:szCs w:val="18"/>
              </w:rPr>
              <w:t>11. (skin and test).mp</w:t>
            </w:r>
          </w:p>
          <w:p w14:paraId="364FD6E3" w14:textId="0B81FB95" w:rsidR="00047995" w:rsidRPr="00C66AD1" w:rsidRDefault="00047995" w:rsidP="00047995">
            <w:pPr>
              <w:rPr>
                <w:rFonts w:ascii="Aptos" w:hAnsi="Aptos"/>
                <w:sz w:val="18"/>
                <w:szCs w:val="18"/>
              </w:rPr>
            </w:pPr>
            <w:r w:rsidRPr="00C66AD1">
              <w:rPr>
                <w:rFonts w:ascii="Aptos" w:hAnsi="Aptos"/>
                <w:sz w:val="18"/>
                <w:szCs w:val="18"/>
              </w:rPr>
              <w:t xml:space="preserve">12. (patch and test).mp. </w:t>
            </w:r>
          </w:p>
          <w:p w14:paraId="2FF38C0C" w14:textId="1B220B05" w:rsidR="00047995" w:rsidRPr="00C66AD1" w:rsidRDefault="00047995" w:rsidP="00047995">
            <w:pPr>
              <w:rPr>
                <w:rFonts w:ascii="Aptos" w:hAnsi="Aptos"/>
                <w:sz w:val="18"/>
                <w:szCs w:val="18"/>
              </w:rPr>
            </w:pPr>
            <w:r w:rsidRPr="00C66AD1">
              <w:rPr>
                <w:rFonts w:ascii="Aptos" w:hAnsi="Aptos"/>
                <w:sz w:val="18"/>
                <w:szCs w:val="18"/>
              </w:rPr>
              <w:t>13. peanut allergy/ or penicillin allergy/ or latex allergy/ or cross allergy/ or nose allergy/ or allergy rapid test/ or Hymenoptera venom allergy/ or allergy patient/ or IgE mediated food allergy/ or oral allergy syndrome/ or house dust allergy/ or cobalt allergy/ or multiple food allergy/ or nut allergy/ or nickel allergy/ or "nut and peanut allergy"/ or allergy CLIA kit/ or cashew allergy/ or fruit allergy/ or allergy.mp. or red meat allergy/ or milk allergy/ or egg allergy/ or peach allergy/ or respiratory tract allergy/ or eye allergy/ or fragrance allergy/ or mold allergy/ or almond allergy/ or meat allergy/ or fungal allergy/ or exp allergy/ or metal allergy/ or food allergy/ or occupational allergy/ or contact allergy/ or soy allergy/ or wheat allergy/ or allergy test/ or seafood allergy/ or dog allergy/ or walnut allergy/ or fish allergy/ or allergy test kit/ or seed allergy/ or hazelnut allergy/ or crustacean allergy/ or shellfish allergy/ or allergy ELISA/ or animal allergy/ or pollen allergy/ or rice allergy/ or sesame allergy/ or experimental allergy/ or insect allergy/ or apple allergy/ or cat allergy/ or legume allergy/</w:t>
            </w:r>
          </w:p>
          <w:p w14:paraId="2D506A13" w14:textId="1CD6F4F4" w:rsidR="00047995" w:rsidRPr="00C66AD1" w:rsidRDefault="00047995" w:rsidP="00047995">
            <w:pPr>
              <w:rPr>
                <w:rFonts w:ascii="Aptos" w:hAnsi="Aptos"/>
                <w:sz w:val="18"/>
                <w:szCs w:val="18"/>
              </w:rPr>
            </w:pPr>
            <w:r w:rsidRPr="00C66AD1">
              <w:rPr>
                <w:rFonts w:ascii="Aptos" w:hAnsi="Aptos"/>
                <w:sz w:val="18"/>
                <w:szCs w:val="18"/>
              </w:rPr>
              <w:t>14. allergy.mp. or exp allergy/</w:t>
            </w:r>
          </w:p>
          <w:p w14:paraId="010219D9" w14:textId="00CB22AC" w:rsidR="00047995" w:rsidRPr="00C66AD1" w:rsidRDefault="00047995" w:rsidP="00047995">
            <w:pPr>
              <w:rPr>
                <w:rFonts w:ascii="Aptos" w:hAnsi="Aptos"/>
                <w:sz w:val="18"/>
                <w:szCs w:val="18"/>
              </w:rPr>
            </w:pPr>
            <w:r w:rsidRPr="00C66AD1">
              <w:rPr>
                <w:rFonts w:ascii="Aptos" w:hAnsi="Aptos"/>
                <w:sz w:val="18"/>
                <w:szCs w:val="18"/>
              </w:rPr>
              <w:t>15. exp asthma/ or exp allergic asthma/ or asthma.mp.</w:t>
            </w:r>
          </w:p>
          <w:p w14:paraId="48A63D20" w14:textId="29BE0986" w:rsidR="00047995" w:rsidRPr="00C66AD1" w:rsidRDefault="00047995" w:rsidP="00047995">
            <w:pPr>
              <w:rPr>
                <w:rFonts w:ascii="Aptos" w:hAnsi="Aptos"/>
                <w:sz w:val="18"/>
                <w:szCs w:val="18"/>
              </w:rPr>
            </w:pPr>
            <w:r w:rsidRPr="00C66AD1">
              <w:rPr>
                <w:rFonts w:ascii="Aptos" w:hAnsi="Aptos"/>
                <w:sz w:val="18"/>
                <w:szCs w:val="18"/>
              </w:rPr>
              <w:t>16. bronchial.mp.</w:t>
            </w:r>
          </w:p>
          <w:p w14:paraId="2C83BD4F" w14:textId="482650F1" w:rsidR="00047995" w:rsidRPr="00C66AD1" w:rsidRDefault="00047995" w:rsidP="00047995">
            <w:pPr>
              <w:rPr>
                <w:rFonts w:ascii="Aptos" w:hAnsi="Aptos"/>
                <w:sz w:val="18"/>
                <w:szCs w:val="18"/>
              </w:rPr>
            </w:pPr>
            <w:r w:rsidRPr="00C66AD1">
              <w:rPr>
                <w:rFonts w:ascii="Aptos" w:hAnsi="Aptos"/>
                <w:sz w:val="18"/>
                <w:szCs w:val="18"/>
              </w:rPr>
              <w:t>17. eczema.mp. or exp eczema/ or exp occupational eczema/ or exp hand eczema/</w:t>
            </w:r>
          </w:p>
          <w:p w14:paraId="550245FB" w14:textId="477230EB" w:rsidR="00047995" w:rsidRPr="00C66AD1" w:rsidRDefault="00047995" w:rsidP="00047995">
            <w:pPr>
              <w:rPr>
                <w:rFonts w:ascii="Aptos" w:hAnsi="Aptos"/>
                <w:sz w:val="18"/>
                <w:szCs w:val="18"/>
              </w:rPr>
            </w:pPr>
            <w:r w:rsidRPr="00C66AD1">
              <w:rPr>
                <w:rFonts w:ascii="Aptos" w:hAnsi="Aptos"/>
                <w:sz w:val="18"/>
                <w:szCs w:val="18"/>
              </w:rPr>
              <w:t>18. allerg*.mp.</w:t>
            </w:r>
          </w:p>
          <w:p w14:paraId="5343968F" w14:textId="5639FBBA" w:rsidR="00047995" w:rsidRPr="00C66AD1" w:rsidRDefault="00047995" w:rsidP="00047995">
            <w:pPr>
              <w:rPr>
                <w:rFonts w:ascii="Aptos" w:hAnsi="Aptos"/>
                <w:sz w:val="18"/>
                <w:szCs w:val="18"/>
              </w:rPr>
            </w:pPr>
            <w:r w:rsidRPr="00C66AD1">
              <w:rPr>
                <w:rFonts w:ascii="Aptos" w:hAnsi="Aptos"/>
                <w:sz w:val="18"/>
                <w:szCs w:val="18"/>
              </w:rPr>
              <w:t>19. wheez*.mp.</w:t>
            </w:r>
          </w:p>
          <w:p w14:paraId="62F3C6C3" w14:textId="5971FC2C" w:rsidR="00047995" w:rsidRPr="00C66AD1" w:rsidRDefault="00047995" w:rsidP="00047995">
            <w:pPr>
              <w:rPr>
                <w:rFonts w:ascii="Aptos" w:hAnsi="Aptos"/>
                <w:sz w:val="18"/>
                <w:szCs w:val="18"/>
              </w:rPr>
            </w:pPr>
            <w:r w:rsidRPr="00C66AD1">
              <w:rPr>
                <w:rFonts w:ascii="Aptos" w:hAnsi="Aptos"/>
                <w:sz w:val="18"/>
                <w:szCs w:val="18"/>
              </w:rPr>
              <w:t>20. hyper-sensitivit*.mp.</w:t>
            </w:r>
          </w:p>
          <w:p w14:paraId="3D1D0660" w14:textId="7D97A526" w:rsidR="00047995" w:rsidRPr="00C66AD1" w:rsidRDefault="00047995" w:rsidP="00047995">
            <w:pPr>
              <w:rPr>
                <w:rFonts w:ascii="Aptos" w:hAnsi="Aptos"/>
                <w:sz w:val="18"/>
                <w:szCs w:val="18"/>
              </w:rPr>
            </w:pPr>
            <w:r w:rsidRPr="00C66AD1">
              <w:rPr>
                <w:rFonts w:ascii="Aptos" w:hAnsi="Aptos"/>
                <w:sz w:val="18"/>
                <w:szCs w:val="18"/>
              </w:rPr>
              <w:t>21. hyper-responsiven*.mp.</w:t>
            </w:r>
          </w:p>
          <w:p w14:paraId="1D8A5B0E" w14:textId="7D112D68" w:rsidR="00047995" w:rsidRPr="00C66AD1" w:rsidRDefault="00047995" w:rsidP="00047995">
            <w:pPr>
              <w:rPr>
                <w:rFonts w:ascii="Aptos" w:hAnsi="Aptos"/>
                <w:sz w:val="18"/>
                <w:szCs w:val="18"/>
              </w:rPr>
            </w:pPr>
            <w:r w:rsidRPr="00C66AD1">
              <w:rPr>
                <w:rFonts w:ascii="Aptos" w:hAnsi="Aptos"/>
                <w:sz w:val="18"/>
                <w:szCs w:val="18"/>
              </w:rPr>
              <w:t>22. epidermal*.ti,ab.</w:t>
            </w:r>
          </w:p>
          <w:p w14:paraId="5FD3FB2E" w14:textId="0F660944" w:rsidR="00047995" w:rsidRPr="00C66AD1" w:rsidRDefault="00047995" w:rsidP="00047995">
            <w:pPr>
              <w:rPr>
                <w:rFonts w:ascii="Aptos" w:hAnsi="Aptos"/>
                <w:sz w:val="18"/>
                <w:szCs w:val="18"/>
              </w:rPr>
            </w:pPr>
            <w:r w:rsidRPr="00C66AD1">
              <w:rPr>
                <w:rFonts w:ascii="Aptos" w:hAnsi="Aptos"/>
                <w:sz w:val="18"/>
                <w:szCs w:val="18"/>
              </w:rPr>
              <w:t>23. (besnier* and prurigo).mp.</w:t>
            </w:r>
          </w:p>
          <w:p w14:paraId="6257FE68" w14:textId="61EFDCEA" w:rsidR="00047995" w:rsidRPr="00C66AD1" w:rsidRDefault="00047995" w:rsidP="00047995">
            <w:pPr>
              <w:rPr>
                <w:rFonts w:ascii="Aptos" w:hAnsi="Aptos"/>
                <w:sz w:val="18"/>
                <w:szCs w:val="18"/>
              </w:rPr>
            </w:pPr>
            <w:r w:rsidRPr="00C66AD1">
              <w:rPr>
                <w:rFonts w:ascii="Aptos" w:hAnsi="Aptos"/>
                <w:sz w:val="18"/>
                <w:szCs w:val="18"/>
              </w:rPr>
              <w:t>24. rhinitis.mp. or exp rhinitis/ or exp allergic rhinitis/ or exp perennial rhinitis/ or exp chronic rhinitis/</w:t>
            </w:r>
          </w:p>
          <w:p w14:paraId="64C7CECB" w14:textId="551F3E12" w:rsidR="00047995" w:rsidRPr="00C66AD1" w:rsidRDefault="00047995" w:rsidP="00047995">
            <w:pPr>
              <w:rPr>
                <w:rFonts w:ascii="Aptos" w:hAnsi="Aptos"/>
                <w:sz w:val="18"/>
                <w:szCs w:val="18"/>
              </w:rPr>
            </w:pPr>
            <w:r w:rsidRPr="00C66AD1">
              <w:rPr>
                <w:rFonts w:ascii="Aptos" w:hAnsi="Aptos"/>
                <w:sz w:val="18"/>
                <w:szCs w:val="18"/>
              </w:rPr>
              <w:t>25. rhinitides.mp.</w:t>
            </w:r>
          </w:p>
          <w:p w14:paraId="60553AFA" w14:textId="42E79690" w:rsidR="00047995" w:rsidRPr="00C66AD1" w:rsidRDefault="00047995" w:rsidP="00047995">
            <w:pPr>
              <w:rPr>
                <w:rFonts w:ascii="Aptos" w:hAnsi="Aptos"/>
                <w:sz w:val="18"/>
                <w:szCs w:val="18"/>
              </w:rPr>
            </w:pPr>
            <w:r w:rsidRPr="00C66AD1">
              <w:rPr>
                <w:rFonts w:ascii="Aptos" w:hAnsi="Aptos"/>
                <w:sz w:val="18"/>
                <w:szCs w:val="18"/>
              </w:rPr>
              <w:t>26. hayfever.mp. or exp pollen allergy/</w:t>
            </w:r>
          </w:p>
          <w:p w14:paraId="40C484FA" w14:textId="2038651F" w:rsidR="00047995" w:rsidRPr="00C66AD1" w:rsidRDefault="00047995" w:rsidP="00047995">
            <w:pPr>
              <w:rPr>
                <w:rFonts w:ascii="Aptos" w:hAnsi="Aptos"/>
                <w:sz w:val="18"/>
                <w:szCs w:val="18"/>
              </w:rPr>
            </w:pPr>
            <w:r w:rsidRPr="00C66AD1">
              <w:rPr>
                <w:rFonts w:ascii="Aptos" w:hAnsi="Aptos"/>
                <w:sz w:val="18"/>
                <w:szCs w:val="18"/>
              </w:rPr>
              <w:t>27. (hay and fever).mp.</w:t>
            </w:r>
          </w:p>
          <w:p w14:paraId="4E2E43D6" w14:textId="10064AE0" w:rsidR="00047995" w:rsidRPr="00C66AD1" w:rsidRDefault="00047995" w:rsidP="00047995">
            <w:pPr>
              <w:rPr>
                <w:rFonts w:ascii="Aptos" w:hAnsi="Aptos"/>
                <w:sz w:val="18"/>
                <w:szCs w:val="18"/>
              </w:rPr>
            </w:pPr>
            <w:r w:rsidRPr="00C66AD1">
              <w:rPr>
                <w:rFonts w:ascii="Aptos" w:hAnsi="Aptos"/>
                <w:sz w:val="18"/>
                <w:szCs w:val="18"/>
              </w:rPr>
              <w:t>28. rhinoconjunctivitis.mp. or exp rhinoconjunctivitis/</w:t>
            </w:r>
          </w:p>
          <w:p w14:paraId="5FED3A7D" w14:textId="41DF1C65" w:rsidR="00047995" w:rsidRPr="00C66AD1" w:rsidRDefault="00047995" w:rsidP="00047995">
            <w:pPr>
              <w:rPr>
                <w:rFonts w:ascii="Aptos" w:hAnsi="Aptos"/>
                <w:sz w:val="18"/>
                <w:szCs w:val="18"/>
              </w:rPr>
            </w:pPr>
            <w:r w:rsidRPr="00C66AD1">
              <w:rPr>
                <w:rFonts w:ascii="Aptos" w:hAnsi="Aptos"/>
                <w:sz w:val="18"/>
                <w:szCs w:val="18"/>
              </w:rPr>
              <w:t>29. pollinosis.mp.</w:t>
            </w:r>
          </w:p>
          <w:p w14:paraId="2AE9ADC5" w14:textId="2E26F9F5" w:rsidR="00047995" w:rsidRPr="00C66AD1" w:rsidRDefault="00047995" w:rsidP="00047995">
            <w:pPr>
              <w:rPr>
                <w:rFonts w:ascii="Aptos" w:hAnsi="Aptos"/>
                <w:sz w:val="18"/>
                <w:szCs w:val="18"/>
              </w:rPr>
            </w:pPr>
            <w:r w:rsidRPr="00C66AD1">
              <w:rPr>
                <w:rFonts w:ascii="Aptos" w:hAnsi="Aptos"/>
                <w:sz w:val="18"/>
                <w:szCs w:val="18"/>
              </w:rPr>
              <w:t>30. pollen antigen/ or grass pollen/ or pollen/ or pollen.mp.</w:t>
            </w:r>
          </w:p>
          <w:p w14:paraId="61BC28AB" w14:textId="78A560BB" w:rsidR="00047995" w:rsidRPr="00C66AD1" w:rsidRDefault="00047995" w:rsidP="00047995">
            <w:pPr>
              <w:rPr>
                <w:rFonts w:ascii="Aptos" w:hAnsi="Aptos"/>
                <w:sz w:val="18"/>
                <w:szCs w:val="18"/>
              </w:rPr>
            </w:pPr>
            <w:r w:rsidRPr="00C66AD1">
              <w:rPr>
                <w:rFonts w:ascii="Aptos" w:hAnsi="Aptos"/>
                <w:sz w:val="18"/>
                <w:szCs w:val="18"/>
              </w:rPr>
              <w:t xml:space="preserve">31. (nasal and obstruction).mp. </w:t>
            </w:r>
          </w:p>
          <w:p w14:paraId="0A711A9D" w14:textId="1D0C6757" w:rsidR="00047995" w:rsidRPr="00C66AD1" w:rsidRDefault="00047995" w:rsidP="00047995">
            <w:pPr>
              <w:rPr>
                <w:rFonts w:ascii="Aptos" w:hAnsi="Aptos"/>
                <w:sz w:val="18"/>
                <w:szCs w:val="18"/>
              </w:rPr>
            </w:pPr>
            <w:r w:rsidRPr="00C66AD1">
              <w:rPr>
                <w:rFonts w:ascii="Aptos" w:hAnsi="Aptos"/>
                <w:sz w:val="18"/>
                <w:szCs w:val="18"/>
              </w:rPr>
              <w:lastRenderedPageBreak/>
              <w:t>32. exp radioallergosorbent test/ or radioallergosorbent.mp. or exp immunoglobulin E/ or exp allergen/</w:t>
            </w:r>
          </w:p>
          <w:p w14:paraId="3016C17E" w14:textId="54C7D1C3" w:rsidR="00047995" w:rsidRPr="00C66AD1" w:rsidRDefault="00047995" w:rsidP="00047995">
            <w:pPr>
              <w:rPr>
                <w:rFonts w:ascii="Aptos" w:hAnsi="Aptos"/>
                <w:sz w:val="18"/>
                <w:szCs w:val="18"/>
              </w:rPr>
            </w:pPr>
            <w:r w:rsidRPr="00C66AD1">
              <w:rPr>
                <w:rFonts w:ascii="Aptos" w:hAnsi="Aptos"/>
                <w:sz w:val="18"/>
                <w:szCs w:val="18"/>
              </w:rPr>
              <w:t>33. RAST.mp.</w:t>
            </w:r>
          </w:p>
          <w:p w14:paraId="7409CB0C" w14:textId="17395C78" w:rsidR="00047995" w:rsidRPr="00C66AD1" w:rsidRDefault="00047995" w:rsidP="00047995">
            <w:pPr>
              <w:rPr>
                <w:rFonts w:ascii="Aptos" w:hAnsi="Aptos"/>
                <w:sz w:val="18"/>
                <w:szCs w:val="18"/>
              </w:rPr>
            </w:pPr>
            <w:r w:rsidRPr="00C66AD1">
              <w:rPr>
                <w:rFonts w:ascii="Aptos" w:hAnsi="Aptos"/>
                <w:sz w:val="18"/>
                <w:szCs w:val="18"/>
              </w:rPr>
              <w:t>34. IgE.mp.</w:t>
            </w:r>
          </w:p>
          <w:p w14:paraId="36BF881E" w14:textId="61A2BBC6" w:rsidR="00047995" w:rsidRPr="00C66AD1" w:rsidRDefault="00047995" w:rsidP="00047995">
            <w:pPr>
              <w:rPr>
                <w:rFonts w:ascii="Aptos" w:hAnsi="Aptos"/>
                <w:sz w:val="18"/>
                <w:szCs w:val="18"/>
              </w:rPr>
            </w:pPr>
            <w:r w:rsidRPr="00C66AD1">
              <w:rPr>
                <w:rFonts w:ascii="Aptos" w:hAnsi="Aptos"/>
                <w:sz w:val="18"/>
                <w:szCs w:val="18"/>
              </w:rPr>
              <w:t>35. intradermal.mp.</w:t>
            </w:r>
          </w:p>
          <w:p w14:paraId="6CD5AB01" w14:textId="4AAE949F" w:rsidR="00047995" w:rsidRPr="00C66AD1" w:rsidRDefault="00047995" w:rsidP="00047995">
            <w:pPr>
              <w:rPr>
                <w:rFonts w:ascii="Aptos" w:hAnsi="Aptos"/>
                <w:sz w:val="18"/>
                <w:szCs w:val="18"/>
              </w:rPr>
            </w:pPr>
            <w:r w:rsidRPr="00C66AD1">
              <w:rPr>
                <w:rFonts w:ascii="Aptos" w:hAnsi="Aptos"/>
                <w:sz w:val="18"/>
                <w:szCs w:val="18"/>
              </w:rPr>
              <w:t>36. exp skin anaphylaxis/ or exp anaphylaxis/ or anaphylaxis.mp. or exp food induced anaphylaxis/ or exp systemic anaphylaxis/</w:t>
            </w:r>
          </w:p>
          <w:p w14:paraId="5C0E49D6" w14:textId="5ED90C54" w:rsidR="00047995" w:rsidRPr="00C66AD1" w:rsidRDefault="00047995" w:rsidP="00047995">
            <w:pPr>
              <w:rPr>
                <w:rFonts w:ascii="Aptos" w:hAnsi="Aptos"/>
                <w:sz w:val="18"/>
                <w:szCs w:val="18"/>
              </w:rPr>
            </w:pPr>
            <w:r w:rsidRPr="00C66AD1">
              <w:rPr>
                <w:rFonts w:ascii="Aptos" w:hAnsi="Aptos"/>
                <w:sz w:val="18"/>
                <w:szCs w:val="18"/>
              </w:rPr>
              <w:t>37. anaphylactic.mp. or exp anaphylactic shock/</w:t>
            </w:r>
          </w:p>
          <w:p w14:paraId="2B3375FA" w14:textId="55D90AAA" w:rsidR="00047995" w:rsidRPr="00C66AD1" w:rsidRDefault="00047995" w:rsidP="00047995">
            <w:pPr>
              <w:rPr>
                <w:rFonts w:ascii="Aptos" w:hAnsi="Aptos"/>
                <w:sz w:val="18"/>
                <w:szCs w:val="18"/>
              </w:rPr>
            </w:pPr>
            <w:r w:rsidRPr="00C66AD1">
              <w:rPr>
                <w:rFonts w:ascii="Aptos" w:hAnsi="Aptos"/>
                <w:sz w:val="18"/>
                <w:szCs w:val="18"/>
              </w:rPr>
              <w:t>38. anaphylactoid.mp. or exp anaphylactoid purpura/</w:t>
            </w:r>
          </w:p>
          <w:p w14:paraId="7041CC7D" w14:textId="64C3B66D" w:rsidR="00047995" w:rsidRPr="00C66AD1" w:rsidRDefault="00047995" w:rsidP="00047995">
            <w:pPr>
              <w:rPr>
                <w:rFonts w:ascii="Aptos" w:hAnsi="Aptos"/>
                <w:sz w:val="18"/>
                <w:szCs w:val="18"/>
              </w:rPr>
            </w:pPr>
            <w:r w:rsidRPr="00C66AD1">
              <w:rPr>
                <w:rFonts w:ascii="Aptos" w:hAnsi="Aptos"/>
                <w:sz w:val="18"/>
                <w:szCs w:val="18"/>
              </w:rPr>
              <w:t>39. endotoxic shock/ or exp shock/ or vasodilatory shock/ or shock.mp.</w:t>
            </w:r>
          </w:p>
          <w:p w14:paraId="274EBAFE" w14:textId="3DC9C12D" w:rsidR="00047995" w:rsidRPr="00C66AD1" w:rsidRDefault="00047995" w:rsidP="00047995">
            <w:pPr>
              <w:rPr>
                <w:rFonts w:ascii="Aptos" w:hAnsi="Aptos"/>
                <w:sz w:val="18"/>
                <w:szCs w:val="18"/>
              </w:rPr>
            </w:pPr>
            <w:r w:rsidRPr="00C66AD1">
              <w:rPr>
                <w:rFonts w:ascii="Aptos" w:hAnsi="Aptos"/>
                <w:sz w:val="18"/>
                <w:szCs w:val="18"/>
              </w:rPr>
              <w:t>40. clinical skin reaction/ or reaction.mp. or local skin reaction/</w:t>
            </w:r>
          </w:p>
          <w:p w14:paraId="12686530" w14:textId="53B49A56" w:rsidR="00047995" w:rsidRPr="00C66AD1" w:rsidRDefault="00047995" w:rsidP="00047995">
            <w:pPr>
              <w:rPr>
                <w:rFonts w:ascii="Aptos" w:hAnsi="Aptos"/>
                <w:sz w:val="18"/>
                <w:szCs w:val="18"/>
              </w:rPr>
            </w:pPr>
            <w:r w:rsidRPr="00C66AD1">
              <w:rPr>
                <w:rFonts w:ascii="Aptos" w:hAnsi="Aptos"/>
                <w:sz w:val="18"/>
                <w:szCs w:val="18"/>
              </w:rPr>
              <w:t>41. hives.mp. or exp urticaria/</w:t>
            </w:r>
          </w:p>
          <w:p w14:paraId="49FE9DC8" w14:textId="472E4BE6" w:rsidR="00047995" w:rsidRPr="00C66AD1" w:rsidRDefault="00047995" w:rsidP="00047995">
            <w:pPr>
              <w:rPr>
                <w:rFonts w:ascii="Aptos" w:hAnsi="Aptos"/>
                <w:sz w:val="18"/>
                <w:szCs w:val="18"/>
              </w:rPr>
            </w:pPr>
            <w:r w:rsidRPr="00C66AD1">
              <w:rPr>
                <w:rFonts w:ascii="Aptos" w:hAnsi="Aptos"/>
                <w:sz w:val="18"/>
                <w:szCs w:val="18"/>
              </w:rPr>
              <w:t>42. weals.mp.</w:t>
            </w:r>
          </w:p>
          <w:p w14:paraId="47F7D61A" w14:textId="1D690411" w:rsidR="00047995" w:rsidRPr="00C66AD1" w:rsidRDefault="00047995" w:rsidP="00047995">
            <w:pPr>
              <w:rPr>
                <w:rFonts w:ascii="Aptos" w:hAnsi="Aptos"/>
                <w:sz w:val="18"/>
                <w:szCs w:val="18"/>
              </w:rPr>
            </w:pPr>
            <w:r w:rsidRPr="00C66AD1">
              <w:rPr>
                <w:rFonts w:ascii="Aptos" w:hAnsi="Aptos"/>
                <w:sz w:val="18"/>
                <w:szCs w:val="18"/>
              </w:rPr>
              <w:t>43. welts.mp.</w:t>
            </w:r>
          </w:p>
          <w:p w14:paraId="09DD7220" w14:textId="3BC1637C" w:rsidR="00047995" w:rsidRDefault="00047995" w:rsidP="00047995">
            <w:pPr>
              <w:rPr>
                <w:rFonts w:ascii="Aptos" w:hAnsi="Aptos"/>
                <w:sz w:val="18"/>
                <w:szCs w:val="18"/>
              </w:rPr>
            </w:pPr>
            <w:r w:rsidRPr="00C66AD1">
              <w:rPr>
                <w:rFonts w:ascii="Aptos" w:hAnsi="Aptos"/>
                <w:sz w:val="18"/>
                <w:szCs w:val="18"/>
              </w:rPr>
              <w:t>44. exp rash/ or rash.mp. or exp allergic rash/ or exp urticarial rash/ or exp nevirapine-induced skin rash/</w:t>
            </w:r>
          </w:p>
          <w:p w14:paraId="0F6FDE77" w14:textId="37BFEE84" w:rsidR="00047995" w:rsidRPr="00C66AD1" w:rsidRDefault="00047995" w:rsidP="00047995">
            <w:pPr>
              <w:rPr>
                <w:rFonts w:ascii="Aptos" w:hAnsi="Aptos"/>
                <w:sz w:val="18"/>
                <w:szCs w:val="18"/>
              </w:rPr>
            </w:pPr>
            <w:r w:rsidRPr="00C66AD1">
              <w:rPr>
                <w:rFonts w:ascii="Aptos" w:hAnsi="Aptos"/>
                <w:sz w:val="18"/>
                <w:szCs w:val="18"/>
              </w:rPr>
              <w:t>45. pruritis.mp. or exp pruritus/</w:t>
            </w:r>
          </w:p>
          <w:p w14:paraId="51B62E7B" w14:textId="09606895" w:rsidR="00047995" w:rsidRPr="00C66AD1" w:rsidRDefault="00047995" w:rsidP="00047995">
            <w:pPr>
              <w:rPr>
                <w:rFonts w:ascii="Aptos" w:hAnsi="Aptos"/>
                <w:sz w:val="18"/>
                <w:szCs w:val="18"/>
              </w:rPr>
            </w:pPr>
            <w:r w:rsidRPr="00C66AD1">
              <w:rPr>
                <w:rFonts w:ascii="Aptos" w:hAnsi="Aptos"/>
                <w:sz w:val="18"/>
                <w:szCs w:val="18"/>
              </w:rPr>
              <w:t>46. itch.mp.</w:t>
            </w:r>
          </w:p>
          <w:p w14:paraId="552207D0" w14:textId="1A6662B3" w:rsidR="00047995" w:rsidRPr="00C66AD1" w:rsidRDefault="00047995" w:rsidP="00047995">
            <w:pPr>
              <w:rPr>
                <w:rFonts w:ascii="Aptos" w:hAnsi="Aptos"/>
                <w:sz w:val="18"/>
                <w:szCs w:val="18"/>
              </w:rPr>
            </w:pPr>
            <w:r w:rsidRPr="00C66AD1">
              <w:rPr>
                <w:rFonts w:ascii="Aptos" w:hAnsi="Aptos"/>
                <w:sz w:val="18"/>
                <w:szCs w:val="18"/>
              </w:rPr>
              <w:t>47. itch*.mp.</w:t>
            </w:r>
          </w:p>
          <w:p w14:paraId="15929C51" w14:textId="6B8FE794" w:rsidR="00047995" w:rsidRPr="00C66AD1" w:rsidRDefault="00047995" w:rsidP="00047995">
            <w:pPr>
              <w:rPr>
                <w:rFonts w:ascii="Aptos" w:hAnsi="Aptos"/>
                <w:sz w:val="18"/>
                <w:szCs w:val="18"/>
              </w:rPr>
            </w:pPr>
            <w:r w:rsidRPr="00C66AD1">
              <w:rPr>
                <w:rFonts w:ascii="Aptos" w:hAnsi="Aptos"/>
                <w:sz w:val="18"/>
                <w:szCs w:val="18"/>
              </w:rPr>
              <w:t>48. (dust and mite).mp.</w:t>
            </w:r>
          </w:p>
          <w:p w14:paraId="34839C87" w14:textId="4CEA0E77" w:rsidR="00047995" w:rsidRPr="00C66AD1" w:rsidRDefault="00047995" w:rsidP="00047995">
            <w:pPr>
              <w:rPr>
                <w:rFonts w:ascii="Aptos" w:hAnsi="Aptos"/>
                <w:sz w:val="18"/>
                <w:szCs w:val="18"/>
              </w:rPr>
            </w:pPr>
            <w:r w:rsidRPr="00C66AD1">
              <w:rPr>
                <w:rFonts w:ascii="Aptos" w:hAnsi="Aptos"/>
                <w:sz w:val="18"/>
                <w:szCs w:val="18"/>
              </w:rPr>
              <w:t>49. (immun* and dysregulation).mp.</w:t>
            </w:r>
          </w:p>
          <w:p w14:paraId="3818BD5C" w14:textId="469608FF" w:rsidR="00047995" w:rsidRPr="00C66AD1" w:rsidRDefault="00047995" w:rsidP="00047995">
            <w:pPr>
              <w:rPr>
                <w:rFonts w:ascii="Aptos" w:hAnsi="Aptos"/>
                <w:sz w:val="18"/>
                <w:szCs w:val="18"/>
              </w:rPr>
            </w:pPr>
            <w:r w:rsidRPr="00C66AD1">
              <w:rPr>
                <w:rFonts w:ascii="Aptos" w:hAnsi="Aptos"/>
                <w:sz w:val="18"/>
                <w:szCs w:val="18"/>
              </w:rPr>
              <w:t>50. immunogenicity.mp. or exp immunogenicity/</w:t>
            </w:r>
          </w:p>
          <w:p w14:paraId="282555DA" w14:textId="6F82E2A5" w:rsidR="00047995" w:rsidRPr="00C66AD1" w:rsidRDefault="00047995" w:rsidP="00047995">
            <w:pPr>
              <w:rPr>
                <w:rFonts w:ascii="Aptos" w:hAnsi="Aptos"/>
                <w:sz w:val="18"/>
                <w:szCs w:val="18"/>
              </w:rPr>
            </w:pPr>
            <w:r w:rsidRPr="00C66AD1">
              <w:rPr>
                <w:rFonts w:ascii="Aptos" w:hAnsi="Aptos"/>
                <w:sz w:val="18"/>
                <w:szCs w:val="18"/>
              </w:rPr>
              <w:t>51. intolerance.mp.</w:t>
            </w:r>
          </w:p>
          <w:p w14:paraId="3B5B6775" w14:textId="06D20AE5" w:rsidR="00047995" w:rsidRPr="00C66AD1" w:rsidRDefault="00047995" w:rsidP="00047995">
            <w:pPr>
              <w:rPr>
                <w:rFonts w:ascii="Aptos" w:hAnsi="Aptos"/>
                <w:sz w:val="18"/>
                <w:szCs w:val="18"/>
              </w:rPr>
            </w:pPr>
            <w:r w:rsidRPr="00C66AD1">
              <w:rPr>
                <w:rFonts w:ascii="Aptos" w:hAnsi="Aptos"/>
                <w:sz w:val="18"/>
                <w:szCs w:val="18"/>
              </w:rPr>
              <w:t>52. tolerance.mp. or exp immunological tolerance/</w:t>
            </w:r>
          </w:p>
          <w:p w14:paraId="3C9CD67C" w14:textId="4A1E766C" w:rsidR="00047995" w:rsidRPr="00C66AD1" w:rsidRDefault="00047995" w:rsidP="00047995">
            <w:pPr>
              <w:rPr>
                <w:rFonts w:ascii="Aptos" w:hAnsi="Aptos"/>
                <w:sz w:val="18"/>
                <w:szCs w:val="18"/>
              </w:rPr>
            </w:pPr>
            <w:r w:rsidRPr="00C66AD1">
              <w:rPr>
                <w:rFonts w:ascii="Aptos" w:hAnsi="Aptos"/>
                <w:sz w:val="18"/>
                <w:szCs w:val="18"/>
              </w:rPr>
              <w:t>53. angioedema.mp. or angioneurotic edema/</w:t>
            </w:r>
          </w:p>
          <w:p w14:paraId="67DD2ADC" w14:textId="556FD970" w:rsidR="00047995" w:rsidRPr="00C66AD1" w:rsidRDefault="00047995" w:rsidP="00047995">
            <w:pPr>
              <w:rPr>
                <w:rFonts w:ascii="Aptos" w:hAnsi="Aptos"/>
                <w:sz w:val="18"/>
                <w:szCs w:val="18"/>
              </w:rPr>
            </w:pPr>
            <w:r w:rsidRPr="00C66AD1">
              <w:rPr>
                <w:rFonts w:ascii="Aptos" w:hAnsi="Aptos"/>
                <w:sz w:val="18"/>
                <w:szCs w:val="18"/>
              </w:rPr>
              <w:t>54. exp zinc/ or zinc.mp.</w:t>
            </w:r>
          </w:p>
          <w:p w14:paraId="2AC235A1" w14:textId="5EA544FA" w:rsidR="00047995" w:rsidRPr="00C66AD1" w:rsidRDefault="00047995" w:rsidP="00047995">
            <w:pPr>
              <w:rPr>
                <w:rFonts w:ascii="Aptos" w:hAnsi="Aptos"/>
                <w:sz w:val="18"/>
                <w:szCs w:val="18"/>
              </w:rPr>
            </w:pPr>
            <w:r w:rsidRPr="00C66AD1">
              <w:rPr>
                <w:rFonts w:ascii="Aptos" w:hAnsi="Aptos"/>
                <w:sz w:val="18"/>
                <w:szCs w:val="18"/>
              </w:rPr>
              <w:t>55. systematic*.ti.</w:t>
            </w:r>
          </w:p>
          <w:p w14:paraId="7790370E" w14:textId="1AE204DF" w:rsidR="00047995" w:rsidRPr="00C66AD1" w:rsidRDefault="00047995" w:rsidP="00047995">
            <w:pPr>
              <w:rPr>
                <w:rFonts w:ascii="Aptos" w:hAnsi="Aptos"/>
                <w:sz w:val="18"/>
                <w:szCs w:val="18"/>
              </w:rPr>
            </w:pPr>
            <w:r w:rsidRPr="00C66AD1">
              <w:rPr>
                <w:rFonts w:ascii="Aptos" w:hAnsi="Aptos"/>
                <w:sz w:val="18"/>
                <w:szCs w:val="18"/>
              </w:rPr>
              <w:t>56. (systematic adj (review$1 or overview$1)).tw.</w:t>
            </w:r>
          </w:p>
          <w:p w14:paraId="729CFE8E" w14:textId="3D433094" w:rsidR="00047995" w:rsidRPr="00C66AD1" w:rsidRDefault="00047995" w:rsidP="00047995">
            <w:pPr>
              <w:rPr>
                <w:rFonts w:ascii="Aptos" w:hAnsi="Aptos"/>
                <w:sz w:val="18"/>
                <w:szCs w:val="18"/>
              </w:rPr>
            </w:pPr>
            <w:r w:rsidRPr="00C66AD1">
              <w:rPr>
                <w:rFonts w:ascii="Aptos" w:hAnsi="Aptos"/>
                <w:sz w:val="18"/>
                <w:szCs w:val="18"/>
              </w:rPr>
              <w:t>57. (living and review).ti.</w:t>
            </w:r>
          </w:p>
          <w:p w14:paraId="0BDE9223" w14:textId="6E6A1979" w:rsidR="00047995" w:rsidRPr="00C66AD1" w:rsidRDefault="00047995" w:rsidP="00047995">
            <w:pPr>
              <w:rPr>
                <w:rFonts w:ascii="Aptos" w:hAnsi="Aptos"/>
                <w:sz w:val="18"/>
                <w:szCs w:val="18"/>
              </w:rPr>
            </w:pPr>
            <w:r w:rsidRPr="00C66AD1">
              <w:rPr>
                <w:rFonts w:ascii="Aptos" w:hAnsi="Aptos"/>
                <w:sz w:val="18"/>
                <w:szCs w:val="18"/>
              </w:rPr>
              <w:t>58. exp meta analysis</w:t>
            </w:r>
          </w:p>
          <w:p w14:paraId="749908A0" w14:textId="4904249F" w:rsidR="00047995" w:rsidRPr="00C66AD1" w:rsidRDefault="00047995" w:rsidP="00047995">
            <w:pPr>
              <w:rPr>
                <w:rFonts w:ascii="Aptos" w:hAnsi="Aptos"/>
                <w:sz w:val="18"/>
                <w:szCs w:val="18"/>
              </w:rPr>
            </w:pPr>
            <w:r w:rsidRPr="00C66AD1">
              <w:rPr>
                <w:rFonts w:ascii="Aptos" w:hAnsi="Aptos"/>
                <w:sz w:val="18"/>
                <w:szCs w:val="18"/>
              </w:rPr>
              <w:t>59. systematic review.mp. or exp "systematic review"</w:t>
            </w:r>
          </w:p>
          <w:p w14:paraId="2DECE002" w14:textId="1FDFD89A" w:rsidR="00047995" w:rsidRPr="00C66AD1" w:rsidRDefault="00047995" w:rsidP="00047995">
            <w:pPr>
              <w:rPr>
                <w:rFonts w:ascii="Aptos" w:hAnsi="Aptos"/>
                <w:sz w:val="18"/>
                <w:szCs w:val="18"/>
              </w:rPr>
            </w:pPr>
            <w:r w:rsidRPr="00C66AD1">
              <w:rPr>
                <w:rFonts w:ascii="Aptos" w:hAnsi="Aptos"/>
                <w:sz w:val="18"/>
                <w:szCs w:val="18"/>
              </w:rPr>
              <w:t>60. (overview adj (review or systematic)).mp.</w:t>
            </w:r>
          </w:p>
          <w:p w14:paraId="735A6632" w14:textId="0FE6ADED" w:rsidR="00047995" w:rsidRPr="00C66AD1" w:rsidRDefault="00047995" w:rsidP="00047995">
            <w:pPr>
              <w:rPr>
                <w:rFonts w:ascii="Aptos" w:hAnsi="Aptos"/>
                <w:sz w:val="18"/>
                <w:szCs w:val="18"/>
              </w:rPr>
            </w:pPr>
            <w:r w:rsidRPr="00C66AD1">
              <w:rPr>
                <w:rFonts w:ascii="Aptos" w:hAnsi="Aptos"/>
                <w:sz w:val="18"/>
                <w:szCs w:val="18"/>
              </w:rPr>
              <w:t>61. meta analy$.ti.</w:t>
            </w:r>
          </w:p>
          <w:p w14:paraId="6E0F7237" w14:textId="23A548E4" w:rsidR="00047995" w:rsidRPr="00C66AD1" w:rsidRDefault="00047995" w:rsidP="00047995">
            <w:pPr>
              <w:rPr>
                <w:rFonts w:ascii="Aptos" w:hAnsi="Aptos"/>
                <w:sz w:val="18"/>
                <w:szCs w:val="18"/>
              </w:rPr>
            </w:pPr>
            <w:r w:rsidRPr="00C66AD1">
              <w:rPr>
                <w:rFonts w:ascii="Aptos" w:hAnsi="Aptos"/>
                <w:sz w:val="18"/>
                <w:szCs w:val="18"/>
              </w:rPr>
              <w:t>62. metaanaly$.ti.</w:t>
            </w:r>
          </w:p>
          <w:p w14:paraId="619D911A" w14:textId="373A5A51" w:rsidR="00047995" w:rsidRPr="00C66AD1" w:rsidRDefault="00047995" w:rsidP="00047995">
            <w:pPr>
              <w:rPr>
                <w:rFonts w:ascii="Aptos" w:hAnsi="Aptos"/>
                <w:sz w:val="18"/>
                <w:szCs w:val="18"/>
              </w:rPr>
            </w:pPr>
            <w:r w:rsidRPr="00C66AD1">
              <w:rPr>
                <w:rFonts w:ascii="Aptos" w:hAnsi="Aptos"/>
                <w:sz w:val="18"/>
                <w:szCs w:val="18"/>
              </w:rPr>
              <w:t>63. review of review*.mp.</w:t>
            </w:r>
          </w:p>
          <w:p w14:paraId="74D48CA7" w14:textId="6B3C15E7" w:rsidR="00047995" w:rsidRPr="00C66AD1" w:rsidRDefault="00047995" w:rsidP="00047995">
            <w:pPr>
              <w:rPr>
                <w:rFonts w:ascii="Aptos" w:hAnsi="Aptos"/>
                <w:sz w:val="18"/>
                <w:szCs w:val="18"/>
              </w:rPr>
            </w:pPr>
            <w:r w:rsidRPr="00C66AD1">
              <w:rPr>
                <w:rFonts w:ascii="Aptos" w:hAnsi="Aptos"/>
                <w:sz w:val="18"/>
                <w:szCs w:val="18"/>
              </w:rPr>
              <w:t>64. (overview and (review* or systematic)).mp.</w:t>
            </w:r>
          </w:p>
          <w:p w14:paraId="1924C653" w14:textId="31BFC8DD" w:rsidR="00047995" w:rsidRPr="00C66AD1" w:rsidRDefault="00047995" w:rsidP="00047995">
            <w:pPr>
              <w:rPr>
                <w:rFonts w:ascii="Aptos" w:hAnsi="Aptos"/>
                <w:sz w:val="18"/>
                <w:szCs w:val="18"/>
              </w:rPr>
            </w:pPr>
            <w:r w:rsidRPr="00C66AD1">
              <w:rPr>
                <w:rFonts w:ascii="Aptos" w:hAnsi="Aptos"/>
                <w:sz w:val="18"/>
                <w:szCs w:val="18"/>
              </w:rPr>
              <w:t>65. (rapid and review).ti.</w:t>
            </w:r>
          </w:p>
          <w:p w14:paraId="32D9281C" w14:textId="58E7F5C2" w:rsidR="00047995" w:rsidRPr="00C66AD1" w:rsidRDefault="00047995" w:rsidP="00047995">
            <w:pPr>
              <w:rPr>
                <w:rFonts w:ascii="Aptos" w:hAnsi="Aptos"/>
                <w:sz w:val="18"/>
                <w:szCs w:val="18"/>
              </w:rPr>
            </w:pPr>
            <w:r w:rsidRPr="00C66AD1">
              <w:rPr>
                <w:rFonts w:ascii="Aptos" w:hAnsi="Aptos"/>
                <w:sz w:val="18"/>
                <w:szCs w:val="18"/>
              </w:rPr>
              <w:t>66. ((meta adj analy$) or metaanalys$).tw.</w:t>
            </w:r>
          </w:p>
          <w:p w14:paraId="4FE4785D" w14:textId="55B1D8C7" w:rsidR="00047995" w:rsidRPr="00C66AD1" w:rsidRDefault="00047995" w:rsidP="00047995">
            <w:pPr>
              <w:rPr>
                <w:rFonts w:ascii="Aptos" w:hAnsi="Aptos"/>
                <w:sz w:val="18"/>
                <w:szCs w:val="18"/>
              </w:rPr>
            </w:pPr>
            <w:r w:rsidRPr="00C66AD1">
              <w:rPr>
                <w:rFonts w:ascii="Aptos" w:hAnsi="Aptos"/>
                <w:sz w:val="18"/>
                <w:szCs w:val="18"/>
              </w:rPr>
              <w:t>67. 1 or 2 or 3 or 4 or 5 or 6 or 7 or 8 or 9 or 10 or 11 or 12 or 13 or 14 or 15 or 16 or 17 or 18 or 19 or 20 or 21 or 22 or 23 or 24 or 25 or 26 or 27 or 28 or 29 or 30 or 31 or 32 or 33 or 34 or 35 or 36 or 37 or 38 or 39 or 40 or 41 or 42 or 43 or 44 or 45 or 46 or 47 or 48 or 49 or 50 or 51 or 52 or 53</w:t>
            </w:r>
          </w:p>
          <w:p w14:paraId="0AEA587D" w14:textId="3AD951C9" w:rsidR="00047995" w:rsidRPr="00C66AD1" w:rsidRDefault="00047995" w:rsidP="00047995">
            <w:pPr>
              <w:rPr>
                <w:rFonts w:ascii="Aptos" w:hAnsi="Aptos"/>
                <w:sz w:val="18"/>
                <w:szCs w:val="18"/>
              </w:rPr>
            </w:pPr>
            <w:r w:rsidRPr="00C66AD1">
              <w:rPr>
                <w:rFonts w:ascii="Aptos" w:hAnsi="Aptos"/>
                <w:sz w:val="18"/>
                <w:szCs w:val="18"/>
              </w:rPr>
              <w:t>68. 55 or 56 or 57 or 58 or 59 or 60 or 61 or 62 or 63 or 64 or 65 or 66</w:t>
            </w:r>
          </w:p>
          <w:p w14:paraId="5B515893" w14:textId="6457EBF8" w:rsidR="00047995" w:rsidRPr="00C66AD1" w:rsidRDefault="00047995" w:rsidP="00047995">
            <w:pPr>
              <w:rPr>
                <w:rFonts w:ascii="Aptos" w:hAnsi="Aptos"/>
                <w:sz w:val="18"/>
                <w:szCs w:val="18"/>
              </w:rPr>
            </w:pPr>
            <w:r w:rsidRPr="00C66AD1">
              <w:rPr>
                <w:rFonts w:ascii="Aptos" w:hAnsi="Aptos"/>
                <w:sz w:val="18"/>
                <w:szCs w:val="18"/>
              </w:rPr>
              <w:t>69. 54 and 67 and 68</w:t>
            </w:r>
          </w:p>
          <w:p w14:paraId="5ABFDCD6" w14:textId="51C2ED4B" w:rsidR="00047995" w:rsidRPr="00C66AD1" w:rsidRDefault="00047995" w:rsidP="00047995">
            <w:pPr>
              <w:rPr>
                <w:rFonts w:ascii="Aptos" w:hAnsi="Aptos"/>
                <w:sz w:val="18"/>
                <w:szCs w:val="18"/>
              </w:rPr>
            </w:pPr>
            <w:r w:rsidRPr="00C66AD1">
              <w:rPr>
                <w:rFonts w:ascii="Aptos" w:hAnsi="Aptos"/>
                <w:sz w:val="18"/>
                <w:szCs w:val="18"/>
              </w:rPr>
              <w:t>70. limit 69 to human</w:t>
            </w:r>
          </w:p>
        </w:tc>
      </w:tr>
      <w:tr w:rsidR="00047995" w:rsidRPr="00C66AD1" w14:paraId="3DD226EA" w14:textId="77777777" w:rsidTr="00047995">
        <w:tc>
          <w:tcPr>
            <w:tcW w:w="2331" w:type="dxa"/>
            <w:vMerge/>
          </w:tcPr>
          <w:p w14:paraId="324EBF4E"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120DF38C"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3C44FE07" w14:textId="77777777" w:rsidR="00047995" w:rsidRPr="00C66AD1" w:rsidRDefault="00047995" w:rsidP="00047995">
            <w:pPr>
              <w:rPr>
                <w:rFonts w:ascii="Aptos" w:hAnsi="Aptos"/>
                <w:sz w:val="18"/>
                <w:szCs w:val="18"/>
              </w:rPr>
            </w:pPr>
            <w:r w:rsidRPr="00C66AD1">
              <w:rPr>
                <w:rFonts w:ascii="Aptos" w:hAnsi="Aptos"/>
                <w:sz w:val="18"/>
                <w:szCs w:val="18"/>
              </w:rPr>
              <w:t>((MeSH DESCRIPTOR Skin Diseases, Eczematous EXPLODE ALL TREES) OR (MeSH DESCRIPTOR Hypersensitivity EXPLODE ALL TREES) OR (MeSH DESCRIPTOR Anti-Allergic Agents) OR (MeSH DESCRIPTOR Asthma EXPLODE ALL TREES) OR (MeSH DESCRIPTOR Bronchial Hyperreactivity) OR (MeSH DESCRIPTOR Radioallergosorbent Test EXPLODE ALL TREES) OR (MeSH DESCRIPTOR Immunoglobulin E EXPLODE ALL TREES) OR (MeSH DESCRIPTOR Angioedema) OR atop* OR eczema* OR dermatiti* OR neurodermatitis OR hypersensitivit* OR hyper-sensitivit* OR hyperresponsiv* OR hyper-responsiven* OR hyperreactivity OR sensitisation OR sensitization OR (skin ADJ prick) OR (skin ADJ test) OR (patch ADJ test) OR (skin ADJ reaction) OR hives OR urticaria OR urticarial OR (dust ADJ mite) OR pruriti* OR weals OR welts OR itch* OR allerg* OR wheez* OR asthma* OR besnier* OR prurigo OR rhiniti* OR hayfever OR (hay ADJ fever) OR pollinosis OR pollen* OR (nasal ADJ obstruction) OR anaphylact* OR radioallergosorbent OR RAST OR (epidermal ADJ dysfunction) OR (immunoglobulin ADJ E) OR IgE OR rhinoconjunctivitis OR rhino-conjunctivitis OR (immune ADJ dysregulation) OR immunodysregulation OR immunogenicity OR immunoinflammatory OR angioedema OR (angioneurotic ADJ edema) OR (angioneurotic ADJ oedema)) AND (((MeSH DESCRIPTOR Zinc EXPLODE ALL TREES) OR zinc or zn)</w:t>
            </w:r>
          </w:p>
        </w:tc>
      </w:tr>
      <w:tr w:rsidR="00047995" w:rsidRPr="00C66AD1" w14:paraId="58F9EFB6" w14:textId="77777777" w:rsidTr="00047995">
        <w:tc>
          <w:tcPr>
            <w:tcW w:w="2331" w:type="dxa"/>
            <w:vMerge/>
          </w:tcPr>
          <w:p w14:paraId="422BA6B7"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1FA78DCE"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79F7CAB6" w14:textId="77777777" w:rsidR="00047995" w:rsidRPr="00C66AD1" w:rsidRDefault="00047995" w:rsidP="00047995">
            <w:pPr>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32288EC5" w14:textId="77777777" w:rsidR="00047995" w:rsidRPr="00C66AD1" w:rsidRDefault="00047995" w:rsidP="00047995">
            <w:pPr>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5C8AD086" w14:textId="77777777" w:rsidTr="00047995">
        <w:tc>
          <w:tcPr>
            <w:tcW w:w="2331" w:type="dxa"/>
            <w:vMerge w:val="restart"/>
          </w:tcPr>
          <w:p w14:paraId="076DF249"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9. Fatigue (general) (incl. Myalgic encephalomyelitis/Chronic Fatigue Syndrome and antioxidants (specifically CoQ10 &amp; alpha -Lipoic acid)</w:t>
            </w:r>
          </w:p>
          <w:p w14:paraId="1FF493D8" w14:textId="77777777" w:rsidR="00047995" w:rsidRPr="00C66AD1" w:rsidRDefault="00047995" w:rsidP="00047995">
            <w:pPr>
              <w:tabs>
                <w:tab w:val="center" w:pos="866"/>
                <w:tab w:val="right" w:pos="1732"/>
              </w:tabs>
              <w:rPr>
                <w:rFonts w:ascii="Aptos" w:hAnsi="Aptos"/>
                <w:sz w:val="18"/>
                <w:szCs w:val="18"/>
              </w:rPr>
            </w:pPr>
          </w:p>
          <w:p w14:paraId="04D8773A" w14:textId="708220AD"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 xml:space="preserve">Conducted </w:t>
            </w:r>
            <w:r>
              <w:rPr>
                <w:rFonts w:ascii="Aptos" w:hAnsi="Aptos"/>
                <w:sz w:val="18"/>
                <w:szCs w:val="18"/>
              </w:rPr>
              <w:t>27</w:t>
            </w:r>
            <w:r w:rsidRPr="00C66AD1">
              <w:rPr>
                <w:rFonts w:ascii="Aptos" w:hAnsi="Aptos"/>
                <w:sz w:val="18"/>
                <w:szCs w:val="18"/>
              </w:rPr>
              <w:t>/04/2023</w:t>
            </w:r>
          </w:p>
        </w:tc>
        <w:tc>
          <w:tcPr>
            <w:tcW w:w="7020" w:type="dxa"/>
          </w:tcPr>
          <w:p w14:paraId="7F62908F"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Epistemonikis</w:t>
            </w:r>
          </w:p>
          <w:p w14:paraId="0350A967" w14:textId="77777777" w:rsidR="00047995" w:rsidRPr="00C66AD1" w:rsidRDefault="00047995" w:rsidP="00047995">
            <w:pPr>
              <w:rPr>
                <w:rFonts w:ascii="Aptos" w:hAnsi="Aptos"/>
                <w:sz w:val="18"/>
                <w:szCs w:val="18"/>
              </w:rPr>
            </w:pPr>
            <w:r w:rsidRPr="00C66AD1">
              <w:rPr>
                <w:rFonts w:ascii="Aptos" w:hAnsi="Aptos"/>
                <w:sz w:val="18"/>
                <w:szCs w:val="18"/>
              </w:rPr>
              <w:t>(title:((title:(fatigu* OR tired* OR exhaust* OR weakness OR astheni* OR neurastheni* OR weary OR weariness OR lassitude OR listless* OR apath* OR malaise OR energy OR letharg* OR myalgi* OR encephalomyelitis OR CFS) OR abstract:(fatigu* OR tired* OR exhaust* OR weakness OR astheni* OR neurastheni* OR weary OR weariness OR lassitude OR listless* OR apath* OR malaise OR energy OR letharg* OR myalgi* OR encephalomyelitis OR CFS)) AND (title:(antioxidant* OR *Q10 OR coenzyme* OR co-enzyme* OR ALA OR thioctic OR *linolenic OR lipoid) OR abstract:(antioxidant* OR *Q10 OR coenzyme* OR co-enzyme* OR ALA OR thioctic OR *linolenic OR lipoid))) OR abstract:((title:(fatigu* OR tired* OR exhaust* OR weakness OR astheni* OR neurastheni* OR weary OR weariness OR lassitude OR listless* OR apath* OR malaise OR energy OR letharg* OR myalgi* OR encephalomyelitis OR CFS) OR abstract:(fatigu* OR tired* OR exhaust* OR weakness OR astheni* OR neurastheni* OR weary OR weariness OR lassitude OR listless* OR apath* OR malaise OR energy OR letharg* OR myalgi* OR encephalomyelitis OR CFS)) AND (title:(antioxidant* OR *Q10 OR coenzyme* OR co-enzyme* OR ALA OR thioctic OR *linolenic OR lipoid) OR abstract:(antioxidant* OR *Q10 OR coenzyme* OR co-enzyme* OR ALA OR thioctic OR *linolenic OR lipoid))))</w:t>
            </w:r>
          </w:p>
          <w:p w14:paraId="487F73D0" w14:textId="77777777" w:rsidR="00047995" w:rsidRPr="00C66AD1" w:rsidRDefault="00047995" w:rsidP="00047995">
            <w:pPr>
              <w:rPr>
                <w:rFonts w:ascii="Aptos" w:hAnsi="Aptos"/>
                <w:sz w:val="18"/>
                <w:szCs w:val="18"/>
              </w:rPr>
            </w:pPr>
          </w:p>
        </w:tc>
      </w:tr>
      <w:tr w:rsidR="00592DB7" w:rsidRPr="00C66AD1" w14:paraId="2FCBAAF1" w14:textId="77777777" w:rsidTr="00047995">
        <w:tc>
          <w:tcPr>
            <w:tcW w:w="2331" w:type="dxa"/>
            <w:vMerge/>
          </w:tcPr>
          <w:p w14:paraId="0969018F" w14:textId="77777777" w:rsidR="00592DB7" w:rsidRPr="00C66AD1" w:rsidRDefault="00592DB7" w:rsidP="00047995">
            <w:pPr>
              <w:tabs>
                <w:tab w:val="center" w:pos="866"/>
                <w:tab w:val="right" w:pos="1732"/>
              </w:tabs>
              <w:rPr>
                <w:rFonts w:ascii="Aptos" w:hAnsi="Aptos"/>
                <w:sz w:val="18"/>
                <w:szCs w:val="18"/>
              </w:rPr>
            </w:pPr>
          </w:p>
        </w:tc>
        <w:tc>
          <w:tcPr>
            <w:tcW w:w="7020" w:type="dxa"/>
          </w:tcPr>
          <w:p w14:paraId="47543767" w14:textId="77777777" w:rsidR="00592DB7" w:rsidRPr="00592DB7" w:rsidRDefault="00592DB7" w:rsidP="00592DB7">
            <w:pPr>
              <w:spacing w:after="120"/>
              <w:rPr>
                <w:rFonts w:ascii="Aptos" w:hAnsi="Aptos"/>
                <w:sz w:val="18"/>
                <w:szCs w:val="18"/>
              </w:rPr>
            </w:pPr>
            <w:r>
              <w:rPr>
                <w:rFonts w:ascii="Aptos" w:hAnsi="Aptos"/>
                <w:sz w:val="18"/>
                <w:szCs w:val="18"/>
              </w:rPr>
              <w:t>AMED</w:t>
            </w:r>
          </w:p>
          <w:p w14:paraId="1C6D7FC7" w14:textId="7858C8D6" w:rsidR="00592DB7" w:rsidRPr="00C66AD1" w:rsidRDefault="005C0A6C" w:rsidP="00047995">
            <w:pPr>
              <w:spacing w:after="120"/>
              <w:rPr>
                <w:rFonts w:ascii="Aptos" w:hAnsi="Aptos"/>
                <w:sz w:val="18"/>
                <w:szCs w:val="18"/>
              </w:rPr>
            </w:pPr>
            <w:r w:rsidRPr="005C0A6C">
              <w:rPr>
                <w:rFonts w:ascii="Aptos" w:hAnsi="Aptos"/>
                <w:sz w:val="18"/>
                <w:szCs w:val="18"/>
              </w:rPr>
              <w:t>(antioxidant* OR *Q10 OR coenzyme* OR co-enzyme* OR ALA OR thioctic OR *linolenic OR lipoid) AND (fatigu* OR tired* OR exhaust* OR weakness OR astheni* OR neurastheni* OR weary OR weariness OR lassitude OR listless* OR apath* OR malaise OR energy OR letharg* OR myalgi* OR encephalomyelitis OR CFS) AND ((systematic and review) or (living and review) or (rapid and review) or meta*analysis or meta*review or overview).mp</w:t>
            </w:r>
          </w:p>
        </w:tc>
      </w:tr>
      <w:tr w:rsidR="00047995" w:rsidRPr="00C66AD1" w14:paraId="0DD37A80" w14:textId="77777777" w:rsidTr="00047995">
        <w:trPr>
          <w:trHeight w:val="5437"/>
        </w:trPr>
        <w:tc>
          <w:tcPr>
            <w:tcW w:w="2331" w:type="dxa"/>
            <w:vMerge/>
          </w:tcPr>
          <w:p w14:paraId="546E8CFB"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3877E9D9" w14:textId="77777777" w:rsidR="00047995" w:rsidRDefault="00047995" w:rsidP="00047995">
            <w:pPr>
              <w:rPr>
                <w:rFonts w:ascii="Aptos" w:hAnsi="Aptos"/>
                <w:sz w:val="18"/>
                <w:szCs w:val="18"/>
              </w:rPr>
            </w:pPr>
            <w:r w:rsidRPr="00B97A05">
              <w:rPr>
                <w:rFonts w:ascii="Aptos" w:hAnsi="Aptos"/>
                <w:sz w:val="18"/>
                <w:szCs w:val="18"/>
              </w:rPr>
              <w:t>Ovid Emcare &lt;1995 to 2023 Week 16&gt;</w:t>
            </w:r>
          </w:p>
          <w:p w14:paraId="29CD274A" w14:textId="77777777" w:rsidR="00047995" w:rsidRDefault="00047995" w:rsidP="00047995">
            <w:pPr>
              <w:rPr>
                <w:rFonts w:ascii="Aptos" w:hAnsi="Aptos"/>
                <w:sz w:val="18"/>
                <w:szCs w:val="18"/>
              </w:rPr>
            </w:pPr>
          </w:p>
          <w:p w14:paraId="1FC57E80" w14:textId="77777777" w:rsidR="00047995" w:rsidRPr="009723CB" w:rsidRDefault="00047995" w:rsidP="00047995">
            <w:pPr>
              <w:rPr>
                <w:rFonts w:ascii="Aptos" w:hAnsi="Aptos"/>
                <w:sz w:val="18"/>
                <w:szCs w:val="18"/>
              </w:rPr>
            </w:pPr>
            <w:r w:rsidRPr="009723CB">
              <w:rPr>
                <w:rFonts w:ascii="Aptos" w:hAnsi="Aptos"/>
                <w:sz w:val="18"/>
                <w:szCs w:val="18"/>
              </w:rPr>
              <w:t xml:space="preserve">1. exp fatigue/ or exp mental fatigue/ or exp </w:t>
            </w:r>
            <w:r w:rsidRPr="00C66AD1">
              <w:rPr>
                <w:rFonts w:ascii="Aptos" w:hAnsi="Aptos"/>
                <w:sz w:val="18"/>
                <w:szCs w:val="18"/>
              </w:rPr>
              <w:t>Fatigue</w:t>
            </w:r>
            <w:r w:rsidRPr="009723CB">
              <w:rPr>
                <w:rFonts w:ascii="Aptos" w:hAnsi="Aptos"/>
                <w:sz w:val="18"/>
                <w:szCs w:val="18"/>
              </w:rPr>
              <w:t xml:space="preserve"> Impact Scale/ or Fatigue.mp. or exp postviral fatigue syndrome/ or exp Fatigue Severity Scale/ or exp chronic fatigue syndrome/ or exp muscle fatigue/ or</w:t>
            </w:r>
            <w:r w:rsidRPr="00C66AD1">
              <w:rPr>
                <w:rFonts w:ascii="Aptos" w:hAnsi="Aptos"/>
                <w:sz w:val="18"/>
                <w:szCs w:val="18"/>
              </w:rPr>
              <w:t xml:space="preserve"> tired*.mp</w:t>
            </w:r>
            <w:r w:rsidRPr="009723CB">
              <w:rPr>
                <w:rFonts w:ascii="Aptos" w:hAnsi="Aptos"/>
                <w:sz w:val="18"/>
                <w:szCs w:val="18"/>
              </w:rPr>
              <w:t>. or exp exhaustion/ or exhaustion.</w:t>
            </w:r>
            <w:r w:rsidRPr="00C66AD1">
              <w:rPr>
                <w:rFonts w:ascii="Aptos" w:hAnsi="Aptos"/>
                <w:sz w:val="18"/>
                <w:szCs w:val="18"/>
              </w:rPr>
              <w:t>mp</w:t>
            </w:r>
            <w:r w:rsidRPr="009723CB">
              <w:rPr>
                <w:rFonts w:ascii="Aptos" w:hAnsi="Aptos"/>
                <w:sz w:val="18"/>
                <w:szCs w:val="18"/>
              </w:rPr>
              <w:t>. or exhaut*.mp. or</w:t>
            </w:r>
            <w:r w:rsidRPr="00C66AD1">
              <w:rPr>
                <w:rFonts w:ascii="Aptos" w:hAnsi="Aptos"/>
                <w:sz w:val="18"/>
                <w:szCs w:val="18"/>
              </w:rPr>
              <w:t xml:space="preserve"> weakness.mp</w:t>
            </w:r>
            <w:r w:rsidRPr="009723CB">
              <w:rPr>
                <w:rFonts w:ascii="Aptos" w:hAnsi="Aptos"/>
                <w:sz w:val="18"/>
                <w:szCs w:val="18"/>
              </w:rPr>
              <w:t>. or exp weakness/ or muscle weakness/ or</w:t>
            </w:r>
            <w:r w:rsidRPr="00C66AD1">
              <w:rPr>
                <w:rFonts w:ascii="Aptos" w:hAnsi="Aptos"/>
                <w:sz w:val="18"/>
                <w:szCs w:val="18"/>
              </w:rPr>
              <w:t xml:space="preserve"> asthenia</w:t>
            </w:r>
            <w:r w:rsidRPr="009723CB">
              <w:rPr>
                <w:rFonts w:ascii="Aptos" w:hAnsi="Aptos"/>
                <w:sz w:val="18"/>
                <w:szCs w:val="18"/>
              </w:rPr>
              <w:t>.mp. or exp asthenia/ or neurasthenia.mp. or exp neurasthenia/ or</w:t>
            </w:r>
            <w:r w:rsidRPr="00C66AD1">
              <w:rPr>
                <w:rFonts w:ascii="Aptos" w:hAnsi="Aptos"/>
                <w:sz w:val="18"/>
                <w:szCs w:val="18"/>
              </w:rPr>
              <w:t xml:space="preserve"> neurastheni*.mp</w:t>
            </w:r>
            <w:r w:rsidRPr="009723CB">
              <w:rPr>
                <w:rFonts w:ascii="Aptos" w:hAnsi="Aptos"/>
                <w:sz w:val="18"/>
                <w:szCs w:val="18"/>
              </w:rPr>
              <w:t>. or exp burnout/ or</w:t>
            </w:r>
            <w:r w:rsidRPr="00C66AD1">
              <w:rPr>
                <w:rFonts w:ascii="Aptos" w:hAnsi="Aptos"/>
                <w:sz w:val="18"/>
                <w:szCs w:val="18"/>
              </w:rPr>
              <w:t xml:space="preserve"> weary.mp</w:t>
            </w:r>
            <w:r w:rsidRPr="009723CB">
              <w:rPr>
                <w:rFonts w:ascii="Aptos" w:hAnsi="Aptos"/>
                <w:sz w:val="18"/>
                <w:szCs w:val="18"/>
              </w:rPr>
              <w:t>. or</w:t>
            </w:r>
            <w:r w:rsidRPr="00C66AD1">
              <w:rPr>
                <w:rFonts w:ascii="Aptos" w:hAnsi="Aptos"/>
                <w:sz w:val="18"/>
                <w:szCs w:val="18"/>
              </w:rPr>
              <w:t xml:space="preserve"> weariness.mp</w:t>
            </w:r>
            <w:r w:rsidRPr="009723CB">
              <w:rPr>
                <w:rFonts w:ascii="Aptos" w:hAnsi="Aptos"/>
                <w:sz w:val="18"/>
                <w:szCs w:val="18"/>
              </w:rPr>
              <w:t>. or</w:t>
            </w:r>
            <w:r w:rsidRPr="00C66AD1">
              <w:rPr>
                <w:rFonts w:ascii="Aptos" w:hAnsi="Aptos"/>
                <w:sz w:val="18"/>
                <w:szCs w:val="18"/>
              </w:rPr>
              <w:t xml:space="preserve"> lassitude.mp</w:t>
            </w:r>
            <w:r w:rsidRPr="009723CB">
              <w:rPr>
                <w:rFonts w:ascii="Aptos" w:hAnsi="Aptos"/>
                <w:sz w:val="18"/>
                <w:szCs w:val="18"/>
              </w:rPr>
              <w:t>. or exp lassitude/</w:t>
            </w:r>
            <w:r w:rsidRPr="00C66AD1">
              <w:rPr>
                <w:rFonts w:ascii="Aptos" w:hAnsi="Aptos"/>
                <w:sz w:val="18"/>
                <w:szCs w:val="18"/>
              </w:rPr>
              <w:t xml:space="preserve"> or listlessness.mp</w:t>
            </w:r>
            <w:r w:rsidRPr="009723CB">
              <w:rPr>
                <w:rFonts w:ascii="Aptos" w:hAnsi="Aptos"/>
                <w:sz w:val="18"/>
                <w:szCs w:val="18"/>
              </w:rPr>
              <w:t>. or exp listlessness/ or apathy.mp. or exp apathy/ or</w:t>
            </w:r>
            <w:r w:rsidRPr="00C66AD1">
              <w:rPr>
                <w:rFonts w:ascii="Aptos" w:hAnsi="Aptos"/>
                <w:sz w:val="18"/>
                <w:szCs w:val="18"/>
              </w:rPr>
              <w:t xml:space="preserve"> apath*.mp</w:t>
            </w:r>
            <w:r w:rsidRPr="009723CB">
              <w:rPr>
                <w:rFonts w:ascii="Aptos" w:hAnsi="Aptos"/>
                <w:sz w:val="18"/>
                <w:szCs w:val="18"/>
              </w:rPr>
              <w:t>. or</w:t>
            </w:r>
            <w:r w:rsidRPr="00C66AD1">
              <w:rPr>
                <w:rFonts w:ascii="Aptos" w:hAnsi="Aptos"/>
                <w:sz w:val="18"/>
                <w:szCs w:val="18"/>
              </w:rPr>
              <w:t xml:space="preserve"> malaise.mp</w:t>
            </w:r>
            <w:r w:rsidRPr="009723CB">
              <w:rPr>
                <w:rFonts w:ascii="Aptos" w:hAnsi="Aptos"/>
                <w:sz w:val="18"/>
                <w:szCs w:val="18"/>
              </w:rPr>
              <w:t>. or lethargy.mp. or exp lethargy/ or letharg*.mp. or exp myalgia/ or myalgia.mp. or myalgi*.mp. or exp</w:t>
            </w:r>
            <w:r w:rsidRPr="00C66AD1">
              <w:rPr>
                <w:rFonts w:ascii="Aptos" w:hAnsi="Aptos"/>
                <w:sz w:val="18"/>
                <w:szCs w:val="18"/>
              </w:rPr>
              <w:t xml:space="preserve"> encephalomyelitis</w:t>
            </w:r>
            <w:r w:rsidRPr="009723CB">
              <w:rPr>
                <w:rFonts w:ascii="Aptos" w:hAnsi="Aptos"/>
                <w:sz w:val="18"/>
                <w:szCs w:val="18"/>
              </w:rPr>
              <w:t>/ or encephalomyelitis.mp. or CFS.mp. or exp chronic fatigue syndrome/</w:t>
            </w:r>
          </w:p>
          <w:p w14:paraId="7692CA71" w14:textId="77777777" w:rsidR="00047995" w:rsidRPr="009723CB" w:rsidRDefault="00047995" w:rsidP="00047995">
            <w:pPr>
              <w:rPr>
                <w:rFonts w:ascii="Aptos" w:hAnsi="Aptos"/>
                <w:sz w:val="18"/>
                <w:szCs w:val="18"/>
              </w:rPr>
            </w:pPr>
            <w:r w:rsidRPr="009723CB">
              <w:rPr>
                <w:rFonts w:ascii="Aptos" w:hAnsi="Aptos"/>
                <w:sz w:val="18"/>
                <w:szCs w:val="18"/>
              </w:rPr>
              <w:t xml:space="preserve">2. exp </w:t>
            </w:r>
            <w:r w:rsidRPr="00C66AD1">
              <w:rPr>
                <w:rFonts w:ascii="Aptos" w:hAnsi="Aptos"/>
                <w:sz w:val="18"/>
                <w:szCs w:val="18"/>
              </w:rPr>
              <w:t xml:space="preserve">antioxidant activity/ </w:t>
            </w:r>
            <w:r w:rsidRPr="009723CB">
              <w:rPr>
                <w:rFonts w:ascii="Aptos" w:hAnsi="Aptos"/>
                <w:sz w:val="18"/>
                <w:szCs w:val="18"/>
              </w:rPr>
              <w:t>or exp</w:t>
            </w:r>
            <w:r w:rsidRPr="00C66AD1">
              <w:rPr>
                <w:rFonts w:ascii="Aptos" w:hAnsi="Aptos"/>
                <w:sz w:val="18"/>
                <w:szCs w:val="18"/>
              </w:rPr>
              <w:t xml:space="preserve"> antioxidant/ </w:t>
            </w:r>
            <w:r w:rsidRPr="009723CB">
              <w:rPr>
                <w:rFonts w:ascii="Aptos" w:hAnsi="Aptos"/>
                <w:sz w:val="18"/>
                <w:szCs w:val="18"/>
              </w:rPr>
              <w:t>or</w:t>
            </w:r>
            <w:r w:rsidRPr="00C66AD1">
              <w:rPr>
                <w:rFonts w:ascii="Aptos" w:hAnsi="Aptos"/>
                <w:sz w:val="18"/>
                <w:szCs w:val="18"/>
              </w:rPr>
              <w:t xml:space="preserve"> antioxidant</w:t>
            </w:r>
            <w:r w:rsidRPr="009723CB">
              <w:rPr>
                <w:rFonts w:ascii="Aptos" w:hAnsi="Aptos"/>
                <w:sz w:val="18"/>
                <w:szCs w:val="18"/>
              </w:rPr>
              <w:t xml:space="preserve">.mp. or antioxidant*.mp. or Q10.mp. or exp </w:t>
            </w:r>
            <w:r w:rsidRPr="00C66AD1">
              <w:rPr>
                <w:rFonts w:ascii="Aptos" w:hAnsi="Aptos"/>
                <w:sz w:val="18"/>
                <w:szCs w:val="18"/>
              </w:rPr>
              <w:t xml:space="preserve">coenzyme Q10 </w:t>
            </w:r>
            <w:r w:rsidRPr="009723CB">
              <w:rPr>
                <w:rFonts w:ascii="Aptos" w:hAnsi="Aptos"/>
                <w:sz w:val="18"/>
                <w:szCs w:val="18"/>
              </w:rPr>
              <w:t xml:space="preserve">deficiency/ or coenzyme.mp. or exp coenzyme/ or coenzyme*.mp. </w:t>
            </w:r>
            <w:r w:rsidRPr="00C66AD1">
              <w:rPr>
                <w:rFonts w:ascii="Aptos" w:hAnsi="Aptos"/>
                <w:sz w:val="18"/>
                <w:szCs w:val="18"/>
              </w:rPr>
              <w:t>or co-enzyme</w:t>
            </w:r>
            <w:r w:rsidRPr="009723CB">
              <w:rPr>
                <w:rFonts w:ascii="Aptos" w:hAnsi="Aptos"/>
                <w:sz w:val="18"/>
                <w:szCs w:val="18"/>
              </w:rPr>
              <w:t>*.mp. or Alpha-Linolenic Acid.mp. or exp linolenic acid/ or exp antioxidant/ or exp thioctic acid/ or thioctic.mp. or linolenic.mp. or lipoid.mp. or coenzyme Q10.mp. or exp ubidecarenone/</w:t>
            </w:r>
          </w:p>
          <w:p w14:paraId="786D3800" w14:textId="77777777" w:rsidR="00047995" w:rsidRPr="009723CB" w:rsidRDefault="00047995" w:rsidP="00047995">
            <w:pPr>
              <w:rPr>
                <w:rFonts w:ascii="Aptos" w:hAnsi="Aptos"/>
                <w:sz w:val="18"/>
                <w:szCs w:val="18"/>
              </w:rPr>
            </w:pPr>
            <w:r w:rsidRPr="009723CB">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110A4805" w14:textId="0CF71C5C" w:rsidR="00047995" w:rsidRPr="009723CB" w:rsidRDefault="00047995" w:rsidP="00047995">
            <w:pPr>
              <w:rPr>
                <w:rFonts w:ascii="Aptos" w:hAnsi="Aptos"/>
                <w:sz w:val="18"/>
                <w:szCs w:val="18"/>
              </w:rPr>
            </w:pPr>
            <w:r w:rsidRPr="009723CB">
              <w:rPr>
                <w:rFonts w:ascii="Aptos" w:hAnsi="Aptos"/>
                <w:sz w:val="18"/>
                <w:szCs w:val="18"/>
              </w:rPr>
              <w:t>4. 1 and 2 and 3</w:t>
            </w:r>
          </w:p>
          <w:p w14:paraId="4F551355" w14:textId="5279B092" w:rsidR="00047995" w:rsidRPr="00C66AD1" w:rsidRDefault="00047995" w:rsidP="00047995">
            <w:pPr>
              <w:rPr>
                <w:rFonts w:ascii="Aptos" w:hAnsi="Aptos"/>
                <w:sz w:val="18"/>
                <w:szCs w:val="18"/>
              </w:rPr>
            </w:pPr>
            <w:r w:rsidRPr="009723CB">
              <w:rPr>
                <w:rFonts w:ascii="Aptos" w:hAnsi="Aptos"/>
                <w:sz w:val="18"/>
                <w:szCs w:val="18"/>
              </w:rPr>
              <w:t>5. limit 4 to human</w:t>
            </w:r>
          </w:p>
        </w:tc>
      </w:tr>
      <w:tr w:rsidR="00047995" w:rsidRPr="00C66AD1" w14:paraId="378ECD0D" w14:textId="77777777" w:rsidTr="00047995">
        <w:trPr>
          <w:trHeight w:val="2285"/>
        </w:trPr>
        <w:tc>
          <w:tcPr>
            <w:tcW w:w="2331" w:type="dxa"/>
            <w:vMerge/>
          </w:tcPr>
          <w:p w14:paraId="050F3315"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3327510C"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065CF77B" w14:textId="244B092D" w:rsidR="00047995" w:rsidRPr="00C66AD1" w:rsidRDefault="00047995" w:rsidP="00047995">
            <w:pPr>
              <w:rPr>
                <w:rFonts w:ascii="Aptos" w:hAnsi="Aptos"/>
                <w:sz w:val="18"/>
                <w:szCs w:val="18"/>
              </w:rPr>
            </w:pPr>
            <w:r w:rsidRPr="00C66AD1">
              <w:rPr>
                <w:rFonts w:ascii="Aptos" w:hAnsi="Aptos"/>
                <w:sz w:val="18"/>
                <w:szCs w:val="18"/>
              </w:rPr>
              <w:t>((MeSH DESCRIPTOR Fatigue Syndrome, Chronic EXPLODE ALL TREES) OR MeSH DESCRIPTOR Fatigue EXPLODE ALL TREES OR fatigu* OR tired* OR exhaust* OR weakness OR astheni* OR neurastheni* OR weary OR weariness OR lassitude OR listless* OR apath* OR malaise OR energy OR letharg* OR myalgi* OR encephalomyelitis OR CFS) AND ((MeSH DESCRIPTOR Antioxidants EXPLODE ALL TREES) OR MeSH DESCRIPTOR Thioctic Acid EXPLODE ALL TREES OR MeSH DESCRIPTOR alpha-Linolenic Acid EXPLODE ALL TREES OR antioxidant* OR "coenzyme Q10" OR "co-enzyme Q10" OR ALA OR thioctic OR linolenic OR "lipoid acid" OR ubidecarenone OR coQ10* OR "alpha-lipoid" OR co-enzyme* OR coenzyme*)</w:t>
            </w:r>
          </w:p>
        </w:tc>
      </w:tr>
      <w:tr w:rsidR="00047995" w:rsidRPr="00C66AD1" w14:paraId="00917303" w14:textId="77777777" w:rsidTr="00047995">
        <w:tc>
          <w:tcPr>
            <w:tcW w:w="2331" w:type="dxa"/>
            <w:vMerge/>
          </w:tcPr>
          <w:p w14:paraId="7C5D3B5E"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1FBB8893"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787339F4"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77833B93"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3A0AB7E6" w14:textId="77777777" w:rsidTr="00047995">
        <w:trPr>
          <w:trHeight w:val="918"/>
        </w:trPr>
        <w:tc>
          <w:tcPr>
            <w:tcW w:w="2331" w:type="dxa"/>
            <w:vMerge w:val="restart"/>
          </w:tcPr>
          <w:p w14:paraId="66F5F043"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10. Headache/migraine and magnesium</w:t>
            </w:r>
          </w:p>
          <w:p w14:paraId="040F20B2" w14:textId="77777777" w:rsidR="00047995" w:rsidRPr="00C66AD1" w:rsidRDefault="00047995" w:rsidP="00047995">
            <w:pPr>
              <w:tabs>
                <w:tab w:val="center" w:pos="866"/>
                <w:tab w:val="right" w:pos="1732"/>
              </w:tabs>
              <w:rPr>
                <w:rFonts w:ascii="Aptos" w:hAnsi="Aptos"/>
                <w:sz w:val="18"/>
                <w:szCs w:val="18"/>
              </w:rPr>
            </w:pPr>
          </w:p>
          <w:p w14:paraId="53661040" w14:textId="0764B183"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 xml:space="preserve">Conducted </w:t>
            </w:r>
            <w:r>
              <w:rPr>
                <w:rFonts w:ascii="Aptos" w:hAnsi="Aptos"/>
                <w:sz w:val="18"/>
                <w:szCs w:val="18"/>
              </w:rPr>
              <w:t>23</w:t>
            </w:r>
            <w:r w:rsidRPr="00C66AD1">
              <w:rPr>
                <w:rFonts w:ascii="Aptos" w:hAnsi="Aptos"/>
                <w:sz w:val="18"/>
                <w:szCs w:val="18"/>
              </w:rPr>
              <w:t>/04/2023</w:t>
            </w:r>
          </w:p>
        </w:tc>
        <w:tc>
          <w:tcPr>
            <w:tcW w:w="7020" w:type="dxa"/>
          </w:tcPr>
          <w:p w14:paraId="0D8A3AF3"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Epistemonikis</w:t>
            </w:r>
          </w:p>
          <w:p w14:paraId="0B042BA3" w14:textId="77777777" w:rsidR="00047995" w:rsidRPr="00C66AD1" w:rsidRDefault="00047995" w:rsidP="00047995">
            <w:pPr>
              <w:rPr>
                <w:rFonts w:ascii="Aptos" w:hAnsi="Aptos"/>
                <w:sz w:val="18"/>
                <w:szCs w:val="18"/>
              </w:rPr>
            </w:pPr>
            <w:r w:rsidRPr="00C66AD1">
              <w:rPr>
                <w:rFonts w:ascii="Aptos" w:hAnsi="Aptos"/>
                <w:sz w:val="18"/>
                <w:szCs w:val="18"/>
              </w:rPr>
              <w:t>(title:(cephalgi* OR headache* OR migraine*) OR abstract:(cephalgi* OR headache* OR migraine*)) AND (title:(magnesium OR Mg) OR abstract:(magnesium OR Mg))</w:t>
            </w:r>
          </w:p>
        </w:tc>
      </w:tr>
      <w:tr w:rsidR="004E0677" w:rsidRPr="00C66AD1" w14:paraId="2325EF97" w14:textId="77777777" w:rsidTr="00047995">
        <w:trPr>
          <w:trHeight w:val="918"/>
        </w:trPr>
        <w:tc>
          <w:tcPr>
            <w:tcW w:w="2331" w:type="dxa"/>
            <w:vMerge/>
          </w:tcPr>
          <w:p w14:paraId="0D7C5DE0" w14:textId="77777777" w:rsidR="004E0677" w:rsidRPr="00C66AD1" w:rsidRDefault="004E0677" w:rsidP="00047995">
            <w:pPr>
              <w:tabs>
                <w:tab w:val="center" w:pos="866"/>
                <w:tab w:val="right" w:pos="1732"/>
              </w:tabs>
              <w:rPr>
                <w:rFonts w:ascii="Aptos" w:hAnsi="Aptos"/>
                <w:sz w:val="18"/>
                <w:szCs w:val="18"/>
              </w:rPr>
            </w:pPr>
          </w:p>
        </w:tc>
        <w:tc>
          <w:tcPr>
            <w:tcW w:w="7020" w:type="dxa"/>
          </w:tcPr>
          <w:p w14:paraId="03F0D6E3" w14:textId="77777777" w:rsidR="004E0677" w:rsidRDefault="004E0677" w:rsidP="00047995">
            <w:pPr>
              <w:spacing w:after="120"/>
              <w:rPr>
                <w:rFonts w:ascii="Aptos" w:hAnsi="Aptos"/>
                <w:sz w:val="18"/>
                <w:szCs w:val="18"/>
              </w:rPr>
            </w:pPr>
            <w:r>
              <w:rPr>
                <w:rFonts w:ascii="Aptos" w:hAnsi="Aptos"/>
                <w:sz w:val="18"/>
                <w:szCs w:val="18"/>
              </w:rPr>
              <w:t>AMED</w:t>
            </w:r>
          </w:p>
          <w:p w14:paraId="772A0C47" w14:textId="7EE49169" w:rsidR="004E0677" w:rsidRPr="00C66AD1" w:rsidRDefault="004E0677" w:rsidP="00047995">
            <w:pPr>
              <w:spacing w:after="120"/>
              <w:rPr>
                <w:rFonts w:ascii="Aptos" w:hAnsi="Aptos"/>
                <w:sz w:val="18"/>
                <w:szCs w:val="18"/>
              </w:rPr>
            </w:pPr>
            <w:r w:rsidRPr="004E0677">
              <w:rPr>
                <w:rFonts w:ascii="Aptos" w:hAnsi="Aptos"/>
                <w:sz w:val="18"/>
                <w:szCs w:val="18"/>
              </w:rPr>
              <w:t>magnesium AND (cephalgi* OR headache* OR migraine*) AND ((systematic and review) or (living and review) or (rapid and review) or meta*analysis or meta*review or overview).mp</w:t>
            </w:r>
          </w:p>
        </w:tc>
      </w:tr>
      <w:tr w:rsidR="00047995" w:rsidRPr="00C66AD1" w14:paraId="5207ACF8" w14:textId="77777777" w:rsidTr="00047995">
        <w:trPr>
          <w:trHeight w:val="305"/>
        </w:trPr>
        <w:tc>
          <w:tcPr>
            <w:tcW w:w="2331" w:type="dxa"/>
            <w:vMerge/>
          </w:tcPr>
          <w:p w14:paraId="483DC86C"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2643BE85" w14:textId="59947468" w:rsidR="00047995" w:rsidRDefault="00047995" w:rsidP="00047995">
            <w:pPr>
              <w:spacing w:after="120"/>
              <w:rPr>
                <w:rFonts w:ascii="Aptos" w:hAnsi="Aptos"/>
                <w:sz w:val="18"/>
                <w:szCs w:val="18"/>
              </w:rPr>
            </w:pPr>
            <w:r w:rsidRPr="000E0EBF">
              <w:rPr>
                <w:rFonts w:ascii="Aptos" w:hAnsi="Aptos"/>
                <w:sz w:val="18"/>
                <w:szCs w:val="18"/>
              </w:rPr>
              <w:t>Ovid Emcare &lt;1995 to 2023 Week 16&gt;</w:t>
            </w:r>
          </w:p>
          <w:p w14:paraId="2B5D0425" w14:textId="0A4F7B8E" w:rsidR="00047995" w:rsidRPr="008E4725" w:rsidRDefault="00047995" w:rsidP="00047995">
            <w:pPr>
              <w:rPr>
                <w:rFonts w:ascii="Aptos" w:hAnsi="Aptos"/>
                <w:sz w:val="18"/>
                <w:szCs w:val="18"/>
              </w:rPr>
            </w:pPr>
            <w:r w:rsidRPr="008E4725">
              <w:rPr>
                <w:rFonts w:ascii="Aptos" w:hAnsi="Aptos"/>
                <w:sz w:val="18"/>
                <w:szCs w:val="18"/>
              </w:rPr>
              <w:t>1. headache.mp. or exp headache/ or exp complicated migraine/ or migraine.mp. or exp migraine/ or cephalgia.mp. or exp headache/ or headache*.mp. or migraine*.mp.</w:t>
            </w:r>
          </w:p>
          <w:p w14:paraId="2A74C101" w14:textId="77777777" w:rsidR="00047995" w:rsidRPr="008E4725" w:rsidRDefault="00047995" w:rsidP="00047995">
            <w:pPr>
              <w:rPr>
                <w:rFonts w:ascii="Aptos" w:hAnsi="Aptos"/>
                <w:sz w:val="18"/>
                <w:szCs w:val="18"/>
              </w:rPr>
            </w:pPr>
            <w:r w:rsidRPr="008E4725">
              <w:rPr>
                <w:rFonts w:ascii="Aptos" w:hAnsi="Aptos"/>
                <w:sz w:val="18"/>
                <w:szCs w:val="18"/>
              </w:rPr>
              <w:t>2. magnesium.mp. or exp magnesium/</w:t>
            </w:r>
          </w:p>
          <w:p w14:paraId="5C1D1ABA" w14:textId="77777777" w:rsidR="00047995" w:rsidRPr="008E4725" w:rsidRDefault="00047995" w:rsidP="00047995">
            <w:pPr>
              <w:rPr>
                <w:rFonts w:ascii="Aptos" w:hAnsi="Aptos"/>
                <w:sz w:val="18"/>
                <w:szCs w:val="18"/>
              </w:rPr>
            </w:pPr>
            <w:r w:rsidRPr="008E4725">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r w:rsidRPr="008E4725">
              <w:rPr>
                <w:rFonts w:ascii="Aptos" w:hAnsi="Aptos"/>
                <w:sz w:val="18"/>
                <w:szCs w:val="18"/>
              </w:rPr>
              <w:tab/>
            </w:r>
          </w:p>
          <w:p w14:paraId="639749D4" w14:textId="77777777" w:rsidR="00047995" w:rsidRPr="008E4725" w:rsidRDefault="00047995" w:rsidP="00047995">
            <w:pPr>
              <w:rPr>
                <w:rFonts w:ascii="Aptos" w:hAnsi="Aptos"/>
                <w:sz w:val="18"/>
                <w:szCs w:val="18"/>
              </w:rPr>
            </w:pPr>
            <w:r w:rsidRPr="008E4725">
              <w:rPr>
                <w:rFonts w:ascii="Aptos" w:hAnsi="Aptos"/>
                <w:sz w:val="18"/>
                <w:szCs w:val="18"/>
              </w:rPr>
              <w:t>4. 1 and 2 and 3</w:t>
            </w:r>
          </w:p>
          <w:p w14:paraId="053EB739" w14:textId="623920D1" w:rsidR="00047995" w:rsidRPr="00C66AD1" w:rsidRDefault="00047995" w:rsidP="00047995">
            <w:pPr>
              <w:spacing w:after="120"/>
              <w:rPr>
                <w:rFonts w:ascii="Aptos" w:hAnsi="Aptos"/>
                <w:sz w:val="18"/>
                <w:szCs w:val="18"/>
              </w:rPr>
            </w:pPr>
            <w:r w:rsidRPr="008E4725">
              <w:rPr>
                <w:rFonts w:ascii="Aptos" w:hAnsi="Aptos"/>
                <w:sz w:val="18"/>
                <w:szCs w:val="18"/>
              </w:rPr>
              <w:t>5. limit 4 to human</w:t>
            </w:r>
          </w:p>
        </w:tc>
      </w:tr>
      <w:tr w:rsidR="00047995" w:rsidRPr="00C66AD1" w14:paraId="211B45ED" w14:textId="77777777" w:rsidTr="00047995">
        <w:tc>
          <w:tcPr>
            <w:tcW w:w="2331" w:type="dxa"/>
            <w:vMerge/>
          </w:tcPr>
          <w:p w14:paraId="0B8386D4"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4FD83999"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35268078" w14:textId="77777777" w:rsidR="00047995" w:rsidRPr="00C66AD1" w:rsidRDefault="00047995" w:rsidP="00047995">
            <w:pPr>
              <w:rPr>
                <w:rFonts w:ascii="Aptos" w:hAnsi="Aptos"/>
                <w:sz w:val="18"/>
                <w:szCs w:val="18"/>
              </w:rPr>
            </w:pPr>
            <w:r w:rsidRPr="00C66AD1">
              <w:rPr>
                <w:rFonts w:ascii="Aptos" w:hAnsi="Aptos"/>
                <w:sz w:val="18"/>
                <w:szCs w:val="18"/>
              </w:rPr>
              <w:t>((MeSH DESCRIPTOR Headache EXPLODE ALL TREES) OR (MeSH DESCRIPTOR Migraine Disorders EXPLODE ALL TREES) OR (MeSH DESCRIPTOR Cluster Headache EXPLODE ALL TREES) OR cephalgi* OR headache* OR migraine*) AND (magnesium OR mg OR mg*)</w:t>
            </w:r>
          </w:p>
        </w:tc>
      </w:tr>
      <w:tr w:rsidR="00047995" w:rsidRPr="00C66AD1" w14:paraId="4C297722" w14:textId="77777777" w:rsidTr="00047995">
        <w:tc>
          <w:tcPr>
            <w:tcW w:w="2331" w:type="dxa"/>
            <w:vMerge/>
          </w:tcPr>
          <w:p w14:paraId="2E564FC5"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403EF4A9"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4A3CC4CC"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185691F1"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27C048EC" w14:textId="77777777" w:rsidTr="00047995">
        <w:tc>
          <w:tcPr>
            <w:tcW w:w="2331" w:type="dxa"/>
            <w:vMerge w:val="restart"/>
          </w:tcPr>
          <w:p w14:paraId="6DCC301C"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11. Arthritis/osteoarthritis and magnesium</w:t>
            </w:r>
          </w:p>
          <w:p w14:paraId="4D5E9D6E" w14:textId="77777777" w:rsidR="00047995" w:rsidRPr="00C66AD1" w:rsidRDefault="00047995" w:rsidP="00047995">
            <w:pPr>
              <w:tabs>
                <w:tab w:val="center" w:pos="866"/>
                <w:tab w:val="right" w:pos="1732"/>
              </w:tabs>
              <w:rPr>
                <w:rFonts w:ascii="Aptos" w:hAnsi="Aptos"/>
                <w:sz w:val="18"/>
                <w:szCs w:val="18"/>
              </w:rPr>
            </w:pPr>
          </w:p>
          <w:p w14:paraId="41CA5728"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Conducted 21/04/2023</w:t>
            </w:r>
          </w:p>
        </w:tc>
        <w:tc>
          <w:tcPr>
            <w:tcW w:w="7020" w:type="dxa"/>
          </w:tcPr>
          <w:p w14:paraId="0A7E7D57"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Epistemonikis</w:t>
            </w:r>
          </w:p>
          <w:p w14:paraId="319B23FC" w14:textId="77777777" w:rsidR="00047995" w:rsidRPr="00C66AD1" w:rsidRDefault="00047995" w:rsidP="00047995">
            <w:pPr>
              <w:spacing w:after="120"/>
              <w:rPr>
                <w:rFonts w:ascii="Aptos" w:hAnsi="Aptos"/>
                <w:sz w:val="18"/>
                <w:szCs w:val="18"/>
              </w:rPr>
            </w:pPr>
            <w:r w:rsidRPr="00C66AD1">
              <w:rPr>
                <w:rFonts w:ascii="Aptos" w:hAnsi="Aptos"/>
                <w:sz w:val="18"/>
                <w:szCs w:val="18"/>
              </w:rPr>
              <w:t xml:space="preserve">(title:((title:(Arthrit* OR polyarthriti* OR arthrochondriti* OR arthrosynovitis OR oligoarthriti* OR "joint inflammation" OR (psoria* adj3 arthropath*)) OR abstract:(Arthrit* OR polyarthriti* OR arthrochondriti* OR arthrosynovitis OR oligoarthriti* OR "joint inflammation" OR (psoria* adj3 arthropath*))) OR (title:(psoria* OR rheumatoid OR osteoarthr* OR osteophytosis OR spondylarthropath* OR ankylosing) OR abstract:(psoria* OR rheumatoid OR osteoarthr* OR osteophytosis OR </w:t>
            </w:r>
            <w:r w:rsidRPr="00C66AD1">
              <w:rPr>
                <w:rFonts w:ascii="Aptos" w:hAnsi="Aptos"/>
                <w:sz w:val="18"/>
                <w:szCs w:val="18"/>
              </w:rPr>
              <w:lastRenderedPageBreak/>
              <w:t>spondylarthropath* OR ankylosing)) AND (title:(magnesium OR mg) OR abstract:(magnesium OR mg))) OR abstract:((title:(Arthrit* OR polyarthriti* OR arthrochondriti* OR arthrosynovitis OR oligoarthriti* OR "joint inflammation" OR (psoria* adj3 arthropath*)) OR abstract:(Arthrit* OR polyarthriti* OR arthrochondriti* OR arthrosynovitis OR oligoarthriti* OR "joint inflammation" OR (psoria* adj3 arthropath*))) OR (title:(psoria* OR rheumatoid OR osteoarthr* OR osteophytosis OR spondylarthropath* OR ankylosing) OR abstract:(psoria* OR rheumatoid OR osteoarthr* OR osteophytosis OR spondylarthropath* OR ankylosing)) AND (title:(magnesium OR mg) OR abstract:(magnesium OR mg))))</w:t>
            </w:r>
          </w:p>
        </w:tc>
      </w:tr>
      <w:tr w:rsidR="001527F1" w:rsidRPr="00C66AD1" w14:paraId="037B706C" w14:textId="77777777" w:rsidTr="00047995">
        <w:tc>
          <w:tcPr>
            <w:tcW w:w="2331" w:type="dxa"/>
            <w:vMerge/>
          </w:tcPr>
          <w:p w14:paraId="1EA69315" w14:textId="77777777" w:rsidR="001527F1" w:rsidRPr="00C66AD1" w:rsidRDefault="001527F1" w:rsidP="00047995">
            <w:pPr>
              <w:tabs>
                <w:tab w:val="center" w:pos="866"/>
                <w:tab w:val="right" w:pos="1732"/>
              </w:tabs>
              <w:rPr>
                <w:rFonts w:ascii="Aptos" w:hAnsi="Aptos"/>
                <w:sz w:val="18"/>
                <w:szCs w:val="18"/>
              </w:rPr>
            </w:pPr>
          </w:p>
        </w:tc>
        <w:tc>
          <w:tcPr>
            <w:tcW w:w="7020" w:type="dxa"/>
          </w:tcPr>
          <w:p w14:paraId="463399F1" w14:textId="77777777" w:rsidR="001527F1" w:rsidRDefault="001527F1" w:rsidP="00047995">
            <w:pPr>
              <w:spacing w:after="120"/>
              <w:rPr>
                <w:rFonts w:ascii="Aptos" w:hAnsi="Aptos"/>
                <w:sz w:val="18"/>
                <w:szCs w:val="18"/>
              </w:rPr>
            </w:pPr>
            <w:r>
              <w:rPr>
                <w:rFonts w:ascii="Aptos" w:hAnsi="Aptos"/>
                <w:sz w:val="18"/>
                <w:szCs w:val="18"/>
              </w:rPr>
              <w:t>AMED</w:t>
            </w:r>
          </w:p>
          <w:p w14:paraId="776547AB" w14:textId="0F7CE91F" w:rsidR="001527F1" w:rsidRPr="00C66AD1" w:rsidRDefault="001527F1" w:rsidP="00047995">
            <w:pPr>
              <w:spacing w:after="120"/>
              <w:rPr>
                <w:rFonts w:ascii="Aptos" w:hAnsi="Aptos"/>
                <w:sz w:val="18"/>
                <w:szCs w:val="18"/>
              </w:rPr>
            </w:pPr>
            <w:r w:rsidRPr="001527F1">
              <w:rPr>
                <w:rFonts w:ascii="Aptos" w:hAnsi="Aptos"/>
                <w:sz w:val="18"/>
                <w:szCs w:val="18"/>
              </w:rPr>
              <w:t>magnesium AND (arthriti* OR polyarthr* OR arthrochondriti* OR arthrosynoviti* OR oligoarthriti* OR (joint AND inflammation) OR (arthritis AND psoriatic) OR (psoria* AND arthropath*) OR (psoria* AND rheumatism) OR (arthriti* AND psoriasis) OR rheum* OR caplan* OR felty* OR (inflammatory AND arthr*) OR gout OR osteoarthr* OR arthritid* OR (degenerative AND joint) OR arthros* OR coxartheros* OR coxarthros* OR (malum AND coxae AND senilis) OR gonarthr* OR spondyl*s OR (barre AND lieou) OR (brachialgia AND paraesthetica AND nocturna) OR (neri AND barre) OR osteophyt* OR (posterior AND cervical AND sympathetic) OR spondylarthros* OR spondyloarthros* OR (vertebral AND artery AND syndrome) OR periarthr* OR sacroiliitis OR sacroiliitide* OR sacroileitis OR spondylarthriti* OR spondylarthropath* OR arthropath* OR bechterew* OR (inflammatory AND joint) OR sacro-iliitis)  AND ((systematic and review) or (living and review) or (rapid and review) or meta*analysis or meta*review or overview).mp</w:t>
            </w:r>
          </w:p>
        </w:tc>
      </w:tr>
      <w:tr w:rsidR="00047995" w:rsidRPr="00C66AD1" w14:paraId="17D94A83" w14:textId="77777777" w:rsidTr="00047995">
        <w:trPr>
          <w:trHeight w:val="5201"/>
        </w:trPr>
        <w:tc>
          <w:tcPr>
            <w:tcW w:w="2331" w:type="dxa"/>
            <w:vMerge/>
          </w:tcPr>
          <w:p w14:paraId="16BA5F6D"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5D40A7B9" w14:textId="1445BD32" w:rsidR="00047995" w:rsidRDefault="00047995" w:rsidP="00047995">
            <w:pPr>
              <w:spacing w:after="120"/>
              <w:rPr>
                <w:rFonts w:ascii="Aptos" w:hAnsi="Aptos"/>
                <w:sz w:val="18"/>
                <w:szCs w:val="18"/>
              </w:rPr>
            </w:pPr>
            <w:r w:rsidRPr="00B742DF">
              <w:rPr>
                <w:rFonts w:ascii="Aptos" w:hAnsi="Aptos"/>
                <w:sz w:val="18"/>
                <w:szCs w:val="18"/>
              </w:rPr>
              <w:t>Ovid Emcare &lt;1995 to 2023 Week 16&gt;</w:t>
            </w:r>
          </w:p>
          <w:p w14:paraId="5C7D44BC" w14:textId="77777777" w:rsidR="00047995" w:rsidRPr="00D435E5" w:rsidRDefault="00047995" w:rsidP="00047995">
            <w:pPr>
              <w:rPr>
                <w:rFonts w:ascii="Aptos" w:hAnsi="Aptos"/>
                <w:sz w:val="18"/>
                <w:szCs w:val="18"/>
              </w:rPr>
            </w:pPr>
            <w:r w:rsidRPr="00D435E5">
              <w:rPr>
                <w:rFonts w:ascii="Aptos" w:hAnsi="Aptos"/>
                <w:sz w:val="18"/>
                <w:szCs w:val="18"/>
              </w:rPr>
              <w:t>1. arthritis.mp. or exp arthritis/ or arthriti*.mp. or polyarthritis.mp. or exp polyarthritis/ or polyarthriti*.mp. or arthrochondritis.mp. or arthrosynovitis.mp. or oligoarthritis.mp. or (joint and inflammation).mp. or arthropath*.mp. or rheumatism.mp. or rheum*.mp. or caplan*.mp. or exp Felty syndrome/ or felty*.mp. or gout.mp. or exp gout/ or osteoarthritis.mp. or exp osteoarthritis/ or osteoarthriti*.mp. or arthritid*.mp. or (degenerative and joint).mp. or arthros*.mp. or coxarthros*.mp. or (malum and coxae and senilis).mp. or gonarthr*.mp. or (barre and lieou).mp. or (brachialgia and paraesthetica and nocturna).mp. or (neri and barre).mp. or osteophyte.mp. or exp osteophyte/ or spondylarthropathy.mp. or exp spondyloarthropathy/ or exp arthropathy/ or arthropathy.mp. or exp ankylosing spondylitis/ or bechterew*.mp. or exp sacroiliitis/ or sacro-iliitis.mp. or sacroiliitis.mp. or (posterior and cervical and sympathetic).mp. or (vertebral and artery and syndrome).mp. or exp periarthritis/ or periarthritis.mp. or sacroileitis.mp. or exp sacroiliitis/</w:t>
            </w:r>
          </w:p>
          <w:p w14:paraId="4CC2B677" w14:textId="77777777" w:rsidR="00047995" w:rsidRPr="00D435E5" w:rsidRDefault="00047995" w:rsidP="00047995">
            <w:pPr>
              <w:rPr>
                <w:rFonts w:ascii="Aptos" w:hAnsi="Aptos"/>
                <w:sz w:val="18"/>
                <w:szCs w:val="18"/>
              </w:rPr>
            </w:pPr>
            <w:r w:rsidRPr="00D435E5">
              <w:rPr>
                <w:rFonts w:ascii="Aptos" w:hAnsi="Aptos"/>
                <w:sz w:val="18"/>
                <w:szCs w:val="18"/>
              </w:rPr>
              <w:t>2. magnesium.mp. or exp magnesium/</w:t>
            </w:r>
          </w:p>
          <w:p w14:paraId="64DEC8B9" w14:textId="77777777" w:rsidR="00047995" w:rsidRPr="00D435E5" w:rsidRDefault="00047995" w:rsidP="00047995">
            <w:pPr>
              <w:rPr>
                <w:rFonts w:ascii="Aptos" w:hAnsi="Aptos"/>
                <w:sz w:val="18"/>
                <w:szCs w:val="18"/>
              </w:rPr>
            </w:pPr>
            <w:r w:rsidRPr="00D435E5">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51C744B6" w14:textId="77777777" w:rsidR="00047995" w:rsidRPr="00D435E5" w:rsidRDefault="00047995" w:rsidP="00047995">
            <w:pPr>
              <w:rPr>
                <w:rFonts w:ascii="Aptos" w:hAnsi="Aptos"/>
                <w:sz w:val="18"/>
                <w:szCs w:val="18"/>
              </w:rPr>
            </w:pPr>
            <w:r w:rsidRPr="00D435E5">
              <w:rPr>
                <w:rFonts w:ascii="Aptos" w:hAnsi="Aptos"/>
                <w:sz w:val="18"/>
                <w:szCs w:val="18"/>
              </w:rPr>
              <w:t>4. 1 and 2 and 3</w:t>
            </w:r>
          </w:p>
          <w:p w14:paraId="06EB9C56" w14:textId="3BC3DF10" w:rsidR="00047995" w:rsidRPr="00C66AD1" w:rsidRDefault="00047995" w:rsidP="00047995">
            <w:pPr>
              <w:rPr>
                <w:rFonts w:ascii="Aptos" w:hAnsi="Aptos"/>
                <w:sz w:val="18"/>
                <w:szCs w:val="18"/>
              </w:rPr>
            </w:pPr>
            <w:r w:rsidRPr="00D435E5">
              <w:rPr>
                <w:rFonts w:ascii="Aptos" w:hAnsi="Aptos"/>
                <w:sz w:val="18"/>
                <w:szCs w:val="18"/>
              </w:rPr>
              <w:t>5. limit 4 to human</w:t>
            </w:r>
          </w:p>
        </w:tc>
      </w:tr>
      <w:tr w:rsidR="00047995" w:rsidRPr="00C66AD1" w14:paraId="26E34D4B" w14:textId="77777777" w:rsidTr="00047995">
        <w:tc>
          <w:tcPr>
            <w:tcW w:w="2331" w:type="dxa"/>
            <w:vMerge/>
          </w:tcPr>
          <w:p w14:paraId="060C5112"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218ECBF9"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7E33DE47" w14:textId="77777777" w:rsidR="00047995" w:rsidRPr="00C66AD1" w:rsidRDefault="00047995" w:rsidP="00047995">
            <w:pPr>
              <w:spacing w:after="120"/>
              <w:rPr>
                <w:rFonts w:ascii="Aptos" w:hAnsi="Aptos"/>
                <w:sz w:val="18"/>
                <w:szCs w:val="18"/>
              </w:rPr>
            </w:pPr>
            <w:r w:rsidRPr="00C66AD1">
              <w:rPr>
                <w:rFonts w:ascii="Aptos" w:hAnsi="Aptos"/>
                <w:sz w:val="18"/>
                <w:szCs w:val="18"/>
              </w:rPr>
              <w:t>((MeSH DESCRIPTOR Joint Diseases EXPLODE ALL TREES) OR arthrit* OR polyarthriti* OR arthrochondriti* OR arthrosynovitis OR oligoarthriti* OR "joint inflammation" OR ankylosing OR spondylarthropath* OR osteoarthrit* OR rheumatoid OR osteoarthr* OR psoria* OR osteophytosis) AND ((MeSH DESCRIPTOR Magnesium EXPLODE ALL TREES OR magnesium OR mg*)</w:t>
            </w:r>
          </w:p>
        </w:tc>
      </w:tr>
      <w:tr w:rsidR="00047995" w:rsidRPr="00C66AD1" w14:paraId="2731E51D" w14:textId="77777777" w:rsidTr="00047995">
        <w:tc>
          <w:tcPr>
            <w:tcW w:w="2331" w:type="dxa"/>
            <w:vMerge/>
          </w:tcPr>
          <w:p w14:paraId="791907B1"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5048FC26"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1AFE188C"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21006510"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000F748E" w14:textId="77777777" w:rsidTr="00047995">
        <w:tc>
          <w:tcPr>
            <w:tcW w:w="2331" w:type="dxa"/>
            <w:vMerge w:val="restart"/>
          </w:tcPr>
          <w:p w14:paraId="402F5C42"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lastRenderedPageBreak/>
              <w:t>12. Hypertension and omega-3</w:t>
            </w:r>
          </w:p>
          <w:p w14:paraId="73F317D4" w14:textId="77777777" w:rsidR="00047995" w:rsidRPr="00C66AD1" w:rsidRDefault="00047995" w:rsidP="00047995">
            <w:pPr>
              <w:tabs>
                <w:tab w:val="center" w:pos="866"/>
                <w:tab w:val="right" w:pos="1732"/>
              </w:tabs>
              <w:rPr>
                <w:rFonts w:ascii="Aptos" w:hAnsi="Aptos"/>
                <w:sz w:val="18"/>
                <w:szCs w:val="18"/>
              </w:rPr>
            </w:pPr>
          </w:p>
          <w:p w14:paraId="4FE627A3"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Conducted 21/04/2023</w:t>
            </w:r>
          </w:p>
        </w:tc>
        <w:tc>
          <w:tcPr>
            <w:tcW w:w="7020" w:type="dxa"/>
          </w:tcPr>
          <w:p w14:paraId="4B8B695D"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Epistemonikos</w:t>
            </w:r>
          </w:p>
          <w:p w14:paraId="3E55E3C3" w14:textId="77777777" w:rsidR="00047995" w:rsidRPr="00C66AD1" w:rsidRDefault="00047995" w:rsidP="00047995">
            <w:pPr>
              <w:spacing w:after="120"/>
              <w:rPr>
                <w:rFonts w:ascii="Aptos" w:hAnsi="Aptos"/>
                <w:sz w:val="18"/>
                <w:szCs w:val="18"/>
              </w:rPr>
            </w:pPr>
            <w:r w:rsidRPr="00C66AD1">
              <w:rPr>
                <w:rFonts w:ascii="Aptos" w:hAnsi="Aptos"/>
                <w:sz w:val="18"/>
                <w:szCs w:val="18"/>
              </w:rPr>
              <w:t>(title:(Fatty acid* OR omega-3* OR fish oil* OR linolen* OR eicosapent*enoic* OR docosapent*enoic* OR docosahex?enoic* OR hexadecatrienoic* OR stearidonic* OR eicosatrienoic* OR eicosatetr*enoic* OR icosatrienoic* OR icosapent*enoic* OR icosatetr*enoic* OR heneicosapent*enoic* OR tetracosapent*enoic* OR tetracosahex*enoic*) OR advanced_abstract_en:(Fatty acid* OR omega-3* OR fish oil* OR linolen* OR eicosapent*enoic* OR docosapent*enoic*.mp. OR docosahex?enoic* OR hexadecatrienoic* OR stearidonic* OR eicosatrienoic* OR eicosatetr*enoic* OR icosatrienoic* OR icosapent*enoic* OR icosatetr*enoic* OR heneicosapent*enoic* OR tetracosapent*enoic* OR tetracosahex*enoic*) OR abstract:(Fatty acid* OR omega-3* OR fish oil* OR linolen* OR eicosapent*enoic* OR docosapent*enoic*.mp. OR docosahex?enoic* OR hexadecatrienoic* OR stearidonic* OR eicosatrienoic* OR eicosatetr*enoic* OR icosatrienoic* OR icosapent*enoic* OR icosatetr*enoic* OR heneicosapent*enoic* OR tetracosapent*enoic* OR tetracosahex*enoic*) OR advanced_abstract_en:(Fatty acid* OR omega-3* OR fish oil* OR linolen* OR eicosapent*enoic* OR docosapent*enoic*.mp. OR docosahex?enoic* OR hexadecatrienoic* OR stearidonic* OR eicosatrienoic* OR eicosatetr*enoic* OR icosatrienoic* OR icosapent*enoic* OR icosatetr*enoic* OR heneicosapent*enoic* OR tetracosapent*enoic* OR tetracosahex*enoic*)) AND (title:(hyperten* OR HTN OR pre-hyptertens* OR prehypertens* OR anti-hypertens* OR antihypertens* OR (blood AND pressure) OR (arterial AND pressure) OR (systolic AND pressure) OR (diastolic AND pressure) OR bp OR dbp OR sbp) OR abstract:(hyperten* OR HTN OR pre-hyptertens* OR prehypertens* OR anti-hypertens* OR antihypertens* OR (blood AND pressure) OR (arterial AND pressure) OR (systolic AND pressure) OR (diastolic AND pressure) OR bp OR dbp OR sbp))</w:t>
            </w:r>
          </w:p>
        </w:tc>
      </w:tr>
      <w:tr w:rsidR="002677F5" w:rsidRPr="00C66AD1" w14:paraId="500FF4AB" w14:textId="77777777" w:rsidTr="00047995">
        <w:tc>
          <w:tcPr>
            <w:tcW w:w="2331" w:type="dxa"/>
            <w:vMerge/>
          </w:tcPr>
          <w:p w14:paraId="788B4A4F" w14:textId="77777777" w:rsidR="002677F5" w:rsidRPr="00C66AD1" w:rsidRDefault="002677F5" w:rsidP="00047995">
            <w:pPr>
              <w:tabs>
                <w:tab w:val="center" w:pos="866"/>
                <w:tab w:val="right" w:pos="1732"/>
              </w:tabs>
              <w:rPr>
                <w:rFonts w:ascii="Aptos" w:hAnsi="Aptos"/>
                <w:sz w:val="18"/>
                <w:szCs w:val="18"/>
              </w:rPr>
            </w:pPr>
          </w:p>
        </w:tc>
        <w:tc>
          <w:tcPr>
            <w:tcW w:w="7020" w:type="dxa"/>
          </w:tcPr>
          <w:p w14:paraId="53A8FD20" w14:textId="77777777" w:rsidR="002677F5" w:rsidRDefault="002677F5" w:rsidP="00047995">
            <w:pPr>
              <w:spacing w:after="120"/>
              <w:rPr>
                <w:rFonts w:ascii="Aptos" w:hAnsi="Aptos"/>
                <w:sz w:val="18"/>
                <w:szCs w:val="18"/>
              </w:rPr>
            </w:pPr>
            <w:r>
              <w:rPr>
                <w:rFonts w:ascii="Aptos" w:hAnsi="Aptos"/>
                <w:sz w:val="18"/>
                <w:szCs w:val="18"/>
              </w:rPr>
              <w:t>AMED</w:t>
            </w:r>
          </w:p>
          <w:p w14:paraId="12AE9ED4" w14:textId="33C9AEB8" w:rsidR="002677F5" w:rsidRPr="00C66AD1" w:rsidRDefault="002677F5" w:rsidP="00047995">
            <w:pPr>
              <w:spacing w:after="120"/>
              <w:rPr>
                <w:rFonts w:ascii="Aptos" w:hAnsi="Aptos"/>
                <w:sz w:val="18"/>
                <w:szCs w:val="18"/>
              </w:rPr>
            </w:pPr>
            <w:r w:rsidRPr="002677F5">
              <w:rPr>
                <w:rFonts w:ascii="Aptos" w:hAnsi="Aptos"/>
                <w:sz w:val="18"/>
                <w:szCs w:val="18"/>
              </w:rPr>
              <w:t>(hyperten* OR HTN OR pre-hyptertens* OR prehypertens* OR anti-hypertens* OR antihypertens* OR (blood AND pressure) OR (arterial AND pressure) OR (systolic AND pressure) OR (diastolic AND pressure) OR bp OR dbp OR sbp) AND (Fatty acid* or omega-3* or fish oil* or linolen* or eicosapent*enoic* or docosapent*enoic* or docosahex?enoic* or hexadecatrienoic* or stearidonic* or eicosatrienoic* or eicosatetr*enoic* or icosatrienoic* or icosapent*enoic* or icosatetr*enoic* or heneicosapent*enoic* or tetracosapent*enoic* or tetracosahex*enoic*) AND ((systematic and review) or (living and review) or (rapid and review) or meta*analysis or meta*review or overview).mp</w:t>
            </w:r>
          </w:p>
        </w:tc>
      </w:tr>
      <w:tr w:rsidR="00047995" w:rsidRPr="00C66AD1" w14:paraId="7A649087" w14:textId="77777777" w:rsidTr="00047995">
        <w:trPr>
          <w:trHeight w:val="5950"/>
        </w:trPr>
        <w:tc>
          <w:tcPr>
            <w:tcW w:w="2331" w:type="dxa"/>
            <w:vMerge/>
          </w:tcPr>
          <w:p w14:paraId="6BF70E5A"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69BEF0EC" w14:textId="49887E26" w:rsidR="00047995" w:rsidRDefault="00047995" w:rsidP="00047995">
            <w:pPr>
              <w:spacing w:after="120"/>
              <w:rPr>
                <w:rFonts w:ascii="Aptos" w:hAnsi="Aptos"/>
                <w:sz w:val="18"/>
                <w:szCs w:val="18"/>
              </w:rPr>
            </w:pPr>
            <w:r w:rsidRPr="00E90FDB">
              <w:rPr>
                <w:rFonts w:ascii="Aptos" w:hAnsi="Aptos"/>
                <w:sz w:val="18"/>
                <w:szCs w:val="18"/>
              </w:rPr>
              <w:t>Ovid Emcare &lt;1995 to 2023 Week 16&gt;</w:t>
            </w:r>
          </w:p>
          <w:p w14:paraId="78919B97" w14:textId="77777777" w:rsidR="00047995" w:rsidRPr="00A93F28" w:rsidRDefault="00047995" w:rsidP="00047995">
            <w:pPr>
              <w:rPr>
                <w:rFonts w:ascii="Aptos" w:hAnsi="Aptos"/>
                <w:sz w:val="18"/>
                <w:szCs w:val="18"/>
              </w:rPr>
            </w:pPr>
            <w:r w:rsidRPr="00A93F28">
              <w:rPr>
                <w:rFonts w:ascii="Aptos" w:hAnsi="Aptos"/>
                <w:sz w:val="18"/>
                <w:szCs w:val="18"/>
              </w:rPr>
              <w:t>1. exp hypertension/ or hypertens*.mp.</w:t>
            </w:r>
          </w:p>
          <w:p w14:paraId="050AE127" w14:textId="77777777" w:rsidR="00047995" w:rsidRPr="00A93F28" w:rsidRDefault="00047995" w:rsidP="00047995">
            <w:pPr>
              <w:rPr>
                <w:rFonts w:ascii="Aptos" w:hAnsi="Aptos"/>
                <w:sz w:val="18"/>
                <w:szCs w:val="18"/>
              </w:rPr>
            </w:pPr>
            <w:r w:rsidRPr="00A93F28">
              <w:rPr>
                <w:rFonts w:ascii="Aptos" w:hAnsi="Aptos"/>
                <w:sz w:val="18"/>
                <w:szCs w:val="18"/>
              </w:rPr>
              <w:t>2. high blood pressure.mp.</w:t>
            </w:r>
          </w:p>
          <w:p w14:paraId="0D6C3ADC" w14:textId="77777777" w:rsidR="00047995" w:rsidRPr="00A93F28" w:rsidRDefault="00047995" w:rsidP="00047995">
            <w:pPr>
              <w:rPr>
                <w:rFonts w:ascii="Aptos" w:hAnsi="Aptos"/>
                <w:sz w:val="18"/>
                <w:szCs w:val="18"/>
              </w:rPr>
            </w:pPr>
            <w:r w:rsidRPr="00A93F28">
              <w:rPr>
                <w:rFonts w:ascii="Aptos" w:hAnsi="Aptos"/>
                <w:sz w:val="18"/>
                <w:szCs w:val="18"/>
              </w:rPr>
              <w:t>3. exp pre hypertension/</w:t>
            </w:r>
          </w:p>
          <w:p w14:paraId="0C1ACB6A" w14:textId="77777777" w:rsidR="00047995" w:rsidRPr="00A93F28" w:rsidRDefault="00047995" w:rsidP="00047995">
            <w:pPr>
              <w:rPr>
                <w:rFonts w:ascii="Aptos" w:hAnsi="Aptos"/>
                <w:sz w:val="18"/>
                <w:szCs w:val="18"/>
              </w:rPr>
            </w:pPr>
            <w:r w:rsidRPr="00A93F28">
              <w:rPr>
                <w:rFonts w:ascii="Aptos" w:hAnsi="Aptos"/>
                <w:sz w:val="18"/>
                <w:szCs w:val="18"/>
              </w:rPr>
              <w:t>4. exp prehypertension/</w:t>
            </w:r>
          </w:p>
          <w:p w14:paraId="7AFA4B8A" w14:textId="77777777" w:rsidR="00047995" w:rsidRPr="00A93F28" w:rsidRDefault="00047995" w:rsidP="00047995">
            <w:pPr>
              <w:rPr>
                <w:rFonts w:ascii="Aptos" w:hAnsi="Aptos"/>
                <w:sz w:val="18"/>
                <w:szCs w:val="18"/>
              </w:rPr>
            </w:pPr>
            <w:r w:rsidRPr="00A93F28">
              <w:rPr>
                <w:rFonts w:ascii="Aptos" w:hAnsi="Aptos"/>
                <w:sz w:val="18"/>
                <w:szCs w:val="18"/>
              </w:rPr>
              <w:t>5. pre-hypertensi*.mp.</w:t>
            </w:r>
          </w:p>
          <w:p w14:paraId="6F30E983" w14:textId="77777777" w:rsidR="00047995" w:rsidRPr="00A93F28" w:rsidRDefault="00047995" w:rsidP="00047995">
            <w:pPr>
              <w:rPr>
                <w:rFonts w:ascii="Aptos" w:hAnsi="Aptos"/>
                <w:sz w:val="18"/>
                <w:szCs w:val="18"/>
              </w:rPr>
            </w:pPr>
            <w:r w:rsidRPr="00A93F28">
              <w:rPr>
                <w:rFonts w:ascii="Aptos" w:hAnsi="Aptos"/>
                <w:sz w:val="18"/>
                <w:szCs w:val="18"/>
              </w:rPr>
              <w:t>6. prehypertens*.mp.</w:t>
            </w:r>
          </w:p>
          <w:p w14:paraId="427B3483" w14:textId="77777777" w:rsidR="00047995" w:rsidRPr="00A93F28" w:rsidRDefault="00047995" w:rsidP="00047995">
            <w:pPr>
              <w:rPr>
                <w:rFonts w:ascii="Aptos" w:hAnsi="Aptos"/>
                <w:sz w:val="18"/>
                <w:szCs w:val="18"/>
              </w:rPr>
            </w:pPr>
            <w:r w:rsidRPr="00A93F28">
              <w:rPr>
                <w:rFonts w:ascii="Aptos" w:hAnsi="Aptos"/>
                <w:sz w:val="18"/>
                <w:szCs w:val="18"/>
              </w:rPr>
              <w:t>7. exp blood pressure/</w:t>
            </w:r>
          </w:p>
          <w:p w14:paraId="0B9A4B0D" w14:textId="77777777" w:rsidR="00047995" w:rsidRPr="00A93F28" w:rsidRDefault="00047995" w:rsidP="00047995">
            <w:pPr>
              <w:rPr>
                <w:rFonts w:ascii="Aptos" w:hAnsi="Aptos"/>
                <w:sz w:val="18"/>
                <w:szCs w:val="18"/>
              </w:rPr>
            </w:pPr>
            <w:r w:rsidRPr="00A93F28">
              <w:rPr>
                <w:rFonts w:ascii="Aptos" w:hAnsi="Aptos"/>
                <w:sz w:val="18"/>
                <w:szCs w:val="18"/>
              </w:rPr>
              <w:t>8. exp diastolic blood pressure/</w:t>
            </w:r>
          </w:p>
          <w:p w14:paraId="393DF3CF" w14:textId="77777777" w:rsidR="00047995" w:rsidRPr="00A93F28" w:rsidRDefault="00047995" w:rsidP="00047995">
            <w:pPr>
              <w:rPr>
                <w:rFonts w:ascii="Aptos" w:hAnsi="Aptos"/>
                <w:sz w:val="18"/>
                <w:szCs w:val="18"/>
              </w:rPr>
            </w:pPr>
            <w:r w:rsidRPr="00A93F28">
              <w:rPr>
                <w:rFonts w:ascii="Aptos" w:hAnsi="Aptos"/>
                <w:sz w:val="18"/>
                <w:szCs w:val="18"/>
              </w:rPr>
              <w:t>9. exp systolic blood pressure/</w:t>
            </w:r>
          </w:p>
          <w:p w14:paraId="18BF2DFC" w14:textId="77777777" w:rsidR="00047995" w:rsidRPr="00A93F28" w:rsidRDefault="00047995" w:rsidP="00047995">
            <w:pPr>
              <w:rPr>
                <w:rFonts w:ascii="Aptos" w:hAnsi="Aptos"/>
                <w:sz w:val="18"/>
                <w:szCs w:val="18"/>
              </w:rPr>
            </w:pPr>
            <w:r w:rsidRPr="00A93F28">
              <w:rPr>
                <w:rFonts w:ascii="Aptos" w:hAnsi="Aptos"/>
                <w:sz w:val="18"/>
                <w:szCs w:val="18"/>
              </w:rPr>
              <w:t>10. exp blood pressure regulation/</w:t>
            </w:r>
          </w:p>
          <w:p w14:paraId="7953D198" w14:textId="77777777" w:rsidR="00047995" w:rsidRPr="00A93F28" w:rsidRDefault="00047995" w:rsidP="00047995">
            <w:pPr>
              <w:rPr>
                <w:rFonts w:ascii="Aptos" w:hAnsi="Aptos"/>
                <w:sz w:val="18"/>
                <w:szCs w:val="18"/>
              </w:rPr>
            </w:pPr>
            <w:r w:rsidRPr="00A93F28">
              <w:rPr>
                <w:rFonts w:ascii="Aptos" w:hAnsi="Aptos"/>
                <w:sz w:val="18"/>
                <w:szCs w:val="18"/>
              </w:rPr>
              <w:t>11. exp antihypertensive agent/ or antihypertens*.mp. or anti-hypertens*.mp.</w:t>
            </w:r>
          </w:p>
          <w:p w14:paraId="1F9CA523" w14:textId="77777777" w:rsidR="00047995" w:rsidRPr="00A93F28" w:rsidRDefault="00047995" w:rsidP="00047995">
            <w:pPr>
              <w:rPr>
                <w:rFonts w:ascii="Aptos" w:hAnsi="Aptos"/>
                <w:sz w:val="18"/>
                <w:szCs w:val="18"/>
              </w:rPr>
            </w:pPr>
            <w:r w:rsidRPr="00A93F28">
              <w:rPr>
                <w:rFonts w:ascii="Aptos" w:hAnsi="Aptos"/>
                <w:sz w:val="18"/>
                <w:szCs w:val="18"/>
              </w:rPr>
              <w:t>12. (blood and pressure).mp.</w:t>
            </w:r>
          </w:p>
          <w:p w14:paraId="5777FF5D" w14:textId="77777777" w:rsidR="00047995" w:rsidRPr="00A93F28" w:rsidRDefault="00047995" w:rsidP="00047995">
            <w:pPr>
              <w:rPr>
                <w:rFonts w:ascii="Aptos" w:hAnsi="Aptos"/>
                <w:sz w:val="18"/>
                <w:szCs w:val="18"/>
              </w:rPr>
            </w:pPr>
            <w:r w:rsidRPr="00A93F28">
              <w:rPr>
                <w:rFonts w:ascii="Aptos" w:hAnsi="Aptos"/>
                <w:sz w:val="18"/>
                <w:szCs w:val="18"/>
              </w:rPr>
              <w:t>13. exp arterial pressure/ or arterial pressure.mp.</w:t>
            </w:r>
          </w:p>
          <w:p w14:paraId="318C6FD9" w14:textId="77777777" w:rsidR="00047995" w:rsidRPr="00A93F28" w:rsidRDefault="00047995" w:rsidP="00047995">
            <w:pPr>
              <w:rPr>
                <w:rFonts w:ascii="Aptos" w:hAnsi="Aptos"/>
                <w:sz w:val="18"/>
                <w:szCs w:val="18"/>
              </w:rPr>
            </w:pPr>
            <w:r w:rsidRPr="00A93F28">
              <w:rPr>
                <w:rFonts w:ascii="Aptos" w:hAnsi="Aptos"/>
                <w:sz w:val="18"/>
                <w:szCs w:val="18"/>
              </w:rPr>
              <w:t>14. systolic blood pressure.mp.</w:t>
            </w:r>
          </w:p>
          <w:p w14:paraId="73ABA23C" w14:textId="77777777" w:rsidR="00047995" w:rsidRPr="00A93F28" w:rsidRDefault="00047995" w:rsidP="00047995">
            <w:pPr>
              <w:rPr>
                <w:rFonts w:ascii="Aptos" w:hAnsi="Aptos"/>
                <w:sz w:val="18"/>
                <w:szCs w:val="18"/>
              </w:rPr>
            </w:pPr>
            <w:r w:rsidRPr="00A93F28">
              <w:rPr>
                <w:rFonts w:ascii="Aptos" w:hAnsi="Aptos"/>
                <w:sz w:val="18"/>
                <w:szCs w:val="18"/>
              </w:rPr>
              <w:t>15. diastolic blood pressure.mp.</w:t>
            </w:r>
          </w:p>
          <w:p w14:paraId="1A7BBFCD" w14:textId="77777777" w:rsidR="00047995" w:rsidRPr="00A93F28" w:rsidRDefault="00047995" w:rsidP="00047995">
            <w:pPr>
              <w:rPr>
                <w:rFonts w:ascii="Aptos" w:hAnsi="Aptos"/>
                <w:sz w:val="18"/>
                <w:szCs w:val="18"/>
              </w:rPr>
            </w:pPr>
            <w:r w:rsidRPr="00A93F28">
              <w:rPr>
                <w:rFonts w:ascii="Aptos" w:hAnsi="Aptos"/>
                <w:sz w:val="18"/>
                <w:szCs w:val="18"/>
              </w:rPr>
              <w:t>16. bp.ab,ti.</w:t>
            </w:r>
          </w:p>
          <w:p w14:paraId="1879D372" w14:textId="77777777" w:rsidR="00047995" w:rsidRPr="00A93F28" w:rsidRDefault="00047995" w:rsidP="00047995">
            <w:pPr>
              <w:rPr>
                <w:rFonts w:ascii="Aptos" w:hAnsi="Aptos"/>
                <w:sz w:val="18"/>
                <w:szCs w:val="18"/>
              </w:rPr>
            </w:pPr>
            <w:r w:rsidRPr="00A93F28">
              <w:rPr>
                <w:rFonts w:ascii="Aptos" w:hAnsi="Aptos"/>
                <w:sz w:val="18"/>
                <w:szCs w:val="18"/>
              </w:rPr>
              <w:t>17. sbp.ab,ti.</w:t>
            </w:r>
          </w:p>
          <w:p w14:paraId="14B18A31" w14:textId="77777777" w:rsidR="00047995" w:rsidRPr="00A93F28" w:rsidRDefault="00047995" w:rsidP="00047995">
            <w:pPr>
              <w:rPr>
                <w:rFonts w:ascii="Aptos" w:hAnsi="Aptos"/>
                <w:sz w:val="18"/>
                <w:szCs w:val="18"/>
              </w:rPr>
            </w:pPr>
            <w:r w:rsidRPr="00A93F28">
              <w:rPr>
                <w:rFonts w:ascii="Aptos" w:hAnsi="Aptos"/>
                <w:sz w:val="18"/>
                <w:szCs w:val="18"/>
              </w:rPr>
              <w:t>18. dbp.ab,ti.</w:t>
            </w:r>
          </w:p>
          <w:p w14:paraId="7A0F421A" w14:textId="77777777" w:rsidR="00047995" w:rsidRPr="00A93F28" w:rsidRDefault="00047995" w:rsidP="00047995">
            <w:pPr>
              <w:rPr>
                <w:rFonts w:ascii="Aptos" w:hAnsi="Aptos"/>
                <w:sz w:val="18"/>
                <w:szCs w:val="18"/>
              </w:rPr>
            </w:pPr>
            <w:r w:rsidRPr="00A93F28">
              <w:rPr>
                <w:rFonts w:ascii="Aptos" w:hAnsi="Aptos"/>
                <w:sz w:val="18"/>
                <w:szCs w:val="18"/>
              </w:rPr>
              <w:t>19. exp fatty acid/ or fatty acid.mp.</w:t>
            </w:r>
          </w:p>
          <w:p w14:paraId="3667EA83" w14:textId="77777777" w:rsidR="00047995" w:rsidRPr="00A93F28" w:rsidRDefault="00047995" w:rsidP="00047995">
            <w:pPr>
              <w:rPr>
                <w:rFonts w:ascii="Aptos" w:hAnsi="Aptos"/>
                <w:sz w:val="18"/>
                <w:szCs w:val="18"/>
              </w:rPr>
            </w:pPr>
            <w:r w:rsidRPr="00A93F28">
              <w:rPr>
                <w:rFonts w:ascii="Aptos" w:hAnsi="Aptos"/>
                <w:sz w:val="18"/>
                <w:szCs w:val="18"/>
              </w:rPr>
              <w:t>20. (fatty adj2 acid*).mp.</w:t>
            </w:r>
          </w:p>
          <w:p w14:paraId="4B9C8239" w14:textId="77777777" w:rsidR="00047995" w:rsidRPr="00A93F28" w:rsidRDefault="00047995" w:rsidP="00047995">
            <w:pPr>
              <w:rPr>
                <w:rFonts w:ascii="Aptos" w:hAnsi="Aptos"/>
                <w:sz w:val="18"/>
                <w:szCs w:val="18"/>
              </w:rPr>
            </w:pPr>
            <w:r w:rsidRPr="00A93F28">
              <w:rPr>
                <w:rFonts w:ascii="Aptos" w:hAnsi="Aptos"/>
                <w:sz w:val="18"/>
                <w:szCs w:val="18"/>
              </w:rPr>
              <w:t>21. fish oil.mp. or exp fish oil/</w:t>
            </w:r>
          </w:p>
          <w:p w14:paraId="4E3CAE5B" w14:textId="77777777" w:rsidR="00047995" w:rsidRPr="00A93F28" w:rsidRDefault="00047995" w:rsidP="00047995">
            <w:pPr>
              <w:rPr>
                <w:rFonts w:ascii="Aptos" w:hAnsi="Aptos"/>
                <w:sz w:val="18"/>
                <w:szCs w:val="18"/>
              </w:rPr>
            </w:pPr>
            <w:r w:rsidRPr="00A93F28">
              <w:rPr>
                <w:rFonts w:ascii="Aptos" w:hAnsi="Aptos"/>
                <w:sz w:val="18"/>
                <w:szCs w:val="18"/>
              </w:rPr>
              <w:t>22. exp docosahexaenoic acid/ or exp omega 3 fatty acid/ or omega 3.mp.</w:t>
            </w:r>
          </w:p>
          <w:p w14:paraId="08F9B73F" w14:textId="77777777" w:rsidR="00047995" w:rsidRPr="00A93F28" w:rsidRDefault="00047995" w:rsidP="00047995">
            <w:pPr>
              <w:rPr>
                <w:rFonts w:ascii="Aptos" w:hAnsi="Aptos"/>
                <w:sz w:val="18"/>
                <w:szCs w:val="18"/>
              </w:rPr>
            </w:pPr>
            <w:r w:rsidRPr="00A93F28">
              <w:rPr>
                <w:rFonts w:ascii="Aptos" w:hAnsi="Aptos"/>
                <w:sz w:val="18"/>
                <w:szCs w:val="18"/>
              </w:rPr>
              <w:t>23. omega*.mp.</w:t>
            </w:r>
          </w:p>
          <w:p w14:paraId="6EF7ABB9" w14:textId="77777777" w:rsidR="00047995" w:rsidRPr="00A93F28" w:rsidRDefault="00047995" w:rsidP="00047995">
            <w:pPr>
              <w:rPr>
                <w:rFonts w:ascii="Aptos" w:hAnsi="Aptos"/>
                <w:sz w:val="18"/>
                <w:szCs w:val="18"/>
              </w:rPr>
            </w:pPr>
            <w:r w:rsidRPr="00A93F28">
              <w:rPr>
                <w:rFonts w:ascii="Aptos" w:hAnsi="Aptos"/>
                <w:sz w:val="18"/>
                <w:szCs w:val="18"/>
              </w:rPr>
              <w:t>24. exp fish/ and exp oil/</w:t>
            </w:r>
          </w:p>
          <w:p w14:paraId="2E83CF1F" w14:textId="77777777" w:rsidR="00047995" w:rsidRPr="00A93F28" w:rsidRDefault="00047995" w:rsidP="00047995">
            <w:pPr>
              <w:rPr>
                <w:rFonts w:ascii="Aptos" w:hAnsi="Aptos"/>
                <w:sz w:val="18"/>
                <w:szCs w:val="18"/>
              </w:rPr>
            </w:pPr>
            <w:r w:rsidRPr="00A93F28">
              <w:rPr>
                <w:rFonts w:ascii="Aptos" w:hAnsi="Aptos"/>
                <w:sz w:val="18"/>
                <w:szCs w:val="18"/>
              </w:rPr>
              <w:t>25. exp linolenic acid/</w:t>
            </w:r>
          </w:p>
          <w:p w14:paraId="11AD95EE" w14:textId="77777777" w:rsidR="00047995" w:rsidRPr="00A93F28" w:rsidRDefault="00047995" w:rsidP="00047995">
            <w:pPr>
              <w:rPr>
                <w:rFonts w:ascii="Aptos" w:hAnsi="Aptos"/>
                <w:sz w:val="18"/>
                <w:szCs w:val="18"/>
              </w:rPr>
            </w:pPr>
            <w:r w:rsidRPr="00A93F28">
              <w:rPr>
                <w:rFonts w:ascii="Aptos" w:hAnsi="Aptos"/>
                <w:sz w:val="18"/>
                <w:szCs w:val="18"/>
              </w:rPr>
              <w:lastRenderedPageBreak/>
              <w:t>26. linolen*.mp.</w:t>
            </w:r>
          </w:p>
          <w:p w14:paraId="4B5D91BE" w14:textId="77777777" w:rsidR="00047995" w:rsidRPr="00A93F28" w:rsidRDefault="00047995" w:rsidP="00047995">
            <w:pPr>
              <w:rPr>
                <w:rFonts w:ascii="Aptos" w:hAnsi="Aptos"/>
                <w:sz w:val="18"/>
                <w:szCs w:val="18"/>
              </w:rPr>
            </w:pPr>
            <w:r w:rsidRPr="00A93F28">
              <w:rPr>
                <w:rFonts w:ascii="Aptos" w:hAnsi="Aptos"/>
                <w:sz w:val="18"/>
                <w:szCs w:val="18"/>
              </w:rPr>
              <w:t>27. exp icosapentaenoic acid/</w:t>
            </w:r>
          </w:p>
          <w:p w14:paraId="5FAD0E66" w14:textId="77777777" w:rsidR="00047995" w:rsidRPr="00A93F28" w:rsidRDefault="00047995" w:rsidP="00047995">
            <w:pPr>
              <w:rPr>
                <w:rFonts w:ascii="Aptos" w:hAnsi="Aptos"/>
                <w:sz w:val="18"/>
                <w:szCs w:val="18"/>
              </w:rPr>
            </w:pPr>
            <w:r w:rsidRPr="00A93F28">
              <w:rPr>
                <w:rFonts w:ascii="Aptos" w:hAnsi="Aptos"/>
                <w:sz w:val="18"/>
                <w:szCs w:val="18"/>
              </w:rPr>
              <w:t>28. icosapentaen*.mp.</w:t>
            </w:r>
          </w:p>
          <w:p w14:paraId="0D0E39DF" w14:textId="77777777" w:rsidR="00047995" w:rsidRPr="00A93F28" w:rsidRDefault="00047995" w:rsidP="00047995">
            <w:pPr>
              <w:rPr>
                <w:rFonts w:ascii="Aptos" w:hAnsi="Aptos"/>
                <w:sz w:val="18"/>
                <w:szCs w:val="18"/>
              </w:rPr>
            </w:pPr>
            <w:r w:rsidRPr="00A93F28">
              <w:rPr>
                <w:rFonts w:ascii="Aptos" w:hAnsi="Aptos"/>
                <w:sz w:val="18"/>
                <w:szCs w:val="18"/>
              </w:rPr>
              <w:t>29. eicosapent*.mp.</w:t>
            </w:r>
          </w:p>
          <w:p w14:paraId="75CED92E" w14:textId="77777777" w:rsidR="00047995" w:rsidRPr="00A93F28" w:rsidRDefault="00047995" w:rsidP="00047995">
            <w:pPr>
              <w:rPr>
                <w:rFonts w:ascii="Aptos" w:hAnsi="Aptos"/>
                <w:sz w:val="18"/>
                <w:szCs w:val="18"/>
              </w:rPr>
            </w:pPr>
            <w:r w:rsidRPr="00A93F28">
              <w:rPr>
                <w:rFonts w:ascii="Aptos" w:hAnsi="Aptos"/>
                <w:sz w:val="18"/>
                <w:szCs w:val="18"/>
              </w:rPr>
              <w:t>30. exp docosahexaenoic acid/</w:t>
            </w:r>
          </w:p>
          <w:p w14:paraId="1B6EAA41" w14:textId="77777777" w:rsidR="00047995" w:rsidRPr="00A93F28" w:rsidRDefault="00047995" w:rsidP="00047995">
            <w:pPr>
              <w:rPr>
                <w:rFonts w:ascii="Aptos" w:hAnsi="Aptos"/>
                <w:sz w:val="18"/>
                <w:szCs w:val="18"/>
              </w:rPr>
            </w:pPr>
            <w:r w:rsidRPr="00A93F28">
              <w:rPr>
                <w:rFonts w:ascii="Aptos" w:hAnsi="Aptos"/>
                <w:sz w:val="18"/>
                <w:szCs w:val="18"/>
              </w:rPr>
              <w:t>31. docosahex*.mp.</w:t>
            </w:r>
          </w:p>
          <w:p w14:paraId="7F8652DB" w14:textId="77777777" w:rsidR="00047995" w:rsidRPr="00A93F28" w:rsidRDefault="00047995" w:rsidP="00047995">
            <w:pPr>
              <w:rPr>
                <w:rFonts w:ascii="Aptos" w:hAnsi="Aptos"/>
                <w:sz w:val="18"/>
                <w:szCs w:val="18"/>
              </w:rPr>
            </w:pPr>
            <w:r w:rsidRPr="00A93F28">
              <w:rPr>
                <w:rFonts w:ascii="Aptos" w:hAnsi="Aptos"/>
                <w:sz w:val="18"/>
                <w:szCs w:val="18"/>
              </w:rPr>
              <w:t>32. docosapent*.mp.</w:t>
            </w:r>
          </w:p>
          <w:p w14:paraId="5F259431" w14:textId="77777777" w:rsidR="00047995" w:rsidRPr="00A93F28" w:rsidRDefault="00047995" w:rsidP="00047995">
            <w:pPr>
              <w:rPr>
                <w:rFonts w:ascii="Aptos" w:hAnsi="Aptos"/>
                <w:sz w:val="18"/>
                <w:szCs w:val="18"/>
              </w:rPr>
            </w:pPr>
            <w:r w:rsidRPr="00A93F28">
              <w:rPr>
                <w:rFonts w:ascii="Aptos" w:hAnsi="Aptos"/>
                <w:sz w:val="18"/>
                <w:szCs w:val="18"/>
              </w:rPr>
              <w:t>33. hexadecatrienoic*.mp.</w:t>
            </w:r>
          </w:p>
          <w:p w14:paraId="3FB306B9" w14:textId="77777777" w:rsidR="00047995" w:rsidRPr="00A93F28" w:rsidRDefault="00047995" w:rsidP="00047995">
            <w:pPr>
              <w:rPr>
                <w:rFonts w:ascii="Aptos" w:hAnsi="Aptos"/>
                <w:sz w:val="18"/>
                <w:szCs w:val="18"/>
              </w:rPr>
            </w:pPr>
            <w:r w:rsidRPr="00A93F28">
              <w:rPr>
                <w:rFonts w:ascii="Aptos" w:hAnsi="Aptos"/>
                <w:sz w:val="18"/>
                <w:szCs w:val="18"/>
              </w:rPr>
              <w:t>34. exp omega 3 fatty acid/</w:t>
            </w:r>
          </w:p>
          <w:p w14:paraId="5215C8C3" w14:textId="77777777" w:rsidR="00047995" w:rsidRPr="00A93F28" w:rsidRDefault="00047995" w:rsidP="00047995">
            <w:pPr>
              <w:rPr>
                <w:rFonts w:ascii="Aptos" w:hAnsi="Aptos"/>
                <w:sz w:val="18"/>
                <w:szCs w:val="18"/>
              </w:rPr>
            </w:pPr>
            <w:r w:rsidRPr="00A93F28">
              <w:rPr>
                <w:rFonts w:ascii="Aptos" w:hAnsi="Aptos"/>
                <w:sz w:val="18"/>
                <w:szCs w:val="18"/>
              </w:rPr>
              <w:t>35. exp stearidonic acid/</w:t>
            </w:r>
          </w:p>
          <w:p w14:paraId="28C3CDB6" w14:textId="77777777" w:rsidR="00047995" w:rsidRPr="00A93F28" w:rsidRDefault="00047995" w:rsidP="00047995">
            <w:pPr>
              <w:rPr>
                <w:rFonts w:ascii="Aptos" w:hAnsi="Aptos"/>
                <w:sz w:val="18"/>
                <w:szCs w:val="18"/>
              </w:rPr>
            </w:pPr>
            <w:r w:rsidRPr="00A93F28">
              <w:rPr>
                <w:rFonts w:ascii="Aptos" w:hAnsi="Aptos"/>
                <w:sz w:val="18"/>
                <w:szCs w:val="18"/>
              </w:rPr>
              <w:t>36. stearidonic*.mp.</w:t>
            </w:r>
          </w:p>
          <w:p w14:paraId="7AB79608" w14:textId="77777777" w:rsidR="00047995" w:rsidRPr="00A93F28" w:rsidRDefault="00047995" w:rsidP="00047995">
            <w:pPr>
              <w:rPr>
                <w:rFonts w:ascii="Aptos" w:hAnsi="Aptos"/>
                <w:sz w:val="18"/>
                <w:szCs w:val="18"/>
              </w:rPr>
            </w:pPr>
            <w:r w:rsidRPr="00A93F28">
              <w:rPr>
                <w:rFonts w:ascii="Aptos" w:hAnsi="Aptos"/>
                <w:sz w:val="18"/>
                <w:szCs w:val="18"/>
              </w:rPr>
              <w:t>37. exp icosatrienoic acid/</w:t>
            </w:r>
          </w:p>
          <w:p w14:paraId="7003A5B8" w14:textId="77777777" w:rsidR="00047995" w:rsidRPr="00A93F28" w:rsidRDefault="00047995" w:rsidP="00047995">
            <w:pPr>
              <w:rPr>
                <w:rFonts w:ascii="Aptos" w:hAnsi="Aptos"/>
                <w:sz w:val="18"/>
                <w:szCs w:val="18"/>
              </w:rPr>
            </w:pPr>
            <w:r w:rsidRPr="00A93F28">
              <w:rPr>
                <w:rFonts w:ascii="Aptos" w:hAnsi="Aptos"/>
                <w:sz w:val="18"/>
                <w:szCs w:val="18"/>
              </w:rPr>
              <w:t>38. eicosat*.mp.</w:t>
            </w:r>
          </w:p>
          <w:p w14:paraId="56F96493" w14:textId="77777777" w:rsidR="00047995" w:rsidRPr="00A93F28" w:rsidRDefault="00047995" w:rsidP="00047995">
            <w:pPr>
              <w:rPr>
                <w:rFonts w:ascii="Aptos" w:hAnsi="Aptos"/>
                <w:sz w:val="18"/>
                <w:szCs w:val="18"/>
              </w:rPr>
            </w:pPr>
            <w:r w:rsidRPr="00A93F28">
              <w:rPr>
                <w:rFonts w:ascii="Aptos" w:hAnsi="Aptos"/>
                <w:sz w:val="18"/>
                <w:szCs w:val="18"/>
              </w:rPr>
              <w:t>39. Alpha-Linolenic Acid.mp.</w:t>
            </w:r>
          </w:p>
          <w:p w14:paraId="3894486C" w14:textId="77777777" w:rsidR="00047995" w:rsidRPr="00A93F28" w:rsidRDefault="00047995" w:rsidP="00047995">
            <w:pPr>
              <w:rPr>
                <w:rFonts w:ascii="Aptos" w:hAnsi="Aptos"/>
                <w:sz w:val="18"/>
                <w:szCs w:val="18"/>
              </w:rPr>
            </w:pPr>
            <w:r w:rsidRPr="00A93F28">
              <w:rPr>
                <w:rFonts w:ascii="Aptos" w:hAnsi="Aptos"/>
                <w:sz w:val="18"/>
                <w:szCs w:val="18"/>
              </w:rPr>
              <w:t>40. Alpha-Linolen*.mp.</w:t>
            </w:r>
          </w:p>
          <w:p w14:paraId="2BAB3C17" w14:textId="77777777" w:rsidR="00047995" w:rsidRPr="00A93F28" w:rsidRDefault="00047995" w:rsidP="00047995">
            <w:pPr>
              <w:rPr>
                <w:rFonts w:ascii="Aptos" w:hAnsi="Aptos"/>
                <w:sz w:val="18"/>
                <w:szCs w:val="18"/>
              </w:rPr>
            </w:pPr>
            <w:r w:rsidRPr="00A93F28">
              <w:rPr>
                <w:rFonts w:ascii="Aptos" w:hAnsi="Aptos"/>
                <w:sz w:val="18"/>
                <w:szCs w:val="18"/>
              </w:rPr>
              <w:t>41. icosatetr*.mp.</w:t>
            </w:r>
          </w:p>
          <w:p w14:paraId="632D0490" w14:textId="77777777" w:rsidR="00047995" w:rsidRPr="00A93F28" w:rsidRDefault="00047995" w:rsidP="00047995">
            <w:pPr>
              <w:rPr>
                <w:rFonts w:ascii="Aptos" w:hAnsi="Aptos"/>
                <w:sz w:val="18"/>
                <w:szCs w:val="18"/>
              </w:rPr>
            </w:pPr>
            <w:r w:rsidRPr="00A93F28">
              <w:rPr>
                <w:rFonts w:ascii="Aptos" w:hAnsi="Aptos"/>
                <w:sz w:val="18"/>
                <w:szCs w:val="18"/>
              </w:rPr>
              <w:t>42. icosapent*.mp.</w:t>
            </w:r>
          </w:p>
          <w:p w14:paraId="5114E9B8" w14:textId="77777777" w:rsidR="00047995" w:rsidRPr="00A93F28" w:rsidRDefault="00047995" w:rsidP="00047995">
            <w:pPr>
              <w:rPr>
                <w:rFonts w:ascii="Aptos" w:hAnsi="Aptos"/>
                <w:sz w:val="18"/>
                <w:szCs w:val="18"/>
              </w:rPr>
            </w:pPr>
            <w:r w:rsidRPr="00A93F28">
              <w:rPr>
                <w:rFonts w:ascii="Aptos" w:hAnsi="Aptos"/>
                <w:sz w:val="18"/>
                <w:szCs w:val="18"/>
              </w:rPr>
              <w:t>43. heneicosapen?tenoic.mp.</w:t>
            </w:r>
          </w:p>
          <w:p w14:paraId="2A5716C8" w14:textId="77777777" w:rsidR="00047995" w:rsidRPr="00A93F28" w:rsidRDefault="00047995" w:rsidP="00047995">
            <w:pPr>
              <w:rPr>
                <w:rFonts w:ascii="Aptos" w:hAnsi="Aptos"/>
                <w:sz w:val="18"/>
                <w:szCs w:val="18"/>
              </w:rPr>
            </w:pPr>
            <w:r w:rsidRPr="00A93F28">
              <w:rPr>
                <w:rFonts w:ascii="Aptos" w:hAnsi="Aptos"/>
                <w:sz w:val="18"/>
                <w:szCs w:val="18"/>
              </w:rPr>
              <w:t>44. heneicosapent?enoic*.mp.</w:t>
            </w:r>
          </w:p>
          <w:p w14:paraId="6A11AF73" w14:textId="77777777" w:rsidR="00047995" w:rsidRPr="00A93F28" w:rsidRDefault="00047995" w:rsidP="00047995">
            <w:pPr>
              <w:rPr>
                <w:rFonts w:ascii="Aptos" w:hAnsi="Aptos"/>
                <w:sz w:val="18"/>
                <w:szCs w:val="18"/>
              </w:rPr>
            </w:pPr>
            <w:r w:rsidRPr="00A93F28">
              <w:rPr>
                <w:rFonts w:ascii="Aptos" w:hAnsi="Aptos"/>
                <w:sz w:val="18"/>
                <w:szCs w:val="18"/>
              </w:rPr>
              <w:t>45. (tetracosapent?enoic* or tetracosahex?enoic*).mp.</w:t>
            </w:r>
          </w:p>
          <w:p w14:paraId="4384C2D7" w14:textId="77777777" w:rsidR="00047995" w:rsidRPr="00A93F28" w:rsidRDefault="00047995" w:rsidP="00047995">
            <w:pPr>
              <w:rPr>
                <w:rFonts w:ascii="Aptos" w:hAnsi="Aptos"/>
                <w:sz w:val="18"/>
                <w:szCs w:val="18"/>
              </w:rPr>
            </w:pPr>
            <w:r w:rsidRPr="00A93F28">
              <w:rPr>
                <w:rFonts w:ascii="Aptos" w:hAnsi="Aptos"/>
                <w:sz w:val="18"/>
                <w:szCs w:val="18"/>
              </w:rPr>
              <w:t>46. n-3 Fatty Acids.ti,ab,kw.</w:t>
            </w:r>
          </w:p>
          <w:p w14:paraId="573399CE" w14:textId="77777777" w:rsidR="00047995" w:rsidRPr="00A93F28" w:rsidRDefault="00047995" w:rsidP="00047995">
            <w:pPr>
              <w:rPr>
                <w:rFonts w:ascii="Aptos" w:hAnsi="Aptos"/>
                <w:sz w:val="18"/>
                <w:szCs w:val="18"/>
              </w:rPr>
            </w:pPr>
            <w:r w:rsidRPr="00A93F28">
              <w:rPr>
                <w:rFonts w:ascii="Aptos" w:hAnsi="Aptos"/>
                <w:sz w:val="18"/>
                <w:szCs w:val="18"/>
              </w:rPr>
              <w:t>47. Linolenate.ti,ab,kw.</w:t>
            </w:r>
          </w:p>
          <w:p w14:paraId="71A05CA8" w14:textId="77777777" w:rsidR="00047995" w:rsidRPr="00A93F28" w:rsidRDefault="00047995" w:rsidP="00047995">
            <w:pPr>
              <w:rPr>
                <w:rFonts w:ascii="Aptos" w:hAnsi="Aptos"/>
                <w:sz w:val="18"/>
                <w:szCs w:val="18"/>
              </w:rPr>
            </w:pPr>
            <w:r w:rsidRPr="00A93F28">
              <w:rPr>
                <w:rFonts w:ascii="Aptos" w:hAnsi="Aptos"/>
                <w:sz w:val="18"/>
                <w:szCs w:val="18"/>
              </w:rPr>
              <w:t>48. ('n 3' and fatty).mp. and (exp acids/ or acids.mp.)</w:t>
            </w:r>
          </w:p>
          <w:p w14:paraId="300F9DA8" w14:textId="77777777" w:rsidR="00047995" w:rsidRPr="00A93F28" w:rsidRDefault="00047995" w:rsidP="00047995">
            <w:pPr>
              <w:rPr>
                <w:rFonts w:ascii="Aptos" w:hAnsi="Aptos"/>
                <w:sz w:val="18"/>
                <w:szCs w:val="18"/>
              </w:rPr>
            </w:pPr>
            <w:r w:rsidRPr="00A93F28">
              <w:rPr>
                <w:rFonts w:ascii="Aptos" w:hAnsi="Aptos"/>
                <w:sz w:val="18"/>
                <w:szCs w:val="18"/>
              </w:rPr>
              <w:t>49. (exp fish/ or fish.mp.) and (exp oil/ or oil.mp.)</w:t>
            </w:r>
          </w:p>
          <w:p w14:paraId="621FFCFD" w14:textId="77777777" w:rsidR="00047995" w:rsidRPr="00A93F28" w:rsidRDefault="00047995" w:rsidP="00047995">
            <w:pPr>
              <w:rPr>
                <w:rFonts w:ascii="Aptos" w:hAnsi="Aptos"/>
                <w:sz w:val="18"/>
                <w:szCs w:val="18"/>
              </w:rPr>
            </w:pPr>
            <w:r w:rsidRPr="00A93F28">
              <w:rPr>
                <w:rFonts w:ascii="Aptos" w:hAnsi="Aptos"/>
                <w:sz w:val="18"/>
                <w:szCs w:val="18"/>
              </w:rPr>
              <w:t>50. (fatty and acids).mp. and (exp omega 3/ or omega 3.mp.)</w:t>
            </w:r>
          </w:p>
          <w:p w14:paraId="00395047" w14:textId="77777777" w:rsidR="00047995" w:rsidRPr="00A93F28" w:rsidRDefault="00047995" w:rsidP="00047995">
            <w:pPr>
              <w:rPr>
                <w:rFonts w:ascii="Aptos" w:hAnsi="Aptos"/>
                <w:sz w:val="18"/>
                <w:szCs w:val="18"/>
              </w:rPr>
            </w:pPr>
            <w:r w:rsidRPr="00A93F28">
              <w:rPr>
                <w:rFonts w:ascii="Aptos" w:hAnsi="Aptos"/>
                <w:sz w:val="18"/>
                <w:szCs w:val="18"/>
              </w:rPr>
              <w:t>51. systematic*.ti.</w:t>
            </w:r>
            <w:r w:rsidRPr="00A93F28">
              <w:rPr>
                <w:rFonts w:ascii="Aptos" w:hAnsi="Aptos"/>
                <w:sz w:val="18"/>
                <w:szCs w:val="18"/>
              </w:rPr>
              <w:tab/>
            </w:r>
          </w:p>
          <w:p w14:paraId="31C96985" w14:textId="77777777" w:rsidR="00047995" w:rsidRPr="00A93F28" w:rsidRDefault="00047995" w:rsidP="00047995">
            <w:pPr>
              <w:rPr>
                <w:rFonts w:ascii="Aptos" w:hAnsi="Aptos"/>
                <w:sz w:val="18"/>
                <w:szCs w:val="18"/>
              </w:rPr>
            </w:pPr>
            <w:r w:rsidRPr="00A93F28">
              <w:rPr>
                <w:rFonts w:ascii="Aptos" w:hAnsi="Aptos"/>
                <w:sz w:val="18"/>
                <w:szCs w:val="18"/>
              </w:rPr>
              <w:t>52. (systematic adj (review$1 or overview$1)).tw.</w:t>
            </w:r>
          </w:p>
          <w:p w14:paraId="16E1CFDD" w14:textId="77777777" w:rsidR="00047995" w:rsidRPr="00A93F28" w:rsidRDefault="00047995" w:rsidP="00047995">
            <w:pPr>
              <w:rPr>
                <w:rFonts w:ascii="Aptos" w:hAnsi="Aptos"/>
                <w:sz w:val="18"/>
                <w:szCs w:val="18"/>
              </w:rPr>
            </w:pPr>
            <w:r w:rsidRPr="00A93F28">
              <w:rPr>
                <w:rFonts w:ascii="Aptos" w:hAnsi="Aptos"/>
                <w:sz w:val="18"/>
                <w:szCs w:val="18"/>
              </w:rPr>
              <w:t>53. (living and review).ti.</w:t>
            </w:r>
          </w:p>
          <w:p w14:paraId="6FF00A27" w14:textId="77777777" w:rsidR="00047995" w:rsidRPr="00A93F28" w:rsidRDefault="00047995" w:rsidP="00047995">
            <w:pPr>
              <w:rPr>
                <w:rFonts w:ascii="Aptos" w:hAnsi="Aptos"/>
                <w:sz w:val="18"/>
                <w:szCs w:val="18"/>
              </w:rPr>
            </w:pPr>
            <w:r w:rsidRPr="00A93F28">
              <w:rPr>
                <w:rFonts w:ascii="Aptos" w:hAnsi="Aptos"/>
                <w:sz w:val="18"/>
                <w:szCs w:val="18"/>
              </w:rPr>
              <w:t>54. exp meta analysis/</w:t>
            </w:r>
          </w:p>
          <w:p w14:paraId="66C27533" w14:textId="77777777" w:rsidR="00047995" w:rsidRPr="00A93F28" w:rsidRDefault="00047995" w:rsidP="00047995">
            <w:pPr>
              <w:rPr>
                <w:rFonts w:ascii="Aptos" w:hAnsi="Aptos"/>
                <w:sz w:val="18"/>
                <w:szCs w:val="18"/>
              </w:rPr>
            </w:pPr>
            <w:r w:rsidRPr="00A93F28">
              <w:rPr>
                <w:rFonts w:ascii="Aptos" w:hAnsi="Aptos"/>
                <w:sz w:val="18"/>
                <w:szCs w:val="18"/>
              </w:rPr>
              <w:t>55. systematic review.mp.</w:t>
            </w:r>
          </w:p>
          <w:p w14:paraId="4D170942" w14:textId="77777777" w:rsidR="00047995" w:rsidRPr="00A93F28" w:rsidRDefault="00047995" w:rsidP="00047995">
            <w:pPr>
              <w:rPr>
                <w:rFonts w:ascii="Aptos" w:hAnsi="Aptos"/>
                <w:sz w:val="18"/>
                <w:szCs w:val="18"/>
              </w:rPr>
            </w:pPr>
            <w:r w:rsidRPr="00A93F28">
              <w:rPr>
                <w:rFonts w:ascii="Aptos" w:hAnsi="Aptos"/>
                <w:sz w:val="18"/>
                <w:szCs w:val="18"/>
              </w:rPr>
              <w:t>56. exp "systematic review"/</w:t>
            </w:r>
          </w:p>
          <w:p w14:paraId="07CAF9C1" w14:textId="77777777" w:rsidR="00047995" w:rsidRPr="00A93F28" w:rsidRDefault="00047995" w:rsidP="00047995">
            <w:pPr>
              <w:rPr>
                <w:rFonts w:ascii="Aptos" w:hAnsi="Aptos"/>
                <w:sz w:val="18"/>
                <w:szCs w:val="18"/>
              </w:rPr>
            </w:pPr>
            <w:r w:rsidRPr="00A93F28">
              <w:rPr>
                <w:rFonts w:ascii="Aptos" w:hAnsi="Aptos"/>
                <w:sz w:val="18"/>
                <w:szCs w:val="18"/>
              </w:rPr>
              <w:t>57. exp "systematic review"/</w:t>
            </w:r>
          </w:p>
          <w:p w14:paraId="10DC0D40" w14:textId="77777777" w:rsidR="00047995" w:rsidRPr="00A93F28" w:rsidRDefault="00047995" w:rsidP="00047995">
            <w:pPr>
              <w:rPr>
                <w:rFonts w:ascii="Aptos" w:hAnsi="Aptos"/>
                <w:sz w:val="18"/>
                <w:szCs w:val="18"/>
              </w:rPr>
            </w:pPr>
            <w:r w:rsidRPr="00A93F28">
              <w:rPr>
                <w:rFonts w:ascii="Aptos" w:hAnsi="Aptos"/>
                <w:sz w:val="18"/>
                <w:szCs w:val="18"/>
              </w:rPr>
              <w:t>58. (overview adj (review or systematic)).mp.</w:t>
            </w:r>
          </w:p>
          <w:p w14:paraId="64F50333" w14:textId="77777777" w:rsidR="00047995" w:rsidRPr="00A93F28" w:rsidRDefault="00047995" w:rsidP="00047995">
            <w:pPr>
              <w:rPr>
                <w:rFonts w:ascii="Aptos" w:hAnsi="Aptos"/>
                <w:sz w:val="18"/>
                <w:szCs w:val="18"/>
              </w:rPr>
            </w:pPr>
            <w:r w:rsidRPr="00A93F28">
              <w:rPr>
                <w:rFonts w:ascii="Aptos" w:hAnsi="Aptos"/>
                <w:sz w:val="18"/>
                <w:szCs w:val="18"/>
              </w:rPr>
              <w:t>59. (rapid and review).ti.</w:t>
            </w:r>
          </w:p>
          <w:p w14:paraId="2688A926" w14:textId="77777777" w:rsidR="00047995" w:rsidRPr="00A93F28" w:rsidRDefault="00047995" w:rsidP="00047995">
            <w:pPr>
              <w:rPr>
                <w:rFonts w:ascii="Aptos" w:hAnsi="Aptos"/>
                <w:sz w:val="18"/>
                <w:szCs w:val="18"/>
              </w:rPr>
            </w:pPr>
            <w:r w:rsidRPr="00A93F28">
              <w:rPr>
                <w:rFonts w:ascii="Aptos" w:hAnsi="Aptos"/>
                <w:sz w:val="18"/>
                <w:szCs w:val="18"/>
              </w:rPr>
              <w:t>60. (meta adj analy$) or metaanalys$).tw.</w:t>
            </w:r>
          </w:p>
          <w:p w14:paraId="63CDE6AD" w14:textId="77777777" w:rsidR="00047995" w:rsidRPr="00A93F28" w:rsidRDefault="00047995" w:rsidP="00047995">
            <w:pPr>
              <w:rPr>
                <w:rFonts w:ascii="Aptos" w:hAnsi="Aptos"/>
                <w:sz w:val="18"/>
                <w:szCs w:val="18"/>
              </w:rPr>
            </w:pPr>
            <w:r w:rsidRPr="00A93F28">
              <w:rPr>
                <w:rFonts w:ascii="Aptos" w:hAnsi="Aptos"/>
                <w:sz w:val="18"/>
                <w:szCs w:val="18"/>
              </w:rPr>
              <w:t>61. meta analy$.ti.</w:t>
            </w:r>
          </w:p>
          <w:p w14:paraId="6D176CD0" w14:textId="77777777" w:rsidR="00047995" w:rsidRPr="00A93F28" w:rsidRDefault="00047995" w:rsidP="00047995">
            <w:pPr>
              <w:rPr>
                <w:rFonts w:ascii="Aptos" w:hAnsi="Aptos"/>
                <w:sz w:val="18"/>
                <w:szCs w:val="18"/>
              </w:rPr>
            </w:pPr>
            <w:r w:rsidRPr="00A93F28">
              <w:rPr>
                <w:rFonts w:ascii="Aptos" w:hAnsi="Aptos"/>
                <w:sz w:val="18"/>
                <w:szCs w:val="18"/>
              </w:rPr>
              <w:t>62. metaanaly$.ti.</w:t>
            </w:r>
          </w:p>
          <w:p w14:paraId="36B64BF8" w14:textId="77777777" w:rsidR="00047995" w:rsidRPr="00A93F28" w:rsidRDefault="00047995" w:rsidP="00047995">
            <w:pPr>
              <w:rPr>
                <w:rFonts w:ascii="Aptos" w:hAnsi="Aptos"/>
                <w:sz w:val="18"/>
                <w:szCs w:val="18"/>
              </w:rPr>
            </w:pPr>
            <w:r w:rsidRPr="00A93F28">
              <w:rPr>
                <w:rFonts w:ascii="Aptos" w:hAnsi="Aptos"/>
                <w:sz w:val="18"/>
                <w:szCs w:val="18"/>
              </w:rPr>
              <w:t>63. review of review*.mp.</w:t>
            </w:r>
          </w:p>
          <w:p w14:paraId="0A8D2BDC" w14:textId="77777777" w:rsidR="00047995" w:rsidRPr="00A93F28" w:rsidRDefault="00047995" w:rsidP="00047995">
            <w:pPr>
              <w:rPr>
                <w:rFonts w:ascii="Aptos" w:hAnsi="Aptos"/>
                <w:sz w:val="18"/>
                <w:szCs w:val="18"/>
              </w:rPr>
            </w:pPr>
            <w:r w:rsidRPr="00A93F28">
              <w:rPr>
                <w:rFonts w:ascii="Aptos" w:hAnsi="Aptos"/>
                <w:sz w:val="18"/>
                <w:szCs w:val="18"/>
              </w:rPr>
              <w:t>64. (overview and (review* or systematic)).mp.</w:t>
            </w:r>
          </w:p>
          <w:p w14:paraId="64D84454" w14:textId="77777777" w:rsidR="00047995" w:rsidRPr="00A93F28" w:rsidRDefault="00047995" w:rsidP="00047995">
            <w:pPr>
              <w:rPr>
                <w:rFonts w:ascii="Aptos" w:hAnsi="Aptos"/>
                <w:sz w:val="18"/>
                <w:szCs w:val="18"/>
              </w:rPr>
            </w:pPr>
            <w:r w:rsidRPr="00A93F28">
              <w:rPr>
                <w:rFonts w:ascii="Aptos" w:hAnsi="Aptos"/>
                <w:sz w:val="18"/>
                <w:szCs w:val="18"/>
              </w:rPr>
              <w:t>65. 1 or 2 or 3 or 4 or 5 or 6 or 7 or 8 or 9 or 10 or 11 or 12 or 13 or 14 or 15 or 16 or 17 or 18</w:t>
            </w:r>
          </w:p>
          <w:p w14:paraId="57C22733" w14:textId="77777777" w:rsidR="00047995" w:rsidRPr="00A93F28" w:rsidRDefault="00047995" w:rsidP="00047995">
            <w:pPr>
              <w:rPr>
                <w:rFonts w:ascii="Aptos" w:hAnsi="Aptos"/>
                <w:sz w:val="18"/>
                <w:szCs w:val="18"/>
              </w:rPr>
            </w:pPr>
            <w:r w:rsidRPr="00A93F28">
              <w:rPr>
                <w:rFonts w:ascii="Aptos" w:hAnsi="Aptos"/>
                <w:sz w:val="18"/>
                <w:szCs w:val="18"/>
              </w:rPr>
              <w:t>66. 19 or 20 or 21 or 22 or 23 or 24 or 25 or 26 or 27 or 28 or 29 or 30 or 31 or 32 or 33 or 34 or 35 or 36 or 37 or 38 or 39 or 40 or 41 or 42 or 43 or 44 or 45 or 46 or 47 or 48 or 49 or 50</w:t>
            </w:r>
          </w:p>
          <w:p w14:paraId="4E66C3D1" w14:textId="77777777" w:rsidR="00047995" w:rsidRPr="00A93F28" w:rsidRDefault="00047995" w:rsidP="00047995">
            <w:pPr>
              <w:rPr>
                <w:rFonts w:ascii="Aptos" w:hAnsi="Aptos"/>
                <w:sz w:val="18"/>
                <w:szCs w:val="18"/>
              </w:rPr>
            </w:pPr>
            <w:r w:rsidRPr="00A93F28">
              <w:rPr>
                <w:rFonts w:ascii="Aptos" w:hAnsi="Aptos"/>
                <w:sz w:val="18"/>
                <w:szCs w:val="18"/>
              </w:rPr>
              <w:t>67. 51 or 52 or 53 or 54 or 55 or 56 or 57 or 58 or 59 or 60 or 61 or 62 or 63 or 64</w:t>
            </w:r>
          </w:p>
          <w:p w14:paraId="5772FF2B" w14:textId="088475DF" w:rsidR="00047995" w:rsidRPr="00A93F28" w:rsidRDefault="00047995" w:rsidP="00047995">
            <w:pPr>
              <w:rPr>
                <w:rFonts w:ascii="Aptos" w:hAnsi="Aptos"/>
                <w:sz w:val="18"/>
                <w:szCs w:val="18"/>
              </w:rPr>
            </w:pPr>
            <w:r w:rsidRPr="00A93F28">
              <w:rPr>
                <w:rFonts w:ascii="Aptos" w:hAnsi="Aptos"/>
                <w:sz w:val="18"/>
                <w:szCs w:val="18"/>
              </w:rPr>
              <w:t>68. 65 and 66 and 67</w:t>
            </w:r>
          </w:p>
          <w:p w14:paraId="7FEE7752" w14:textId="71B3F114" w:rsidR="00047995" w:rsidRPr="00C66AD1" w:rsidRDefault="00047995" w:rsidP="00047995">
            <w:pPr>
              <w:rPr>
                <w:rFonts w:ascii="Aptos" w:hAnsi="Aptos"/>
                <w:sz w:val="18"/>
                <w:szCs w:val="18"/>
              </w:rPr>
            </w:pPr>
            <w:r w:rsidRPr="00A93F28">
              <w:rPr>
                <w:rFonts w:ascii="Aptos" w:hAnsi="Aptos"/>
                <w:sz w:val="18"/>
                <w:szCs w:val="18"/>
              </w:rPr>
              <w:t>69. limit 68 to human</w:t>
            </w:r>
          </w:p>
        </w:tc>
      </w:tr>
      <w:tr w:rsidR="00047995" w:rsidRPr="00C66AD1" w14:paraId="5AFE3CDA" w14:textId="77777777" w:rsidTr="00047995">
        <w:tc>
          <w:tcPr>
            <w:tcW w:w="2331" w:type="dxa"/>
            <w:vMerge/>
          </w:tcPr>
          <w:p w14:paraId="7F09821A"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2AD1116A"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3195CDA0" w14:textId="77777777" w:rsidR="00047995" w:rsidRPr="00C66AD1" w:rsidRDefault="00047995" w:rsidP="00047995">
            <w:pPr>
              <w:spacing w:after="120"/>
              <w:rPr>
                <w:rFonts w:ascii="Aptos" w:hAnsi="Aptos"/>
                <w:sz w:val="18"/>
                <w:szCs w:val="18"/>
              </w:rPr>
            </w:pPr>
            <w:r w:rsidRPr="00C66AD1">
              <w:rPr>
                <w:rFonts w:ascii="Aptos" w:hAnsi="Aptos"/>
                <w:sz w:val="18"/>
                <w:szCs w:val="18"/>
              </w:rPr>
              <w:t xml:space="preserve">((MeSH DESCRIPTOR Fatty Acids, Omega-3 EXPLODE ALL TREES) OR omega-3* OR fish oil* OR linolen* OR eicosapent*enoic* OR docosapent*enoic* OR docosahex?enoic* OR hexadecatrienoic* OR stearidonic* OR eicosatrienoic* OR eicosatetr*enoic* OR icosatrienoic* OR icosapent*enoic* OR icosatetr*enoic* OR heneicosapent*enoic* OR tetracosapent*enoic* OR tetracosahex*enoic*) AND ((MeSH DESCRIPTOR Hypertension) OR </w:t>
            </w:r>
            <w:r w:rsidRPr="00C66AD1">
              <w:rPr>
                <w:rFonts w:ascii="Aptos" w:hAnsi="Aptos"/>
                <w:sz w:val="18"/>
                <w:szCs w:val="18"/>
              </w:rPr>
              <w:tab/>
              <w:t xml:space="preserve">hypertens* OR HTN OR pre-hyperten* OR prehyperten* OR anti-hypertens* OR antihypertens* OR </w:t>
            </w:r>
            <w:r w:rsidRPr="00C66AD1">
              <w:rPr>
                <w:rFonts w:ascii="Aptos" w:hAnsi="Aptos"/>
                <w:sz w:val="18"/>
                <w:szCs w:val="18"/>
              </w:rPr>
              <w:tab/>
              <w:t>(blood AND pressure) OR (arterial AND pressure) OR (systolic AND pressure) OR (diastolic AND pressure) OR bp OR sbp OR dbp)</w:t>
            </w:r>
          </w:p>
        </w:tc>
      </w:tr>
      <w:tr w:rsidR="00047995" w:rsidRPr="00C66AD1" w14:paraId="144E68CA" w14:textId="77777777" w:rsidTr="00047995">
        <w:tc>
          <w:tcPr>
            <w:tcW w:w="2331" w:type="dxa"/>
            <w:vMerge/>
          </w:tcPr>
          <w:p w14:paraId="66716D35"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28776751"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07C358D5"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6C33A504" w14:textId="77777777" w:rsidR="00047995" w:rsidRPr="00C66AD1" w:rsidRDefault="00047995" w:rsidP="00047995">
            <w:pPr>
              <w:spacing w:after="120"/>
              <w:rPr>
                <w:rFonts w:ascii="Aptos" w:hAnsi="Aptos"/>
                <w:sz w:val="18"/>
                <w:szCs w:val="18"/>
              </w:rPr>
            </w:pPr>
            <w:r w:rsidRPr="00C66AD1">
              <w:rPr>
                <w:rFonts w:ascii="Aptos" w:hAnsi="Aptos"/>
                <w:sz w:val="18"/>
                <w:szCs w:val="18"/>
              </w:rPr>
              <w:t xml:space="preserve">2. Similarly, the Comparative Effectiveness database was searched recursively for all terms related to the condition. For each of these terms, where the intervention and/or </w:t>
            </w:r>
            <w:r w:rsidRPr="00C66AD1">
              <w:rPr>
                <w:rFonts w:ascii="Aptos" w:hAnsi="Aptos"/>
                <w:sz w:val="18"/>
                <w:szCs w:val="18"/>
              </w:rPr>
              <w:lastRenderedPageBreak/>
              <w:t>related terms was identified as a therapy on the Comparative Effectiveness Chart, the accompanying monograph references were searched for relevant reviews.</w:t>
            </w:r>
          </w:p>
        </w:tc>
      </w:tr>
      <w:tr w:rsidR="00047995" w:rsidRPr="00C66AD1" w14:paraId="59320FBE" w14:textId="77777777" w:rsidTr="00047995">
        <w:tc>
          <w:tcPr>
            <w:tcW w:w="2331" w:type="dxa"/>
            <w:vMerge w:val="restart"/>
          </w:tcPr>
          <w:p w14:paraId="1F16DB3C"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lastRenderedPageBreak/>
              <w:t>13. Fibromyalgia and magnesium</w:t>
            </w:r>
          </w:p>
          <w:p w14:paraId="4AE55C12" w14:textId="77777777" w:rsidR="00047995" w:rsidRPr="00C66AD1" w:rsidRDefault="00047995" w:rsidP="00047995">
            <w:pPr>
              <w:tabs>
                <w:tab w:val="center" w:pos="866"/>
                <w:tab w:val="right" w:pos="1732"/>
              </w:tabs>
              <w:rPr>
                <w:rFonts w:ascii="Aptos" w:hAnsi="Aptos"/>
                <w:sz w:val="18"/>
                <w:szCs w:val="18"/>
              </w:rPr>
            </w:pPr>
          </w:p>
          <w:p w14:paraId="5C09FF1F"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Conducted 21/04/2023</w:t>
            </w:r>
          </w:p>
        </w:tc>
        <w:tc>
          <w:tcPr>
            <w:tcW w:w="7020" w:type="dxa"/>
          </w:tcPr>
          <w:p w14:paraId="068D2746"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Epistemonikos</w:t>
            </w:r>
          </w:p>
          <w:p w14:paraId="70286831" w14:textId="77777777" w:rsidR="00047995" w:rsidRPr="00C66AD1" w:rsidRDefault="00047995" w:rsidP="00047995">
            <w:pPr>
              <w:spacing w:after="120"/>
              <w:rPr>
                <w:rFonts w:ascii="Aptos" w:hAnsi="Aptos"/>
                <w:sz w:val="18"/>
                <w:szCs w:val="18"/>
              </w:rPr>
            </w:pPr>
            <w:r w:rsidRPr="00C66AD1">
              <w:rPr>
                <w:rFonts w:ascii="Aptos" w:hAnsi="Aptos"/>
                <w:sz w:val="18"/>
                <w:szCs w:val="18"/>
              </w:rPr>
              <w:t>(title:(fibromyalg* OR (chronic AND pain)) OR abstract:(fibromyalg* OR (chronic AND pain))) AND (title:(magnesium OR Mg) OR abstract:(magnesium OR Mg))</w:t>
            </w:r>
          </w:p>
        </w:tc>
      </w:tr>
      <w:tr w:rsidR="00366B3F" w:rsidRPr="00C66AD1" w14:paraId="1188C37E" w14:textId="77777777" w:rsidTr="00047995">
        <w:tc>
          <w:tcPr>
            <w:tcW w:w="2331" w:type="dxa"/>
            <w:vMerge/>
          </w:tcPr>
          <w:p w14:paraId="2A4D2436" w14:textId="77777777" w:rsidR="00366B3F" w:rsidRPr="00C66AD1" w:rsidRDefault="00366B3F" w:rsidP="00047995">
            <w:pPr>
              <w:tabs>
                <w:tab w:val="center" w:pos="866"/>
                <w:tab w:val="right" w:pos="1732"/>
              </w:tabs>
              <w:rPr>
                <w:rFonts w:ascii="Aptos" w:hAnsi="Aptos"/>
                <w:sz w:val="18"/>
                <w:szCs w:val="18"/>
              </w:rPr>
            </w:pPr>
          </w:p>
        </w:tc>
        <w:tc>
          <w:tcPr>
            <w:tcW w:w="7020" w:type="dxa"/>
          </w:tcPr>
          <w:p w14:paraId="7B3C7AAC" w14:textId="77777777" w:rsidR="00366B3F" w:rsidRDefault="00366B3F" w:rsidP="00047995">
            <w:pPr>
              <w:spacing w:after="120"/>
              <w:rPr>
                <w:rFonts w:ascii="Aptos" w:hAnsi="Aptos"/>
                <w:sz w:val="18"/>
                <w:szCs w:val="18"/>
              </w:rPr>
            </w:pPr>
            <w:r>
              <w:rPr>
                <w:rFonts w:ascii="Aptos" w:hAnsi="Aptos"/>
                <w:sz w:val="18"/>
                <w:szCs w:val="18"/>
              </w:rPr>
              <w:t>AMED</w:t>
            </w:r>
          </w:p>
          <w:p w14:paraId="6C72F75E" w14:textId="046FFF63" w:rsidR="00366B3F" w:rsidRPr="00C66AD1" w:rsidRDefault="00366B3F" w:rsidP="00047995">
            <w:pPr>
              <w:spacing w:after="120"/>
              <w:rPr>
                <w:rFonts w:ascii="Aptos" w:hAnsi="Aptos"/>
                <w:sz w:val="18"/>
                <w:szCs w:val="18"/>
              </w:rPr>
            </w:pPr>
            <w:r w:rsidRPr="00366B3F">
              <w:rPr>
                <w:rFonts w:ascii="Aptos" w:hAnsi="Aptos"/>
                <w:sz w:val="18"/>
                <w:szCs w:val="18"/>
              </w:rPr>
              <w:t>magnesium AND (fibromyalg* OR (chronic AND pain)) AND ((systematic and review) or (living and review) or (rapid and review) or meta*analysis or meta*review or overview).mp</w:t>
            </w:r>
          </w:p>
        </w:tc>
      </w:tr>
      <w:tr w:rsidR="00047995" w:rsidRPr="00C66AD1" w14:paraId="7B092362" w14:textId="77777777" w:rsidTr="00047995">
        <w:tc>
          <w:tcPr>
            <w:tcW w:w="2331" w:type="dxa"/>
            <w:vMerge/>
          </w:tcPr>
          <w:p w14:paraId="7092D43F"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4BE56820" w14:textId="1C5F4595" w:rsidR="00047995" w:rsidRPr="00C66AD1" w:rsidRDefault="00047995" w:rsidP="00047995">
            <w:pPr>
              <w:spacing w:after="120"/>
              <w:rPr>
                <w:rFonts w:ascii="Aptos" w:hAnsi="Aptos"/>
                <w:sz w:val="18"/>
                <w:szCs w:val="18"/>
              </w:rPr>
            </w:pPr>
            <w:r w:rsidRPr="00C66AD1">
              <w:rPr>
                <w:rFonts w:ascii="Aptos" w:hAnsi="Aptos"/>
                <w:sz w:val="18"/>
                <w:szCs w:val="18"/>
              </w:rPr>
              <w:t>Ovid Emcare &lt;1995 to 2023 Week 1</w:t>
            </w:r>
            <w:r>
              <w:rPr>
                <w:rFonts w:ascii="Aptos" w:hAnsi="Aptos"/>
                <w:sz w:val="18"/>
                <w:szCs w:val="18"/>
              </w:rPr>
              <w:t>6</w:t>
            </w:r>
            <w:r w:rsidRPr="00C66AD1">
              <w:rPr>
                <w:rFonts w:ascii="Aptos" w:hAnsi="Aptos"/>
                <w:sz w:val="18"/>
                <w:szCs w:val="18"/>
              </w:rPr>
              <w:t>&gt;</w:t>
            </w:r>
          </w:p>
          <w:p w14:paraId="3AD87B8D" w14:textId="77777777" w:rsidR="00047995" w:rsidRPr="00C66AD1" w:rsidRDefault="00047995" w:rsidP="00047995">
            <w:pPr>
              <w:rPr>
                <w:rFonts w:ascii="Aptos" w:hAnsi="Aptos"/>
                <w:sz w:val="18"/>
                <w:szCs w:val="18"/>
              </w:rPr>
            </w:pPr>
            <w:r w:rsidRPr="00C66AD1">
              <w:rPr>
                <w:rFonts w:ascii="Aptos" w:hAnsi="Aptos"/>
                <w:sz w:val="18"/>
                <w:szCs w:val="18"/>
              </w:rPr>
              <w:t>1. exp fibromyalgia/ or fibromyalgia.mp.|</w:t>
            </w:r>
          </w:p>
          <w:p w14:paraId="1E08A797" w14:textId="77777777" w:rsidR="00047995" w:rsidRPr="00C66AD1" w:rsidRDefault="00047995" w:rsidP="00047995">
            <w:pPr>
              <w:rPr>
                <w:rFonts w:ascii="Aptos" w:hAnsi="Aptos"/>
                <w:sz w:val="18"/>
                <w:szCs w:val="18"/>
              </w:rPr>
            </w:pPr>
            <w:r w:rsidRPr="00C66AD1">
              <w:rPr>
                <w:rFonts w:ascii="Aptos" w:hAnsi="Aptos"/>
                <w:sz w:val="18"/>
                <w:szCs w:val="18"/>
              </w:rPr>
              <w:t>2. fibromyalg*.mp.|</w:t>
            </w:r>
          </w:p>
          <w:p w14:paraId="4D121DC0" w14:textId="77777777" w:rsidR="00047995" w:rsidRPr="00C66AD1" w:rsidRDefault="00047995" w:rsidP="00047995">
            <w:pPr>
              <w:rPr>
                <w:rFonts w:ascii="Aptos" w:hAnsi="Aptos"/>
                <w:sz w:val="18"/>
                <w:szCs w:val="18"/>
              </w:rPr>
            </w:pPr>
            <w:r w:rsidRPr="00C66AD1">
              <w:rPr>
                <w:rFonts w:ascii="Aptos" w:hAnsi="Aptos"/>
                <w:sz w:val="18"/>
                <w:szCs w:val="18"/>
              </w:rPr>
              <w:t>3. chronic pain.mp. or exp chronic pain/|</w:t>
            </w:r>
          </w:p>
          <w:p w14:paraId="4B0C3D0B" w14:textId="77777777" w:rsidR="00047995" w:rsidRPr="00C66AD1" w:rsidRDefault="00047995" w:rsidP="00047995">
            <w:pPr>
              <w:rPr>
                <w:rFonts w:ascii="Aptos" w:hAnsi="Aptos"/>
                <w:sz w:val="18"/>
                <w:szCs w:val="18"/>
              </w:rPr>
            </w:pPr>
            <w:r w:rsidRPr="00C66AD1">
              <w:rPr>
                <w:rFonts w:ascii="Aptos" w:hAnsi="Aptos"/>
                <w:sz w:val="18"/>
                <w:szCs w:val="18"/>
              </w:rPr>
              <w:t>4. (chronic adj3 pain).mp.|</w:t>
            </w:r>
          </w:p>
          <w:p w14:paraId="2F8EB739" w14:textId="77777777" w:rsidR="00047995" w:rsidRPr="00C66AD1" w:rsidRDefault="00047995" w:rsidP="00047995">
            <w:pPr>
              <w:rPr>
                <w:rFonts w:ascii="Aptos" w:hAnsi="Aptos"/>
                <w:sz w:val="18"/>
                <w:szCs w:val="18"/>
              </w:rPr>
            </w:pPr>
            <w:r w:rsidRPr="00C66AD1">
              <w:rPr>
                <w:rFonts w:ascii="Aptos" w:hAnsi="Aptos"/>
                <w:sz w:val="18"/>
                <w:szCs w:val="18"/>
              </w:rPr>
              <w:t>5. magnesium.mp. or exp magnesium/|</w:t>
            </w:r>
          </w:p>
          <w:p w14:paraId="1117D296" w14:textId="77777777" w:rsidR="00047995" w:rsidRPr="00C66AD1" w:rsidRDefault="00047995" w:rsidP="00047995">
            <w:pPr>
              <w:rPr>
                <w:rFonts w:ascii="Aptos" w:hAnsi="Aptos"/>
                <w:sz w:val="18"/>
                <w:szCs w:val="18"/>
              </w:rPr>
            </w:pPr>
            <w:r w:rsidRPr="00C66AD1">
              <w:rPr>
                <w:rFonts w:ascii="Aptos" w:hAnsi="Aptos"/>
                <w:sz w:val="18"/>
                <w:szCs w:val="18"/>
              </w:rPr>
              <w:t>6. systematic*.ti.|</w:t>
            </w:r>
          </w:p>
          <w:p w14:paraId="59F685E7" w14:textId="77777777" w:rsidR="00047995" w:rsidRPr="00C66AD1" w:rsidRDefault="00047995" w:rsidP="00047995">
            <w:pPr>
              <w:rPr>
                <w:rFonts w:ascii="Aptos" w:hAnsi="Aptos"/>
                <w:sz w:val="18"/>
                <w:szCs w:val="18"/>
              </w:rPr>
            </w:pPr>
            <w:r w:rsidRPr="00C66AD1">
              <w:rPr>
                <w:rFonts w:ascii="Aptos" w:hAnsi="Aptos"/>
                <w:sz w:val="18"/>
                <w:szCs w:val="18"/>
              </w:rPr>
              <w:t>7. (systematic adj (review$1 or overview$1)).tw.|</w:t>
            </w:r>
          </w:p>
          <w:p w14:paraId="617BDEB6" w14:textId="77777777" w:rsidR="00047995" w:rsidRPr="00C66AD1" w:rsidRDefault="00047995" w:rsidP="00047995">
            <w:pPr>
              <w:rPr>
                <w:rFonts w:ascii="Aptos" w:hAnsi="Aptos"/>
                <w:sz w:val="18"/>
                <w:szCs w:val="18"/>
              </w:rPr>
            </w:pPr>
            <w:r w:rsidRPr="00C66AD1">
              <w:rPr>
                <w:rFonts w:ascii="Aptos" w:hAnsi="Aptos"/>
                <w:sz w:val="18"/>
                <w:szCs w:val="18"/>
              </w:rPr>
              <w:t>8. (living and review).ti.|</w:t>
            </w:r>
          </w:p>
          <w:p w14:paraId="681BC641" w14:textId="77777777" w:rsidR="00047995" w:rsidRPr="00C66AD1" w:rsidRDefault="00047995" w:rsidP="00047995">
            <w:pPr>
              <w:rPr>
                <w:rFonts w:ascii="Aptos" w:hAnsi="Aptos"/>
                <w:sz w:val="18"/>
                <w:szCs w:val="18"/>
              </w:rPr>
            </w:pPr>
            <w:r w:rsidRPr="00C66AD1">
              <w:rPr>
                <w:rFonts w:ascii="Aptos" w:hAnsi="Aptos"/>
                <w:sz w:val="18"/>
                <w:szCs w:val="18"/>
              </w:rPr>
              <w:t>9. exp meta analysis/|</w:t>
            </w:r>
          </w:p>
          <w:p w14:paraId="0C919929" w14:textId="77777777" w:rsidR="00047995" w:rsidRPr="00C66AD1" w:rsidRDefault="00047995" w:rsidP="00047995">
            <w:pPr>
              <w:rPr>
                <w:rFonts w:ascii="Aptos" w:hAnsi="Aptos"/>
                <w:sz w:val="18"/>
                <w:szCs w:val="18"/>
              </w:rPr>
            </w:pPr>
            <w:r w:rsidRPr="00C66AD1">
              <w:rPr>
                <w:rFonts w:ascii="Aptos" w:hAnsi="Aptos"/>
                <w:sz w:val="18"/>
                <w:szCs w:val="18"/>
              </w:rPr>
              <w:t>10. systematic review.mp.|</w:t>
            </w:r>
          </w:p>
          <w:p w14:paraId="48AD82CD" w14:textId="77777777" w:rsidR="00047995" w:rsidRPr="00C66AD1" w:rsidRDefault="00047995" w:rsidP="00047995">
            <w:pPr>
              <w:rPr>
                <w:rFonts w:ascii="Aptos" w:hAnsi="Aptos"/>
                <w:sz w:val="18"/>
                <w:szCs w:val="18"/>
              </w:rPr>
            </w:pPr>
            <w:r w:rsidRPr="00C66AD1">
              <w:rPr>
                <w:rFonts w:ascii="Aptos" w:hAnsi="Aptos"/>
                <w:sz w:val="18"/>
                <w:szCs w:val="18"/>
              </w:rPr>
              <w:t>11. exp "systematic review"/|</w:t>
            </w:r>
          </w:p>
          <w:p w14:paraId="437FC232" w14:textId="77777777" w:rsidR="00047995" w:rsidRPr="00C66AD1" w:rsidRDefault="00047995" w:rsidP="00047995">
            <w:pPr>
              <w:rPr>
                <w:rFonts w:ascii="Aptos" w:hAnsi="Aptos"/>
                <w:sz w:val="18"/>
                <w:szCs w:val="18"/>
              </w:rPr>
            </w:pPr>
            <w:r w:rsidRPr="00C66AD1">
              <w:rPr>
                <w:rFonts w:ascii="Aptos" w:hAnsi="Aptos"/>
                <w:sz w:val="18"/>
                <w:szCs w:val="18"/>
              </w:rPr>
              <w:t>12. (overview adj (review or systematic)).mp.|</w:t>
            </w:r>
          </w:p>
          <w:p w14:paraId="1749DC32" w14:textId="77777777" w:rsidR="00047995" w:rsidRPr="00C66AD1" w:rsidRDefault="00047995" w:rsidP="00047995">
            <w:pPr>
              <w:rPr>
                <w:rFonts w:ascii="Aptos" w:hAnsi="Aptos"/>
                <w:sz w:val="18"/>
                <w:szCs w:val="18"/>
              </w:rPr>
            </w:pPr>
            <w:r w:rsidRPr="00C66AD1">
              <w:rPr>
                <w:rFonts w:ascii="Aptos" w:hAnsi="Aptos"/>
                <w:sz w:val="18"/>
                <w:szCs w:val="18"/>
              </w:rPr>
              <w:t>13. (rapid and review).ti.|</w:t>
            </w:r>
          </w:p>
          <w:p w14:paraId="07913073" w14:textId="77777777" w:rsidR="00047995" w:rsidRPr="00C66AD1" w:rsidRDefault="00047995" w:rsidP="00047995">
            <w:pPr>
              <w:rPr>
                <w:rFonts w:ascii="Aptos" w:hAnsi="Aptos"/>
                <w:sz w:val="18"/>
                <w:szCs w:val="18"/>
              </w:rPr>
            </w:pPr>
            <w:r w:rsidRPr="00C66AD1">
              <w:rPr>
                <w:rFonts w:ascii="Aptos" w:hAnsi="Aptos"/>
                <w:sz w:val="18"/>
                <w:szCs w:val="18"/>
              </w:rPr>
              <w:t>14. ((meta adj analy$) or metaanalys$).tw.|</w:t>
            </w:r>
          </w:p>
          <w:p w14:paraId="67FC6DC9" w14:textId="77777777" w:rsidR="00047995" w:rsidRPr="00C66AD1" w:rsidRDefault="00047995" w:rsidP="00047995">
            <w:pPr>
              <w:rPr>
                <w:rFonts w:ascii="Aptos" w:hAnsi="Aptos"/>
                <w:sz w:val="18"/>
                <w:szCs w:val="18"/>
              </w:rPr>
            </w:pPr>
            <w:r w:rsidRPr="00C66AD1">
              <w:rPr>
                <w:rFonts w:ascii="Aptos" w:hAnsi="Aptos"/>
                <w:sz w:val="18"/>
                <w:szCs w:val="18"/>
              </w:rPr>
              <w:t>15. meta analy$.ti.|</w:t>
            </w:r>
          </w:p>
          <w:p w14:paraId="5A0CB932" w14:textId="77777777" w:rsidR="00047995" w:rsidRPr="00C66AD1" w:rsidRDefault="00047995" w:rsidP="00047995">
            <w:pPr>
              <w:rPr>
                <w:rFonts w:ascii="Aptos" w:hAnsi="Aptos"/>
                <w:sz w:val="18"/>
                <w:szCs w:val="18"/>
              </w:rPr>
            </w:pPr>
            <w:r w:rsidRPr="00C66AD1">
              <w:rPr>
                <w:rFonts w:ascii="Aptos" w:hAnsi="Aptos"/>
                <w:sz w:val="18"/>
                <w:szCs w:val="18"/>
              </w:rPr>
              <w:t>16. metaanaly$.mp.|</w:t>
            </w:r>
          </w:p>
          <w:p w14:paraId="352992B3" w14:textId="77777777" w:rsidR="00047995" w:rsidRPr="00C66AD1" w:rsidRDefault="00047995" w:rsidP="00047995">
            <w:pPr>
              <w:rPr>
                <w:rFonts w:ascii="Aptos" w:hAnsi="Aptos"/>
                <w:sz w:val="18"/>
                <w:szCs w:val="18"/>
              </w:rPr>
            </w:pPr>
            <w:r w:rsidRPr="00C66AD1">
              <w:rPr>
                <w:rFonts w:ascii="Aptos" w:hAnsi="Aptos"/>
                <w:sz w:val="18"/>
                <w:szCs w:val="18"/>
              </w:rPr>
              <w:t>17. review of review*.mp.|</w:t>
            </w:r>
          </w:p>
          <w:p w14:paraId="16EDA736" w14:textId="77777777" w:rsidR="00047995" w:rsidRPr="00C66AD1" w:rsidRDefault="00047995" w:rsidP="00047995">
            <w:pPr>
              <w:rPr>
                <w:rFonts w:ascii="Aptos" w:hAnsi="Aptos"/>
                <w:sz w:val="18"/>
                <w:szCs w:val="18"/>
              </w:rPr>
            </w:pPr>
            <w:r w:rsidRPr="00C66AD1">
              <w:rPr>
                <w:rFonts w:ascii="Aptos" w:hAnsi="Aptos"/>
                <w:sz w:val="18"/>
                <w:szCs w:val="18"/>
              </w:rPr>
              <w:t>18. (overview and (review* or systematic)).mp.|</w:t>
            </w:r>
          </w:p>
          <w:p w14:paraId="36346F5A" w14:textId="77777777" w:rsidR="00047995" w:rsidRPr="00C66AD1" w:rsidRDefault="00047995" w:rsidP="00047995">
            <w:pPr>
              <w:rPr>
                <w:rFonts w:ascii="Aptos" w:hAnsi="Aptos"/>
                <w:sz w:val="18"/>
                <w:szCs w:val="18"/>
              </w:rPr>
            </w:pPr>
            <w:r w:rsidRPr="00C66AD1">
              <w:rPr>
                <w:rFonts w:ascii="Aptos" w:hAnsi="Aptos"/>
                <w:sz w:val="18"/>
                <w:szCs w:val="18"/>
              </w:rPr>
              <w:t>19. 1 or 2 or 3 or 4|</w:t>
            </w:r>
          </w:p>
          <w:p w14:paraId="14A09408" w14:textId="77777777" w:rsidR="00047995" w:rsidRPr="00C66AD1" w:rsidRDefault="00047995" w:rsidP="00047995">
            <w:pPr>
              <w:rPr>
                <w:rFonts w:ascii="Aptos" w:hAnsi="Aptos"/>
                <w:sz w:val="18"/>
                <w:szCs w:val="18"/>
              </w:rPr>
            </w:pPr>
            <w:r w:rsidRPr="00C66AD1">
              <w:rPr>
                <w:rFonts w:ascii="Aptos" w:hAnsi="Aptos"/>
                <w:sz w:val="18"/>
                <w:szCs w:val="18"/>
              </w:rPr>
              <w:t>20. 6 or 7 or 8 or 9 or 10 or 11 or 12 or 13 or 14 or 15 or 16 or 17 or 18|</w:t>
            </w:r>
          </w:p>
          <w:p w14:paraId="6F5BC38E" w14:textId="77777777" w:rsidR="00047995" w:rsidRPr="00C66AD1" w:rsidRDefault="00047995" w:rsidP="00047995">
            <w:pPr>
              <w:rPr>
                <w:rFonts w:ascii="Aptos" w:hAnsi="Aptos"/>
                <w:sz w:val="18"/>
                <w:szCs w:val="18"/>
              </w:rPr>
            </w:pPr>
            <w:r w:rsidRPr="00C66AD1">
              <w:rPr>
                <w:rFonts w:ascii="Aptos" w:hAnsi="Aptos"/>
                <w:sz w:val="18"/>
                <w:szCs w:val="18"/>
              </w:rPr>
              <w:t>21. 5 and 19 and 20|</w:t>
            </w:r>
          </w:p>
          <w:p w14:paraId="2E6A17D2" w14:textId="77777777" w:rsidR="00047995" w:rsidRPr="00C66AD1" w:rsidRDefault="00047995" w:rsidP="00047995">
            <w:pPr>
              <w:rPr>
                <w:rFonts w:ascii="Aptos" w:hAnsi="Aptos"/>
                <w:sz w:val="18"/>
                <w:szCs w:val="18"/>
              </w:rPr>
            </w:pPr>
            <w:r w:rsidRPr="00C66AD1">
              <w:rPr>
                <w:rFonts w:ascii="Aptos" w:hAnsi="Aptos"/>
                <w:sz w:val="18"/>
                <w:szCs w:val="18"/>
              </w:rPr>
              <w:t>22. limit 21 to human|</w:t>
            </w:r>
          </w:p>
          <w:p w14:paraId="3720A93C" w14:textId="77777777" w:rsidR="00047995" w:rsidRPr="00C66AD1" w:rsidRDefault="00047995" w:rsidP="00047995">
            <w:pPr>
              <w:rPr>
                <w:rFonts w:ascii="Aptos" w:hAnsi="Aptos"/>
                <w:sz w:val="18"/>
                <w:szCs w:val="18"/>
              </w:rPr>
            </w:pPr>
            <w:r w:rsidRPr="00C66AD1">
              <w:rPr>
                <w:rFonts w:ascii="Aptos" w:hAnsi="Aptos"/>
                <w:sz w:val="18"/>
                <w:szCs w:val="18"/>
              </w:rPr>
              <w:t>21 records identified</w:t>
            </w:r>
          </w:p>
        </w:tc>
      </w:tr>
      <w:tr w:rsidR="00047995" w:rsidRPr="00C66AD1" w14:paraId="2CAF4B50" w14:textId="77777777" w:rsidTr="00047995">
        <w:tc>
          <w:tcPr>
            <w:tcW w:w="2331" w:type="dxa"/>
            <w:vMerge/>
          </w:tcPr>
          <w:p w14:paraId="289F5679"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03C51AC8"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3BA10E53" w14:textId="77777777" w:rsidR="00047995" w:rsidRPr="00C66AD1" w:rsidRDefault="00047995" w:rsidP="00047995">
            <w:pPr>
              <w:spacing w:after="120"/>
              <w:rPr>
                <w:rFonts w:ascii="Aptos" w:hAnsi="Aptos"/>
                <w:sz w:val="18"/>
                <w:szCs w:val="18"/>
              </w:rPr>
            </w:pPr>
            <w:r w:rsidRPr="00C66AD1">
              <w:rPr>
                <w:rFonts w:ascii="Aptos" w:hAnsi="Aptos"/>
                <w:sz w:val="18"/>
                <w:szCs w:val="18"/>
              </w:rPr>
              <w:t>((MeSH DESCRIPTOR Fibromyalgia EXPLODE ALL TREES) OR fibromyalg*.mp OR (MeSH DESCRIPTOR Chronic Pain EXPLODE ALL TREES) OR (chronic NEAR6 pain) OR chronic pain) AND ((MeSH DESCRIPTOR Magnesium EXPLODE ALL TREES) or magnesium)</w:t>
            </w:r>
          </w:p>
        </w:tc>
      </w:tr>
      <w:tr w:rsidR="00047995" w:rsidRPr="00C66AD1" w14:paraId="349A38FA" w14:textId="77777777" w:rsidTr="00047995">
        <w:tc>
          <w:tcPr>
            <w:tcW w:w="2331" w:type="dxa"/>
            <w:vMerge/>
          </w:tcPr>
          <w:p w14:paraId="5BE908A3"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15FD477C"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30AC1399"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5478AD39"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56AF017F" w14:textId="77777777" w:rsidTr="00047995">
        <w:tc>
          <w:tcPr>
            <w:tcW w:w="2331" w:type="dxa"/>
            <w:vMerge w:val="restart"/>
          </w:tcPr>
          <w:p w14:paraId="1B889D6C"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14. Recurrent infection/s (including urinary tract infections, cystitis, respiratory tract infection, otitis media in children, etc.) and zinc</w:t>
            </w:r>
          </w:p>
          <w:p w14:paraId="630C0077" w14:textId="77777777" w:rsidR="00047995" w:rsidRPr="00C66AD1" w:rsidRDefault="00047995" w:rsidP="00047995">
            <w:pPr>
              <w:tabs>
                <w:tab w:val="center" w:pos="866"/>
                <w:tab w:val="right" w:pos="1732"/>
              </w:tabs>
              <w:rPr>
                <w:rFonts w:ascii="Aptos" w:hAnsi="Aptos"/>
                <w:sz w:val="18"/>
                <w:szCs w:val="18"/>
              </w:rPr>
            </w:pPr>
          </w:p>
          <w:p w14:paraId="5E7AB2F7"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Conducted 23/04/2023</w:t>
            </w:r>
          </w:p>
        </w:tc>
        <w:tc>
          <w:tcPr>
            <w:tcW w:w="7020" w:type="dxa"/>
          </w:tcPr>
          <w:p w14:paraId="2430907D"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Epistemonikos</w:t>
            </w:r>
          </w:p>
          <w:p w14:paraId="7623CE51" w14:textId="77777777" w:rsidR="00047995" w:rsidRPr="00C66AD1" w:rsidRDefault="00047995" w:rsidP="00047995">
            <w:pPr>
              <w:spacing w:after="120"/>
              <w:rPr>
                <w:rFonts w:ascii="Aptos" w:hAnsi="Aptos"/>
                <w:sz w:val="18"/>
                <w:szCs w:val="18"/>
              </w:rPr>
            </w:pPr>
            <w:r w:rsidRPr="00C66AD1">
              <w:rPr>
                <w:rFonts w:ascii="Aptos" w:hAnsi="Aptos"/>
                <w:sz w:val="18"/>
                <w:szCs w:val="18"/>
              </w:rPr>
              <w:t xml:space="preserve">(title:(zinc OR zn) OR abstract:(zinc OR zn)) AND (title:((title:(infect* OR (recurr* AND infect*) OR (urin* AND infect*) OR UTI OR cystitis OR (neurogenic AND bladder) OR (vesico-uretal AND reflux) OR (vesicouretal AND reflux) OR anti-infect* antimicrobial* OR anti-microbial* OR antibiotic* OR anti-bacterial* OR antibacterial* OR (antibiotic* AND prophyla*) OR (respiratory AND infect*) OR RTI* OR URTI* OR LRTI* OR (respiratory AND tract) OR (common AND cold) OR (sore AND throat) OR pharyngitis OR rhinosinusitis OR nasopharyngitis OR tonsillitis OR laryngitis OR sinusitis OR epiglottitis OR laryngotracheitis OR pnuemon* OR bronchiectasis OR bronchitis OR bronchiolitis OR "otitis AND media" OR (Clostridium AND difficile) OR "C. difficile" OR "c.difficile") OR abstract:(infect* OR (recurr* AND infect*) OR (urin* AND infect*) OR UTI OR cystitis OR (neurogenic AND bladder) OR (vesico-uretal AND reflux) OR (vesicouretal AND reflux) </w:t>
            </w:r>
            <w:r w:rsidRPr="00C66AD1">
              <w:rPr>
                <w:rFonts w:ascii="Aptos" w:hAnsi="Aptos"/>
                <w:sz w:val="18"/>
                <w:szCs w:val="18"/>
              </w:rPr>
              <w:lastRenderedPageBreak/>
              <w:t>OR anti-infect* antimicrobial* OR anti-microbial* OR antibiotic* OR anti-bacterial* OR antibacterial* OR (antibiotic* AND prophyla*) OR (respiratory AND infect*) OR RTI* OR URTI* OR LRTI* OR (respiratory AND tract) OR (common AND cold) OR (sore AND throat) OR pharyngitis OR rhinosinusitis OR nasopharyngitis OR tonsillitis OR laryngitis OR sinusitis OR epiglottitis OR laryngotracheitis OR pnuemon* OR bronchiectasis OR bronchitis OR bronchiolitis OR "otitis AND media" OR (Clostridium AND difficile) OR "C. difficile" OR "c.difficile"))) OR abstract:((title:(infect* OR (recurr* AND infect*) OR (urin* AND infect*) OR UTI OR cystitis OR (neurogenic AND bladder) OR (vesico-uretal AND reflux) OR (vesicouretal AND reflux) OR anti-infect* antimicrobial* OR anti-microbial* OR antibiotic* OR anti-bacterial* OR antibacterial* OR (antibiotic* AND prophyla*) OR (respiratory AND infect*) OR RTI* OR URTI* OR LRTI* OR (respiratory AND tract) OR (common AND cold) OR (sore AND throat) OR pharyngitis OR rhinosinusitis OR nasopharyngitis OR tonsillitis OR laryngitis OR sinusitis OR epiglottitis OR laryngotracheitis OR pnuemon* OR bronchiectasis OR bronchitis OR bronchiolitis OR "otitis AND media" OR (Clostridium AND difficile) OR "C. difficile" OR "c.difficile") OR abstract:(infect* OR (recurr* AND infect*) OR (urin* AND infect*) OR UTI OR cystitis OR (neurogenic AND bladder) OR (vesico-uretal AND reflux) OR (vesicouretal AND reflux) OR anti-infect* antimicrobial* OR anti-microbial* OR antibiotic* OR anti-bacterial* OR antibacterial* OR (antibiotic* AND prophyla*) OR (respiratory AND infect*) OR RTI* OR URTI* OR LRTI* OR (respiratory AND tract) OR (common AND cold) OR (sore AND throat) OR pharyngitis OR rhinosinusitis OR nasopharyngitis OR tonsillitis OR laryngitis OR sinusitis OR epiglottitis OR laryngotracheitis OR pnuemon* OR bronchiectasis OR bronchitis OR bronchiolitis OR "otitis AND media" OR (Clostridium AND difficile) OR "C. difficile" OR "c.difficile"))))</w:t>
            </w:r>
          </w:p>
        </w:tc>
      </w:tr>
      <w:tr w:rsidR="003E6CF8" w:rsidRPr="00C66AD1" w14:paraId="3371AB33" w14:textId="77777777" w:rsidTr="00047995">
        <w:tc>
          <w:tcPr>
            <w:tcW w:w="2331" w:type="dxa"/>
            <w:vMerge/>
          </w:tcPr>
          <w:p w14:paraId="4DED687D" w14:textId="77777777" w:rsidR="003E6CF8" w:rsidRPr="00C66AD1" w:rsidRDefault="003E6CF8" w:rsidP="00047995">
            <w:pPr>
              <w:tabs>
                <w:tab w:val="center" w:pos="866"/>
                <w:tab w:val="right" w:pos="1732"/>
              </w:tabs>
              <w:rPr>
                <w:rFonts w:ascii="Aptos" w:hAnsi="Aptos"/>
                <w:sz w:val="18"/>
                <w:szCs w:val="18"/>
              </w:rPr>
            </w:pPr>
          </w:p>
        </w:tc>
        <w:tc>
          <w:tcPr>
            <w:tcW w:w="7020" w:type="dxa"/>
          </w:tcPr>
          <w:p w14:paraId="334E55ED" w14:textId="77777777" w:rsidR="003E6CF8" w:rsidRDefault="003E6CF8" w:rsidP="00047995">
            <w:pPr>
              <w:spacing w:after="120"/>
              <w:rPr>
                <w:rFonts w:ascii="Aptos" w:hAnsi="Aptos"/>
                <w:sz w:val="18"/>
                <w:szCs w:val="18"/>
              </w:rPr>
            </w:pPr>
            <w:r>
              <w:rPr>
                <w:rFonts w:ascii="Aptos" w:hAnsi="Aptos"/>
                <w:sz w:val="18"/>
                <w:szCs w:val="18"/>
              </w:rPr>
              <w:t>AMED</w:t>
            </w:r>
          </w:p>
          <w:p w14:paraId="27CE6126" w14:textId="64747BF8" w:rsidR="003E6CF8" w:rsidRPr="00C66AD1" w:rsidRDefault="003E6CF8" w:rsidP="00047995">
            <w:pPr>
              <w:spacing w:after="120"/>
              <w:rPr>
                <w:rFonts w:ascii="Aptos" w:hAnsi="Aptos"/>
                <w:sz w:val="18"/>
                <w:szCs w:val="18"/>
              </w:rPr>
            </w:pPr>
            <w:r w:rsidRPr="003E6CF8">
              <w:rPr>
                <w:rFonts w:ascii="Aptos" w:hAnsi="Aptos"/>
                <w:sz w:val="18"/>
                <w:szCs w:val="18"/>
              </w:rPr>
              <w:t>(zinc or zn) AND (infect* OR (recurr* AND infect*) OR (urin* AND infect*) OR UTI OR cystitis OR (neurogenic AND bladder) OR (vesico-uretal AND reflux) OR (vesicouretal AND reflux) OR anti-infect* antimicrobial* OR anti-microbial* OR antibiotic* OR anti-bacterial* OR antibacterial* OR (antibiotic* AND prophyla*) OR (respiratory AND infect*) OR RTI* OR URTI* OR LRTI* OR (respiratory AND tract) OR (common AND cold) OR (sore AND throat) OR pharyngitis OR rhinosinusitis OR nasopharyngitis OR tonsillitis OR laryngitis OR sinusitis OR epiglottitis OR laryngotracheitis OR pnuemon* OR bronchiectasis OR bronchitis OR bronchiolitis OR "otitis AND media" OR (Clostridium AND difficile) OR "C. difficile" OR "c.difficile") AND ((systematic and review) or (living and review) or (rapid and review) or meta*analysis or meta*review or overview).mp</w:t>
            </w:r>
          </w:p>
        </w:tc>
      </w:tr>
      <w:tr w:rsidR="00047995" w:rsidRPr="00C66AD1" w14:paraId="609DC909" w14:textId="77777777" w:rsidTr="00047995">
        <w:trPr>
          <w:trHeight w:val="7100"/>
        </w:trPr>
        <w:tc>
          <w:tcPr>
            <w:tcW w:w="2331" w:type="dxa"/>
            <w:vMerge/>
          </w:tcPr>
          <w:p w14:paraId="12D93996"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600EC1A2" w14:textId="39835114" w:rsidR="00047995" w:rsidRDefault="00047995" w:rsidP="00047995">
            <w:pPr>
              <w:spacing w:after="120"/>
              <w:rPr>
                <w:rFonts w:ascii="Aptos" w:hAnsi="Aptos"/>
                <w:sz w:val="18"/>
                <w:szCs w:val="18"/>
              </w:rPr>
            </w:pPr>
            <w:r w:rsidRPr="009C7344">
              <w:rPr>
                <w:rFonts w:ascii="Aptos" w:hAnsi="Aptos"/>
                <w:sz w:val="18"/>
                <w:szCs w:val="18"/>
              </w:rPr>
              <w:t>Ovid Emcare &lt;1995 to 2023 Week 17&gt;</w:t>
            </w:r>
          </w:p>
          <w:p w14:paraId="54844FE4" w14:textId="6C99B702" w:rsidR="00047995" w:rsidRPr="009C7344" w:rsidRDefault="00047995" w:rsidP="00047995">
            <w:pPr>
              <w:rPr>
                <w:rFonts w:ascii="Aptos" w:hAnsi="Aptos"/>
                <w:sz w:val="18"/>
                <w:szCs w:val="18"/>
              </w:rPr>
            </w:pPr>
            <w:r w:rsidRPr="009C7344">
              <w:rPr>
                <w:rFonts w:ascii="Aptos" w:hAnsi="Aptos"/>
                <w:sz w:val="18"/>
                <w:szCs w:val="18"/>
              </w:rPr>
              <w:t>1. infect*.ti,ab,kw. or (recur* adj3 infect*).mp. or (urin* adj3 infect*).mp. or exp vesicoureteral reflux/ or exp recurrent infection/ or exp neurogenic bladder/ or exp urinary tract infection/ or (urin* and infect*).mp. or cystitis/ or cystitis.mp. or (vesico-uretal and reflux).mp. or (vesicouretal and reflux).mp. or exp antiinfective agent/ or Antibiotics/ or Antibiotic prophylaxis/ or antiinfective agent/ or antimicrobial.mp. or antimicrobial activity/ or antibacterial activity/ or anti-microbial*.mp. or antimicrobial therapy/ or antimicrobial activity/ or antimicrobial dressing/ or antimicrobial*.mp. or antibiotic associated diarrhea/ or antibiotic agent/ or antibiotic*.mp. or antibiotic therapy/ or anti-bacterial*.mp. or antibacterial*.mp. or (antibiot* and prophyla*).mp. or (respiratory and infect*).mp. or respiratory tract infection/ or common cold.mp. or common cold/ or sore throat.mp. or sore throat/ or streptococcal pharyngitis/ or pharyngitis.mp. or pharyngitis/ or viral pharyngitis/ or chronic rhinosinusitis/ or rhinosinusitis.mp. or acute rhinosinusitis/ or rhinosinusitis/ or nasopharyngitis.mp. or rhinopharyngitis/ or palatine tonsillitis/ or tonsillitis.mp. or chronic tonsillitis/ or tonsillitis/ or laryngitis.mp. or laryngitis/ or sinusitis/ or sinusitis.mp. or epiglottitis/ or epiglottitis.mp. or laryngotracheitis.mp. or laryngotracheobronchitis/ or pneumonia.mp. or pneumonia/ or bronchiectasis.mp. or bronchiectasis/ or bronchitis/ or bronchitis.mp. or bronchiolitis.mp. or bronchiolitis/ or otitis media.mp. or otitis media/ or (otitis and media).mp. or Clostridium difficile.mp. or Clostridioides difficile/ or Clostridium difficile infection/ or "Clostridium AND difficile".mp. or pseudomembranous colitis/ or "C. difficile".mp. or infection/ or antibiotic agent/ or vesicoureteral reflux/ or urinary antibiotic.mp. or anti-microbial.mp.</w:t>
            </w:r>
          </w:p>
          <w:p w14:paraId="72F9B591" w14:textId="77777777" w:rsidR="00047995" w:rsidRPr="009C7344" w:rsidRDefault="00047995" w:rsidP="00047995">
            <w:pPr>
              <w:rPr>
                <w:rFonts w:ascii="Aptos" w:hAnsi="Aptos"/>
                <w:sz w:val="18"/>
                <w:szCs w:val="18"/>
              </w:rPr>
            </w:pPr>
            <w:r w:rsidRPr="009C7344">
              <w:rPr>
                <w:rFonts w:ascii="Aptos" w:hAnsi="Aptos"/>
                <w:sz w:val="18"/>
                <w:szCs w:val="18"/>
              </w:rPr>
              <w:t>2. exp zinc/ or zinc.mp.</w:t>
            </w:r>
          </w:p>
          <w:p w14:paraId="70B77069" w14:textId="77777777" w:rsidR="00047995" w:rsidRPr="009C7344" w:rsidRDefault="00047995" w:rsidP="00047995">
            <w:pPr>
              <w:rPr>
                <w:rFonts w:ascii="Aptos" w:hAnsi="Aptos"/>
                <w:sz w:val="18"/>
                <w:szCs w:val="18"/>
              </w:rPr>
            </w:pPr>
            <w:r w:rsidRPr="009C7344">
              <w:rPr>
                <w:rFonts w:ascii="Aptos" w:hAnsi="Aptos"/>
                <w:sz w:val="18"/>
                <w:szCs w:val="18"/>
              </w:rPr>
              <w:t>3. systematic review/ or systematic*.ti. or (systematic adj (review$1 or overview$1)).tw. or (living and review).ti. or meta analysis/ or meta analy$.ti. or metaanaly$.ti. or (overview adj (review or systematic)).mp. or review of review*.mp. or (overview and (review* or systematic)).mp. or (rapid and review).ti. or ((meta adj analy$) or metaanalys$).tw.</w:t>
            </w:r>
          </w:p>
          <w:p w14:paraId="48606C59" w14:textId="77777777" w:rsidR="00047995" w:rsidRPr="009C7344" w:rsidRDefault="00047995" w:rsidP="00047995">
            <w:pPr>
              <w:rPr>
                <w:rFonts w:ascii="Aptos" w:hAnsi="Aptos"/>
                <w:sz w:val="18"/>
                <w:szCs w:val="18"/>
              </w:rPr>
            </w:pPr>
            <w:r w:rsidRPr="009C7344">
              <w:rPr>
                <w:rFonts w:ascii="Aptos" w:hAnsi="Aptos"/>
                <w:sz w:val="18"/>
                <w:szCs w:val="18"/>
              </w:rPr>
              <w:t>4. 1 and 2 and 3</w:t>
            </w:r>
          </w:p>
          <w:p w14:paraId="3282D7CE" w14:textId="36296414" w:rsidR="00047995" w:rsidRPr="00C66AD1" w:rsidRDefault="00047995" w:rsidP="00047995">
            <w:pPr>
              <w:rPr>
                <w:rFonts w:ascii="Aptos" w:hAnsi="Aptos"/>
                <w:sz w:val="18"/>
                <w:szCs w:val="18"/>
              </w:rPr>
            </w:pPr>
            <w:r w:rsidRPr="009C7344">
              <w:rPr>
                <w:rFonts w:ascii="Aptos" w:hAnsi="Aptos"/>
                <w:sz w:val="18"/>
                <w:szCs w:val="18"/>
              </w:rPr>
              <w:t>5. limit 4 to human</w:t>
            </w:r>
          </w:p>
        </w:tc>
      </w:tr>
      <w:tr w:rsidR="00047995" w:rsidRPr="00C66AD1" w14:paraId="5841438A" w14:textId="77777777" w:rsidTr="00047995">
        <w:tc>
          <w:tcPr>
            <w:tcW w:w="2331" w:type="dxa"/>
            <w:vMerge/>
          </w:tcPr>
          <w:p w14:paraId="203637E3"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5B0ABC3B"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45E40930" w14:textId="13508D78" w:rsidR="00047995" w:rsidRPr="00C66AD1" w:rsidRDefault="00047995" w:rsidP="00047995">
            <w:pPr>
              <w:spacing w:after="120"/>
              <w:rPr>
                <w:rFonts w:ascii="Aptos" w:hAnsi="Aptos"/>
                <w:sz w:val="18"/>
                <w:szCs w:val="18"/>
              </w:rPr>
            </w:pPr>
            <w:r w:rsidRPr="00C66AD1">
              <w:rPr>
                <w:rFonts w:ascii="Aptos" w:hAnsi="Aptos"/>
                <w:sz w:val="18"/>
                <w:szCs w:val="18"/>
              </w:rPr>
              <w:t>((MeSH DESCRIPTOR Reinfection EXPLODE ALL TREES OR (recurr* AND infection) OR (urinary AND infection) OR UTI or cystitis OR (neurogenic AND bladder) OR (vesico-uretal AND reflux) OR (vesicouretal AND reflux) OR anti-infect* OR antimicrobial* OR anti-microbial* OR antibiotic* OR anti-bacterial* OR antibacterial* OR (antibiotic* AND prophyla*) OR (respiratory AND infect*) OR RTI* OR URTI* OR LRTI* OR (respiratory AND tract) OR (common AND cold) OR (sore AND throat) OR pharyngitis OR</w:t>
            </w:r>
            <w:r>
              <w:rPr>
                <w:rFonts w:ascii="Aptos" w:hAnsi="Aptos"/>
                <w:sz w:val="18"/>
                <w:szCs w:val="18"/>
              </w:rPr>
              <w:t xml:space="preserve"> </w:t>
            </w:r>
            <w:r w:rsidRPr="00C66AD1">
              <w:rPr>
                <w:rFonts w:ascii="Aptos" w:hAnsi="Aptos"/>
                <w:sz w:val="18"/>
                <w:szCs w:val="18"/>
              </w:rPr>
              <w:t>rhinosinusitis OR nasopharyngitis OR tonsillitis OR laryngitis OR sinusitis OR epiglottitis OR laryngotracheitis OR pnuemon* OR bronchiectasis OR bronchitis OR bronchiolitis OR (otitis AND media) OR (Clostridium AND difficile) OR (C. difficile))</w:t>
            </w:r>
            <w:r w:rsidRPr="00C66AD1">
              <w:rPr>
                <w:rFonts w:ascii="Aptos" w:hAnsi="Aptos"/>
                <w:sz w:val="18"/>
                <w:szCs w:val="18"/>
              </w:rPr>
              <w:tab/>
              <w:t>AND ((MeSH DESCRIPTOR Zinc EXPLODE ALL TREES OR (zinc or zn))</w:t>
            </w:r>
          </w:p>
        </w:tc>
      </w:tr>
      <w:tr w:rsidR="00047995" w:rsidRPr="00C66AD1" w14:paraId="0C20FCA5" w14:textId="77777777" w:rsidTr="00047995">
        <w:tc>
          <w:tcPr>
            <w:tcW w:w="2331" w:type="dxa"/>
            <w:vMerge/>
          </w:tcPr>
          <w:p w14:paraId="5AC8DB73"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6697AE35"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64030284"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628464EE"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r w:rsidR="00047995" w:rsidRPr="00C66AD1" w14:paraId="7517C2AD" w14:textId="77777777" w:rsidTr="00047995">
        <w:tc>
          <w:tcPr>
            <w:tcW w:w="2331" w:type="dxa"/>
            <w:vMerge w:val="restart"/>
          </w:tcPr>
          <w:p w14:paraId="6888F4EB"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15. Type 2 diabetes and antioxidants (specifically CoQ10 &amp; alpha -Lipoic acid)</w:t>
            </w:r>
          </w:p>
          <w:p w14:paraId="6928D74D" w14:textId="77777777" w:rsidR="00047995" w:rsidRPr="00C66AD1" w:rsidRDefault="00047995" w:rsidP="00047995">
            <w:pPr>
              <w:tabs>
                <w:tab w:val="center" w:pos="866"/>
                <w:tab w:val="right" w:pos="1732"/>
              </w:tabs>
              <w:rPr>
                <w:rFonts w:ascii="Aptos" w:hAnsi="Aptos"/>
                <w:sz w:val="18"/>
                <w:szCs w:val="18"/>
              </w:rPr>
            </w:pPr>
          </w:p>
          <w:p w14:paraId="5ED88F72" w14:textId="77777777" w:rsidR="00047995" w:rsidRPr="00C66AD1" w:rsidRDefault="00047995" w:rsidP="00047995">
            <w:pPr>
              <w:tabs>
                <w:tab w:val="center" w:pos="866"/>
                <w:tab w:val="right" w:pos="1732"/>
              </w:tabs>
              <w:rPr>
                <w:rFonts w:ascii="Aptos" w:hAnsi="Aptos"/>
                <w:sz w:val="18"/>
                <w:szCs w:val="18"/>
              </w:rPr>
            </w:pPr>
            <w:r w:rsidRPr="00C66AD1">
              <w:rPr>
                <w:rFonts w:ascii="Aptos" w:hAnsi="Aptos"/>
                <w:sz w:val="18"/>
                <w:szCs w:val="18"/>
              </w:rPr>
              <w:t>Conducted 13/05/2023</w:t>
            </w:r>
          </w:p>
        </w:tc>
        <w:tc>
          <w:tcPr>
            <w:tcW w:w="7020" w:type="dxa"/>
          </w:tcPr>
          <w:p w14:paraId="3503E686" w14:textId="77777777" w:rsidR="00047995" w:rsidRPr="00C66AD1" w:rsidRDefault="00047995" w:rsidP="00047995">
            <w:pPr>
              <w:spacing w:after="120"/>
              <w:rPr>
                <w:rFonts w:ascii="Aptos" w:hAnsi="Aptos"/>
                <w:sz w:val="18"/>
                <w:szCs w:val="18"/>
              </w:rPr>
            </w:pPr>
            <w:r w:rsidRPr="00C66AD1">
              <w:rPr>
                <w:rFonts w:ascii="Aptos" w:hAnsi="Aptos"/>
                <w:sz w:val="18"/>
                <w:szCs w:val="18"/>
              </w:rPr>
              <w:t>Epistemonikos</w:t>
            </w:r>
          </w:p>
          <w:p w14:paraId="71AF81E9" w14:textId="77777777" w:rsidR="00047995" w:rsidRPr="00C66AD1" w:rsidRDefault="00047995" w:rsidP="00047995">
            <w:pPr>
              <w:spacing w:after="120"/>
              <w:rPr>
                <w:rFonts w:ascii="Aptos" w:hAnsi="Aptos"/>
                <w:sz w:val="18"/>
                <w:szCs w:val="18"/>
              </w:rPr>
            </w:pPr>
            <w:r w:rsidRPr="00C66AD1">
              <w:rPr>
                <w:rFonts w:ascii="Aptos" w:hAnsi="Aptos"/>
                <w:sz w:val="18"/>
                <w:szCs w:val="18"/>
              </w:rPr>
              <w:t>(title:(diabet* OR DM OR metabolic OR (blood AND glucose) OR hyperglycaemia " OR (blood AND sugar) T2DM OR glycosylat* OR HB1AC OR NIDDM OR IDDM OR MODY OR DM2 OR glucose OR hyperglyceami* OR hyperglycem* OR (insulin AND resistance) OR insulin OR anti-hyperglyceami* OR antihyperglyceami* OR anti-hyperglyceami* OR anti-hyperglycemi* OR antihyperglyceami* OR non-insulin OR sugar) OR abstract:(diabet* OR DM OR metabolic OR (blood AND glucose) OR hyperglycaemia " OR (blood AND sugar) T2DM OR glycosylat* OR HB1AC OR NIDDM OR IDDM OR MODY OR DM2 OR glucose OR hyperglyceami* OR hyperglycem* OR (insulin AND resistance) OR insulin OR anti-hyperglyceami* OR antihyperglyceami* OR anti-hyperglyceami* OR anti-</w:t>
            </w:r>
            <w:r w:rsidRPr="00C66AD1">
              <w:rPr>
                <w:rFonts w:ascii="Aptos" w:hAnsi="Aptos"/>
                <w:sz w:val="18"/>
                <w:szCs w:val="18"/>
              </w:rPr>
              <w:lastRenderedPageBreak/>
              <w:t>hyperglycemi* OR antihyperglyceami* OR non-insulin OR sugar)) AND (title:(antioxidant* OR *Q10 OR coenzyme* OR co-enzyme* OR ALA OR thioctic OR *linolenic OR lipoid) OR abstract:(antioxidant* OR *Q10 OR coenzyme* OR co-enzyme* OR ALA OR thioctic OR *linolenic OR lipoid))</w:t>
            </w:r>
          </w:p>
        </w:tc>
      </w:tr>
      <w:tr w:rsidR="00A35002" w:rsidRPr="00C66AD1" w14:paraId="19555BF0" w14:textId="77777777" w:rsidTr="00047995">
        <w:tc>
          <w:tcPr>
            <w:tcW w:w="2331" w:type="dxa"/>
            <w:vMerge/>
          </w:tcPr>
          <w:p w14:paraId="663A715A" w14:textId="77777777" w:rsidR="00A35002" w:rsidRPr="00C66AD1" w:rsidRDefault="00A35002" w:rsidP="00047995">
            <w:pPr>
              <w:tabs>
                <w:tab w:val="center" w:pos="866"/>
                <w:tab w:val="right" w:pos="1732"/>
              </w:tabs>
              <w:rPr>
                <w:rFonts w:ascii="Aptos" w:hAnsi="Aptos"/>
                <w:sz w:val="18"/>
                <w:szCs w:val="18"/>
              </w:rPr>
            </w:pPr>
          </w:p>
        </w:tc>
        <w:tc>
          <w:tcPr>
            <w:tcW w:w="7020" w:type="dxa"/>
          </w:tcPr>
          <w:p w14:paraId="409682C5" w14:textId="77777777" w:rsidR="00A35002" w:rsidRDefault="00A35002" w:rsidP="00047995">
            <w:pPr>
              <w:spacing w:after="120"/>
              <w:rPr>
                <w:rFonts w:ascii="Aptos" w:hAnsi="Aptos"/>
                <w:sz w:val="18"/>
                <w:szCs w:val="18"/>
              </w:rPr>
            </w:pPr>
            <w:r>
              <w:rPr>
                <w:rFonts w:ascii="Aptos" w:hAnsi="Aptos"/>
                <w:sz w:val="18"/>
                <w:szCs w:val="18"/>
              </w:rPr>
              <w:t>AMED</w:t>
            </w:r>
          </w:p>
          <w:p w14:paraId="6B1B81F4" w14:textId="6BD33AA6" w:rsidR="00A35002" w:rsidRPr="00C66AD1" w:rsidRDefault="00A35002" w:rsidP="00047995">
            <w:pPr>
              <w:spacing w:after="120"/>
              <w:rPr>
                <w:rFonts w:ascii="Aptos" w:hAnsi="Aptos"/>
                <w:sz w:val="18"/>
                <w:szCs w:val="18"/>
              </w:rPr>
            </w:pPr>
            <w:r w:rsidRPr="00A35002">
              <w:rPr>
                <w:rFonts w:ascii="Aptos" w:hAnsi="Aptos"/>
                <w:sz w:val="18"/>
                <w:szCs w:val="18"/>
              </w:rPr>
              <w:t>(Diabetes Mellitus, Type 2/ or Metabolic syndrome/ or T2DM or dm2 or diabet* or MODY or NIDDM or T2DM or IDDM or "DM 1" or "DM 2" or metabolic or (blood and glucose) or hyperglycaemia or (blood and sugar) or glycosylat* or HB1AC or glucose or hyperglyceami* or hyperglycem* or (insulin and resistance) or insulin or anti-hyperglyceami* or antihyperglyceami* or anti-hyperglyceami* or anti-hyperglycemi* or antihyperglyceami* or non-insulin or sugar) AND (antioxidant* or *Q10/ or coenzyme* or co-enzyme* or ALA or thioctic or *linolenic/ or lipoid) AND ((systematic and review) or (living and review) or (rapid and review) or meta*analysis or meta*review or overview)</w:t>
            </w:r>
          </w:p>
        </w:tc>
      </w:tr>
      <w:tr w:rsidR="00047995" w:rsidRPr="00C66AD1" w14:paraId="109EC081" w14:textId="77777777" w:rsidTr="00047995">
        <w:trPr>
          <w:trHeight w:val="1981"/>
        </w:trPr>
        <w:tc>
          <w:tcPr>
            <w:tcW w:w="2331" w:type="dxa"/>
            <w:vMerge/>
          </w:tcPr>
          <w:p w14:paraId="2B944A94"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5A8E49BA" w14:textId="77777777" w:rsidR="00047995" w:rsidRDefault="00047995" w:rsidP="00047995">
            <w:pPr>
              <w:spacing w:after="120"/>
              <w:rPr>
                <w:rFonts w:ascii="Aptos" w:hAnsi="Aptos"/>
                <w:sz w:val="18"/>
                <w:szCs w:val="18"/>
              </w:rPr>
            </w:pPr>
            <w:r w:rsidRPr="009C7344">
              <w:rPr>
                <w:rFonts w:ascii="Aptos" w:hAnsi="Aptos"/>
                <w:sz w:val="18"/>
                <w:szCs w:val="18"/>
              </w:rPr>
              <w:t>Ovid Emcare &lt;1995 to 2023 Week 17&gt;</w:t>
            </w:r>
          </w:p>
          <w:p w14:paraId="0FFD7D18" w14:textId="77777777" w:rsidR="00047995" w:rsidRPr="008F7F58" w:rsidRDefault="00047995" w:rsidP="00047995">
            <w:pPr>
              <w:rPr>
                <w:rFonts w:ascii="Aptos" w:hAnsi="Aptos"/>
                <w:sz w:val="18"/>
                <w:szCs w:val="18"/>
              </w:rPr>
            </w:pPr>
            <w:r w:rsidRPr="008F7F58">
              <w:rPr>
                <w:rFonts w:ascii="Aptos" w:hAnsi="Aptos"/>
                <w:sz w:val="18"/>
                <w:szCs w:val="18"/>
              </w:rPr>
              <w:t>1. exp non insulin dependent diabetes mellitus/</w:t>
            </w:r>
          </w:p>
          <w:p w14:paraId="0AB4CB3A" w14:textId="77777777" w:rsidR="00047995" w:rsidRPr="008F7F58" w:rsidRDefault="00047995" w:rsidP="00047995">
            <w:pPr>
              <w:rPr>
                <w:rFonts w:ascii="Aptos" w:hAnsi="Aptos"/>
                <w:sz w:val="18"/>
                <w:szCs w:val="18"/>
              </w:rPr>
            </w:pPr>
            <w:r w:rsidRPr="008F7F58">
              <w:rPr>
                <w:rFonts w:ascii="Aptos" w:hAnsi="Aptos"/>
                <w:sz w:val="18"/>
                <w:szCs w:val="18"/>
              </w:rPr>
              <w:t>2. type 2 diabetes.ab,hw,kf,kw,ot,ti.</w:t>
            </w:r>
          </w:p>
          <w:p w14:paraId="54E52AD0" w14:textId="77777777" w:rsidR="00047995" w:rsidRPr="008F7F58" w:rsidRDefault="00047995" w:rsidP="00047995">
            <w:pPr>
              <w:rPr>
                <w:rFonts w:ascii="Aptos" w:hAnsi="Aptos"/>
                <w:sz w:val="18"/>
                <w:szCs w:val="18"/>
              </w:rPr>
            </w:pPr>
            <w:r w:rsidRPr="008F7F58">
              <w:rPr>
                <w:rFonts w:ascii="Aptos" w:hAnsi="Aptos"/>
                <w:sz w:val="18"/>
                <w:szCs w:val="18"/>
              </w:rPr>
              <w:t>3. ((typ* 2 or typ* II or type 2) adj3 diabet*).ti,ab.</w:t>
            </w:r>
          </w:p>
          <w:p w14:paraId="76A856FC" w14:textId="00B4035E" w:rsidR="00047995" w:rsidRPr="008F7F58" w:rsidRDefault="00047995" w:rsidP="00047995">
            <w:pPr>
              <w:rPr>
                <w:rFonts w:ascii="Aptos" w:hAnsi="Aptos"/>
                <w:sz w:val="18"/>
                <w:szCs w:val="18"/>
              </w:rPr>
            </w:pPr>
            <w:r w:rsidRPr="008F7F58">
              <w:rPr>
                <w:rFonts w:ascii="Aptos" w:hAnsi="Aptos"/>
                <w:sz w:val="18"/>
                <w:szCs w:val="18"/>
              </w:rPr>
              <w:t>4. (((typ* 2 or typ* II or type 2) adj3 diabet*) or (T2DM or dm2)).mp.</w:t>
            </w:r>
          </w:p>
          <w:p w14:paraId="331DF131" w14:textId="77777777" w:rsidR="00047995" w:rsidRPr="008F7F58" w:rsidRDefault="00047995" w:rsidP="00047995">
            <w:pPr>
              <w:rPr>
                <w:rFonts w:ascii="Aptos" w:hAnsi="Aptos"/>
                <w:sz w:val="18"/>
                <w:szCs w:val="18"/>
              </w:rPr>
            </w:pPr>
            <w:r w:rsidRPr="008F7F58">
              <w:rPr>
                <w:rFonts w:ascii="Aptos" w:hAnsi="Aptos"/>
                <w:sz w:val="18"/>
                <w:szCs w:val="18"/>
              </w:rPr>
              <w:t>5. (T2DM or dm2).mp.</w:t>
            </w:r>
          </w:p>
          <w:p w14:paraId="1EBAB128" w14:textId="77777777" w:rsidR="00047995" w:rsidRPr="008F7F58" w:rsidRDefault="00047995" w:rsidP="00047995">
            <w:pPr>
              <w:rPr>
                <w:rFonts w:ascii="Aptos" w:hAnsi="Aptos"/>
                <w:sz w:val="18"/>
                <w:szCs w:val="18"/>
              </w:rPr>
            </w:pPr>
            <w:r w:rsidRPr="008F7F58">
              <w:rPr>
                <w:rFonts w:ascii="Aptos" w:hAnsi="Aptos"/>
                <w:sz w:val="18"/>
                <w:szCs w:val="18"/>
              </w:rPr>
              <w:t>6. diabet*.mp.</w:t>
            </w:r>
          </w:p>
          <w:p w14:paraId="7B2B0286" w14:textId="77777777" w:rsidR="00047995" w:rsidRPr="008F7F58" w:rsidRDefault="00047995" w:rsidP="00047995">
            <w:pPr>
              <w:rPr>
                <w:rFonts w:ascii="Aptos" w:hAnsi="Aptos"/>
                <w:sz w:val="18"/>
                <w:szCs w:val="18"/>
              </w:rPr>
            </w:pPr>
            <w:r w:rsidRPr="008F7F58">
              <w:rPr>
                <w:rFonts w:ascii="Aptos" w:hAnsi="Aptos"/>
                <w:sz w:val="18"/>
                <w:szCs w:val="18"/>
              </w:rPr>
              <w:t>7. (MODY or NIDDM or T2DM or IDDM or DM 1 or DM 2).mp.</w:t>
            </w:r>
          </w:p>
          <w:p w14:paraId="3C0CDB52" w14:textId="77777777" w:rsidR="00047995" w:rsidRPr="008F7F58" w:rsidRDefault="00047995" w:rsidP="00047995">
            <w:pPr>
              <w:rPr>
                <w:rFonts w:ascii="Aptos" w:hAnsi="Aptos"/>
                <w:sz w:val="18"/>
                <w:szCs w:val="18"/>
              </w:rPr>
            </w:pPr>
            <w:r w:rsidRPr="008F7F58">
              <w:rPr>
                <w:rFonts w:ascii="Aptos" w:hAnsi="Aptos"/>
                <w:sz w:val="18"/>
                <w:szCs w:val="18"/>
              </w:rPr>
              <w:t>8. (metabolic adj syndrome*).mp.</w:t>
            </w:r>
          </w:p>
          <w:p w14:paraId="5446B061" w14:textId="77777777" w:rsidR="00047995" w:rsidRPr="008F7F58" w:rsidRDefault="00047995" w:rsidP="00047995">
            <w:pPr>
              <w:rPr>
                <w:rFonts w:ascii="Aptos" w:hAnsi="Aptos"/>
                <w:sz w:val="18"/>
                <w:szCs w:val="18"/>
              </w:rPr>
            </w:pPr>
            <w:r w:rsidRPr="008F7F58">
              <w:rPr>
                <w:rFonts w:ascii="Aptos" w:hAnsi="Aptos"/>
                <w:sz w:val="18"/>
                <w:szCs w:val="18"/>
              </w:rPr>
              <w:t>9. (blood adj glucose).mp.</w:t>
            </w:r>
          </w:p>
          <w:p w14:paraId="36E9600A" w14:textId="77777777" w:rsidR="00047995" w:rsidRPr="008F7F58" w:rsidRDefault="00047995" w:rsidP="00047995">
            <w:pPr>
              <w:rPr>
                <w:rFonts w:ascii="Aptos" w:hAnsi="Aptos"/>
                <w:sz w:val="18"/>
                <w:szCs w:val="18"/>
              </w:rPr>
            </w:pPr>
            <w:r w:rsidRPr="008F7F58">
              <w:rPr>
                <w:rFonts w:ascii="Aptos" w:hAnsi="Aptos"/>
                <w:sz w:val="18"/>
                <w:szCs w:val="18"/>
              </w:rPr>
              <w:t>10. (blood adj sugar).mp.</w:t>
            </w:r>
          </w:p>
          <w:p w14:paraId="32164191" w14:textId="77777777" w:rsidR="00047995" w:rsidRPr="008F7F58" w:rsidRDefault="00047995" w:rsidP="00047995">
            <w:pPr>
              <w:rPr>
                <w:rFonts w:ascii="Aptos" w:hAnsi="Aptos"/>
                <w:sz w:val="18"/>
                <w:szCs w:val="18"/>
              </w:rPr>
            </w:pPr>
            <w:r w:rsidRPr="008F7F58">
              <w:rPr>
                <w:rFonts w:ascii="Aptos" w:hAnsi="Aptos"/>
                <w:sz w:val="18"/>
                <w:szCs w:val="18"/>
              </w:rPr>
              <w:t>11. hyperglycemia/</w:t>
            </w:r>
          </w:p>
          <w:p w14:paraId="1ADE1AAA" w14:textId="77777777" w:rsidR="00047995" w:rsidRPr="008F7F58" w:rsidRDefault="00047995" w:rsidP="00047995">
            <w:pPr>
              <w:rPr>
                <w:rFonts w:ascii="Aptos" w:hAnsi="Aptos"/>
                <w:sz w:val="18"/>
                <w:szCs w:val="18"/>
              </w:rPr>
            </w:pPr>
            <w:r w:rsidRPr="008F7F58">
              <w:rPr>
                <w:rFonts w:ascii="Aptos" w:hAnsi="Aptos"/>
                <w:sz w:val="18"/>
                <w:szCs w:val="18"/>
              </w:rPr>
              <w:t>12. (hyperglycem* or hyperglcaem*).mp.</w:t>
            </w:r>
          </w:p>
          <w:p w14:paraId="55B1AE11" w14:textId="3329FEED" w:rsidR="00047995" w:rsidRPr="008F7F58" w:rsidRDefault="00047995" w:rsidP="00047995">
            <w:pPr>
              <w:rPr>
                <w:rFonts w:ascii="Aptos" w:hAnsi="Aptos"/>
                <w:sz w:val="18"/>
                <w:szCs w:val="18"/>
              </w:rPr>
            </w:pPr>
            <w:r w:rsidRPr="008F7F58">
              <w:rPr>
                <w:rFonts w:ascii="Aptos" w:hAnsi="Aptos"/>
                <w:sz w:val="18"/>
                <w:szCs w:val="18"/>
              </w:rPr>
              <w:t>13. glycosylated hemoglobin/ or glycosylat*.mp. or glucose blood level/</w:t>
            </w:r>
          </w:p>
          <w:p w14:paraId="1C6FB8DD" w14:textId="3C49D83B" w:rsidR="00047995" w:rsidRPr="008F7F58" w:rsidRDefault="00047995" w:rsidP="00047995">
            <w:pPr>
              <w:rPr>
                <w:rFonts w:ascii="Aptos" w:hAnsi="Aptos"/>
                <w:sz w:val="18"/>
                <w:szCs w:val="18"/>
              </w:rPr>
            </w:pPr>
            <w:r w:rsidRPr="008F7F58">
              <w:rPr>
                <w:rFonts w:ascii="Aptos" w:hAnsi="Aptos"/>
                <w:sz w:val="18"/>
                <w:szCs w:val="18"/>
              </w:rPr>
              <w:t>14. insulin resistance/</w:t>
            </w:r>
          </w:p>
          <w:p w14:paraId="0513C557" w14:textId="77777777" w:rsidR="00047995" w:rsidRPr="008F7F58" w:rsidRDefault="00047995" w:rsidP="00047995">
            <w:pPr>
              <w:rPr>
                <w:rFonts w:ascii="Aptos" w:hAnsi="Aptos"/>
                <w:sz w:val="18"/>
                <w:szCs w:val="18"/>
              </w:rPr>
            </w:pPr>
            <w:r w:rsidRPr="008F7F58">
              <w:rPr>
                <w:rFonts w:ascii="Aptos" w:hAnsi="Aptos"/>
                <w:sz w:val="18"/>
                <w:szCs w:val="18"/>
              </w:rPr>
              <w:t>15. (insulin adj resistance).mp.</w:t>
            </w:r>
          </w:p>
          <w:p w14:paraId="62863FEB" w14:textId="77777777" w:rsidR="00047995" w:rsidRPr="008F7F58" w:rsidRDefault="00047995" w:rsidP="00047995">
            <w:pPr>
              <w:rPr>
                <w:rFonts w:ascii="Aptos" w:hAnsi="Aptos"/>
                <w:sz w:val="18"/>
                <w:szCs w:val="18"/>
              </w:rPr>
            </w:pPr>
            <w:r w:rsidRPr="008F7F58">
              <w:rPr>
                <w:rFonts w:ascii="Aptos" w:hAnsi="Aptos"/>
                <w:sz w:val="18"/>
                <w:szCs w:val="18"/>
              </w:rPr>
              <w:t>16. antidiabetic agent/ or antidiabetic activity/</w:t>
            </w:r>
          </w:p>
          <w:p w14:paraId="534F05BE" w14:textId="77777777" w:rsidR="00047995" w:rsidRPr="008F7F58" w:rsidRDefault="00047995" w:rsidP="00047995">
            <w:pPr>
              <w:rPr>
                <w:rFonts w:ascii="Aptos" w:hAnsi="Aptos"/>
                <w:sz w:val="18"/>
                <w:szCs w:val="18"/>
              </w:rPr>
            </w:pPr>
            <w:r w:rsidRPr="008F7F58">
              <w:rPr>
                <w:rFonts w:ascii="Aptos" w:hAnsi="Aptos"/>
                <w:sz w:val="18"/>
                <w:szCs w:val="18"/>
              </w:rPr>
              <w:t>17. anti hyperglycaem*.mp.</w:t>
            </w:r>
            <w:r w:rsidRPr="008F7F58">
              <w:rPr>
                <w:rFonts w:ascii="Aptos" w:hAnsi="Aptos"/>
                <w:sz w:val="18"/>
                <w:szCs w:val="18"/>
              </w:rPr>
              <w:tab/>
            </w:r>
          </w:p>
          <w:p w14:paraId="199C2F08" w14:textId="77777777" w:rsidR="00047995" w:rsidRPr="008F7F58" w:rsidRDefault="00047995" w:rsidP="00047995">
            <w:pPr>
              <w:rPr>
                <w:rFonts w:ascii="Aptos" w:hAnsi="Aptos"/>
                <w:sz w:val="18"/>
                <w:szCs w:val="18"/>
              </w:rPr>
            </w:pPr>
            <w:r w:rsidRPr="008F7F58">
              <w:rPr>
                <w:rFonts w:ascii="Aptos" w:hAnsi="Aptos"/>
                <w:sz w:val="18"/>
                <w:szCs w:val="18"/>
              </w:rPr>
              <w:t>18. anti-hyperglyc*.mp.</w:t>
            </w:r>
          </w:p>
          <w:p w14:paraId="17C4F3B1" w14:textId="5E6287B4" w:rsidR="00047995" w:rsidRPr="008F7F58" w:rsidRDefault="00047995" w:rsidP="00047995">
            <w:pPr>
              <w:rPr>
                <w:rFonts w:ascii="Aptos" w:hAnsi="Aptos"/>
                <w:sz w:val="18"/>
                <w:szCs w:val="18"/>
              </w:rPr>
            </w:pPr>
            <w:r w:rsidRPr="008F7F58">
              <w:rPr>
                <w:rFonts w:ascii="Aptos" w:hAnsi="Aptos"/>
                <w:sz w:val="18"/>
                <w:szCs w:val="18"/>
              </w:rPr>
              <w:t>19. (non-insulin and diabetes).mp.</w:t>
            </w:r>
          </w:p>
          <w:p w14:paraId="79C58019" w14:textId="047E67A4" w:rsidR="00047995" w:rsidRPr="008F7F58" w:rsidRDefault="00047995" w:rsidP="00047995">
            <w:pPr>
              <w:rPr>
                <w:rFonts w:ascii="Aptos" w:hAnsi="Aptos"/>
                <w:sz w:val="18"/>
                <w:szCs w:val="18"/>
              </w:rPr>
            </w:pPr>
            <w:r w:rsidRPr="008F7F58">
              <w:rPr>
                <w:rFonts w:ascii="Aptos" w:hAnsi="Aptos"/>
                <w:sz w:val="18"/>
                <w:szCs w:val="18"/>
              </w:rPr>
              <w:t>20. (noninsulin and diabetes).mp.</w:t>
            </w:r>
          </w:p>
          <w:p w14:paraId="28D04521" w14:textId="58E4CA3C" w:rsidR="00047995" w:rsidRPr="008F7F58" w:rsidRDefault="00047995" w:rsidP="00047995">
            <w:pPr>
              <w:rPr>
                <w:rFonts w:ascii="Aptos" w:hAnsi="Aptos"/>
                <w:sz w:val="18"/>
                <w:szCs w:val="18"/>
              </w:rPr>
            </w:pPr>
            <w:r w:rsidRPr="008F7F58">
              <w:rPr>
                <w:rFonts w:ascii="Aptos" w:hAnsi="Aptos"/>
                <w:sz w:val="18"/>
                <w:szCs w:val="18"/>
              </w:rPr>
              <w:t>21. antioxidant activity/ or antioxidant/</w:t>
            </w:r>
          </w:p>
          <w:p w14:paraId="58F8DB2D" w14:textId="77777777" w:rsidR="00047995" w:rsidRPr="008F7F58" w:rsidRDefault="00047995" w:rsidP="00047995">
            <w:pPr>
              <w:rPr>
                <w:rFonts w:ascii="Aptos" w:hAnsi="Aptos"/>
                <w:sz w:val="18"/>
                <w:szCs w:val="18"/>
              </w:rPr>
            </w:pPr>
            <w:r w:rsidRPr="008F7F58">
              <w:rPr>
                <w:rFonts w:ascii="Aptos" w:hAnsi="Aptos"/>
                <w:sz w:val="18"/>
                <w:szCs w:val="18"/>
              </w:rPr>
              <w:t>22. antioxidant*.mp.</w:t>
            </w:r>
          </w:p>
          <w:p w14:paraId="5DFD4588" w14:textId="77777777" w:rsidR="00047995" w:rsidRPr="008F7F58" w:rsidRDefault="00047995" w:rsidP="00047995">
            <w:pPr>
              <w:rPr>
                <w:rFonts w:ascii="Aptos" w:hAnsi="Aptos"/>
                <w:sz w:val="18"/>
                <w:szCs w:val="18"/>
              </w:rPr>
            </w:pPr>
            <w:r w:rsidRPr="008F7F58">
              <w:rPr>
                <w:rFonts w:ascii="Aptos" w:hAnsi="Aptos"/>
                <w:sz w:val="18"/>
                <w:szCs w:val="18"/>
              </w:rPr>
              <w:t>23. ubidecarenone/</w:t>
            </w:r>
          </w:p>
          <w:p w14:paraId="586159BB" w14:textId="77777777" w:rsidR="00047995" w:rsidRPr="008F7F58" w:rsidRDefault="00047995" w:rsidP="00047995">
            <w:pPr>
              <w:rPr>
                <w:rFonts w:ascii="Aptos" w:hAnsi="Aptos"/>
                <w:sz w:val="18"/>
                <w:szCs w:val="18"/>
              </w:rPr>
            </w:pPr>
            <w:r w:rsidRPr="008F7F58">
              <w:rPr>
                <w:rFonts w:ascii="Aptos" w:hAnsi="Aptos"/>
                <w:sz w:val="18"/>
                <w:szCs w:val="18"/>
              </w:rPr>
              <w:t>24. coQ10*.mp.</w:t>
            </w:r>
          </w:p>
          <w:p w14:paraId="29BC4748" w14:textId="6C9303BF" w:rsidR="00047995" w:rsidRPr="008F7F58" w:rsidRDefault="00047995" w:rsidP="00047995">
            <w:pPr>
              <w:rPr>
                <w:rFonts w:ascii="Aptos" w:hAnsi="Aptos"/>
                <w:sz w:val="18"/>
                <w:szCs w:val="18"/>
              </w:rPr>
            </w:pPr>
            <w:r w:rsidRPr="008F7F58">
              <w:rPr>
                <w:rFonts w:ascii="Aptos" w:hAnsi="Aptos"/>
                <w:sz w:val="18"/>
                <w:szCs w:val="18"/>
              </w:rPr>
              <w:t>25. (coenzyme Q10 or co-enzyme Q10).mp.</w:t>
            </w:r>
          </w:p>
          <w:p w14:paraId="370761A9" w14:textId="77777777" w:rsidR="00047995" w:rsidRPr="008F7F58" w:rsidRDefault="00047995" w:rsidP="00047995">
            <w:pPr>
              <w:rPr>
                <w:rFonts w:ascii="Aptos" w:hAnsi="Aptos"/>
                <w:sz w:val="18"/>
                <w:szCs w:val="18"/>
              </w:rPr>
            </w:pPr>
            <w:r w:rsidRPr="008F7F58">
              <w:rPr>
                <w:rFonts w:ascii="Aptos" w:hAnsi="Aptos"/>
                <w:sz w:val="18"/>
                <w:szCs w:val="18"/>
              </w:rPr>
              <w:t>26. Thioctic acid.mp. or thioctic acid/</w:t>
            </w:r>
          </w:p>
          <w:p w14:paraId="313A5554" w14:textId="77777777" w:rsidR="00047995" w:rsidRPr="008F7F58" w:rsidRDefault="00047995" w:rsidP="00047995">
            <w:pPr>
              <w:rPr>
                <w:rFonts w:ascii="Aptos" w:hAnsi="Aptos"/>
                <w:sz w:val="18"/>
                <w:szCs w:val="18"/>
              </w:rPr>
            </w:pPr>
            <w:r w:rsidRPr="008F7F58">
              <w:rPr>
                <w:rFonts w:ascii="Aptos" w:hAnsi="Aptos"/>
                <w:sz w:val="18"/>
                <w:szCs w:val="18"/>
              </w:rPr>
              <w:t>27. linolenic acid/</w:t>
            </w:r>
          </w:p>
          <w:p w14:paraId="25E8558D" w14:textId="77777777" w:rsidR="00047995" w:rsidRPr="008F7F58" w:rsidRDefault="00047995" w:rsidP="00047995">
            <w:pPr>
              <w:rPr>
                <w:rFonts w:ascii="Aptos" w:hAnsi="Aptos"/>
                <w:sz w:val="18"/>
                <w:szCs w:val="18"/>
              </w:rPr>
            </w:pPr>
            <w:r w:rsidRPr="008F7F58">
              <w:rPr>
                <w:rFonts w:ascii="Aptos" w:hAnsi="Aptos"/>
                <w:sz w:val="18"/>
                <w:szCs w:val="18"/>
              </w:rPr>
              <w:t>28. ((ALA or alpha-lipoid acid or lipoid acid or linolenic) adj acid).mp.</w:t>
            </w:r>
          </w:p>
          <w:p w14:paraId="5D26DA7D" w14:textId="77777777" w:rsidR="00047995" w:rsidRPr="008F7F58" w:rsidRDefault="00047995" w:rsidP="00047995">
            <w:pPr>
              <w:rPr>
                <w:rFonts w:ascii="Aptos" w:hAnsi="Aptos"/>
                <w:sz w:val="18"/>
                <w:szCs w:val="18"/>
              </w:rPr>
            </w:pPr>
            <w:r w:rsidRPr="008F7F58">
              <w:rPr>
                <w:rFonts w:ascii="Aptos" w:hAnsi="Aptos"/>
                <w:sz w:val="18"/>
                <w:szCs w:val="18"/>
              </w:rPr>
              <w:t>29. (ALA or alpha-lipoid acid or lipoid acid).mp.</w:t>
            </w:r>
          </w:p>
          <w:p w14:paraId="3698C633" w14:textId="77777777" w:rsidR="00047995" w:rsidRPr="008F7F58" w:rsidRDefault="00047995" w:rsidP="00047995">
            <w:pPr>
              <w:rPr>
                <w:rFonts w:ascii="Aptos" w:hAnsi="Aptos"/>
                <w:sz w:val="18"/>
                <w:szCs w:val="18"/>
              </w:rPr>
            </w:pPr>
            <w:r w:rsidRPr="008F7F58">
              <w:rPr>
                <w:rFonts w:ascii="Aptos" w:hAnsi="Aptos"/>
                <w:sz w:val="18"/>
                <w:szCs w:val="18"/>
              </w:rPr>
              <w:t>30. (linolenic adj acid).mp.</w:t>
            </w:r>
          </w:p>
          <w:p w14:paraId="1DF875BC" w14:textId="77777777" w:rsidR="00047995" w:rsidRPr="008F7F58" w:rsidRDefault="00047995" w:rsidP="00047995">
            <w:pPr>
              <w:rPr>
                <w:rFonts w:ascii="Aptos" w:hAnsi="Aptos"/>
                <w:sz w:val="18"/>
                <w:szCs w:val="18"/>
              </w:rPr>
            </w:pPr>
            <w:r w:rsidRPr="008F7F58">
              <w:rPr>
                <w:rFonts w:ascii="Aptos" w:hAnsi="Aptos"/>
                <w:sz w:val="18"/>
                <w:szCs w:val="18"/>
              </w:rPr>
              <w:t>31. systematic*.ti.</w:t>
            </w:r>
            <w:r w:rsidRPr="008F7F58">
              <w:rPr>
                <w:rFonts w:ascii="Aptos" w:hAnsi="Aptos"/>
                <w:sz w:val="18"/>
                <w:szCs w:val="18"/>
              </w:rPr>
              <w:tab/>
            </w:r>
          </w:p>
          <w:p w14:paraId="5FC973A7" w14:textId="77777777" w:rsidR="00047995" w:rsidRPr="008F7F58" w:rsidRDefault="00047995" w:rsidP="00047995">
            <w:pPr>
              <w:rPr>
                <w:rFonts w:ascii="Aptos" w:hAnsi="Aptos"/>
                <w:sz w:val="18"/>
                <w:szCs w:val="18"/>
              </w:rPr>
            </w:pPr>
            <w:r w:rsidRPr="008F7F58">
              <w:rPr>
                <w:rFonts w:ascii="Aptos" w:hAnsi="Aptos"/>
                <w:sz w:val="18"/>
                <w:szCs w:val="18"/>
              </w:rPr>
              <w:t>32. (systematic adj (review$1 or overview$1)).tw.</w:t>
            </w:r>
          </w:p>
          <w:p w14:paraId="4E66BD03" w14:textId="77777777" w:rsidR="00047995" w:rsidRPr="008F7F58" w:rsidRDefault="00047995" w:rsidP="00047995">
            <w:pPr>
              <w:rPr>
                <w:rFonts w:ascii="Aptos" w:hAnsi="Aptos"/>
                <w:sz w:val="18"/>
                <w:szCs w:val="18"/>
              </w:rPr>
            </w:pPr>
            <w:r w:rsidRPr="008F7F58">
              <w:rPr>
                <w:rFonts w:ascii="Aptos" w:hAnsi="Aptos"/>
                <w:sz w:val="18"/>
                <w:szCs w:val="18"/>
              </w:rPr>
              <w:t>33. (living and review).ti.</w:t>
            </w:r>
            <w:r w:rsidRPr="008F7F58">
              <w:rPr>
                <w:rFonts w:ascii="Aptos" w:hAnsi="Aptos"/>
                <w:sz w:val="18"/>
                <w:szCs w:val="18"/>
              </w:rPr>
              <w:tab/>
            </w:r>
          </w:p>
          <w:p w14:paraId="566DF2C8" w14:textId="77777777" w:rsidR="00047995" w:rsidRPr="008F7F58" w:rsidRDefault="00047995" w:rsidP="00047995">
            <w:pPr>
              <w:rPr>
                <w:rFonts w:ascii="Aptos" w:hAnsi="Aptos"/>
                <w:sz w:val="18"/>
                <w:szCs w:val="18"/>
              </w:rPr>
            </w:pPr>
            <w:r w:rsidRPr="008F7F58">
              <w:rPr>
                <w:rFonts w:ascii="Aptos" w:hAnsi="Aptos"/>
                <w:sz w:val="18"/>
                <w:szCs w:val="18"/>
              </w:rPr>
              <w:t>34. exp meta analysis/</w:t>
            </w:r>
            <w:r w:rsidRPr="008F7F58">
              <w:rPr>
                <w:rFonts w:ascii="Aptos" w:hAnsi="Aptos"/>
                <w:sz w:val="18"/>
                <w:szCs w:val="18"/>
              </w:rPr>
              <w:tab/>
            </w:r>
          </w:p>
          <w:p w14:paraId="5307C290" w14:textId="77777777" w:rsidR="00047995" w:rsidRPr="008F7F58" w:rsidRDefault="00047995" w:rsidP="00047995">
            <w:pPr>
              <w:rPr>
                <w:rFonts w:ascii="Aptos" w:hAnsi="Aptos"/>
                <w:sz w:val="18"/>
                <w:szCs w:val="18"/>
              </w:rPr>
            </w:pPr>
            <w:r w:rsidRPr="008F7F58">
              <w:rPr>
                <w:rFonts w:ascii="Aptos" w:hAnsi="Aptos"/>
                <w:sz w:val="18"/>
                <w:szCs w:val="18"/>
              </w:rPr>
              <w:t>35. systematic review.mp. or exp "systematic review"/</w:t>
            </w:r>
            <w:r w:rsidRPr="008F7F58">
              <w:rPr>
                <w:rFonts w:ascii="Aptos" w:hAnsi="Aptos"/>
                <w:sz w:val="18"/>
                <w:szCs w:val="18"/>
              </w:rPr>
              <w:tab/>
            </w:r>
          </w:p>
          <w:p w14:paraId="6BBFFB55" w14:textId="77777777" w:rsidR="00047995" w:rsidRPr="008F7F58" w:rsidRDefault="00047995" w:rsidP="00047995">
            <w:pPr>
              <w:rPr>
                <w:rFonts w:ascii="Aptos" w:hAnsi="Aptos"/>
                <w:sz w:val="18"/>
                <w:szCs w:val="18"/>
              </w:rPr>
            </w:pPr>
            <w:r w:rsidRPr="008F7F58">
              <w:rPr>
                <w:rFonts w:ascii="Aptos" w:hAnsi="Aptos"/>
                <w:sz w:val="18"/>
                <w:szCs w:val="18"/>
              </w:rPr>
              <w:t>36. (overview adj (review or systematic)).mp.</w:t>
            </w:r>
            <w:r w:rsidRPr="008F7F58">
              <w:rPr>
                <w:rFonts w:ascii="Aptos" w:hAnsi="Aptos"/>
                <w:sz w:val="18"/>
                <w:szCs w:val="18"/>
              </w:rPr>
              <w:tab/>
            </w:r>
          </w:p>
          <w:p w14:paraId="3F19D0BC" w14:textId="77777777" w:rsidR="00047995" w:rsidRPr="008F7F58" w:rsidRDefault="00047995" w:rsidP="00047995">
            <w:pPr>
              <w:rPr>
                <w:rFonts w:ascii="Aptos" w:hAnsi="Aptos"/>
                <w:sz w:val="18"/>
                <w:szCs w:val="18"/>
              </w:rPr>
            </w:pPr>
            <w:r w:rsidRPr="008F7F58">
              <w:rPr>
                <w:rFonts w:ascii="Aptos" w:hAnsi="Aptos"/>
                <w:sz w:val="18"/>
                <w:szCs w:val="18"/>
              </w:rPr>
              <w:t>37. meta analy$.ti.</w:t>
            </w:r>
            <w:r w:rsidRPr="008F7F58">
              <w:rPr>
                <w:rFonts w:ascii="Aptos" w:hAnsi="Aptos"/>
                <w:sz w:val="18"/>
                <w:szCs w:val="18"/>
              </w:rPr>
              <w:tab/>
            </w:r>
          </w:p>
          <w:p w14:paraId="5C6982A7" w14:textId="77777777" w:rsidR="00047995" w:rsidRPr="008F7F58" w:rsidRDefault="00047995" w:rsidP="00047995">
            <w:pPr>
              <w:rPr>
                <w:rFonts w:ascii="Aptos" w:hAnsi="Aptos"/>
                <w:sz w:val="18"/>
                <w:szCs w:val="18"/>
              </w:rPr>
            </w:pPr>
            <w:r w:rsidRPr="008F7F58">
              <w:rPr>
                <w:rFonts w:ascii="Aptos" w:hAnsi="Aptos"/>
                <w:sz w:val="18"/>
                <w:szCs w:val="18"/>
              </w:rPr>
              <w:t>38. metaanaly$.ti.</w:t>
            </w:r>
            <w:r w:rsidRPr="008F7F58">
              <w:rPr>
                <w:rFonts w:ascii="Aptos" w:hAnsi="Aptos"/>
                <w:sz w:val="18"/>
                <w:szCs w:val="18"/>
              </w:rPr>
              <w:tab/>
            </w:r>
          </w:p>
          <w:p w14:paraId="56C63003" w14:textId="1D65A8B0" w:rsidR="00047995" w:rsidRPr="008F7F58" w:rsidRDefault="00047995" w:rsidP="00047995">
            <w:pPr>
              <w:rPr>
                <w:rFonts w:ascii="Aptos" w:hAnsi="Aptos"/>
                <w:sz w:val="18"/>
                <w:szCs w:val="18"/>
              </w:rPr>
            </w:pPr>
            <w:r w:rsidRPr="008F7F58">
              <w:rPr>
                <w:rFonts w:ascii="Aptos" w:hAnsi="Aptos"/>
                <w:sz w:val="18"/>
                <w:szCs w:val="18"/>
              </w:rPr>
              <w:t>39. review of review*.mp.</w:t>
            </w:r>
          </w:p>
          <w:p w14:paraId="0C2CB9C9" w14:textId="0582B824" w:rsidR="00047995" w:rsidRPr="008F7F58" w:rsidRDefault="00047995" w:rsidP="00047995">
            <w:pPr>
              <w:rPr>
                <w:rFonts w:ascii="Aptos" w:hAnsi="Aptos"/>
                <w:sz w:val="18"/>
                <w:szCs w:val="18"/>
              </w:rPr>
            </w:pPr>
            <w:r w:rsidRPr="008F7F58">
              <w:rPr>
                <w:rFonts w:ascii="Aptos" w:hAnsi="Aptos"/>
                <w:sz w:val="18"/>
                <w:szCs w:val="18"/>
              </w:rPr>
              <w:t>40. (overview and (review* or systematic)).mp.</w:t>
            </w:r>
          </w:p>
          <w:p w14:paraId="2AE00D91" w14:textId="5C4E09B6" w:rsidR="00047995" w:rsidRPr="008F7F58" w:rsidRDefault="00047995" w:rsidP="00047995">
            <w:pPr>
              <w:rPr>
                <w:rFonts w:ascii="Aptos" w:hAnsi="Aptos"/>
                <w:sz w:val="18"/>
                <w:szCs w:val="18"/>
              </w:rPr>
            </w:pPr>
            <w:r w:rsidRPr="008F7F58">
              <w:rPr>
                <w:rFonts w:ascii="Aptos" w:hAnsi="Aptos"/>
                <w:sz w:val="18"/>
                <w:szCs w:val="18"/>
              </w:rPr>
              <w:t>41. (rapid and review).ti.</w:t>
            </w:r>
          </w:p>
          <w:p w14:paraId="70753A55" w14:textId="37BB78AC" w:rsidR="00047995" w:rsidRPr="008F7F58" w:rsidRDefault="00047995" w:rsidP="00047995">
            <w:pPr>
              <w:rPr>
                <w:rFonts w:ascii="Aptos" w:hAnsi="Aptos"/>
                <w:sz w:val="18"/>
                <w:szCs w:val="18"/>
              </w:rPr>
            </w:pPr>
            <w:r w:rsidRPr="008F7F58">
              <w:rPr>
                <w:rFonts w:ascii="Aptos" w:hAnsi="Aptos"/>
                <w:sz w:val="18"/>
                <w:szCs w:val="18"/>
              </w:rPr>
              <w:t>42. ((meta adj analy$) or metaanalys$).tw.</w:t>
            </w:r>
          </w:p>
          <w:p w14:paraId="5C4BB3BB" w14:textId="5FBE158F" w:rsidR="00047995" w:rsidRPr="008F7F58" w:rsidRDefault="00047995" w:rsidP="00047995">
            <w:pPr>
              <w:rPr>
                <w:rFonts w:ascii="Aptos" w:hAnsi="Aptos"/>
                <w:sz w:val="18"/>
                <w:szCs w:val="18"/>
              </w:rPr>
            </w:pPr>
            <w:r w:rsidRPr="008F7F58">
              <w:rPr>
                <w:rFonts w:ascii="Aptos" w:hAnsi="Aptos"/>
                <w:sz w:val="18"/>
                <w:szCs w:val="18"/>
              </w:rPr>
              <w:t>43. 1 or 2 or 3 or 4 or 5 or 6 or 7 or 8 or 9 or 10 or 11 or 12 or 13 or 14 or 15 or 16 or 17 or 18 or 19 or 20</w:t>
            </w:r>
          </w:p>
          <w:p w14:paraId="5F3AF9A7" w14:textId="77777777" w:rsidR="00047995" w:rsidRPr="008F7F58" w:rsidRDefault="00047995" w:rsidP="00047995">
            <w:pPr>
              <w:rPr>
                <w:rFonts w:ascii="Aptos" w:hAnsi="Aptos"/>
                <w:sz w:val="18"/>
                <w:szCs w:val="18"/>
              </w:rPr>
            </w:pPr>
            <w:r w:rsidRPr="008F7F58">
              <w:rPr>
                <w:rFonts w:ascii="Aptos" w:hAnsi="Aptos"/>
                <w:sz w:val="18"/>
                <w:szCs w:val="18"/>
              </w:rPr>
              <w:t>44. 21 or 22 or 23 or 24 or 25 or 26 or 27 or 28 or 29 or 30</w:t>
            </w:r>
            <w:r w:rsidRPr="008F7F58">
              <w:rPr>
                <w:rFonts w:ascii="Aptos" w:hAnsi="Aptos"/>
                <w:sz w:val="18"/>
                <w:szCs w:val="18"/>
              </w:rPr>
              <w:tab/>
            </w:r>
          </w:p>
          <w:p w14:paraId="74886B02" w14:textId="14438C81" w:rsidR="00047995" w:rsidRPr="008F7F58" w:rsidRDefault="00047995" w:rsidP="00047995">
            <w:pPr>
              <w:rPr>
                <w:rFonts w:ascii="Aptos" w:hAnsi="Aptos"/>
                <w:sz w:val="18"/>
                <w:szCs w:val="18"/>
              </w:rPr>
            </w:pPr>
            <w:r w:rsidRPr="008F7F58">
              <w:rPr>
                <w:rFonts w:ascii="Aptos" w:hAnsi="Aptos"/>
                <w:sz w:val="18"/>
                <w:szCs w:val="18"/>
              </w:rPr>
              <w:t>45. 31 or 32 or 33 or 34 or 35 or 36 or 37 or 38 or 39 or 40 or 41 or 42</w:t>
            </w:r>
          </w:p>
          <w:p w14:paraId="72FDE09C" w14:textId="307E28C8" w:rsidR="00047995" w:rsidRPr="00C66AD1" w:rsidRDefault="00047995" w:rsidP="00047995">
            <w:pPr>
              <w:rPr>
                <w:rFonts w:ascii="Aptos" w:hAnsi="Aptos"/>
                <w:sz w:val="18"/>
                <w:szCs w:val="18"/>
              </w:rPr>
            </w:pPr>
            <w:r w:rsidRPr="008F7F58">
              <w:rPr>
                <w:rFonts w:ascii="Aptos" w:hAnsi="Aptos"/>
                <w:sz w:val="18"/>
                <w:szCs w:val="18"/>
              </w:rPr>
              <w:t>46. 43 and 44 and 45</w:t>
            </w:r>
          </w:p>
        </w:tc>
      </w:tr>
      <w:tr w:rsidR="00047995" w:rsidRPr="00C66AD1" w14:paraId="02FE5123" w14:textId="77777777" w:rsidTr="00047995">
        <w:tc>
          <w:tcPr>
            <w:tcW w:w="2331" w:type="dxa"/>
            <w:vMerge/>
          </w:tcPr>
          <w:p w14:paraId="354BC3D8"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36A50B0A" w14:textId="77777777" w:rsidR="00047995" w:rsidRPr="00C66AD1" w:rsidRDefault="00047995" w:rsidP="00047995">
            <w:pPr>
              <w:spacing w:after="120"/>
              <w:rPr>
                <w:rFonts w:ascii="Aptos" w:hAnsi="Aptos"/>
                <w:sz w:val="18"/>
                <w:szCs w:val="18"/>
              </w:rPr>
            </w:pPr>
            <w:r w:rsidRPr="00C66AD1">
              <w:rPr>
                <w:rFonts w:ascii="Aptos" w:hAnsi="Aptos"/>
                <w:sz w:val="18"/>
                <w:szCs w:val="18"/>
              </w:rPr>
              <w:t>PROSPERO</w:t>
            </w:r>
          </w:p>
          <w:p w14:paraId="74A542BD" w14:textId="77777777" w:rsidR="00047995" w:rsidRPr="00C66AD1" w:rsidRDefault="00047995" w:rsidP="00047995">
            <w:pPr>
              <w:spacing w:after="120"/>
              <w:rPr>
                <w:rFonts w:ascii="Aptos" w:hAnsi="Aptos"/>
                <w:sz w:val="18"/>
                <w:szCs w:val="18"/>
              </w:rPr>
            </w:pPr>
            <w:r w:rsidRPr="00C66AD1">
              <w:rPr>
                <w:rFonts w:ascii="Aptos" w:hAnsi="Aptos"/>
                <w:sz w:val="18"/>
                <w:szCs w:val="18"/>
              </w:rPr>
              <w:t>((MeSH DESCRIPTOR Diabetes Mellitus EXPLODE ALL TREES) OR (MeSH DESCRIPTOR Insulin Resistance EXPLODE ALL TREES) OR (MeSH DESCRIPTOR Hypoglycemic Agents EXPLODE ALL TREES) OR (MeSH DESCRIPTOR Hyperglycemia EXPLODE ALL TREES) OR (MeSH DESCRIPTOR Glycated Hemoglobin EXPLODE ALL TREES) OR (MeSH DESCRIPTOR Prediabetic State EXPLODE ALL TREES) OR (MeSH DESCRIPTOR Hyperglycemia EXPLODE ALL TREES) OR (MeSH DESCRIPTOR Glucose Tolerance Test EXPLODE ALL TREES) OR (MeSH DESCRIPTOR Glycemic Index EXPLODE ALL TREES) OR (MeSH DESCRIPTOR Blood Glucose Self-Monitoring EXPLODE ALL TREES) OR (MeSH DESCRIPTOR Glycemic Control EXPLODE ALL TREES) OR (MeSH DESCRIPTOR Diabetes, Gestational EXPLODE ALL TREES) OR diabet* OR type 2 diabetes mellitus OR type II diabetes mellitus OR (typ* 2 or typ* II or type 2) ADJ3 diabet*) OR MODY OR NIDDM OR T2DM OR IDDM OR (DM ADJ 1) OR (DM ADJ 2) OR (metabolic ADJ syndrome) OR (blood ADJ glucose) OR (blood ADJ sugar) OR hyperglycem* OR hyperglycem* OR hyperglyceam* OR (glycosylated ADJ hemoglobin) OR (glycosylated ADJ haemoglobin) OR (glycated ADJ hemoglobin) OR (glycated ADJ haemoglobin) OR (insulin ADJ resistance) OR (glucose ADJ intolerance) OR antidiabet* OR anti-diabet* OR antihyperglycaem* OR antihyperglycem* OR anti-hyperglycem* OR anti-hyperglycaem* OR (noninsulin ADJ diabetes) OR (non-insulin ADJ diabetes) AND ((MeSH DESCRIPTOR Antioxidants EXPLODE ALL TREES) OR (MeSH DESCRIPTOR Ubiquinone EXPLODE ALL TREES) OR (MeSH DESCRIPTOR alpha-Linolenic Acid) OR (MeSH DESCRIPTOR Thiotic Acid) OR (MeSH DESCRIPTOR Linolenic EXPLODE ALL TREES) OR antioxidant* OR ubidecarenone* OR ubiquinone* OR alpha-linolenic OR linolenic OR thiotic OR coenzyme Q10 OR co-enzyme Q10 OR Q10)</w:t>
            </w:r>
          </w:p>
        </w:tc>
      </w:tr>
      <w:tr w:rsidR="00047995" w:rsidRPr="00C66AD1" w14:paraId="09EDB599" w14:textId="77777777" w:rsidTr="00047995">
        <w:tc>
          <w:tcPr>
            <w:tcW w:w="2331" w:type="dxa"/>
            <w:vMerge/>
          </w:tcPr>
          <w:p w14:paraId="717B6495" w14:textId="77777777" w:rsidR="00047995" w:rsidRPr="00C66AD1" w:rsidRDefault="00047995" w:rsidP="00047995">
            <w:pPr>
              <w:tabs>
                <w:tab w:val="center" w:pos="866"/>
                <w:tab w:val="right" w:pos="1732"/>
              </w:tabs>
              <w:rPr>
                <w:rFonts w:ascii="Aptos" w:hAnsi="Aptos"/>
                <w:sz w:val="18"/>
                <w:szCs w:val="18"/>
              </w:rPr>
            </w:pPr>
          </w:p>
        </w:tc>
        <w:tc>
          <w:tcPr>
            <w:tcW w:w="7020" w:type="dxa"/>
          </w:tcPr>
          <w:p w14:paraId="25CEA32A" w14:textId="77777777" w:rsidR="00047995" w:rsidRPr="00C66AD1" w:rsidRDefault="00047995" w:rsidP="00047995">
            <w:pPr>
              <w:spacing w:after="120"/>
              <w:rPr>
                <w:rFonts w:ascii="Aptos" w:hAnsi="Aptos"/>
                <w:sz w:val="18"/>
                <w:szCs w:val="18"/>
              </w:rPr>
            </w:pPr>
            <w:r w:rsidRPr="00C66AD1">
              <w:rPr>
                <w:rFonts w:ascii="Aptos" w:hAnsi="Aptos"/>
                <w:sz w:val="18"/>
                <w:szCs w:val="18"/>
              </w:rPr>
              <w:t>NatMed Pro database</w:t>
            </w:r>
          </w:p>
          <w:p w14:paraId="0356568E" w14:textId="77777777" w:rsidR="00047995" w:rsidRPr="00C66AD1" w:rsidRDefault="00047995" w:rsidP="00047995">
            <w:pPr>
              <w:spacing w:after="120"/>
              <w:rPr>
                <w:rFonts w:ascii="Aptos" w:hAnsi="Aptos"/>
                <w:sz w:val="18"/>
                <w:szCs w:val="18"/>
              </w:rPr>
            </w:pPr>
            <w:r w:rsidRPr="00C66AD1">
              <w:rPr>
                <w:rFonts w:ascii="Aptos" w:hAnsi="Aptos"/>
                <w:sz w:val="18"/>
                <w:szCs w:val="18"/>
              </w:rPr>
              <w:t>1. The Food, Herbs and Supplements database was searched recursively for terms related to the intervention. Where such terms were identified, the accompanying monograph references were then searched for relevant reviews.</w:t>
            </w:r>
          </w:p>
          <w:p w14:paraId="22434653" w14:textId="77777777" w:rsidR="00047995" w:rsidRPr="00C66AD1" w:rsidRDefault="00047995" w:rsidP="00047995">
            <w:pPr>
              <w:spacing w:after="120"/>
              <w:rPr>
                <w:rFonts w:ascii="Aptos" w:hAnsi="Aptos"/>
                <w:sz w:val="18"/>
                <w:szCs w:val="18"/>
              </w:rPr>
            </w:pPr>
            <w:r w:rsidRPr="00C66AD1">
              <w:rPr>
                <w:rFonts w:ascii="Aptos" w:hAnsi="Aptos"/>
                <w:sz w:val="18"/>
                <w:szCs w:val="18"/>
              </w:rPr>
              <w:t>2. Similarly, the Comparative Effectiveness database was searched recursively for all terms related to the condition. For each of these terms, where the intervention and/or related terms was identified as a therapy on the Comparative Effectiveness Chart, the accompanying monograph references were searched for relevant reviews.</w:t>
            </w:r>
          </w:p>
        </w:tc>
      </w:tr>
    </w:tbl>
    <w:p w14:paraId="7F5C6115" w14:textId="77777777" w:rsidR="0027240E" w:rsidRPr="00C66AD1" w:rsidRDefault="0027240E" w:rsidP="0027240E">
      <w:pPr>
        <w:rPr>
          <w:rFonts w:ascii="Aptos" w:hAnsi="Aptos"/>
          <w:sz w:val="18"/>
          <w:szCs w:val="18"/>
        </w:rPr>
      </w:pPr>
    </w:p>
    <w:p w14:paraId="7CD4756D" w14:textId="4773C22D" w:rsidR="00F726B5" w:rsidRDefault="00F726B5" w:rsidP="0027240E">
      <w:pPr>
        <w:pStyle w:val="heading2numbers"/>
      </w:pPr>
      <w:bookmarkStart w:id="19" w:name="_Toc172842676"/>
      <w:bookmarkStart w:id="20" w:name="_Ref172746209"/>
      <w:bookmarkStart w:id="21" w:name="_Ref172746244"/>
      <w:bookmarkStart w:id="22" w:name="_Toc185254610"/>
      <w:bookmarkEnd w:id="19"/>
      <w:r w:rsidRPr="00D518FF">
        <w:t xml:space="preserve">Criteria for considering </w:t>
      </w:r>
      <w:r w:rsidR="00CC45C9">
        <w:t>reviews</w:t>
      </w:r>
      <w:r w:rsidR="00CC45C9" w:rsidRPr="0054775B">
        <w:t xml:space="preserve"> </w:t>
      </w:r>
      <w:r w:rsidRPr="00D518FF">
        <w:t xml:space="preserve">for this </w:t>
      </w:r>
      <w:r w:rsidR="0071148C">
        <w:t>o</w:t>
      </w:r>
      <w:r w:rsidRPr="00D518FF">
        <w:t>verview</w:t>
      </w:r>
      <w:bookmarkEnd w:id="6"/>
      <w:bookmarkEnd w:id="7"/>
      <w:bookmarkEnd w:id="20"/>
      <w:bookmarkEnd w:id="21"/>
      <w:bookmarkEnd w:id="22"/>
    </w:p>
    <w:p w14:paraId="0BA905BC" w14:textId="41BC0662" w:rsidR="00694D06" w:rsidRPr="0046400E" w:rsidRDefault="00694D06" w:rsidP="00694D06">
      <w:pPr>
        <w:spacing w:before="120" w:after="120"/>
        <w:rPr>
          <w:rFonts w:ascii="Aptos" w:hAnsi="Aptos" w:cs="Arial"/>
          <w:sz w:val="21"/>
          <w:szCs w:val="21"/>
          <w:lang w:val="en-GB"/>
        </w:rPr>
      </w:pPr>
      <w:bookmarkStart w:id="23" w:name="_Toc172842678"/>
      <w:bookmarkStart w:id="24" w:name="_Toc100711479"/>
      <w:bookmarkStart w:id="25" w:name="_Toc126835777"/>
      <w:bookmarkEnd w:id="23"/>
      <w:r>
        <w:rPr>
          <w:rFonts w:ascii="Aptos" w:hAnsi="Aptos" w:cs="Arial"/>
          <w:sz w:val="21"/>
          <w:szCs w:val="21"/>
          <w:lang w:val="en-GB"/>
        </w:rPr>
        <w:t xml:space="preserve">Assessment of reviews to be included in the </w:t>
      </w:r>
      <w:r w:rsidR="00D47966">
        <w:rPr>
          <w:rFonts w:ascii="Aptos" w:hAnsi="Aptos" w:cs="Arial"/>
          <w:sz w:val="21"/>
          <w:szCs w:val="21"/>
          <w:lang w:val="en-GB"/>
        </w:rPr>
        <w:t xml:space="preserve">overview was done in two stages. Firstly, criteria for considering eligible reviews (used to assess articles at title/abstract and full text level), then additional criteria for choosing the preferred review </w:t>
      </w:r>
      <w:r w:rsidR="0071148C">
        <w:rPr>
          <w:rFonts w:ascii="Aptos" w:hAnsi="Aptos" w:cs="Arial"/>
          <w:sz w:val="21"/>
          <w:szCs w:val="21"/>
          <w:lang w:val="en-GB"/>
        </w:rPr>
        <w:t xml:space="preserve">to report evidence for </w:t>
      </w:r>
      <w:r w:rsidR="00D47966">
        <w:rPr>
          <w:rFonts w:ascii="Aptos" w:hAnsi="Aptos" w:cs="Arial"/>
          <w:sz w:val="21"/>
          <w:szCs w:val="21"/>
          <w:lang w:val="en-GB"/>
        </w:rPr>
        <w:t xml:space="preserve">each PICO. </w:t>
      </w:r>
      <w:r w:rsidR="00424A27">
        <w:rPr>
          <w:rFonts w:ascii="Aptos" w:hAnsi="Aptos" w:cs="Arial"/>
          <w:sz w:val="21"/>
          <w:szCs w:val="21"/>
          <w:lang w:val="en-GB"/>
        </w:rPr>
        <w:t xml:space="preserve">Additional criteria and the process for choosing preferred reviews is detailed in </w:t>
      </w:r>
      <w:r w:rsidR="009132E1">
        <w:rPr>
          <w:rFonts w:ascii="Aptos" w:hAnsi="Aptos" w:cs="Arial"/>
          <w:sz w:val="21"/>
          <w:szCs w:val="21"/>
          <w:lang w:val="en-GB"/>
        </w:rPr>
        <w:t>Appendix</w:t>
      </w:r>
      <w:r w:rsidR="00AD0195">
        <w:rPr>
          <w:rFonts w:ascii="Aptos" w:hAnsi="Aptos" w:cs="Arial"/>
          <w:sz w:val="21"/>
          <w:szCs w:val="21"/>
          <w:lang w:val="en-GB"/>
        </w:rPr>
        <w:t xml:space="preserve"> A4.5</w:t>
      </w:r>
      <w:r w:rsidR="00424A27">
        <w:rPr>
          <w:rFonts w:ascii="Aptos" w:hAnsi="Aptos" w:cs="Arial"/>
          <w:sz w:val="21"/>
          <w:szCs w:val="21"/>
          <w:lang w:val="en-GB"/>
        </w:rPr>
        <w:t>.</w:t>
      </w:r>
    </w:p>
    <w:p w14:paraId="7DA9C50A" w14:textId="561CBA3E" w:rsidR="00F726B5" w:rsidRPr="00D518FF" w:rsidRDefault="00F726B5" w:rsidP="0027240E">
      <w:pPr>
        <w:pStyle w:val="heading3numbers"/>
      </w:pPr>
      <w:bookmarkStart w:id="26" w:name="_Toc185254611"/>
      <w:r w:rsidRPr="00D518FF">
        <w:t>Types of reviews</w:t>
      </w:r>
      <w:bookmarkEnd w:id="24"/>
      <w:bookmarkEnd w:id="25"/>
      <w:bookmarkEnd w:id="26"/>
    </w:p>
    <w:p w14:paraId="62B7D1BA" w14:textId="7DD7B098" w:rsidR="0074097D" w:rsidRDefault="00F726B5" w:rsidP="00F726B5">
      <w:pPr>
        <w:spacing w:before="120" w:after="120"/>
        <w:rPr>
          <w:rFonts w:ascii="Aptos" w:hAnsi="Aptos" w:cs="Arial"/>
          <w:sz w:val="21"/>
          <w:szCs w:val="21"/>
        </w:rPr>
      </w:pPr>
      <w:r w:rsidRPr="00D518FF">
        <w:rPr>
          <w:rFonts w:ascii="Aptos" w:hAnsi="Aptos" w:cs="Arial"/>
          <w:sz w:val="21"/>
          <w:szCs w:val="21"/>
        </w:rPr>
        <w:t xml:space="preserve">Systematic reviews of randomised or quasi-randomised trials (RCTs), with or without meta-analysis, </w:t>
      </w:r>
      <w:r w:rsidR="00874251">
        <w:rPr>
          <w:rFonts w:ascii="Aptos" w:hAnsi="Aptos" w:cs="Arial"/>
          <w:sz w:val="21"/>
          <w:szCs w:val="21"/>
        </w:rPr>
        <w:t>were</w:t>
      </w:r>
      <w:r w:rsidR="00874251" w:rsidRPr="00D518FF">
        <w:rPr>
          <w:rFonts w:ascii="Aptos" w:hAnsi="Aptos" w:cs="Arial"/>
          <w:sz w:val="21"/>
          <w:szCs w:val="21"/>
        </w:rPr>
        <w:t xml:space="preserve"> </w:t>
      </w:r>
      <w:r w:rsidRPr="00D518FF">
        <w:rPr>
          <w:rFonts w:ascii="Aptos" w:hAnsi="Aptos" w:cs="Arial"/>
          <w:sz w:val="21"/>
          <w:szCs w:val="21"/>
        </w:rPr>
        <w:t xml:space="preserve">eligible for inclusion in the </w:t>
      </w:r>
      <w:r w:rsidR="00410B46">
        <w:rPr>
          <w:rFonts w:ascii="Aptos" w:hAnsi="Aptos" w:cs="Arial"/>
          <w:sz w:val="21"/>
          <w:szCs w:val="21"/>
        </w:rPr>
        <w:t>o</w:t>
      </w:r>
      <w:r w:rsidRPr="00D518FF">
        <w:rPr>
          <w:rFonts w:ascii="Aptos" w:hAnsi="Aptos" w:cs="Arial"/>
          <w:sz w:val="21"/>
          <w:szCs w:val="21"/>
        </w:rPr>
        <w:t xml:space="preserve">verview. Reviews </w:t>
      </w:r>
      <w:r w:rsidR="00874251">
        <w:rPr>
          <w:rFonts w:ascii="Aptos" w:hAnsi="Aptos" w:cs="Arial"/>
          <w:sz w:val="21"/>
          <w:szCs w:val="21"/>
        </w:rPr>
        <w:t>were</w:t>
      </w:r>
      <w:r w:rsidR="00874251" w:rsidRPr="00D518FF">
        <w:rPr>
          <w:rFonts w:ascii="Aptos" w:hAnsi="Aptos" w:cs="Arial"/>
          <w:sz w:val="21"/>
          <w:szCs w:val="21"/>
        </w:rPr>
        <w:t xml:space="preserve"> </w:t>
      </w:r>
      <w:r w:rsidRPr="00D518FF">
        <w:rPr>
          <w:rFonts w:ascii="Aptos" w:hAnsi="Aptos" w:cs="Arial"/>
          <w:sz w:val="21"/>
          <w:szCs w:val="21"/>
        </w:rPr>
        <w:t xml:space="preserve">only </w:t>
      </w:r>
      <w:r w:rsidR="00DB4D86">
        <w:rPr>
          <w:rFonts w:ascii="Aptos" w:hAnsi="Aptos" w:cs="Arial"/>
          <w:sz w:val="21"/>
          <w:szCs w:val="21"/>
        </w:rPr>
        <w:t xml:space="preserve">to </w:t>
      </w:r>
      <w:r w:rsidRPr="00D518FF">
        <w:rPr>
          <w:rFonts w:ascii="Aptos" w:hAnsi="Aptos" w:cs="Arial"/>
          <w:sz w:val="21"/>
          <w:szCs w:val="21"/>
        </w:rPr>
        <w:t>be included if they met a set of minimum quality criteria</w:t>
      </w:r>
      <w:r w:rsidR="00627746">
        <w:rPr>
          <w:rFonts w:ascii="Aptos" w:hAnsi="Aptos" w:cs="Arial"/>
          <w:sz w:val="21"/>
          <w:szCs w:val="21"/>
        </w:rPr>
        <w:t xml:space="preserve">, which were applied </w:t>
      </w:r>
      <w:r w:rsidR="005C7E6C">
        <w:rPr>
          <w:rFonts w:ascii="Aptos" w:hAnsi="Aptos" w:cs="Arial"/>
          <w:sz w:val="21"/>
          <w:szCs w:val="21"/>
        </w:rPr>
        <w:t xml:space="preserve">at </w:t>
      </w:r>
      <w:r w:rsidR="0074097D">
        <w:rPr>
          <w:rFonts w:ascii="Aptos" w:hAnsi="Aptos" w:cs="Arial"/>
          <w:sz w:val="21"/>
          <w:szCs w:val="21"/>
        </w:rPr>
        <w:t xml:space="preserve">both </w:t>
      </w:r>
      <w:r w:rsidR="005C7E6C">
        <w:rPr>
          <w:rFonts w:ascii="Aptos" w:hAnsi="Aptos" w:cs="Arial"/>
          <w:sz w:val="21"/>
          <w:szCs w:val="21"/>
        </w:rPr>
        <w:t>title/abstract and full-text assessment stages of screening</w:t>
      </w:r>
      <w:r w:rsidRPr="00D518FF">
        <w:rPr>
          <w:rFonts w:ascii="Aptos" w:hAnsi="Aptos" w:cs="Arial"/>
          <w:sz w:val="21"/>
          <w:szCs w:val="21"/>
        </w:rPr>
        <w:t xml:space="preserve">. </w:t>
      </w:r>
      <w:r w:rsidR="005C7E6C">
        <w:rPr>
          <w:rFonts w:ascii="Aptos" w:hAnsi="Aptos" w:cs="Arial"/>
          <w:sz w:val="21"/>
          <w:szCs w:val="21"/>
        </w:rPr>
        <w:t xml:space="preserve">If it was unclear at title/abstract if a systematic review met or did not meet one of the below criteria, they were sent for full-text assessment. </w:t>
      </w:r>
    </w:p>
    <w:p w14:paraId="74F906CB" w14:textId="6FC4950B"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The</w:t>
      </w:r>
      <w:r w:rsidR="0074097D">
        <w:rPr>
          <w:rFonts w:ascii="Aptos" w:hAnsi="Aptos" w:cs="Arial"/>
          <w:sz w:val="21"/>
          <w:szCs w:val="21"/>
        </w:rPr>
        <w:t xml:space="preserve"> </w:t>
      </w:r>
      <w:r w:rsidR="0074097D" w:rsidRPr="00D518FF">
        <w:rPr>
          <w:rFonts w:ascii="Aptos" w:hAnsi="Aptos" w:cs="Arial"/>
          <w:sz w:val="21"/>
          <w:szCs w:val="21"/>
        </w:rPr>
        <w:t>set of minimum quality criteria</w:t>
      </w:r>
      <w:r w:rsidR="0074097D" w:rsidRPr="00D518FF" w:rsidDel="0074097D">
        <w:rPr>
          <w:rFonts w:ascii="Aptos" w:hAnsi="Aptos" w:cs="Arial"/>
          <w:sz w:val="21"/>
          <w:szCs w:val="21"/>
        </w:rPr>
        <w:t xml:space="preserve"> </w:t>
      </w:r>
      <w:r w:rsidR="0074097D">
        <w:rPr>
          <w:rFonts w:ascii="Aptos" w:hAnsi="Aptos" w:cs="Arial"/>
          <w:sz w:val="21"/>
          <w:szCs w:val="21"/>
        </w:rPr>
        <w:t>we</w:t>
      </w:r>
      <w:r w:rsidRPr="00D518FF">
        <w:rPr>
          <w:rFonts w:ascii="Aptos" w:hAnsi="Aptos" w:cs="Arial"/>
          <w:sz w:val="21"/>
          <w:szCs w:val="21"/>
        </w:rPr>
        <w:t xml:space="preserve">re informed by existing literature on </w:t>
      </w:r>
      <w:r w:rsidR="00410B46">
        <w:rPr>
          <w:rFonts w:ascii="Aptos" w:hAnsi="Aptos" w:cs="Arial"/>
          <w:sz w:val="21"/>
          <w:szCs w:val="21"/>
        </w:rPr>
        <w:t>o</w:t>
      </w:r>
      <w:r w:rsidRPr="00D518FF">
        <w:rPr>
          <w:rFonts w:ascii="Aptos" w:hAnsi="Aptos" w:cs="Arial"/>
          <w:sz w:val="21"/>
          <w:szCs w:val="21"/>
        </w:rPr>
        <w:t xml:space="preserve">verviews </w:t>
      </w:r>
      <w:r w:rsidR="000935F9">
        <w:rPr>
          <w:rFonts w:ascii="Aptos" w:hAnsi="Aptos" w:cs="Arial"/>
          <w:noProof/>
          <w:sz w:val="21"/>
          <w:szCs w:val="21"/>
        </w:rPr>
        <w:t>(4)</w:t>
      </w:r>
      <w:r w:rsidRPr="00D518FF">
        <w:rPr>
          <w:rFonts w:ascii="Aptos" w:hAnsi="Aptos" w:cs="Arial"/>
          <w:sz w:val="21"/>
          <w:szCs w:val="21"/>
        </w:rPr>
        <w:t xml:space="preserve"> and PRIOR reporting guidelines </w:t>
      </w:r>
      <w:r w:rsidR="000935F9">
        <w:rPr>
          <w:rFonts w:ascii="Aptos" w:hAnsi="Aptos" w:cs="Arial"/>
          <w:noProof/>
          <w:sz w:val="21"/>
          <w:szCs w:val="21"/>
        </w:rPr>
        <w:t>(3)</w:t>
      </w:r>
      <w:r w:rsidRPr="00D518FF">
        <w:rPr>
          <w:rFonts w:ascii="Aptos" w:hAnsi="Aptos" w:cs="Arial"/>
          <w:sz w:val="21"/>
          <w:szCs w:val="21"/>
        </w:rPr>
        <w:t xml:space="preserve">. The minimum quality criteria for inclusion in this </w:t>
      </w:r>
      <w:r w:rsidR="00410B46">
        <w:rPr>
          <w:rFonts w:ascii="Aptos" w:hAnsi="Aptos" w:cs="Arial"/>
          <w:sz w:val="21"/>
          <w:szCs w:val="21"/>
        </w:rPr>
        <w:t>o</w:t>
      </w:r>
      <w:r w:rsidRPr="00D518FF">
        <w:rPr>
          <w:rFonts w:ascii="Aptos" w:hAnsi="Aptos" w:cs="Arial"/>
          <w:sz w:val="21"/>
          <w:szCs w:val="21"/>
        </w:rPr>
        <w:t xml:space="preserve">verview </w:t>
      </w:r>
      <w:r w:rsidR="0074097D">
        <w:rPr>
          <w:rFonts w:ascii="Aptos" w:hAnsi="Aptos" w:cs="Arial"/>
          <w:sz w:val="21"/>
          <w:szCs w:val="21"/>
        </w:rPr>
        <w:t>were</w:t>
      </w:r>
      <w:r w:rsidRPr="00D518FF">
        <w:rPr>
          <w:rFonts w:ascii="Aptos" w:hAnsi="Aptos" w:cs="Arial"/>
          <w:sz w:val="21"/>
          <w:szCs w:val="21"/>
        </w:rPr>
        <w:t xml:space="preserve">: </w:t>
      </w:r>
    </w:p>
    <w:p w14:paraId="108684D2" w14:textId="295D5CCB" w:rsidR="00F726B5" w:rsidRPr="00D518FF" w:rsidRDefault="00F726B5" w:rsidP="003F5774">
      <w:pPr>
        <w:numPr>
          <w:ilvl w:val="0"/>
          <w:numId w:val="17"/>
        </w:numPr>
        <w:spacing w:before="120" w:after="120"/>
        <w:contextualSpacing/>
        <w:rPr>
          <w:rFonts w:ascii="Aptos" w:hAnsi="Aptos" w:cs="Arial"/>
          <w:b/>
          <w:bCs/>
          <w:sz w:val="21"/>
          <w:szCs w:val="21"/>
        </w:rPr>
      </w:pPr>
      <w:r w:rsidRPr="00D518FF">
        <w:rPr>
          <w:rFonts w:ascii="Aptos" w:hAnsi="Aptos" w:cs="Arial"/>
          <w:b/>
          <w:bCs/>
          <w:sz w:val="21"/>
          <w:szCs w:val="21"/>
        </w:rPr>
        <w:t>Me</w:t>
      </w:r>
      <w:r w:rsidR="009132E1">
        <w:rPr>
          <w:rFonts w:ascii="Aptos" w:hAnsi="Aptos" w:cs="Arial"/>
          <w:b/>
          <w:bCs/>
          <w:sz w:val="21"/>
          <w:szCs w:val="21"/>
        </w:rPr>
        <w:t>t</w:t>
      </w:r>
      <w:r w:rsidRPr="00D518FF">
        <w:rPr>
          <w:rFonts w:ascii="Aptos" w:hAnsi="Aptos" w:cs="Arial"/>
          <w:b/>
          <w:bCs/>
          <w:sz w:val="21"/>
          <w:szCs w:val="21"/>
        </w:rPr>
        <w:t xml:space="preserve"> the definition of a systematic review</w:t>
      </w:r>
    </w:p>
    <w:p w14:paraId="13A2357F" w14:textId="7E01813B" w:rsidR="00F726B5" w:rsidRPr="00D518FF" w:rsidRDefault="00F726B5" w:rsidP="00D518FF">
      <w:pPr>
        <w:spacing w:before="120" w:after="120"/>
        <w:ind w:left="720"/>
        <w:rPr>
          <w:rFonts w:ascii="Aptos" w:hAnsi="Aptos" w:cs="Arial"/>
          <w:sz w:val="21"/>
          <w:szCs w:val="21"/>
        </w:rPr>
      </w:pPr>
      <w:r w:rsidRPr="00D518FF">
        <w:rPr>
          <w:rFonts w:ascii="Aptos" w:hAnsi="Aptos" w:cs="Arial"/>
          <w:sz w:val="21"/>
          <w:szCs w:val="21"/>
        </w:rPr>
        <w:t>Systematic reviews that d</w:t>
      </w:r>
      <w:r w:rsidR="0074097D">
        <w:rPr>
          <w:rFonts w:ascii="Aptos" w:hAnsi="Aptos" w:cs="Arial"/>
          <w:sz w:val="21"/>
          <w:szCs w:val="21"/>
        </w:rPr>
        <w:t>id</w:t>
      </w:r>
      <w:r w:rsidRPr="00D518FF">
        <w:rPr>
          <w:rFonts w:ascii="Aptos" w:hAnsi="Aptos" w:cs="Arial"/>
          <w:sz w:val="21"/>
          <w:szCs w:val="21"/>
        </w:rPr>
        <w:t xml:space="preserve"> not </w:t>
      </w:r>
      <w:r w:rsidR="0047321E">
        <w:rPr>
          <w:rFonts w:ascii="Aptos" w:hAnsi="Aptos" w:cs="Arial"/>
          <w:sz w:val="21"/>
          <w:szCs w:val="21"/>
        </w:rPr>
        <w:t xml:space="preserve">(a) </w:t>
      </w:r>
      <w:r w:rsidRPr="00D518FF">
        <w:rPr>
          <w:rFonts w:ascii="Aptos" w:hAnsi="Aptos" w:cs="Arial"/>
          <w:sz w:val="21"/>
          <w:szCs w:val="21"/>
        </w:rPr>
        <w:t xml:space="preserve">report </w:t>
      </w:r>
      <w:bookmarkStart w:id="27" w:name="_Hlk112068102"/>
      <w:r w:rsidR="0047321E">
        <w:rPr>
          <w:rFonts w:ascii="Aptos" w:hAnsi="Aptos" w:cs="Arial"/>
          <w:sz w:val="21"/>
          <w:szCs w:val="21"/>
        </w:rPr>
        <w:t>sufficient PICO information and inclusion criteria</w:t>
      </w:r>
      <w:r w:rsidR="0074097D">
        <w:rPr>
          <w:rFonts w:ascii="Aptos" w:hAnsi="Aptos" w:cs="Arial"/>
          <w:sz w:val="21"/>
          <w:szCs w:val="21"/>
        </w:rPr>
        <w:t>,</w:t>
      </w:r>
      <w:r w:rsidRPr="00D518FF">
        <w:rPr>
          <w:rFonts w:ascii="Aptos" w:hAnsi="Aptos" w:cs="Arial"/>
          <w:sz w:val="21"/>
          <w:szCs w:val="21"/>
        </w:rPr>
        <w:t xml:space="preserve"> or</w:t>
      </w:r>
      <w:r w:rsidR="0047321E">
        <w:rPr>
          <w:rFonts w:ascii="Aptos" w:hAnsi="Aptos" w:cs="Arial"/>
          <w:sz w:val="21"/>
          <w:szCs w:val="21"/>
        </w:rPr>
        <w:t xml:space="preserve"> (b)</w:t>
      </w:r>
      <w:r w:rsidRPr="00D518FF">
        <w:rPr>
          <w:rFonts w:ascii="Aptos" w:hAnsi="Aptos" w:cs="Arial"/>
          <w:sz w:val="21"/>
          <w:szCs w:val="21"/>
        </w:rPr>
        <w:t xml:space="preserve"> conduct a comprehensive search of the literature (i.e. searching more than one database) </w:t>
      </w:r>
      <w:bookmarkEnd w:id="27"/>
      <w:r w:rsidR="00F531EB">
        <w:rPr>
          <w:rFonts w:ascii="Aptos" w:hAnsi="Aptos" w:cs="Arial"/>
          <w:sz w:val="21"/>
          <w:szCs w:val="21"/>
        </w:rPr>
        <w:t>were</w:t>
      </w:r>
      <w:r w:rsidR="00F531EB" w:rsidRPr="00D518FF">
        <w:rPr>
          <w:rFonts w:ascii="Aptos" w:hAnsi="Aptos" w:cs="Arial"/>
          <w:sz w:val="21"/>
          <w:szCs w:val="21"/>
        </w:rPr>
        <w:t xml:space="preserve"> </w:t>
      </w:r>
      <w:r w:rsidRPr="00D518FF">
        <w:rPr>
          <w:rFonts w:ascii="Aptos" w:hAnsi="Aptos" w:cs="Arial"/>
          <w:sz w:val="21"/>
          <w:szCs w:val="21"/>
        </w:rPr>
        <w:t>not included. These reviews do not meet the minimum criteria to be considered ‘systematic’ and may not accurately summarise the body of evidence.</w:t>
      </w:r>
    </w:p>
    <w:p w14:paraId="50EB0E5F" w14:textId="3F217E75" w:rsidR="00F726B5" w:rsidRPr="00D518FF" w:rsidRDefault="00F726B5" w:rsidP="003F5774">
      <w:pPr>
        <w:numPr>
          <w:ilvl w:val="0"/>
          <w:numId w:val="17"/>
        </w:numPr>
        <w:spacing w:before="120" w:after="120"/>
        <w:contextualSpacing/>
        <w:rPr>
          <w:rFonts w:ascii="Aptos" w:hAnsi="Aptos" w:cs="Arial"/>
          <w:b/>
          <w:bCs/>
          <w:sz w:val="21"/>
          <w:szCs w:val="21"/>
        </w:rPr>
      </w:pPr>
      <w:r w:rsidRPr="00D518FF">
        <w:rPr>
          <w:rFonts w:ascii="Aptos" w:hAnsi="Aptos" w:cs="Arial"/>
          <w:b/>
          <w:bCs/>
          <w:sz w:val="21"/>
          <w:szCs w:val="21"/>
        </w:rPr>
        <w:t xml:space="preserve">Primary studies </w:t>
      </w:r>
      <w:r w:rsidR="0074097D">
        <w:rPr>
          <w:rFonts w:ascii="Aptos" w:hAnsi="Aptos" w:cs="Arial"/>
          <w:b/>
          <w:bCs/>
          <w:sz w:val="21"/>
          <w:szCs w:val="21"/>
        </w:rPr>
        <w:t>we</w:t>
      </w:r>
      <w:r w:rsidRPr="00D518FF">
        <w:rPr>
          <w:rFonts w:ascii="Aptos" w:hAnsi="Aptos" w:cs="Arial"/>
          <w:b/>
          <w:bCs/>
          <w:sz w:val="21"/>
          <w:szCs w:val="21"/>
        </w:rPr>
        <w:t>re RCTs or quasi-RCTs</w:t>
      </w:r>
    </w:p>
    <w:p w14:paraId="6493260E" w14:textId="321DE9EA" w:rsidR="00F726B5" w:rsidRPr="00D518FF" w:rsidRDefault="003F2A8F" w:rsidP="00F726B5">
      <w:pPr>
        <w:spacing w:before="120" w:after="120"/>
        <w:ind w:left="720"/>
        <w:contextualSpacing/>
        <w:rPr>
          <w:rFonts w:ascii="Aptos" w:hAnsi="Aptos" w:cs="Arial"/>
          <w:sz w:val="21"/>
          <w:szCs w:val="21"/>
        </w:rPr>
      </w:pPr>
      <w:bookmarkStart w:id="28" w:name="_Hlk112068673"/>
      <w:r>
        <w:rPr>
          <w:rFonts w:ascii="Aptos" w:hAnsi="Aptos" w:cs="Arial"/>
          <w:sz w:val="21"/>
          <w:szCs w:val="21"/>
        </w:rPr>
        <w:lastRenderedPageBreak/>
        <w:t>Systematic reviews including only n</w:t>
      </w:r>
      <w:r w:rsidRPr="003F2A8F">
        <w:rPr>
          <w:rFonts w:ascii="Aptos" w:hAnsi="Aptos" w:cs="Arial"/>
          <w:sz w:val="21"/>
          <w:szCs w:val="21"/>
        </w:rPr>
        <w:t>on-randomised studies of the effects of interventions</w:t>
      </w:r>
      <w:r>
        <w:rPr>
          <w:rFonts w:ascii="Aptos" w:hAnsi="Aptos" w:cs="Arial"/>
          <w:sz w:val="21"/>
          <w:szCs w:val="21"/>
        </w:rPr>
        <w:t>, or other study designs, were not included.</w:t>
      </w:r>
      <w:r w:rsidR="00EA0124">
        <w:rPr>
          <w:rFonts w:ascii="Aptos" w:hAnsi="Aptos" w:cs="Arial"/>
          <w:sz w:val="21"/>
          <w:szCs w:val="21"/>
        </w:rPr>
        <w:t xml:space="preserve"> </w:t>
      </w:r>
      <w:r w:rsidR="00F726B5" w:rsidRPr="00D518FF">
        <w:rPr>
          <w:rFonts w:ascii="Aptos" w:hAnsi="Aptos" w:cs="Arial"/>
          <w:sz w:val="21"/>
          <w:szCs w:val="21"/>
        </w:rPr>
        <w:t xml:space="preserve">If the method of randomisation of a study included within a systematic review </w:t>
      </w:r>
      <w:r w:rsidR="00F531EB">
        <w:rPr>
          <w:rFonts w:ascii="Aptos" w:hAnsi="Aptos" w:cs="Arial"/>
          <w:sz w:val="21"/>
          <w:szCs w:val="21"/>
        </w:rPr>
        <w:t>was</w:t>
      </w:r>
      <w:r w:rsidR="00F531EB" w:rsidRPr="00D518FF">
        <w:rPr>
          <w:rFonts w:ascii="Aptos" w:hAnsi="Aptos" w:cs="Arial"/>
          <w:sz w:val="21"/>
          <w:szCs w:val="21"/>
        </w:rPr>
        <w:t xml:space="preserve"> </w:t>
      </w:r>
      <w:r w:rsidR="00F726B5" w:rsidRPr="00D518FF">
        <w:rPr>
          <w:rFonts w:ascii="Aptos" w:hAnsi="Aptos" w:cs="Arial"/>
          <w:sz w:val="21"/>
          <w:szCs w:val="21"/>
        </w:rPr>
        <w:t xml:space="preserve">not specifically stated, or not considered strictly random, then the study </w:t>
      </w:r>
      <w:r w:rsidR="00F531EB">
        <w:rPr>
          <w:rFonts w:ascii="Aptos" w:hAnsi="Aptos" w:cs="Arial"/>
          <w:sz w:val="21"/>
          <w:szCs w:val="21"/>
        </w:rPr>
        <w:t>was</w:t>
      </w:r>
      <w:r w:rsidR="00F531EB" w:rsidRPr="00D518FF">
        <w:rPr>
          <w:rFonts w:ascii="Aptos" w:hAnsi="Aptos" w:cs="Arial"/>
          <w:sz w:val="21"/>
          <w:szCs w:val="21"/>
        </w:rPr>
        <w:t xml:space="preserve"> </w:t>
      </w:r>
      <w:r w:rsidR="00F726B5" w:rsidRPr="00D518FF">
        <w:rPr>
          <w:rFonts w:ascii="Aptos" w:hAnsi="Aptos" w:cs="Arial"/>
          <w:sz w:val="21"/>
          <w:szCs w:val="21"/>
        </w:rPr>
        <w:t xml:space="preserve">considered quasi-randomised. Where a systematic review includes quasi-RCTs, these </w:t>
      </w:r>
      <w:r w:rsidR="00F531EB">
        <w:rPr>
          <w:rFonts w:ascii="Aptos" w:hAnsi="Aptos" w:cs="Arial"/>
          <w:sz w:val="21"/>
          <w:szCs w:val="21"/>
        </w:rPr>
        <w:t>were</w:t>
      </w:r>
      <w:r w:rsidR="00F726B5" w:rsidRPr="00D518FF">
        <w:rPr>
          <w:rFonts w:ascii="Aptos" w:hAnsi="Aptos" w:cs="Arial"/>
          <w:sz w:val="21"/>
          <w:szCs w:val="21"/>
        </w:rPr>
        <w:t xml:space="preserve"> treated as RCTs (rather than NRSIs) for the purpose of risk of bias assessment and synthesis. </w:t>
      </w:r>
    </w:p>
    <w:p w14:paraId="7EE88A87" w14:textId="3CE974C5" w:rsidR="00AB70C4" w:rsidRPr="00D518FF" w:rsidRDefault="00F726B5" w:rsidP="00F726B5">
      <w:pPr>
        <w:spacing w:before="120" w:after="120"/>
        <w:ind w:left="720"/>
        <w:rPr>
          <w:rFonts w:ascii="Aptos" w:hAnsi="Aptos" w:cs="Arial"/>
          <w:sz w:val="21"/>
          <w:szCs w:val="21"/>
        </w:rPr>
      </w:pPr>
      <w:r w:rsidRPr="00D518FF">
        <w:rPr>
          <w:rFonts w:ascii="Aptos" w:hAnsi="Aptos" w:cs="Arial"/>
          <w:sz w:val="21"/>
          <w:szCs w:val="21"/>
        </w:rPr>
        <w:t xml:space="preserve">Eligible reviews that include a single RCT </w:t>
      </w:r>
      <w:r w:rsidR="00F531EB">
        <w:rPr>
          <w:rFonts w:ascii="Aptos" w:hAnsi="Aptos" w:cs="Arial"/>
          <w:sz w:val="21"/>
          <w:szCs w:val="21"/>
        </w:rPr>
        <w:t>were</w:t>
      </w:r>
      <w:r w:rsidRPr="00D518FF">
        <w:rPr>
          <w:rFonts w:ascii="Aptos" w:hAnsi="Aptos" w:cs="Arial"/>
          <w:sz w:val="21"/>
          <w:szCs w:val="21"/>
        </w:rPr>
        <w:t xml:space="preserve"> included</w:t>
      </w:r>
      <w:r w:rsidR="002067AA">
        <w:rPr>
          <w:rFonts w:ascii="Aptos" w:hAnsi="Aptos" w:cs="Arial"/>
          <w:sz w:val="21"/>
          <w:szCs w:val="21"/>
        </w:rPr>
        <w:t xml:space="preserve">. </w:t>
      </w:r>
      <w:bookmarkEnd w:id="28"/>
    </w:p>
    <w:p w14:paraId="6ECFEF0C" w14:textId="4B0151DF" w:rsidR="00F726B5" w:rsidRPr="00D518FF" w:rsidRDefault="00F726B5" w:rsidP="003F5774">
      <w:pPr>
        <w:numPr>
          <w:ilvl w:val="0"/>
          <w:numId w:val="17"/>
        </w:numPr>
        <w:spacing w:before="120" w:after="120"/>
        <w:contextualSpacing/>
        <w:rPr>
          <w:rFonts w:ascii="Aptos" w:hAnsi="Aptos" w:cs="Arial"/>
          <w:b/>
          <w:bCs/>
          <w:sz w:val="21"/>
          <w:szCs w:val="21"/>
        </w:rPr>
      </w:pPr>
      <w:r w:rsidRPr="00D518FF">
        <w:rPr>
          <w:rFonts w:ascii="Aptos" w:hAnsi="Aptos" w:cs="Arial"/>
          <w:b/>
          <w:bCs/>
          <w:sz w:val="21"/>
          <w:szCs w:val="21"/>
        </w:rPr>
        <w:t xml:space="preserve">Risk of bias of the </w:t>
      </w:r>
      <w:r w:rsidR="006D1F3A">
        <w:rPr>
          <w:rFonts w:ascii="Aptos" w:hAnsi="Aptos" w:cs="Arial"/>
          <w:b/>
          <w:bCs/>
          <w:sz w:val="21"/>
          <w:szCs w:val="21"/>
        </w:rPr>
        <w:t xml:space="preserve">included primary studies </w:t>
      </w:r>
      <w:r w:rsidR="003F2A8F">
        <w:rPr>
          <w:rFonts w:ascii="Aptos" w:hAnsi="Aptos" w:cs="Arial"/>
          <w:b/>
          <w:bCs/>
          <w:sz w:val="21"/>
          <w:szCs w:val="21"/>
        </w:rPr>
        <w:t>wa</w:t>
      </w:r>
      <w:r w:rsidR="006D1F3A">
        <w:rPr>
          <w:rFonts w:ascii="Aptos" w:hAnsi="Aptos" w:cs="Arial"/>
          <w:b/>
          <w:bCs/>
          <w:sz w:val="21"/>
          <w:szCs w:val="21"/>
        </w:rPr>
        <w:t xml:space="preserve">s reported in the </w:t>
      </w:r>
      <w:r w:rsidRPr="00D518FF">
        <w:rPr>
          <w:rFonts w:ascii="Aptos" w:hAnsi="Aptos" w:cs="Arial"/>
          <w:b/>
          <w:bCs/>
          <w:sz w:val="21"/>
          <w:szCs w:val="21"/>
        </w:rPr>
        <w:t>systematic review</w:t>
      </w:r>
    </w:p>
    <w:p w14:paraId="3A129213" w14:textId="274F29F9" w:rsidR="00F726B5" w:rsidRPr="00D518FF" w:rsidRDefault="00F726B5" w:rsidP="00F726B5">
      <w:pPr>
        <w:spacing w:before="120" w:after="120"/>
        <w:ind w:left="720"/>
        <w:rPr>
          <w:rFonts w:ascii="Aptos" w:hAnsi="Aptos" w:cs="Arial"/>
          <w:sz w:val="21"/>
          <w:szCs w:val="21"/>
        </w:rPr>
      </w:pPr>
      <w:r w:rsidRPr="00D518FF">
        <w:rPr>
          <w:rFonts w:ascii="Aptos" w:hAnsi="Aptos" w:cs="Arial"/>
          <w:sz w:val="21"/>
          <w:szCs w:val="21"/>
        </w:rPr>
        <w:t xml:space="preserve">The systematic review </w:t>
      </w:r>
      <w:r w:rsidR="003F2A8F">
        <w:rPr>
          <w:rFonts w:ascii="Aptos" w:hAnsi="Aptos" w:cs="Arial"/>
          <w:sz w:val="21"/>
          <w:szCs w:val="21"/>
        </w:rPr>
        <w:t>needed to</w:t>
      </w:r>
      <w:r w:rsidR="003F2A8F" w:rsidRPr="00D518FF">
        <w:rPr>
          <w:rFonts w:ascii="Aptos" w:hAnsi="Aptos" w:cs="Arial"/>
          <w:sz w:val="21"/>
          <w:szCs w:val="21"/>
        </w:rPr>
        <w:t xml:space="preserve"> </w:t>
      </w:r>
      <w:r w:rsidR="003F2A8F">
        <w:rPr>
          <w:rFonts w:ascii="Aptos" w:hAnsi="Aptos" w:cs="Arial"/>
          <w:sz w:val="21"/>
          <w:szCs w:val="21"/>
        </w:rPr>
        <w:t xml:space="preserve">assess and </w:t>
      </w:r>
      <w:r w:rsidRPr="00D518FF">
        <w:rPr>
          <w:rFonts w:ascii="Aptos" w:hAnsi="Aptos" w:cs="Arial"/>
          <w:sz w:val="21"/>
          <w:szCs w:val="21"/>
        </w:rPr>
        <w:t>report risk of bias or quality assessment of the primary studies.</w:t>
      </w:r>
    </w:p>
    <w:p w14:paraId="6580DECE" w14:textId="51C17AEE" w:rsidR="00F726B5" w:rsidRPr="00D518FF" w:rsidRDefault="00F726B5" w:rsidP="003F5774">
      <w:pPr>
        <w:numPr>
          <w:ilvl w:val="0"/>
          <w:numId w:val="17"/>
        </w:numPr>
        <w:spacing w:before="120" w:after="120"/>
        <w:contextualSpacing/>
        <w:rPr>
          <w:rFonts w:ascii="Aptos" w:hAnsi="Aptos" w:cs="Arial"/>
          <w:b/>
          <w:bCs/>
          <w:sz w:val="21"/>
          <w:szCs w:val="21"/>
        </w:rPr>
      </w:pPr>
      <w:r w:rsidRPr="00D518FF">
        <w:rPr>
          <w:rFonts w:ascii="Aptos" w:hAnsi="Aptos" w:cs="Arial"/>
          <w:b/>
          <w:bCs/>
          <w:sz w:val="21"/>
          <w:szCs w:val="21"/>
        </w:rPr>
        <w:t>Report</w:t>
      </w:r>
      <w:r w:rsidR="009132E1">
        <w:rPr>
          <w:rFonts w:ascii="Aptos" w:hAnsi="Aptos" w:cs="Arial"/>
          <w:b/>
          <w:bCs/>
          <w:sz w:val="21"/>
          <w:szCs w:val="21"/>
        </w:rPr>
        <w:t>ed</w:t>
      </w:r>
      <w:r w:rsidRPr="00D518FF">
        <w:rPr>
          <w:rFonts w:ascii="Aptos" w:hAnsi="Aptos" w:cs="Arial"/>
          <w:b/>
          <w:bCs/>
          <w:sz w:val="21"/>
          <w:szCs w:val="21"/>
        </w:rPr>
        <w:t xml:space="preserve"> sufficient primary study characteristics for interpretation of results </w:t>
      </w:r>
    </w:p>
    <w:p w14:paraId="1BF0650C" w14:textId="75A046A1" w:rsidR="00F726B5" w:rsidRPr="00D518FF" w:rsidRDefault="00F726B5" w:rsidP="00F726B5">
      <w:pPr>
        <w:spacing w:before="120" w:after="120"/>
        <w:ind w:left="720"/>
        <w:rPr>
          <w:rFonts w:ascii="Aptos" w:hAnsi="Aptos" w:cs="Arial"/>
          <w:sz w:val="21"/>
          <w:szCs w:val="21"/>
        </w:rPr>
      </w:pPr>
      <w:r w:rsidRPr="00D518FF">
        <w:rPr>
          <w:rFonts w:ascii="Aptos" w:hAnsi="Aptos" w:cs="Arial"/>
          <w:sz w:val="21"/>
          <w:szCs w:val="21"/>
        </w:rPr>
        <w:t>At minimum, all PICO elements, and a risk of bias assessment</w:t>
      </w:r>
      <w:r w:rsidRPr="00D518FF" w:rsidDel="003B394E">
        <w:rPr>
          <w:rFonts w:ascii="Aptos" w:hAnsi="Aptos" w:cs="Arial"/>
          <w:sz w:val="21"/>
          <w:szCs w:val="21"/>
        </w:rPr>
        <w:t xml:space="preserve"> </w:t>
      </w:r>
      <w:r w:rsidRPr="00D518FF">
        <w:rPr>
          <w:rFonts w:ascii="Aptos" w:hAnsi="Aptos" w:cs="Arial"/>
          <w:sz w:val="21"/>
          <w:szCs w:val="21"/>
        </w:rPr>
        <w:t xml:space="preserve">must </w:t>
      </w:r>
      <w:r w:rsidR="009132E1">
        <w:rPr>
          <w:rFonts w:ascii="Aptos" w:hAnsi="Aptos" w:cs="Arial"/>
          <w:sz w:val="21"/>
          <w:szCs w:val="21"/>
        </w:rPr>
        <w:t xml:space="preserve">have </w:t>
      </w:r>
      <w:r w:rsidRPr="00D518FF">
        <w:rPr>
          <w:rFonts w:ascii="Aptos" w:hAnsi="Aptos" w:cs="Arial"/>
          <w:sz w:val="21"/>
          <w:szCs w:val="21"/>
        </w:rPr>
        <w:t>be</w:t>
      </w:r>
      <w:r w:rsidR="009132E1">
        <w:rPr>
          <w:rFonts w:ascii="Aptos" w:hAnsi="Aptos" w:cs="Arial"/>
          <w:sz w:val="21"/>
          <w:szCs w:val="21"/>
        </w:rPr>
        <w:t>en</w:t>
      </w:r>
      <w:r w:rsidRPr="00D518FF">
        <w:rPr>
          <w:rFonts w:ascii="Aptos" w:hAnsi="Aptos" w:cs="Arial"/>
          <w:sz w:val="21"/>
          <w:szCs w:val="21"/>
        </w:rPr>
        <w:t xml:space="preserve"> reported. If other information </w:t>
      </w:r>
      <w:r w:rsidR="00F87152">
        <w:rPr>
          <w:rFonts w:ascii="Aptos" w:hAnsi="Aptos" w:cs="Arial"/>
          <w:sz w:val="21"/>
          <w:szCs w:val="21"/>
        </w:rPr>
        <w:t>wa</w:t>
      </w:r>
      <w:r w:rsidRPr="00D518FF">
        <w:rPr>
          <w:rFonts w:ascii="Aptos" w:hAnsi="Aptos" w:cs="Arial"/>
          <w:sz w:val="21"/>
          <w:szCs w:val="21"/>
        </w:rPr>
        <w:t xml:space="preserve">s missing, this </w:t>
      </w:r>
      <w:r w:rsidR="00604DC1">
        <w:rPr>
          <w:rFonts w:ascii="Aptos" w:hAnsi="Aptos" w:cs="Arial"/>
          <w:sz w:val="21"/>
          <w:szCs w:val="21"/>
        </w:rPr>
        <w:t>was</w:t>
      </w:r>
      <w:r w:rsidRPr="00D518FF">
        <w:rPr>
          <w:rFonts w:ascii="Aptos" w:hAnsi="Aptos" w:cs="Arial"/>
          <w:sz w:val="21"/>
          <w:szCs w:val="21"/>
        </w:rPr>
        <w:t xml:space="preserve"> dealt with via methods described in </w:t>
      </w:r>
      <w:r w:rsidR="00675BB7">
        <w:rPr>
          <w:rFonts w:ascii="Aptos" w:hAnsi="Aptos" w:cs="Arial"/>
          <w:sz w:val="21"/>
          <w:szCs w:val="21"/>
        </w:rPr>
        <w:t>Appendix</w:t>
      </w:r>
      <w:r w:rsidR="00675BB7" w:rsidRPr="00D518FF">
        <w:rPr>
          <w:rFonts w:ascii="Aptos" w:hAnsi="Aptos" w:cs="Arial"/>
          <w:sz w:val="21"/>
          <w:szCs w:val="21"/>
        </w:rPr>
        <w:t xml:space="preserve"> </w:t>
      </w:r>
      <w:r w:rsidR="003B394E">
        <w:rPr>
          <w:rFonts w:ascii="Aptos" w:hAnsi="Aptos" w:cs="Arial"/>
          <w:sz w:val="21"/>
          <w:szCs w:val="21"/>
        </w:rPr>
        <w:fldChar w:fldCharType="begin" w:fldLock="1"/>
      </w:r>
      <w:r w:rsidR="003B394E">
        <w:rPr>
          <w:rFonts w:ascii="Aptos" w:hAnsi="Aptos" w:cs="Arial"/>
          <w:sz w:val="21"/>
          <w:szCs w:val="21"/>
        </w:rPr>
        <w:instrText xml:space="preserve"> REF _Ref172746770 \r </w:instrText>
      </w:r>
      <w:r w:rsidR="003B394E">
        <w:rPr>
          <w:rFonts w:ascii="Aptos" w:hAnsi="Aptos" w:cs="Arial"/>
          <w:sz w:val="21"/>
          <w:szCs w:val="21"/>
        </w:rPr>
        <w:fldChar w:fldCharType="separate"/>
      </w:r>
      <w:r w:rsidR="003B394E">
        <w:rPr>
          <w:rFonts w:ascii="Aptos" w:hAnsi="Aptos" w:cs="Arial"/>
          <w:sz w:val="21"/>
          <w:szCs w:val="21"/>
        </w:rPr>
        <w:t>B1</w:t>
      </w:r>
      <w:r w:rsidR="003B394E">
        <w:rPr>
          <w:rFonts w:ascii="Aptos" w:hAnsi="Aptos" w:cs="Arial"/>
          <w:sz w:val="21"/>
          <w:szCs w:val="21"/>
        </w:rPr>
        <w:fldChar w:fldCharType="end"/>
      </w:r>
      <w:r w:rsidR="009132E1">
        <w:rPr>
          <w:rFonts w:ascii="Aptos" w:hAnsi="Aptos" w:cs="Arial"/>
          <w:sz w:val="21"/>
          <w:szCs w:val="21"/>
        </w:rPr>
        <w:t>.1</w:t>
      </w:r>
      <w:r w:rsidRPr="00D518FF">
        <w:rPr>
          <w:rFonts w:ascii="Aptos" w:hAnsi="Aptos" w:cs="Arial"/>
          <w:sz w:val="21"/>
          <w:szCs w:val="21"/>
        </w:rPr>
        <w:t>.</w:t>
      </w:r>
    </w:p>
    <w:p w14:paraId="5095A5EF" w14:textId="79221304" w:rsidR="00BF0EB3" w:rsidRDefault="00BF0EB3" w:rsidP="00840DA2">
      <w:pPr>
        <w:spacing w:before="120" w:after="120"/>
        <w:rPr>
          <w:rFonts w:ascii="Aptos" w:hAnsi="Aptos" w:cs="Arial"/>
          <w:sz w:val="21"/>
          <w:szCs w:val="21"/>
        </w:rPr>
      </w:pPr>
      <w:r>
        <w:rPr>
          <w:rFonts w:ascii="Aptos" w:hAnsi="Aptos" w:cs="Arial"/>
          <w:sz w:val="21"/>
          <w:szCs w:val="21"/>
        </w:rPr>
        <w:t>Deviations from the intended minimal quality criteria described in the</w:t>
      </w:r>
      <w:r w:rsidR="009132E1">
        <w:rPr>
          <w:rFonts w:ascii="Aptos" w:hAnsi="Aptos" w:cs="Arial"/>
          <w:sz w:val="21"/>
          <w:szCs w:val="21"/>
        </w:rPr>
        <w:t xml:space="preserve"> overview</w:t>
      </w:r>
      <w:r>
        <w:rPr>
          <w:rFonts w:ascii="Aptos" w:hAnsi="Aptos" w:cs="Arial"/>
          <w:sz w:val="21"/>
          <w:szCs w:val="21"/>
        </w:rPr>
        <w:t xml:space="preserve"> protocol, but not used, are </w:t>
      </w:r>
      <w:r w:rsidR="009132E1">
        <w:rPr>
          <w:rFonts w:ascii="Aptos" w:hAnsi="Aptos" w:cs="Arial"/>
          <w:sz w:val="21"/>
          <w:szCs w:val="21"/>
        </w:rPr>
        <w:t xml:space="preserve">presented </w:t>
      </w:r>
      <w:r>
        <w:rPr>
          <w:rFonts w:ascii="Aptos" w:hAnsi="Aptos" w:cs="Arial"/>
          <w:sz w:val="21"/>
          <w:szCs w:val="21"/>
        </w:rPr>
        <w:t xml:space="preserve">in Appendix G. </w:t>
      </w:r>
    </w:p>
    <w:p w14:paraId="2974D1D6" w14:textId="77777777" w:rsidR="00B556A3" w:rsidRDefault="00840DA2" w:rsidP="00B556A3">
      <w:pPr>
        <w:spacing w:before="120" w:after="120"/>
        <w:rPr>
          <w:rFonts w:ascii="Aptos" w:hAnsi="Aptos" w:cs="Arial"/>
          <w:sz w:val="21"/>
          <w:szCs w:val="21"/>
        </w:rPr>
      </w:pPr>
      <w:r>
        <w:rPr>
          <w:rFonts w:ascii="Aptos" w:hAnsi="Aptos" w:cs="Arial"/>
          <w:sz w:val="21"/>
          <w:szCs w:val="21"/>
        </w:rPr>
        <w:t>T</w:t>
      </w:r>
      <w:r w:rsidRPr="00D518FF">
        <w:rPr>
          <w:rFonts w:ascii="Aptos" w:hAnsi="Aptos" w:cs="Arial"/>
          <w:sz w:val="21"/>
          <w:szCs w:val="21"/>
        </w:rPr>
        <w:t xml:space="preserve">he </w:t>
      </w:r>
      <w:r w:rsidR="003B394E">
        <w:rPr>
          <w:rFonts w:ascii="Aptos" w:hAnsi="Aptos" w:cs="Arial"/>
          <w:sz w:val="21"/>
          <w:szCs w:val="21"/>
        </w:rPr>
        <w:t xml:space="preserve">intended </w:t>
      </w:r>
      <w:r w:rsidRPr="00D518FF">
        <w:rPr>
          <w:rFonts w:ascii="Aptos" w:hAnsi="Aptos" w:cs="Arial"/>
          <w:sz w:val="21"/>
          <w:szCs w:val="21"/>
        </w:rPr>
        <w:t>protocol for inclusion of supplemental primary studies</w:t>
      </w:r>
      <w:r w:rsidRPr="00D518FF" w:rsidDel="007A578F">
        <w:rPr>
          <w:rFonts w:ascii="Aptos" w:hAnsi="Aptos" w:cs="Arial"/>
          <w:sz w:val="21"/>
          <w:szCs w:val="21"/>
        </w:rPr>
        <w:t xml:space="preserve"> </w:t>
      </w:r>
      <w:r>
        <w:rPr>
          <w:rFonts w:ascii="Aptos" w:hAnsi="Aptos" w:cs="Arial"/>
          <w:sz w:val="21"/>
          <w:szCs w:val="21"/>
        </w:rPr>
        <w:t xml:space="preserve">was not </w:t>
      </w:r>
      <w:r w:rsidRPr="00D518FF">
        <w:rPr>
          <w:rFonts w:ascii="Aptos" w:hAnsi="Aptos" w:cs="Arial"/>
          <w:sz w:val="21"/>
          <w:szCs w:val="21"/>
        </w:rPr>
        <w:t>followed</w:t>
      </w:r>
      <w:r>
        <w:rPr>
          <w:rFonts w:ascii="Aptos" w:hAnsi="Aptos" w:cs="Arial"/>
          <w:sz w:val="21"/>
          <w:szCs w:val="21"/>
        </w:rPr>
        <w:t xml:space="preserve"> due to the volume of primary studies that would need to be screen</w:t>
      </w:r>
      <w:r w:rsidR="00BF0EB3">
        <w:rPr>
          <w:rFonts w:ascii="Aptos" w:hAnsi="Aptos" w:cs="Arial"/>
          <w:sz w:val="21"/>
          <w:szCs w:val="21"/>
        </w:rPr>
        <w:t>ed</w:t>
      </w:r>
      <w:r w:rsidR="00EB6FE8">
        <w:rPr>
          <w:rFonts w:ascii="Aptos" w:hAnsi="Aptos" w:cs="Arial"/>
          <w:sz w:val="21"/>
          <w:szCs w:val="21"/>
        </w:rPr>
        <w:t>,</w:t>
      </w:r>
      <w:r>
        <w:rPr>
          <w:rFonts w:ascii="Aptos" w:hAnsi="Aptos" w:cs="Arial"/>
          <w:sz w:val="21"/>
          <w:szCs w:val="21"/>
        </w:rPr>
        <w:t xml:space="preserve"> amounting to a systematic review for each population-</w:t>
      </w:r>
      <w:r w:rsidR="00BF0EB3">
        <w:rPr>
          <w:rFonts w:ascii="Aptos" w:hAnsi="Aptos" w:cs="Arial"/>
          <w:sz w:val="21"/>
          <w:szCs w:val="21"/>
        </w:rPr>
        <w:t>supplement</w:t>
      </w:r>
      <w:r w:rsidDel="00BF0EB3">
        <w:rPr>
          <w:rFonts w:ascii="Aptos" w:hAnsi="Aptos" w:cs="Arial"/>
          <w:sz w:val="21"/>
          <w:szCs w:val="21"/>
        </w:rPr>
        <w:t xml:space="preserve"> </w:t>
      </w:r>
      <w:r>
        <w:rPr>
          <w:rFonts w:ascii="Aptos" w:hAnsi="Aptos" w:cs="Arial"/>
          <w:sz w:val="21"/>
          <w:szCs w:val="21"/>
        </w:rPr>
        <w:t>pair</w:t>
      </w:r>
      <w:r w:rsidDel="00BF0EB3">
        <w:rPr>
          <w:rFonts w:ascii="Aptos" w:hAnsi="Aptos" w:cs="Arial"/>
          <w:sz w:val="21"/>
          <w:szCs w:val="21"/>
        </w:rPr>
        <w:t xml:space="preserve"> (see Appendix G – changes from protocol)</w:t>
      </w:r>
      <w:r w:rsidRPr="00D518FF" w:rsidDel="00BF0EB3">
        <w:rPr>
          <w:rFonts w:ascii="Aptos" w:hAnsi="Aptos" w:cs="Arial"/>
          <w:sz w:val="21"/>
          <w:szCs w:val="21"/>
        </w:rPr>
        <w:t>.</w:t>
      </w:r>
      <w:r w:rsidR="00B556A3" w:rsidRPr="00B556A3">
        <w:rPr>
          <w:rFonts w:ascii="Aptos" w:hAnsi="Aptos" w:cs="Arial"/>
          <w:sz w:val="21"/>
          <w:szCs w:val="21"/>
        </w:rPr>
        <w:t xml:space="preserve"> </w:t>
      </w:r>
    </w:p>
    <w:p w14:paraId="60E8041D" w14:textId="033F6F4D" w:rsidR="00045E14" w:rsidRDefault="00B556A3" w:rsidP="00B556A3">
      <w:pPr>
        <w:spacing w:before="120" w:after="120"/>
        <w:rPr>
          <w:rFonts w:ascii="Aptos" w:hAnsi="Aptos" w:cs="Arial"/>
          <w:sz w:val="21"/>
          <w:szCs w:val="21"/>
        </w:rPr>
      </w:pPr>
      <w:r w:rsidRPr="00D518FF">
        <w:rPr>
          <w:rFonts w:ascii="Aptos" w:hAnsi="Aptos" w:cs="Arial"/>
          <w:sz w:val="21"/>
          <w:szCs w:val="21"/>
        </w:rPr>
        <w:t xml:space="preserve">Where a systematic review </w:t>
      </w:r>
      <w:r>
        <w:rPr>
          <w:rFonts w:ascii="Aptos" w:hAnsi="Aptos" w:cs="Arial"/>
          <w:sz w:val="21"/>
          <w:szCs w:val="21"/>
        </w:rPr>
        <w:t>was</w:t>
      </w:r>
      <w:r w:rsidRPr="00D518FF">
        <w:rPr>
          <w:rFonts w:ascii="Aptos" w:hAnsi="Aptos" w:cs="Arial"/>
          <w:sz w:val="21"/>
          <w:szCs w:val="21"/>
        </w:rPr>
        <w:t xml:space="preserve"> not identified for a priority </w:t>
      </w:r>
      <w:r w:rsidRPr="00D518FF" w:rsidDel="008B625F">
        <w:rPr>
          <w:rFonts w:ascii="Aptos" w:hAnsi="Aptos" w:cs="Arial"/>
          <w:sz w:val="21"/>
          <w:szCs w:val="21"/>
        </w:rPr>
        <w:t>population-</w:t>
      </w:r>
      <w:r>
        <w:rPr>
          <w:rFonts w:ascii="Aptos" w:hAnsi="Aptos" w:cs="Arial"/>
          <w:sz w:val="21"/>
          <w:szCs w:val="21"/>
        </w:rPr>
        <w:t>supplement pair,</w:t>
      </w:r>
      <w:r w:rsidRPr="00840DA2">
        <w:rPr>
          <w:rFonts w:ascii="Aptos" w:hAnsi="Aptos" w:cs="Arial"/>
          <w:sz w:val="21"/>
          <w:szCs w:val="21"/>
        </w:rPr>
        <w:t xml:space="preserve"> </w:t>
      </w:r>
      <w:r w:rsidRPr="00D518FF">
        <w:rPr>
          <w:rFonts w:ascii="Aptos" w:hAnsi="Aptos" w:cs="Arial"/>
          <w:sz w:val="21"/>
          <w:szCs w:val="21"/>
        </w:rPr>
        <w:t xml:space="preserve">this </w:t>
      </w:r>
      <w:r>
        <w:rPr>
          <w:rFonts w:ascii="Aptos" w:hAnsi="Aptos" w:cs="Arial"/>
          <w:sz w:val="21"/>
          <w:szCs w:val="21"/>
        </w:rPr>
        <w:t>was</w:t>
      </w:r>
      <w:r w:rsidRPr="00D518FF">
        <w:rPr>
          <w:rFonts w:ascii="Aptos" w:hAnsi="Aptos" w:cs="Arial"/>
          <w:sz w:val="21"/>
          <w:szCs w:val="21"/>
        </w:rPr>
        <w:t xml:space="preserve"> noted</w:t>
      </w:r>
      <w:r>
        <w:rPr>
          <w:rFonts w:ascii="Aptos" w:hAnsi="Aptos" w:cs="Arial"/>
          <w:sz w:val="21"/>
          <w:szCs w:val="21"/>
        </w:rPr>
        <w:t>.</w:t>
      </w:r>
      <w:r w:rsidRPr="00D518FF">
        <w:rPr>
          <w:rFonts w:ascii="Aptos" w:hAnsi="Aptos" w:cs="Arial"/>
          <w:sz w:val="21"/>
          <w:szCs w:val="21"/>
        </w:rPr>
        <w:t xml:space="preserve"> </w:t>
      </w:r>
    </w:p>
    <w:p w14:paraId="5EA090A0" w14:textId="2DE009EB"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Publication type</w:t>
      </w:r>
    </w:p>
    <w:p w14:paraId="50D9278F" w14:textId="0BDFA6F5"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Overviews of systematic reviews </w:t>
      </w:r>
      <w:r w:rsidR="00827503">
        <w:rPr>
          <w:rFonts w:ascii="Aptos" w:hAnsi="Aptos" w:cs="Arial"/>
          <w:sz w:val="21"/>
          <w:szCs w:val="21"/>
        </w:rPr>
        <w:t>were</w:t>
      </w:r>
      <w:r w:rsidR="00827503" w:rsidRPr="00D518FF">
        <w:rPr>
          <w:rFonts w:ascii="Aptos" w:hAnsi="Aptos" w:cs="Arial"/>
          <w:sz w:val="21"/>
          <w:szCs w:val="21"/>
        </w:rPr>
        <w:t xml:space="preserve"> </w:t>
      </w:r>
      <w:r w:rsidRPr="00D518FF">
        <w:rPr>
          <w:rFonts w:ascii="Aptos" w:hAnsi="Aptos" w:cs="Arial"/>
          <w:sz w:val="21"/>
          <w:szCs w:val="21"/>
        </w:rPr>
        <w:t xml:space="preserve">not eligible for inclusion, however, </w:t>
      </w:r>
      <w:r w:rsidR="003B394E">
        <w:rPr>
          <w:rFonts w:ascii="Aptos" w:hAnsi="Aptos" w:cs="Arial"/>
          <w:sz w:val="21"/>
          <w:szCs w:val="21"/>
        </w:rPr>
        <w:t>o</w:t>
      </w:r>
      <w:r w:rsidRPr="00D518FF">
        <w:rPr>
          <w:rFonts w:ascii="Aptos" w:hAnsi="Aptos" w:cs="Arial"/>
          <w:sz w:val="21"/>
          <w:szCs w:val="21"/>
        </w:rPr>
        <w:t xml:space="preserve">verviews identified in literature searches or submitted through the Department’s public call for evidence </w:t>
      </w:r>
      <w:r w:rsidR="00827503">
        <w:rPr>
          <w:rFonts w:ascii="Aptos" w:hAnsi="Aptos" w:cs="Arial"/>
          <w:sz w:val="21"/>
          <w:szCs w:val="21"/>
        </w:rPr>
        <w:t>were</w:t>
      </w:r>
      <w:r w:rsidRPr="00D518FF">
        <w:rPr>
          <w:rFonts w:ascii="Aptos" w:hAnsi="Aptos" w:cs="Arial"/>
          <w:sz w:val="21"/>
          <w:szCs w:val="21"/>
        </w:rPr>
        <w:t xml:space="preserve"> checked to identify any cited systematic reviews that may be eligible. As a publication type, expert opinion articles, editorials, letters, or emails </w:t>
      </w:r>
      <w:r w:rsidR="004F7793">
        <w:rPr>
          <w:rFonts w:ascii="Aptos" w:hAnsi="Aptos" w:cs="Arial"/>
          <w:sz w:val="21"/>
          <w:szCs w:val="21"/>
        </w:rPr>
        <w:t>were</w:t>
      </w:r>
      <w:r w:rsidRPr="00D518FF">
        <w:rPr>
          <w:rFonts w:ascii="Aptos" w:hAnsi="Aptos" w:cs="Arial"/>
          <w:sz w:val="21"/>
          <w:szCs w:val="21"/>
        </w:rPr>
        <w:t xml:space="preserve"> excluded.</w:t>
      </w:r>
    </w:p>
    <w:p w14:paraId="35CF8632"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bookmarkStart w:id="29" w:name="_Toc100711480"/>
      <w:r w:rsidRPr="00D518FF">
        <w:rPr>
          <w:rFonts w:ascii="Aptos" w:eastAsia="Calibri" w:hAnsi="Aptos" w:cs="Arial"/>
          <w:b/>
          <w:bCs/>
          <w:i/>
          <w:iCs/>
          <w:color w:val="C00000"/>
          <w:sz w:val="21"/>
          <w:szCs w:val="21"/>
          <w:lang w:eastAsia="en-US"/>
        </w:rPr>
        <w:t>Publication date</w:t>
      </w:r>
      <w:bookmarkEnd w:id="29"/>
    </w:p>
    <w:p w14:paraId="755BFF8E" w14:textId="7751DB37"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There </w:t>
      </w:r>
      <w:r w:rsidR="004F7793">
        <w:rPr>
          <w:rFonts w:ascii="Aptos" w:hAnsi="Aptos" w:cs="Arial"/>
          <w:sz w:val="21"/>
          <w:szCs w:val="21"/>
        </w:rPr>
        <w:t>were</w:t>
      </w:r>
      <w:r w:rsidR="004F7793" w:rsidRPr="00D518FF">
        <w:rPr>
          <w:rFonts w:ascii="Aptos" w:hAnsi="Aptos" w:cs="Arial"/>
          <w:sz w:val="21"/>
          <w:szCs w:val="21"/>
        </w:rPr>
        <w:t xml:space="preserve"> </w:t>
      </w:r>
      <w:r w:rsidRPr="00D518FF">
        <w:rPr>
          <w:rFonts w:ascii="Aptos" w:hAnsi="Aptos" w:cs="Arial"/>
          <w:sz w:val="21"/>
          <w:szCs w:val="21"/>
        </w:rPr>
        <w:t xml:space="preserve">no limitations on publication date, however, systematic reviews published after the </w:t>
      </w:r>
      <w:r w:rsidR="00410B46">
        <w:rPr>
          <w:rFonts w:ascii="Aptos" w:hAnsi="Aptos" w:cs="Arial"/>
          <w:sz w:val="21"/>
          <w:szCs w:val="21"/>
        </w:rPr>
        <w:t>o</w:t>
      </w:r>
      <w:r w:rsidRPr="00D518FF">
        <w:rPr>
          <w:rFonts w:ascii="Aptos" w:hAnsi="Aptos" w:cs="Arial"/>
          <w:sz w:val="21"/>
          <w:szCs w:val="21"/>
        </w:rPr>
        <w:t xml:space="preserve">verview literature search date </w:t>
      </w:r>
      <w:r w:rsidR="004F7793">
        <w:rPr>
          <w:rFonts w:ascii="Aptos" w:hAnsi="Aptos" w:cs="Arial"/>
          <w:sz w:val="21"/>
          <w:szCs w:val="21"/>
        </w:rPr>
        <w:t>were</w:t>
      </w:r>
      <w:r w:rsidR="004F7793" w:rsidRPr="00D518FF">
        <w:rPr>
          <w:rFonts w:ascii="Aptos" w:hAnsi="Aptos" w:cs="Arial"/>
          <w:sz w:val="21"/>
          <w:szCs w:val="21"/>
        </w:rPr>
        <w:t xml:space="preserve"> </w:t>
      </w:r>
      <w:r w:rsidRPr="00D518FF">
        <w:rPr>
          <w:rFonts w:ascii="Aptos" w:hAnsi="Aptos" w:cs="Arial"/>
          <w:sz w:val="21"/>
          <w:szCs w:val="21"/>
        </w:rPr>
        <w:t xml:space="preserve">not included. Systematic reviews published (or submitted to the Department) after the literature search date </w:t>
      </w:r>
      <w:r w:rsidR="00CD276E">
        <w:rPr>
          <w:rFonts w:ascii="Aptos" w:hAnsi="Aptos" w:cs="Arial"/>
          <w:sz w:val="21"/>
          <w:szCs w:val="21"/>
        </w:rPr>
        <w:t>were to</w:t>
      </w:r>
      <w:r w:rsidR="00CD276E" w:rsidRPr="00D518FF">
        <w:rPr>
          <w:rFonts w:ascii="Aptos" w:hAnsi="Aptos" w:cs="Arial"/>
          <w:sz w:val="21"/>
          <w:szCs w:val="21"/>
        </w:rPr>
        <w:t xml:space="preserve"> </w:t>
      </w:r>
      <w:r w:rsidRPr="00D518FF">
        <w:rPr>
          <w:rFonts w:ascii="Aptos" w:hAnsi="Aptos" w:cs="Arial"/>
          <w:sz w:val="21"/>
          <w:szCs w:val="21"/>
        </w:rPr>
        <w:t xml:space="preserve">be listed in the “Reviews awaiting classification” table </w:t>
      </w:r>
      <w:r w:rsidR="00CD276E">
        <w:rPr>
          <w:rFonts w:ascii="Aptos" w:hAnsi="Aptos" w:cs="Arial"/>
          <w:sz w:val="21"/>
          <w:szCs w:val="21"/>
        </w:rPr>
        <w:t>(</w:t>
      </w:r>
      <w:r w:rsidR="00675BB7">
        <w:rPr>
          <w:rFonts w:ascii="Aptos" w:hAnsi="Aptos" w:cs="Arial"/>
          <w:sz w:val="21"/>
          <w:szCs w:val="21"/>
        </w:rPr>
        <w:t>A</w:t>
      </w:r>
      <w:r w:rsidR="00CD276E">
        <w:rPr>
          <w:rFonts w:ascii="Aptos" w:hAnsi="Aptos" w:cs="Arial"/>
          <w:sz w:val="21"/>
          <w:szCs w:val="21"/>
        </w:rPr>
        <w:t>ppendix C3</w:t>
      </w:r>
      <w:r w:rsidR="001F7DBE">
        <w:rPr>
          <w:rFonts w:ascii="Aptos" w:hAnsi="Aptos" w:cs="Arial"/>
          <w:sz w:val="21"/>
          <w:szCs w:val="21"/>
        </w:rPr>
        <w:t>).</w:t>
      </w:r>
      <w:r w:rsidR="005770B6">
        <w:rPr>
          <w:rFonts w:ascii="Aptos" w:hAnsi="Aptos" w:cs="Arial"/>
          <w:sz w:val="21"/>
          <w:szCs w:val="21"/>
        </w:rPr>
        <w:t xml:space="preserve"> </w:t>
      </w:r>
      <w:r w:rsidR="00CD276E">
        <w:rPr>
          <w:rFonts w:ascii="Aptos" w:hAnsi="Aptos" w:cs="Arial"/>
          <w:sz w:val="21"/>
          <w:szCs w:val="21"/>
        </w:rPr>
        <w:t>However,</w:t>
      </w:r>
      <w:r w:rsidR="002A7620">
        <w:rPr>
          <w:rFonts w:ascii="Aptos" w:hAnsi="Aptos" w:cs="Arial"/>
          <w:sz w:val="21"/>
          <w:szCs w:val="21"/>
        </w:rPr>
        <w:t xml:space="preserve"> </w:t>
      </w:r>
      <w:r w:rsidR="005F094C">
        <w:rPr>
          <w:rFonts w:ascii="Aptos" w:hAnsi="Aptos" w:cs="Arial"/>
          <w:sz w:val="21"/>
          <w:szCs w:val="21"/>
        </w:rPr>
        <w:t>no</w:t>
      </w:r>
      <w:r w:rsidR="00CD193F">
        <w:rPr>
          <w:rFonts w:ascii="Aptos" w:hAnsi="Aptos" w:cs="Arial"/>
          <w:sz w:val="21"/>
          <w:szCs w:val="21"/>
        </w:rPr>
        <w:t xml:space="preserve">ne met </w:t>
      </w:r>
      <w:r w:rsidR="00EE1180">
        <w:rPr>
          <w:rFonts w:ascii="Aptos" w:hAnsi="Aptos" w:cs="Arial"/>
          <w:sz w:val="21"/>
          <w:szCs w:val="21"/>
        </w:rPr>
        <w:t>this criterion</w:t>
      </w:r>
      <w:r w:rsidR="00CD193F">
        <w:rPr>
          <w:rFonts w:ascii="Aptos" w:hAnsi="Aptos" w:cs="Arial"/>
          <w:sz w:val="21"/>
          <w:szCs w:val="21"/>
        </w:rPr>
        <w:t>.</w:t>
      </w:r>
    </w:p>
    <w:p w14:paraId="6567F128" w14:textId="74A9518D"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Language</w:t>
      </w:r>
    </w:p>
    <w:p w14:paraId="5F9B6E0F" w14:textId="4C1203AB"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Database searches, as well as the Department’s call for evidence, </w:t>
      </w:r>
      <w:r w:rsidR="007C3D98">
        <w:rPr>
          <w:rFonts w:ascii="Aptos" w:hAnsi="Aptos" w:cs="Arial"/>
          <w:sz w:val="21"/>
          <w:szCs w:val="21"/>
        </w:rPr>
        <w:t>did</w:t>
      </w:r>
      <w:r w:rsidR="007C3D98" w:rsidRPr="00D518FF">
        <w:rPr>
          <w:rFonts w:ascii="Aptos" w:hAnsi="Aptos" w:cs="Arial"/>
          <w:sz w:val="21"/>
          <w:szCs w:val="21"/>
        </w:rPr>
        <w:t xml:space="preserve"> </w:t>
      </w:r>
      <w:r w:rsidRPr="00D518FF">
        <w:rPr>
          <w:rFonts w:ascii="Aptos" w:hAnsi="Aptos" w:cs="Arial"/>
          <w:sz w:val="21"/>
          <w:szCs w:val="21"/>
        </w:rPr>
        <w:t xml:space="preserve">not exclude systematic reviews based on language of publication. Databases in languages other than English </w:t>
      </w:r>
      <w:r w:rsidR="007C3D98">
        <w:rPr>
          <w:rFonts w:ascii="Aptos" w:hAnsi="Aptos" w:cs="Arial"/>
          <w:sz w:val="21"/>
          <w:szCs w:val="21"/>
        </w:rPr>
        <w:t>were</w:t>
      </w:r>
      <w:r w:rsidR="007C3D98" w:rsidRPr="00D518FF">
        <w:rPr>
          <w:rFonts w:ascii="Aptos" w:hAnsi="Aptos" w:cs="Arial"/>
          <w:sz w:val="21"/>
          <w:szCs w:val="21"/>
        </w:rPr>
        <w:t xml:space="preserve"> </w:t>
      </w:r>
      <w:r w:rsidRPr="00D518FF">
        <w:rPr>
          <w:rFonts w:ascii="Aptos" w:hAnsi="Aptos" w:cs="Arial"/>
          <w:sz w:val="21"/>
          <w:szCs w:val="21"/>
        </w:rPr>
        <w:t xml:space="preserve">not searched, however, systematic reviews in languages other than English </w:t>
      </w:r>
      <w:r w:rsidR="00370D90">
        <w:rPr>
          <w:rFonts w:ascii="Aptos" w:hAnsi="Aptos" w:cs="Arial"/>
          <w:sz w:val="21"/>
          <w:szCs w:val="21"/>
        </w:rPr>
        <w:t>were</w:t>
      </w:r>
      <w:r w:rsidRPr="00D518FF">
        <w:rPr>
          <w:rFonts w:ascii="Aptos" w:hAnsi="Aptos" w:cs="Arial"/>
          <w:sz w:val="21"/>
          <w:szCs w:val="21"/>
        </w:rPr>
        <w:t xml:space="preserve"> identified via the English-language databases. </w:t>
      </w:r>
      <w:r w:rsidR="00803F88">
        <w:rPr>
          <w:rFonts w:ascii="Aptos" w:hAnsi="Aptos" w:cs="Arial"/>
          <w:sz w:val="21"/>
          <w:szCs w:val="21"/>
        </w:rPr>
        <w:t>Pragmatically</w:t>
      </w:r>
      <w:r w:rsidRPr="00D518FF">
        <w:rPr>
          <w:rFonts w:ascii="Aptos" w:hAnsi="Aptos" w:cs="Arial"/>
          <w:sz w:val="21"/>
          <w:szCs w:val="21"/>
        </w:rPr>
        <w:t xml:space="preserve">, </w:t>
      </w:r>
      <w:bookmarkStart w:id="30" w:name="_Hlk112072003"/>
      <w:r w:rsidRPr="00D518FF">
        <w:rPr>
          <w:rFonts w:ascii="Aptos" w:hAnsi="Aptos" w:cs="Arial"/>
          <w:sz w:val="21"/>
          <w:szCs w:val="21"/>
        </w:rPr>
        <w:t xml:space="preserve">potentially eligible systematic reviews </w:t>
      </w:r>
      <w:r w:rsidR="00370D90">
        <w:rPr>
          <w:rFonts w:ascii="Aptos" w:hAnsi="Aptos" w:cs="Arial"/>
          <w:sz w:val="21"/>
          <w:szCs w:val="21"/>
        </w:rPr>
        <w:t>did</w:t>
      </w:r>
      <w:r w:rsidR="00370D90" w:rsidRPr="00D518FF">
        <w:rPr>
          <w:rFonts w:ascii="Aptos" w:hAnsi="Aptos" w:cs="Arial"/>
          <w:sz w:val="21"/>
          <w:szCs w:val="21"/>
        </w:rPr>
        <w:t xml:space="preserve"> </w:t>
      </w:r>
      <w:r w:rsidRPr="00D518FF">
        <w:rPr>
          <w:rFonts w:ascii="Aptos" w:hAnsi="Aptos" w:cs="Arial"/>
          <w:sz w:val="21"/>
          <w:szCs w:val="21"/>
        </w:rPr>
        <w:t>not undergo full-text translation or data extraction but</w:t>
      </w:r>
      <w:r w:rsidR="00370D90">
        <w:rPr>
          <w:rFonts w:ascii="Aptos" w:hAnsi="Aptos" w:cs="Arial"/>
          <w:sz w:val="21"/>
          <w:szCs w:val="21"/>
        </w:rPr>
        <w:t>, as per protocol,</w:t>
      </w:r>
      <w:r w:rsidRPr="00D518FF">
        <w:rPr>
          <w:rFonts w:ascii="Aptos" w:hAnsi="Aptos" w:cs="Arial"/>
          <w:sz w:val="21"/>
          <w:szCs w:val="21"/>
        </w:rPr>
        <w:t xml:space="preserve"> </w:t>
      </w:r>
      <w:r w:rsidR="00370D90">
        <w:rPr>
          <w:rFonts w:ascii="Aptos" w:hAnsi="Aptos" w:cs="Arial"/>
          <w:sz w:val="21"/>
          <w:szCs w:val="21"/>
        </w:rPr>
        <w:t>were</w:t>
      </w:r>
      <w:r w:rsidRPr="00D518FF">
        <w:rPr>
          <w:rFonts w:ascii="Aptos" w:hAnsi="Aptos" w:cs="Arial"/>
          <w:sz w:val="21"/>
          <w:szCs w:val="21"/>
        </w:rPr>
        <w:t xml:space="preserve"> documented via </w:t>
      </w:r>
      <w:r w:rsidR="00370D90">
        <w:rPr>
          <w:rFonts w:ascii="Aptos" w:hAnsi="Aptos" w:cs="Arial"/>
          <w:sz w:val="21"/>
          <w:szCs w:val="21"/>
        </w:rPr>
        <w:t>the</w:t>
      </w:r>
      <w:r w:rsidR="00370D90" w:rsidRPr="00D518FF">
        <w:rPr>
          <w:rFonts w:ascii="Aptos" w:hAnsi="Aptos" w:cs="Arial"/>
          <w:sz w:val="21"/>
          <w:szCs w:val="21"/>
        </w:rPr>
        <w:t xml:space="preserve"> </w:t>
      </w:r>
      <w:r w:rsidRPr="00D518FF">
        <w:rPr>
          <w:rFonts w:ascii="Aptos" w:hAnsi="Aptos" w:cs="Arial"/>
          <w:sz w:val="21"/>
          <w:szCs w:val="21"/>
        </w:rPr>
        <w:t xml:space="preserve">process outlined in the “Reviews published in languages other than English” </w:t>
      </w:r>
      <w:bookmarkEnd w:id="30"/>
      <w:r w:rsidR="00803F88">
        <w:rPr>
          <w:rFonts w:ascii="Aptos" w:hAnsi="Aptos" w:cs="Arial"/>
          <w:sz w:val="21"/>
          <w:szCs w:val="21"/>
        </w:rPr>
        <w:t>section (Appendix A4.3)</w:t>
      </w:r>
      <w:r w:rsidRPr="00D518FF">
        <w:rPr>
          <w:rFonts w:ascii="Aptos" w:hAnsi="Aptos" w:cs="Arial"/>
          <w:sz w:val="21"/>
          <w:szCs w:val="21"/>
        </w:rPr>
        <w:t>.</w:t>
      </w:r>
    </w:p>
    <w:p w14:paraId="68DA302E" w14:textId="77777777" w:rsidR="00F726B5" w:rsidRPr="00D518FF" w:rsidRDefault="00F726B5" w:rsidP="0027240E">
      <w:pPr>
        <w:pStyle w:val="heading3numbers"/>
      </w:pPr>
      <w:bookmarkStart w:id="31" w:name="_Toc100711482"/>
      <w:bookmarkStart w:id="32" w:name="_Toc126835778"/>
      <w:bookmarkStart w:id="33" w:name="_Toc185254612"/>
      <w:r w:rsidRPr="00D518FF">
        <w:t xml:space="preserve">Types of </w:t>
      </w:r>
      <w:bookmarkEnd w:id="31"/>
      <w:r w:rsidRPr="00D518FF">
        <w:t>participants</w:t>
      </w:r>
      <w:bookmarkEnd w:id="32"/>
      <w:bookmarkEnd w:id="33"/>
    </w:p>
    <w:p w14:paraId="157742C9" w14:textId="1805954B"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w:t>
      </w:r>
      <w:r w:rsidR="00BF0EB3">
        <w:rPr>
          <w:rFonts w:ascii="Aptos" w:hAnsi="Aptos" w:cs="Arial"/>
          <w:sz w:val="21"/>
          <w:szCs w:val="21"/>
        </w:rPr>
        <w:t>o</w:t>
      </w:r>
      <w:r w:rsidRPr="00D518FF">
        <w:rPr>
          <w:rFonts w:ascii="Aptos" w:hAnsi="Aptos" w:cs="Arial"/>
          <w:sz w:val="21"/>
          <w:szCs w:val="21"/>
        </w:rPr>
        <w:t>verview</w:t>
      </w:r>
      <w:r w:rsidR="00B424A2">
        <w:rPr>
          <w:rFonts w:ascii="Aptos" w:hAnsi="Aptos" w:cs="Arial"/>
          <w:sz w:val="21"/>
          <w:szCs w:val="21"/>
        </w:rPr>
        <w:t>’s</w:t>
      </w:r>
      <w:r w:rsidRPr="00D518FF" w:rsidDel="00BF0EB3">
        <w:rPr>
          <w:rFonts w:ascii="Aptos" w:hAnsi="Aptos" w:cs="Arial"/>
          <w:sz w:val="21"/>
          <w:szCs w:val="21"/>
        </w:rPr>
        <w:t xml:space="preserve"> </w:t>
      </w:r>
      <w:r w:rsidR="00B424A2">
        <w:rPr>
          <w:rFonts w:ascii="Aptos" w:hAnsi="Aptos" w:cs="Arial"/>
          <w:sz w:val="21"/>
          <w:szCs w:val="21"/>
        </w:rPr>
        <w:t>focus was the</w:t>
      </w:r>
      <w:r w:rsidR="00B424A2" w:rsidRPr="00D518FF">
        <w:rPr>
          <w:rFonts w:ascii="Aptos" w:hAnsi="Aptos" w:cs="Arial"/>
          <w:sz w:val="21"/>
          <w:szCs w:val="21"/>
        </w:rPr>
        <w:t xml:space="preserve"> </w:t>
      </w:r>
      <w:r w:rsidRPr="00D518FF">
        <w:rPr>
          <w:rFonts w:ascii="Aptos" w:hAnsi="Aptos" w:cs="Arial"/>
          <w:sz w:val="21"/>
          <w:szCs w:val="21"/>
        </w:rPr>
        <w:t xml:space="preserve">use of nutritional supplementation to treat certain populations/conditions regularly seen by naturopaths in Australia. This includes both (a) treatment for populations with a confirmed diagnosis of a condition, and (b) disease prevention in at-risk healthy populations (broadly defined as those who are at increased risk of becoming ill with any of the specified conditions). </w:t>
      </w:r>
      <w:r w:rsidR="00C86293">
        <w:rPr>
          <w:rFonts w:ascii="Aptos" w:hAnsi="Aptos" w:cs="Arial"/>
          <w:sz w:val="21"/>
          <w:szCs w:val="21"/>
        </w:rPr>
        <w:t xml:space="preserve">The definition of “at-risk” was clarified by NTWC </w:t>
      </w:r>
      <w:r w:rsidR="00655E69">
        <w:rPr>
          <w:rFonts w:ascii="Aptos" w:hAnsi="Aptos" w:cs="Arial"/>
          <w:sz w:val="21"/>
          <w:szCs w:val="21"/>
        </w:rPr>
        <w:t>as noted in Appendix G</w:t>
      </w:r>
      <w:r w:rsidR="00002A93">
        <w:rPr>
          <w:rFonts w:ascii="Aptos" w:hAnsi="Aptos" w:cs="Arial"/>
          <w:sz w:val="21"/>
          <w:szCs w:val="21"/>
        </w:rPr>
        <w:t>2</w:t>
      </w:r>
      <w:r w:rsidR="00655E69">
        <w:rPr>
          <w:rFonts w:ascii="Aptos" w:hAnsi="Aptos" w:cs="Arial"/>
          <w:sz w:val="21"/>
          <w:szCs w:val="21"/>
        </w:rPr>
        <w:t xml:space="preserve"> (clarification from protocol). </w:t>
      </w:r>
    </w:p>
    <w:p w14:paraId="1B49C5FB" w14:textId="665BEF5E"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Reviews that examine</w:t>
      </w:r>
      <w:r w:rsidR="00BF0EB3">
        <w:rPr>
          <w:rFonts w:ascii="Aptos" w:hAnsi="Aptos" w:cs="Arial"/>
          <w:sz w:val="21"/>
          <w:szCs w:val="21"/>
        </w:rPr>
        <w:t>d</w:t>
      </w:r>
      <w:r w:rsidRPr="00D518FF">
        <w:rPr>
          <w:rFonts w:ascii="Aptos" w:hAnsi="Aptos" w:cs="Arial"/>
          <w:sz w:val="21"/>
          <w:szCs w:val="21"/>
        </w:rPr>
        <w:t xml:space="preserve"> the treatment of populations of interest with a supplement where the patient </w:t>
      </w:r>
      <w:r w:rsidR="00BF0EB3">
        <w:rPr>
          <w:rFonts w:ascii="Aptos" w:hAnsi="Aptos" w:cs="Arial"/>
          <w:sz w:val="21"/>
          <w:szCs w:val="21"/>
        </w:rPr>
        <w:t>was</w:t>
      </w:r>
      <w:r w:rsidR="00BF0EB3" w:rsidRPr="00D518FF">
        <w:rPr>
          <w:rFonts w:ascii="Aptos" w:hAnsi="Aptos" w:cs="Arial"/>
          <w:sz w:val="21"/>
          <w:szCs w:val="21"/>
        </w:rPr>
        <w:t xml:space="preserve"> </w:t>
      </w:r>
      <w:r w:rsidRPr="00D518FF">
        <w:rPr>
          <w:rFonts w:ascii="Aptos" w:hAnsi="Aptos" w:cs="Arial"/>
          <w:sz w:val="21"/>
          <w:szCs w:val="21"/>
        </w:rPr>
        <w:t xml:space="preserve">known to have a deficiency </w:t>
      </w:r>
      <w:r w:rsidR="00E24124">
        <w:rPr>
          <w:rFonts w:ascii="Aptos" w:hAnsi="Aptos" w:cs="Arial"/>
          <w:sz w:val="21"/>
          <w:szCs w:val="21"/>
        </w:rPr>
        <w:t>of</w:t>
      </w:r>
      <w:r w:rsidR="00E24124" w:rsidRPr="00D518FF">
        <w:rPr>
          <w:rFonts w:ascii="Aptos" w:hAnsi="Aptos" w:cs="Arial"/>
          <w:sz w:val="21"/>
          <w:szCs w:val="21"/>
        </w:rPr>
        <w:t xml:space="preserve"> </w:t>
      </w:r>
      <w:r w:rsidRPr="00D518FF">
        <w:rPr>
          <w:rFonts w:ascii="Aptos" w:hAnsi="Aptos" w:cs="Arial"/>
          <w:sz w:val="21"/>
          <w:szCs w:val="21"/>
        </w:rPr>
        <w:t xml:space="preserve">that supplement </w:t>
      </w:r>
      <w:r w:rsidR="006E55C4">
        <w:rPr>
          <w:rFonts w:ascii="Aptos" w:hAnsi="Aptos" w:cs="Arial"/>
          <w:sz w:val="21"/>
          <w:szCs w:val="21"/>
        </w:rPr>
        <w:t>were</w:t>
      </w:r>
      <w:r w:rsidRPr="00D518FF">
        <w:rPr>
          <w:rFonts w:ascii="Aptos" w:hAnsi="Aptos" w:cs="Arial"/>
          <w:sz w:val="21"/>
          <w:szCs w:val="21"/>
        </w:rPr>
        <w:t xml:space="preserve"> excluded</w:t>
      </w:r>
      <w:r w:rsidR="00E3190B">
        <w:rPr>
          <w:rFonts w:ascii="Aptos" w:hAnsi="Aptos" w:cs="Arial"/>
          <w:sz w:val="21"/>
          <w:szCs w:val="21"/>
        </w:rPr>
        <w:t>, as per protocol</w:t>
      </w:r>
      <w:r w:rsidRPr="00D518FF">
        <w:rPr>
          <w:rFonts w:ascii="Aptos" w:hAnsi="Aptos" w:cs="Arial"/>
          <w:sz w:val="21"/>
          <w:szCs w:val="21"/>
        </w:rPr>
        <w:t xml:space="preserve">. This is because </w:t>
      </w:r>
      <w:r w:rsidRPr="00D518FF">
        <w:rPr>
          <w:rFonts w:ascii="Aptos" w:hAnsi="Aptos" w:cs="Arial"/>
          <w:sz w:val="21"/>
          <w:szCs w:val="21"/>
        </w:rPr>
        <w:lastRenderedPageBreak/>
        <w:t xml:space="preserve">patients with a known deficiency would need to have this diagnosed via a blood test and would seek diagnosis and treatment from a doctor. Therefore, treatment of patients with a known deficiency </w:t>
      </w:r>
      <w:r w:rsidR="00BF0EB3">
        <w:rPr>
          <w:rFonts w:ascii="Aptos" w:hAnsi="Aptos" w:cs="Arial"/>
          <w:sz w:val="21"/>
          <w:szCs w:val="21"/>
        </w:rPr>
        <w:t>was deemed as</w:t>
      </w:r>
      <w:r w:rsidR="00BF0EB3" w:rsidRPr="00D518FF">
        <w:rPr>
          <w:rFonts w:ascii="Aptos" w:hAnsi="Aptos" w:cs="Arial"/>
          <w:sz w:val="21"/>
          <w:szCs w:val="21"/>
        </w:rPr>
        <w:t xml:space="preserve"> </w:t>
      </w:r>
      <w:r w:rsidRPr="00D518FF">
        <w:rPr>
          <w:rFonts w:ascii="Aptos" w:hAnsi="Aptos" w:cs="Arial"/>
          <w:sz w:val="21"/>
          <w:szCs w:val="21"/>
        </w:rPr>
        <w:t>not part of normal naturopathy practice</w:t>
      </w:r>
      <w:r w:rsidR="00F44847">
        <w:rPr>
          <w:rFonts w:ascii="Aptos" w:hAnsi="Aptos" w:cs="Arial"/>
          <w:sz w:val="21"/>
          <w:szCs w:val="21"/>
        </w:rPr>
        <w:t xml:space="preserve"> in Australia</w:t>
      </w:r>
      <w:r w:rsidRPr="00D518FF">
        <w:rPr>
          <w:rFonts w:ascii="Aptos" w:hAnsi="Aptos" w:cs="Arial"/>
          <w:sz w:val="21"/>
          <w:szCs w:val="21"/>
        </w:rPr>
        <w:t xml:space="preserve">. </w:t>
      </w:r>
    </w:p>
    <w:p w14:paraId="2E696255" w14:textId="77777777" w:rsidR="00065802" w:rsidRDefault="00F726B5" w:rsidP="00F726B5">
      <w:pPr>
        <w:spacing w:before="120" w:after="120"/>
        <w:rPr>
          <w:rFonts w:ascii="Aptos" w:hAnsi="Aptos" w:cs="Arial"/>
          <w:sz w:val="21"/>
          <w:szCs w:val="21"/>
        </w:rPr>
      </w:pPr>
      <w:r w:rsidRPr="00D518FF">
        <w:rPr>
          <w:rFonts w:ascii="Aptos" w:hAnsi="Aptos" w:cs="Arial"/>
          <w:sz w:val="21"/>
          <w:szCs w:val="21"/>
        </w:rPr>
        <w:t xml:space="preserve">Healthy participants (not at-risk) seeking health improvement, such as general wellbeing, fitness, aesthetic improvements, resilience and cognitive or emotional intelligence </w:t>
      </w:r>
      <w:r w:rsidR="006E55C4">
        <w:rPr>
          <w:rFonts w:ascii="Aptos" w:hAnsi="Aptos" w:cs="Arial"/>
          <w:sz w:val="21"/>
          <w:szCs w:val="21"/>
        </w:rPr>
        <w:t>were</w:t>
      </w:r>
      <w:r w:rsidR="006E55C4" w:rsidRPr="00D518FF">
        <w:rPr>
          <w:rFonts w:ascii="Aptos" w:hAnsi="Aptos" w:cs="Arial"/>
          <w:sz w:val="21"/>
          <w:szCs w:val="21"/>
        </w:rPr>
        <w:t xml:space="preserve"> </w:t>
      </w:r>
      <w:r w:rsidRPr="00D518FF">
        <w:rPr>
          <w:rFonts w:ascii="Aptos" w:hAnsi="Aptos" w:cs="Arial"/>
          <w:sz w:val="21"/>
          <w:szCs w:val="21"/>
        </w:rPr>
        <w:t>not eligible for inclusion</w:t>
      </w:r>
      <w:r w:rsidR="00E3190B">
        <w:rPr>
          <w:rFonts w:ascii="Aptos" w:hAnsi="Aptos" w:cs="Arial"/>
          <w:sz w:val="21"/>
          <w:szCs w:val="21"/>
        </w:rPr>
        <w:t>, as per protocol</w:t>
      </w:r>
      <w:r w:rsidRPr="00D518FF">
        <w:rPr>
          <w:rFonts w:ascii="Aptos" w:hAnsi="Aptos" w:cs="Arial"/>
          <w:sz w:val="21"/>
          <w:szCs w:val="21"/>
        </w:rPr>
        <w:t xml:space="preserve">. </w:t>
      </w:r>
    </w:p>
    <w:p w14:paraId="783CE10F" w14:textId="6DD8A16D" w:rsidR="00F726B5" w:rsidRPr="00D518FF" w:rsidRDefault="00B12F96" w:rsidP="00F726B5">
      <w:pPr>
        <w:spacing w:before="120" w:after="120"/>
        <w:rPr>
          <w:rFonts w:ascii="Aptos" w:hAnsi="Aptos" w:cs="Arial"/>
          <w:sz w:val="21"/>
          <w:szCs w:val="21"/>
        </w:rPr>
      </w:pPr>
      <w:r>
        <w:rPr>
          <w:rFonts w:ascii="Aptos" w:hAnsi="Aptos" w:cs="Arial"/>
          <w:sz w:val="21"/>
          <w:szCs w:val="21"/>
        </w:rPr>
        <w:t xml:space="preserve">Reviews were often broader </w:t>
      </w:r>
      <w:r w:rsidR="00CE1DBA">
        <w:rPr>
          <w:rFonts w:ascii="Aptos" w:hAnsi="Aptos" w:cs="Arial"/>
          <w:sz w:val="21"/>
          <w:szCs w:val="21"/>
        </w:rPr>
        <w:t>than the PICOs of interest</w:t>
      </w:r>
      <w:r w:rsidR="003F3C14">
        <w:rPr>
          <w:rFonts w:ascii="Aptos" w:hAnsi="Aptos" w:cs="Arial"/>
          <w:sz w:val="21"/>
          <w:szCs w:val="21"/>
        </w:rPr>
        <w:t xml:space="preserve"> </w:t>
      </w:r>
      <w:r w:rsidR="00212670">
        <w:rPr>
          <w:rFonts w:ascii="Aptos" w:hAnsi="Aptos" w:cs="Arial"/>
          <w:sz w:val="21"/>
          <w:szCs w:val="21"/>
        </w:rPr>
        <w:t xml:space="preserve">for the overview </w:t>
      </w:r>
      <w:r w:rsidR="003F3C14">
        <w:rPr>
          <w:rFonts w:ascii="Aptos" w:hAnsi="Aptos" w:cs="Arial"/>
          <w:sz w:val="21"/>
          <w:szCs w:val="21"/>
        </w:rPr>
        <w:t>(e.g., for “mental health conditions” rather than “depression”)</w:t>
      </w:r>
      <w:r w:rsidR="00CE1DBA">
        <w:rPr>
          <w:rFonts w:ascii="Aptos" w:hAnsi="Aptos" w:cs="Arial"/>
          <w:sz w:val="21"/>
          <w:szCs w:val="21"/>
        </w:rPr>
        <w:t>. Where s</w:t>
      </w:r>
      <w:r w:rsidR="00F726B5" w:rsidRPr="00D518FF">
        <w:rPr>
          <w:rFonts w:ascii="Aptos" w:hAnsi="Aptos" w:cs="Arial"/>
          <w:sz w:val="21"/>
          <w:szCs w:val="21"/>
        </w:rPr>
        <w:t>ystematic review</w:t>
      </w:r>
      <w:r w:rsidR="00055104">
        <w:rPr>
          <w:rFonts w:ascii="Aptos" w:hAnsi="Aptos" w:cs="Arial"/>
          <w:sz w:val="21"/>
          <w:szCs w:val="21"/>
        </w:rPr>
        <w:t>s</w:t>
      </w:r>
      <w:r w:rsidR="00F726B5" w:rsidRPr="00D518FF">
        <w:rPr>
          <w:rFonts w:ascii="Aptos" w:hAnsi="Aptos" w:cs="Arial"/>
          <w:sz w:val="21"/>
          <w:szCs w:val="21"/>
        </w:rPr>
        <w:t xml:space="preserve"> include</w:t>
      </w:r>
      <w:r w:rsidR="00055104">
        <w:rPr>
          <w:rFonts w:ascii="Aptos" w:hAnsi="Aptos" w:cs="Arial"/>
          <w:sz w:val="21"/>
          <w:szCs w:val="21"/>
        </w:rPr>
        <w:t>d</w:t>
      </w:r>
      <w:r w:rsidR="00F726B5" w:rsidRPr="00D518FF">
        <w:rPr>
          <w:rFonts w:ascii="Aptos" w:hAnsi="Aptos" w:cs="Arial"/>
          <w:sz w:val="21"/>
          <w:szCs w:val="21"/>
        </w:rPr>
        <w:t xml:space="preserve"> </w:t>
      </w:r>
      <w:r w:rsidR="00212670">
        <w:rPr>
          <w:rFonts w:ascii="Aptos" w:hAnsi="Aptos" w:cs="Arial"/>
          <w:sz w:val="21"/>
          <w:szCs w:val="21"/>
        </w:rPr>
        <w:t xml:space="preserve">both eligible and ineligible </w:t>
      </w:r>
      <w:r w:rsidR="00F726B5" w:rsidRPr="00D518FF">
        <w:rPr>
          <w:rFonts w:ascii="Aptos" w:hAnsi="Aptos" w:cs="Arial"/>
          <w:sz w:val="21"/>
          <w:szCs w:val="21"/>
        </w:rPr>
        <w:t>PICO</w:t>
      </w:r>
      <w:r w:rsidR="00055104">
        <w:rPr>
          <w:rFonts w:ascii="Aptos" w:hAnsi="Aptos" w:cs="Arial"/>
          <w:sz w:val="21"/>
          <w:szCs w:val="21"/>
        </w:rPr>
        <w:t>s</w:t>
      </w:r>
      <w:r w:rsidR="00CE1DBA">
        <w:rPr>
          <w:rFonts w:ascii="Aptos" w:hAnsi="Aptos" w:cs="Arial"/>
          <w:sz w:val="21"/>
          <w:szCs w:val="21"/>
        </w:rPr>
        <w:t>,</w:t>
      </w:r>
      <w:r w:rsidR="00F726B5" w:rsidRPr="00D518FF">
        <w:rPr>
          <w:rFonts w:ascii="Aptos" w:hAnsi="Aptos" w:cs="Arial"/>
          <w:sz w:val="21"/>
          <w:szCs w:val="21"/>
        </w:rPr>
        <w:t xml:space="preserve"> </w:t>
      </w:r>
      <w:r w:rsidR="00CE1DBA">
        <w:rPr>
          <w:rFonts w:ascii="Aptos" w:hAnsi="Aptos" w:cs="Arial"/>
          <w:sz w:val="21"/>
          <w:szCs w:val="21"/>
        </w:rPr>
        <w:t xml:space="preserve">reviews </w:t>
      </w:r>
      <w:r w:rsidR="00055104">
        <w:rPr>
          <w:rFonts w:ascii="Aptos" w:hAnsi="Aptos" w:cs="Arial"/>
          <w:sz w:val="21"/>
          <w:szCs w:val="21"/>
        </w:rPr>
        <w:t>were</w:t>
      </w:r>
      <w:r w:rsidR="00055104" w:rsidRPr="00D518FF">
        <w:rPr>
          <w:rFonts w:ascii="Aptos" w:hAnsi="Aptos" w:cs="Arial"/>
          <w:sz w:val="21"/>
          <w:szCs w:val="21"/>
        </w:rPr>
        <w:t xml:space="preserve"> </w:t>
      </w:r>
      <w:r w:rsidR="00F726B5" w:rsidRPr="00D518FF">
        <w:rPr>
          <w:rFonts w:ascii="Aptos" w:hAnsi="Aptos" w:cs="Arial"/>
          <w:sz w:val="21"/>
          <w:szCs w:val="21"/>
        </w:rPr>
        <w:t xml:space="preserve">included </w:t>
      </w:r>
      <w:bookmarkStart w:id="34" w:name="_Toc100711483"/>
      <w:r w:rsidR="003936BE">
        <w:rPr>
          <w:rFonts w:ascii="Aptos" w:hAnsi="Aptos" w:cs="Arial"/>
          <w:sz w:val="21"/>
          <w:szCs w:val="21"/>
        </w:rPr>
        <w:t>where</w:t>
      </w:r>
      <w:r w:rsidR="003936BE" w:rsidRPr="00D518FF">
        <w:rPr>
          <w:rFonts w:ascii="Aptos" w:hAnsi="Aptos" w:cs="Arial"/>
          <w:sz w:val="21"/>
          <w:szCs w:val="21"/>
        </w:rPr>
        <w:t xml:space="preserve"> </w:t>
      </w:r>
      <w:r w:rsidR="00F726B5" w:rsidRPr="00D518FF">
        <w:rPr>
          <w:rFonts w:ascii="Aptos" w:hAnsi="Aptos" w:cs="Arial"/>
          <w:sz w:val="21"/>
          <w:szCs w:val="21"/>
        </w:rPr>
        <w:t xml:space="preserve">results </w:t>
      </w:r>
      <w:r w:rsidR="00223481">
        <w:rPr>
          <w:rFonts w:ascii="Aptos" w:hAnsi="Aptos" w:cs="Arial"/>
          <w:sz w:val="21"/>
          <w:szCs w:val="21"/>
        </w:rPr>
        <w:t>could</w:t>
      </w:r>
      <w:r w:rsidR="00223481" w:rsidRPr="00D518FF">
        <w:rPr>
          <w:rFonts w:ascii="Aptos" w:hAnsi="Aptos" w:cs="Arial"/>
          <w:sz w:val="21"/>
          <w:szCs w:val="21"/>
        </w:rPr>
        <w:t xml:space="preserve"> </w:t>
      </w:r>
      <w:r w:rsidR="00F726B5" w:rsidRPr="00D518FF">
        <w:rPr>
          <w:rFonts w:ascii="Aptos" w:hAnsi="Aptos" w:cs="Arial"/>
          <w:sz w:val="21"/>
          <w:szCs w:val="21"/>
        </w:rPr>
        <w:t xml:space="preserve">be independently determined for </w:t>
      </w:r>
      <w:r w:rsidR="00212670">
        <w:rPr>
          <w:rFonts w:ascii="Aptos" w:hAnsi="Aptos" w:cs="Arial"/>
          <w:sz w:val="21"/>
          <w:szCs w:val="21"/>
        </w:rPr>
        <w:t>relevant PICOs</w:t>
      </w:r>
      <w:r w:rsidR="00F726B5" w:rsidRPr="00D518FF">
        <w:rPr>
          <w:rFonts w:ascii="Aptos" w:hAnsi="Aptos" w:cs="Arial"/>
          <w:sz w:val="21"/>
          <w:szCs w:val="21"/>
        </w:rPr>
        <w:t xml:space="preserve">. </w:t>
      </w:r>
    </w:p>
    <w:p w14:paraId="5292E31A"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Target conditions</w:t>
      </w:r>
      <w:bookmarkEnd w:id="34"/>
    </w:p>
    <w:p w14:paraId="61D1F136" w14:textId="316A6E0C" w:rsidR="009B1724" w:rsidRPr="009B1724" w:rsidRDefault="00F726B5" w:rsidP="009B1724">
      <w:pPr>
        <w:spacing w:before="120" w:after="120"/>
        <w:rPr>
          <w:rFonts w:ascii="Aptos" w:hAnsi="Aptos" w:cs="Arial"/>
          <w:sz w:val="21"/>
          <w:szCs w:val="21"/>
        </w:rPr>
      </w:pPr>
      <w:r w:rsidRPr="00D518FF">
        <w:rPr>
          <w:rFonts w:ascii="Aptos" w:hAnsi="Aptos" w:cs="Arial"/>
          <w:sz w:val="21"/>
          <w:szCs w:val="21"/>
        </w:rPr>
        <w:t>The NTWC, with advice from NTREAP, developed a ranked list of priority populations</w:t>
      </w:r>
      <w:r w:rsidR="00DA610C">
        <w:rPr>
          <w:rFonts w:ascii="Aptos" w:hAnsi="Aptos" w:cs="Arial"/>
          <w:sz w:val="21"/>
          <w:szCs w:val="21"/>
        </w:rPr>
        <w:t>/condition</w:t>
      </w:r>
      <w:r w:rsidR="00212670">
        <w:rPr>
          <w:rFonts w:ascii="Aptos" w:hAnsi="Aptos" w:cs="Arial"/>
          <w:sz w:val="21"/>
          <w:szCs w:val="21"/>
        </w:rPr>
        <w:t>s,</w:t>
      </w:r>
      <w:r w:rsidRPr="00D518FF">
        <w:rPr>
          <w:rFonts w:ascii="Aptos" w:hAnsi="Aptos" w:cs="Arial"/>
          <w:sz w:val="21"/>
          <w:szCs w:val="21"/>
        </w:rPr>
        <w:t xml:space="preserve"> and nutritional supplements commonly used by naturopaths to treat and/or manage these </w:t>
      </w:r>
      <w:r w:rsidR="0098029D">
        <w:rPr>
          <w:rFonts w:ascii="Aptos" w:hAnsi="Aptos" w:cs="Arial"/>
          <w:sz w:val="21"/>
          <w:szCs w:val="21"/>
        </w:rPr>
        <w:t>conditions</w:t>
      </w:r>
      <w:r w:rsidRPr="00D518FF">
        <w:rPr>
          <w:rFonts w:ascii="Aptos" w:hAnsi="Aptos" w:cs="Arial"/>
          <w:sz w:val="21"/>
          <w:szCs w:val="21"/>
        </w:rPr>
        <w:t xml:space="preserve">. The highest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 xml:space="preserve">s </w:t>
      </w:r>
      <w:r w:rsidR="00BF0EB3">
        <w:rPr>
          <w:rFonts w:ascii="Aptos" w:hAnsi="Aptos" w:cs="Arial"/>
          <w:sz w:val="21"/>
          <w:szCs w:val="21"/>
        </w:rPr>
        <w:t>were</w:t>
      </w:r>
      <w:r w:rsidRPr="00D518FF">
        <w:rPr>
          <w:rFonts w:ascii="Aptos" w:hAnsi="Aptos" w:cs="Arial"/>
          <w:sz w:val="21"/>
          <w:szCs w:val="21"/>
        </w:rPr>
        <w:t xml:space="preserve"> identified based on their relevance and importance to conditions and interventions commonly seen and reported by naturopaths and derived using TEQSA approved naturopathic curriculums, in consultation with educational providers, and data derived from an Australian PRACI survey (see Table </w:t>
      </w:r>
      <w:r w:rsidR="00B55660">
        <w:rPr>
          <w:rFonts w:ascii="Aptos" w:hAnsi="Aptos" w:cs="Arial"/>
          <w:sz w:val="21"/>
          <w:szCs w:val="21"/>
        </w:rPr>
        <w:t>A</w:t>
      </w:r>
      <w:r w:rsidRPr="00D518FF">
        <w:rPr>
          <w:rFonts w:ascii="Aptos" w:hAnsi="Aptos" w:cs="Arial"/>
          <w:sz w:val="21"/>
          <w:szCs w:val="21"/>
        </w:rPr>
        <w:t xml:space="preserve">1 </w:t>
      </w:r>
      <w:r w:rsidR="003957ED">
        <w:rPr>
          <w:rFonts w:ascii="Aptos" w:hAnsi="Aptos" w:cs="Arial"/>
          <w:sz w:val="21"/>
          <w:szCs w:val="21"/>
        </w:rPr>
        <w:t xml:space="preserve">below and </w:t>
      </w:r>
      <w:r w:rsidR="005A7DFC">
        <w:rPr>
          <w:rFonts w:ascii="Aptos" w:hAnsi="Aptos" w:cs="Arial"/>
          <w:sz w:val="21"/>
          <w:szCs w:val="21"/>
        </w:rPr>
        <w:t>in the main report</w:t>
      </w:r>
      <w:r w:rsidRPr="00D518FF">
        <w:rPr>
          <w:rFonts w:ascii="Aptos" w:hAnsi="Aptos" w:cs="Arial"/>
          <w:sz w:val="21"/>
          <w:szCs w:val="21"/>
        </w:rPr>
        <w:t xml:space="preserve">) </w:t>
      </w:r>
      <w:r w:rsidR="000935F9">
        <w:rPr>
          <w:rFonts w:ascii="Aptos" w:hAnsi="Aptos" w:cs="Arial"/>
          <w:noProof/>
          <w:sz w:val="21"/>
          <w:szCs w:val="21"/>
        </w:rPr>
        <w:t>(5, 6)</w:t>
      </w:r>
      <w:r w:rsidRPr="00D518FF">
        <w:rPr>
          <w:rFonts w:ascii="Aptos" w:hAnsi="Aptos" w:cs="Arial"/>
          <w:sz w:val="21"/>
          <w:szCs w:val="21"/>
        </w:rPr>
        <w:t xml:space="preserve">. </w:t>
      </w:r>
      <w:bookmarkStart w:id="35" w:name="_Toc100711484"/>
      <w:bookmarkStart w:id="36" w:name="_Toc126835779"/>
    </w:p>
    <w:p w14:paraId="4E421DE5" w14:textId="6DFB6EAE" w:rsidR="00F726B5" w:rsidRPr="00D518FF" w:rsidRDefault="00F726B5" w:rsidP="0027240E">
      <w:pPr>
        <w:pStyle w:val="heading3numbers"/>
      </w:pPr>
      <w:bookmarkStart w:id="37" w:name="_Toc185254613"/>
      <w:r w:rsidRPr="00D518FF">
        <w:t>Types of interventions</w:t>
      </w:r>
      <w:bookmarkEnd w:id="35"/>
      <w:bookmarkEnd w:id="36"/>
      <w:bookmarkEnd w:id="37"/>
    </w:p>
    <w:p w14:paraId="1D8116A3" w14:textId="022590C0" w:rsidR="00BB58F5" w:rsidRPr="00BB58F5" w:rsidRDefault="00BB58F5" w:rsidP="00F726B5">
      <w:pPr>
        <w:spacing w:before="120" w:after="120"/>
        <w:rPr>
          <w:rFonts w:ascii="Aptos" w:hAnsi="Aptos" w:cs="Arial"/>
          <w:sz w:val="21"/>
          <w:szCs w:val="21"/>
        </w:rPr>
      </w:pPr>
      <w:r w:rsidRPr="00BB58F5">
        <w:rPr>
          <w:rFonts w:ascii="Aptos" w:hAnsi="Aptos" w:cs="Arial"/>
          <w:sz w:val="21"/>
          <w:szCs w:val="21"/>
        </w:rPr>
        <w:t xml:space="preserve">Interventions were chosen alongside populations – identified as priority </w:t>
      </w:r>
      <w:r w:rsidR="008B625F">
        <w:rPr>
          <w:rFonts w:ascii="Aptos" w:hAnsi="Aptos" w:cs="Arial"/>
          <w:sz w:val="21"/>
          <w:szCs w:val="21"/>
        </w:rPr>
        <w:t>population-supplement pair</w:t>
      </w:r>
      <w:r w:rsidRPr="00BB58F5">
        <w:rPr>
          <w:rFonts w:ascii="Aptos" w:hAnsi="Aptos" w:cs="Arial"/>
          <w:sz w:val="21"/>
          <w:szCs w:val="21"/>
        </w:rPr>
        <w:t xml:space="preserve">s and ranked by NTWC (with Tier 1 being highest priority, and Tier 3 being lowest priority), with advice from NTREAP (presented in December 2021). These were developed prior to the overview protocol based on initial scoping. Following searches during the </w:t>
      </w:r>
      <w:r w:rsidR="00615238">
        <w:rPr>
          <w:rFonts w:ascii="Aptos" w:hAnsi="Aptos" w:cs="Arial"/>
          <w:sz w:val="21"/>
          <w:szCs w:val="21"/>
        </w:rPr>
        <w:t>e</w:t>
      </w:r>
      <w:r w:rsidRPr="00BB58F5">
        <w:rPr>
          <w:rFonts w:ascii="Aptos" w:hAnsi="Aptos" w:cs="Arial"/>
          <w:sz w:val="21"/>
          <w:szCs w:val="21"/>
        </w:rPr>
        <w:t xml:space="preserve">vidence </w:t>
      </w:r>
      <w:r w:rsidR="00615238">
        <w:rPr>
          <w:rFonts w:ascii="Aptos" w:hAnsi="Aptos" w:cs="Arial"/>
          <w:sz w:val="21"/>
          <w:szCs w:val="21"/>
        </w:rPr>
        <w:t>e</w:t>
      </w:r>
      <w:r w:rsidRPr="00BB58F5">
        <w:rPr>
          <w:rFonts w:ascii="Aptos" w:hAnsi="Aptos" w:cs="Arial"/>
          <w:sz w:val="21"/>
          <w:szCs w:val="21"/>
        </w:rPr>
        <w:t xml:space="preserve">valuation, it was determined to only consider the Tier 1 combinations (15 highest priority) due to the volume of </w:t>
      </w:r>
      <w:r w:rsidR="00B94960" w:rsidRPr="00B94960">
        <w:rPr>
          <w:rFonts w:ascii="Aptos" w:hAnsi="Aptos" w:cs="Arial"/>
          <w:sz w:val="21"/>
          <w:szCs w:val="21"/>
        </w:rPr>
        <w:t>reviews</w:t>
      </w:r>
      <w:r w:rsidRPr="00BB58F5">
        <w:rPr>
          <w:rFonts w:ascii="Aptos" w:hAnsi="Aptos" w:cs="Arial"/>
          <w:sz w:val="21"/>
          <w:szCs w:val="21"/>
        </w:rPr>
        <w:t>.</w:t>
      </w:r>
      <w:r w:rsidR="00E32CE7">
        <w:rPr>
          <w:rFonts w:ascii="Aptos" w:hAnsi="Aptos" w:cs="Arial"/>
          <w:sz w:val="21"/>
          <w:szCs w:val="21"/>
        </w:rPr>
        <w:t xml:space="preserve"> These are listed in Table </w:t>
      </w:r>
      <w:r w:rsidR="00BF0EB3">
        <w:rPr>
          <w:rFonts w:ascii="Aptos" w:hAnsi="Aptos" w:cs="Arial"/>
          <w:sz w:val="21"/>
          <w:szCs w:val="21"/>
        </w:rPr>
        <w:t>A</w:t>
      </w:r>
      <w:r w:rsidR="00E32CE7">
        <w:rPr>
          <w:rFonts w:ascii="Aptos" w:hAnsi="Aptos" w:cs="Arial"/>
          <w:sz w:val="21"/>
          <w:szCs w:val="21"/>
        </w:rPr>
        <w:t>1.</w:t>
      </w:r>
    </w:p>
    <w:p w14:paraId="7DD341A5" w14:textId="75251A9E" w:rsidR="00F726B5" w:rsidRPr="00D518FF" w:rsidRDefault="00D26C75" w:rsidP="00F726B5">
      <w:pPr>
        <w:spacing w:before="120" w:after="120"/>
        <w:rPr>
          <w:rFonts w:ascii="Aptos" w:hAnsi="Aptos" w:cs="Arial"/>
          <w:sz w:val="21"/>
          <w:szCs w:val="21"/>
        </w:rPr>
      </w:pPr>
      <w:r w:rsidRPr="00E77295">
        <w:rPr>
          <w:rFonts w:ascii="Aptos" w:hAnsi="Aptos" w:cs="Arial"/>
          <w:sz w:val="21"/>
          <w:szCs w:val="21"/>
        </w:rPr>
        <w:t>Eligible interventions were those that contained either the supplement of interest alone or with other ingredients, given nutritional supplements often have co-supplementation (e.g. multivitamins). Other co</w:t>
      </w:r>
      <w:r w:rsidRPr="00E77295">
        <w:rPr>
          <w:rFonts w:ascii="Cambria Math" w:hAnsi="Cambria Math" w:cs="Cambria Math"/>
          <w:sz w:val="21"/>
          <w:szCs w:val="21"/>
        </w:rPr>
        <w:t>‐</w:t>
      </w:r>
      <w:r w:rsidRPr="00E77295">
        <w:rPr>
          <w:rFonts w:ascii="Aptos" w:hAnsi="Aptos" w:cs="Arial"/>
          <w:sz w:val="21"/>
          <w:szCs w:val="21"/>
        </w:rPr>
        <w:t xml:space="preserve">interventions likely to be prescribed in naturopathic practice (such as diet, education programs, lifestyle modification) were also considered. </w:t>
      </w:r>
      <w:r w:rsidR="00F726B5" w:rsidRPr="00D518FF">
        <w:rPr>
          <w:rFonts w:ascii="Aptos" w:hAnsi="Aptos" w:cs="Arial"/>
          <w:sz w:val="21"/>
          <w:szCs w:val="21"/>
        </w:rPr>
        <w:t xml:space="preserve">Nutritional supplements included in this </w:t>
      </w:r>
      <w:r w:rsidR="00410B46">
        <w:rPr>
          <w:rFonts w:ascii="Aptos" w:hAnsi="Aptos" w:cs="Arial"/>
          <w:sz w:val="21"/>
          <w:szCs w:val="21"/>
        </w:rPr>
        <w:t>o</w:t>
      </w:r>
      <w:r w:rsidR="00F726B5" w:rsidRPr="00D518FF">
        <w:rPr>
          <w:rFonts w:ascii="Aptos" w:hAnsi="Aptos" w:cs="Arial"/>
          <w:sz w:val="21"/>
          <w:szCs w:val="21"/>
        </w:rPr>
        <w:t>verview</w:t>
      </w:r>
      <w:r w:rsidR="00F726B5" w:rsidRPr="00D518FF" w:rsidDel="00413839">
        <w:rPr>
          <w:rFonts w:ascii="Aptos" w:hAnsi="Aptos" w:cs="Arial"/>
          <w:sz w:val="21"/>
          <w:szCs w:val="21"/>
        </w:rPr>
        <w:t xml:space="preserve"> </w:t>
      </w:r>
      <w:r w:rsidR="00F726B5" w:rsidRPr="00D518FF">
        <w:rPr>
          <w:rFonts w:ascii="Aptos" w:hAnsi="Aptos" w:cs="Arial"/>
          <w:sz w:val="21"/>
          <w:szCs w:val="21"/>
        </w:rPr>
        <w:t>contain</w:t>
      </w:r>
      <w:r w:rsidR="00413839">
        <w:rPr>
          <w:rFonts w:ascii="Aptos" w:hAnsi="Aptos" w:cs="Arial"/>
          <w:sz w:val="21"/>
          <w:szCs w:val="21"/>
        </w:rPr>
        <w:t>ed</w:t>
      </w:r>
      <w:r w:rsidR="00F726B5" w:rsidRPr="00D518FF">
        <w:rPr>
          <w:rFonts w:ascii="Aptos" w:hAnsi="Aptos" w:cs="Arial"/>
          <w:sz w:val="21"/>
          <w:szCs w:val="21"/>
        </w:rPr>
        <w:t xml:space="preserve"> single ingredients (e.g. a vitamin, mineral, amino acid) or a combination of ingredients. There </w:t>
      </w:r>
      <w:r w:rsidR="002333A6">
        <w:rPr>
          <w:rFonts w:ascii="Aptos" w:hAnsi="Aptos" w:cs="Arial"/>
          <w:sz w:val="21"/>
          <w:szCs w:val="21"/>
        </w:rPr>
        <w:t>was</w:t>
      </w:r>
      <w:r w:rsidR="002333A6" w:rsidRPr="00D518FF">
        <w:rPr>
          <w:rFonts w:ascii="Aptos" w:hAnsi="Aptos" w:cs="Arial"/>
          <w:sz w:val="21"/>
          <w:szCs w:val="21"/>
        </w:rPr>
        <w:t xml:space="preserve"> </w:t>
      </w:r>
      <w:r w:rsidR="00F726B5" w:rsidRPr="00D518FF">
        <w:rPr>
          <w:rFonts w:ascii="Aptos" w:hAnsi="Aptos" w:cs="Arial"/>
          <w:sz w:val="21"/>
          <w:szCs w:val="21"/>
        </w:rPr>
        <w:t>no limit on the type of preparation (i.e. capsule, tablet, liquid, etc.),</w:t>
      </w:r>
      <w:r w:rsidR="00F726B5" w:rsidRPr="00D518FF" w:rsidDel="000D2CA8">
        <w:rPr>
          <w:rFonts w:ascii="Aptos" w:hAnsi="Aptos" w:cs="Arial"/>
          <w:sz w:val="21"/>
          <w:szCs w:val="21"/>
        </w:rPr>
        <w:t xml:space="preserve"> </w:t>
      </w:r>
      <w:r w:rsidR="00F726B5" w:rsidRPr="00D518FF">
        <w:rPr>
          <w:rFonts w:ascii="Aptos" w:hAnsi="Aptos" w:cs="Arial"/>
          <w:sz w:val="21"/>
          <w:szCs w:val="21"/>
        </w:rPr>
        <w:t xml:space="preserve">however the nutritional supplement must be taken orally. </w:t>
      </w:r>
    </w:p>
    <w:p w14:paraId="524697B9" w14:textId="0C8CF1DD"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This </w:t>
      </w:r>
      <w:r w:rsidR="00BF0EB3">
        <w:rPr>
          <w:rFonts w:ascii="Aptos" w:hAnsi="Aptos" w:cs="Arial"/>
          <w:sz w:val="21"/>
          <w:szCs w:val="21"/>
        </w:rPr>
        <w:t>o</w:t>
      </w:r>
      <w:r w:rsidRPr="00D518FF">
        <w:rPr>
          <w:rFonts w:ascii="Aptos" w:hAnsi="Aptos" w:cs="Arial"/>
          <w:sz w:val="21"/>
          <w:szCs w:val="21"/>
        </w:rPr>
        <w:t>verview exclude</w:t>
      </w:r>
      <w:r w:rsidR="002333A6">
        <w:rPr>
          <w:rFonts w:ascii="Aptos" w:hAnsi="Aptos" w:cs="Arial"/>
          <w:sz w:val="21"/>
          <w:szCs w:val="21"/>
        </w:rPr>
        <w:t>d</w:t>
      </w:r>
      <w:r w:rsidRPr="00D518FF">
        <w:rPr>
          <w:rFonts w:ascii="Aptos" w:hAnsi="Aptos" w:cs="Arial"/>
          <w:sz w:val="21"/>
          <w:szCs w:val="21"/>
        </w:rPr>
        <w:t xml:space="preserve"> any nutritional supplement products which contain</w:t>
      </w:r>
      <w:r w:rsidR="00BF0EB3">
        <w:rPr>
          <w:rFonts w:ascii="Aptos" w:hAnsi="Aptos" w:cs="Arial"/>
          <w:sz w:val="21"/>
          <w:szCs w:val="21"/>
        </w:rPr>
        <w:t>ed</w:t>
      </w:r>
      <w:r w:rsidRPr="00D518FF">
        <w:rPr>
          <w:rFonts w:ascii="Aptos" w:hAnsi="Aptos" w:cs="Arial"/>
          <w:sz w:val="21"/>
          <w:szCs w:val="21"/>
        </w:rPr>
        <w:t xml:space="preserve"> an ingredient not permitted by the Australian Register of Therapeutic Goods (ARTG) as a complementary medicine </w:t>
      </w:r>
      <w:r w:rsidR="000935F9">
        <w:rPr>
          <w:rFonts w:ascii="Aptos" w:hAnsi="Aptos" w:cs="Arial"/>
          <w:noProof/>
          <w:sz w:val="21"/>
          <w:szCs w:val="21"/>
        </w:rPr>
        <w:t>(</w:t>
      </w:r>
      <w:r w:rsidR="0081145E">
        <w:rPr>
          <w:rFonts w:ascii="Aptos" w:hAnsi="Aptos" w:cs="Arial"/>
          <w:noProof/>
          <w:sz w:val="21"/>
          <w:szCs w:val="21"/>
        </w:rPr>
        <w:t>5</w:t>
      </w:r>
      <w:r w:rsidR="000935F9">
        <w:rPr>
          <w:rFonts w:ascii="Aptos" w:hAnsi="Aptos" w:cs="Arial"/>
          <w:noProof/>
          <w:sz w:val="21"/>
          <w:szCs w:val="21"/>
        </w:rPr>
        <w:t>)</w:t>
      </w:r>
      <w:r w:rsidR="00C50FE8">
        <w:rPr>
          <w:rFonts w:ascii="Aptos" w:hAnsi="Aptos" w:cs="Arial"/>
          <w:sz w:val="21"/>
          <w:szCs w:val="21"/>
        </w:rPr>
        <w:t xml:space="preserve">. </w:t>
      </w:r>
      <w:r w:rsidRPr="00D518FF">
        <w:rPr>
          <w:rFonts w:ascii="Aptos" w:hAnsi="Aptos" w:cs="Arial"/>
          <w:sz w:val="21"/>
          <w:szCs w:val="21"/>
        </w:rPr>
        <w:t xml:space="preserve">Therefore, pharmaceutical ingredients and any product required to be sterile (for injection) </w:t>
      </w:r>
      <w:r w:rsidR="00605CA1">
        <w:rPr>
          <w:rFonts w:ascii="Aptos" w:hAnsi="Aptos" w:cs="Arial"/>
          <w:sz w:val="21"/>
          <w:szCs w:val="21"/>
        </w:rPr>
        <w:t>were</w:t>
      </w:r>
      <w:r w:rsidRPr="00D518FF">
        <w:rPr>
          <w:rFonts w:ascii="Aptos" w:hAnsi="Aptos" w:cs="Arial"/>
          <w:sz w:val="21"/>
          <w:szCs w:val="21"/>
        </w:rPr>
        <w:t xml:space="preserve"> excluded, as these do not reflect naturopathic practice in Australia. Preparations that are administered via injection (i.e. intravenous, intramuscular, subcutaneous) </w:t>
      </w:r>
      <w:r w:rsidR="00605CA1">
        <w:rPr>
          <w:rFonts w:ascii="Aptos" w:hAnsi="Aptos" w:cs="Arial"/>
          <w:sz w:val="21"/>
          <w:szCs w:val="21"/>
        </w:rPr>
        <w:t>were</w:t>
      </w:r>
      <w:r w:rsidR="00605CA1" w:rsidRPr="00D518FF">
        <w:rPr>
          <w:rFonts w:ascii="Aptos" w:hAnsi="Aptos" w:cs="Arial"/>
          <w:sz w:val="21"/>
          <w:szCs w:val="21"/>
        </w:rPr>
        <w:t xml:space="preserve"> </w:t>
      </w:r>
      <w:r w:rsidRPr="00D518FF">
        <w:rPr>
          <w:rFonts w:ascii="Aptos" w:hAnsi="Aptos" w:cs="Arial"/>
          <w:sz w:val="21"/>
          <w:szCs w:val="21"/>
        </w:rPr>
        <w:t xml:space="preserve">also excluded. Population-based interventions, including food fortification, </w:t>
      </w:r>
      <w:r w:rsidR="00605CA1">
        <w:rPr>
          <w:rFonts w:ascii="Aptos" w:hAnsi="Aptos" w:cs="Arial"/>
          <w:sz w:val="21"/>
          <w:szCs w:val="21"/>
        </w:rPr>
        <w:t>were</w:t>
      </w:r>
      <w:r w:rsidR="00605CA1" w:rsidRPr="00D518FF">
        <w:rPr>
          <w:rFonts w:ascii="Aptos" w:hAnsi="Aptos" w:cs="Arial"/>
          <w:sz w:val="21"/>
          <w:szCs w:val="21"/>
        </w:rPr>
        <w:t xml:space="preserve"> </w:t>
      </w:r>
      <w:r w:rsidRPr="00D518FF">
        <w:rPr>
          <w:rFonts w:ascii="Aptos" w:hAnsi="Aptos" w:cs="Arial"/>
          <w:sz w:val="21"/>
          <w:szCs w:val="21"/>
        </w:rPr>
        <w:t>also excluded as these types of interventions are not part of naturopathy practice, but public health policy.</w:t>
      </w:r>
    </w:p>
    <w:p w14:paraId="79378798" w14:textId="791A0DAF" w:rsidR="00F726B5" w:rsidRDefault="00F726B5" w:rsidP="00F726B5">
      <w:pPr>
        <w:spacing w:before="120" w:after="120"/>
        <w:rPr>
          <w:rFonts w:ascii="Aptos" w:hAnsi="Aptos" w:cs="Arial"/>
          <w:sz w:val="21"/>
          <w:szCs w:val="21"/>
        </w:rPr>
      </w:pPr>
      <w:r w:rsidRPr="00D518FF">
        <w:rPr>
          <w:rFonts w:ascii="Aptos" w:hAnsi="Aptos" w:cs="Arial"/>
          <w:sz w:val="21"/>
          <w:szCs w:val="21"/>
        </w:rPr>
        <w:t xml:space="preserve">In contrast to the review of whole-system naturopathy, this </w:t>
      </w:r>
      <w:r w:rsidR="00BF0EB3">
        <w:rPr>
          <w:rFonts w:ascii="Aptos" w:hAnsi="Aptos" w:cs="Arial"/>
          <w:sz w:val="21"/>
          <w:szCs w:val="21"/>
        </w:rPr>
        <w:t>o</w:t>
      </w:r>
      <w:r w:rsidRPr="00D518FF">
        <w:rPr>
          <w:rFonts w:ascii="Aptos" w:hAnsi="Aptos" w:cs="Arial"/>
          <w:sz w:val="21"/>
          <w:szCs w:val="21"/>
        </w:rPr>
        <w:t xml:space="preserve">verview </w:t>
      </w:r>
      <w:r w:rsidR="00605CA1">
        <w:rPr>
          <w:rFonts w:ascii="Aptos" w:hAnsi="Aptos" w:cs="Arial"/>
          <w:sz w:val="21"/>
          <w:szCs w:val="21"/>
        </w:rPr>
        <w:t>did</w:t>
      </w:r>
      <w:r w:rsidR="00605CA1" w:rsidRPr="00D518FF">
        <w:rPr>
          <w:rFonts w:ascii="Aptos" w:hAnsi="Aptos" w:cs="Arial"/>
          <w:sz w:val="21"/>
          <w:szCs w:val="21"/>
        </w:rPr>
        <w:t xml:space="preserve"> </w:t>
      </w:r>
      <w:r w:rsidRPr="00D518FF">
        <w:rPr>
          <w:rFonts w:ascii="Aptos" w:hAnsi="Aptos" w:cs="Arial"/>
          <w:sz w:val="21"/>
          <w:szCs w:val="21"/>
        </w:rPr>
        <w:t>not require the treatment to be delivered by a naturopath.</w:t>
      </w:r>
    </w:p>
    <w:p w14:paraId="332D6B88" w14:textId="77777777" w:rsidR="00BF0EB3" w:rsidRPr="00D518FF" w:rsidRDefault="00BF0EB3" w:rsidP="00F726B5">
      <w:pPr>
        <w:spacing w:before="120" w:after="120"/>
        <w:rPr>
          <w:rFonts w:ascii="Aptos" w:hAnsi="Aptos" w:cs="Arial"/>
          <w:sz w:val="21"/>
          <w:szCs w:val="21"/>
        </w:rPr>
      </w:pPr>
    </w:p>
    <w:p w14:paraId="77333710" w14:textId="492508A8" w:rsidR="003957ED" w:rsidRPr="0054775B" w:rsidRDefault="003957ED" w:rsidP="003957ED">
      <w:pPr>
        <w:pStyle w:val="2024TABLECAPTION"/>
        <w:rPr>
          <w:rFonts w:ascii="Aptos" w:hAnsi="Aptos"/>
        </w:rPr>
      </w:pPr>
      <w:bookmarkStart w:id="38" w:name="_Ref161051294"/>
      <w:bookmarkStart w:id="39" w:name="_Toc162085600"/>
      <w:bookmarkStart w:id="40" w:name="_Toc185254527"/>
      <w:r w:rsidRPr="0054775B">
        <w:rPr>
          <w:rFonts w:ascii="Aptos" w:hAnsi="Aptos"/>
        </w:rPr>
        <w:t xml:space="preserve">Table </w:t>
      </w:r>
      <w:r w:rsidR="00BF0EB3">
        <w:rPr>
          <w:rFonts w:ascii="Aptos" w:hAnsi="Aptos"/>
        </w:rPr>
        <w:t>A</w:t>
      </w:r>
      <w:r w:rsidRPr="0054775B">
        <w:rPr>
          <w:rFonts w:ascii="Aptos" w:hAnsi="Aptos"/>
        </w:rPr>
        <w:fldChar w:fldCharType="begin"/>
      </w:r>
      <w:r w:rsidRPr="0054775B">
        <w:rPr>
          <w:rFonts w:ascii="Aptos" w:hAnsi="Aptos"/>
        </w:rPr>
        <w:instrText xml:space="preserve"> SEQ Table \* ARABIC </w:instrText>
      </w:r>
      <w:r w:rsidRPr="0054775B">
        <w:rPr>
          <w:rFonts w:ascii="Aptos" w:hAnsi="Aptos"/>
        </w:rPr>
        <w:fldChar w:fldCharType="separate"/>
      </w:r>
      <w:r w:rsidR="00C426C6">
        <w:rPr>
          <w:rFonts w:ascii="Aptos" w:hAnsi="Aptos"/>
          <w:noProof/>
        </w:rPr>
        <w:t>1</w:t>
      </w:r>
      <w:r w:rsidRPr="0054775B">
        <w:rPr>
          <w:rFonts w:ascii="Aptos" w:hAnsi="Aptos"/>
          <w:noProof/>
        </w:rPr>
        <w:fldChar w:fldCharType="end"/>
      </w:r>
      <w:bookmarkEnd w:id="38"/>
      <w:r w:rsidRPr="0054775B">
        <w:rPr>
          <w:rFonts w:ascii="Aptos" w:hAnsi="Aptos"/>
        </w:rPr>
        <w:t xml:space="preserve">. List of target </w:t>
      </w:r>
      <w:r w:rsidRPr="0054775B" w:rsidDel="008B625F">
        <w:rPr>
          <w:rFonts w:ascii="Aptos" w:hAnsi="Aptos"/>
        </w:rPr>
        <w:t>population-</w:t>
      </w:r>
      <w:r w:rsidR="008B625F">
        <w:rPr>
          <w:rFonts w:ascii="Aptos" w:hAnsi="Aptos"/>
        </w:rPr>
        <w:t>supplement pair</w:t>
      </w:r>
      <w:r w:rsidRPr="0054775B">
        <w:rPr>
          <w:rFonts w:ascii="Aptos" w:hAnsi="Aptos"/>
        </w:rPr>
        <w:t>s by priority tier.</w:t>
      </w:r>
      <w:bookmarkEnd w:id="39"/>
      <w:bookmarkEnd w:id="40"/>
    </w:p>
    <w:tbl>
      <w:tblPr>
        <w:tblW w:w="9067" w:type="dxa"/>
        <w:tblLook w:val="04A0" w:firstRow="1" w:lastRow="0" w:firstColumn="1" w:lastColumn="0" w:noHBand="0" w:noVBand="1"/>
      </w:tblPr>
      <w:tblGrid>
        <w:gridCol w:w="522"/>
        <w:gridCol w:w="2156"/>
        <w:gridCol w:w="2098"/>
        <w:gridCol w:w="2127"/>
        <w:gridCol w:w="2164"/>
      </w:tblGrid>
      <w:tr w:rsidR="0055618A" w:rsidRPr="0054775B" w14:paraId="6F3C31F6" w14:textId="77777777">
        <w:trPr>
          <w:trHeight w:val="630"/>
        </w:trPr>
        <w:tc>
          <w:tcPr>
            <w:tcW w:w="0" w:type="auto"/>
            <w:tcBorders>
              <w:top w:val="single" w:sz="4" w:space="0" w:color="auto"/>
              <w:left w:val="single" w:sz="4" w:space="0" w:color="auto"/>
              <w:bottom w:val="single" w:sz="4" w:space="0" w:color="auto"/>
              <w:right w:val="single" w:sz="4" w:space="0" w:color="auto"/>
            </w:tcBorders>
            <w:shd w:val="clear" w:color="000000" w:fill="D9D9D9"/>
            <w:vAlign w:val="center"/>
            <w:hideMark/>
          </w:tcPr>
          <w:p w14:paraId="02D44931" w14:textId="77777777" w:rsidR="003957ED" w:rsidRPr="0054775B" w:rsidRDefault="003957ED">
            <w:pPr>
              <w:pStyle w:val="2024TABLETEXT"/>
              <w:framePr w:hSpace="0" w:wrap="auto" w:vAnchor="margin" w:yAlign="inline"/>
              <w:suppressOverlap w:val="0"/>
            </w:pPr>
            <w:r w:rsidRPr="0054775B">
              <w:t> </w:t>
            </w:r>
          </w:p>
        </w:tc>
        <w:tc>
          <w:tcPr>
            <w:tcW w:w="2156" w:type="dxa"/>
            <w:tcBorders>
              <w:top w:val="single" w:sz="4" w:space="0" w:color="auto"/>
              <w:left w:val="nil"/>
              <w:bottom w:val="single" w:sz="4" w:space="0" w:color="auto"/>
              <w:right w:val="single" w:sz="4" w:space="0" w:color="auto"/>
            </w:tcBorders>
            <w:shd w:val="clear" w:color="000000" w:fill="D9D9D9"/>
            <w:vAlign w:val="center"/>
            <w:hideMark/>
          </w:tcPr>
          <w:p w14:paraId="25089154" w14:textId="77777777" w:rsidR="003957ED" w:rsidRPr="0054775B" w:rsidRDefault="003957ED">
            <w:pPr>
              <w:pStyle w:val="2024TABLEHEADER"/>
              <w:rPr>
                <w:color w:val="000000"/>
              </w:rPr>
            </w:pPr>
            <w:r w:rsidRPr="0054775B">
              <w:t>Priority population (listed in order of priority)</w:t>
            </w:r>
          </w:p>
        </w:tc>
        <w:tc>
          <w:tcPr>
            <w:tcW w:w="2098" w:type="dxa"/>
            <w:tcBorders>
              <w:top w:val="single" w:sz="4" w:space="0" w:color="auto"/>
              <w:left w:val="nil"/>
              <w:bottom w:val="single" w:sz="4" w:space="0" w:color="auto"/>
              <w:right w:val="single" w:sz="4" w:space="0" w:color="auto"/>
            </w:tcBorders>
            <w:shd w:val="clear" w:color="000000" w:fill="80C1DB"/>
            <w:vAlign w:val="center"/>
            <w:hideMark/>
          </w:tcPr>
          <w:p w14:paraId="54BC03A8" w14:textId="77777777" w:rsidR="003957ED" w:rsidRPr="0054775B" w:rsidRDefault="003957ED">
            <w:pPr>
              <w:pStyle w:val="2024TABLEHEADER"/>
              <w:rPr>
                <w:color w:val="000000"/>
              </w:rPr>
            </w:pPr>
            <w:r w:rsidRPr="0054775B">
              <w:t xml:space="preserve">Priority intervention </w:t>
            </w:r>
            <w:r w:rsidRPr="0054775B">
              <w:br/>
              <w:t>(Tier 1)</w:t>
            </w:r>
          </w:p>
        </w:tc>
        <w:tc>
          <w:tcPr>
            <w:tcW w:w="2127"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4BE52117" w14:textId="77777777" w:rsidR="003957ED" w:rsidRPr="0054775B" w:rsidRDefault="003957ED">
            <w:pPr>
              <w:pStyle w:val="2024TABLEHEADER"/>
              <w:rPr>
                <w:color w:val="000000"/>
              </w:rPr>
            </w:pPr>
            <w:r w:rsidRPr="0054775B">
              <w:t xml:space="preserve">Priority intervention </w:t>
            </w:r>
            <w:r w:rsidRPr="0054775B">
              <w:br/>
              <w:t>(Tier 2)</w:t>
            </w:r>
            <w:r>
              <w:t xml:space="preserve"> – not considered</w:t>
            </w:r>
          </w:p>
        </w:tc>
        <w:tc>
          <w:tcPr>
            <w:tcW w:w="2164"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DFB6D43" w14:textId="2E263D5E" w:rsidR="003957ED" w:rsidRPr="0054775B" w:rsidRDefault="003957ED">
            <w:pPr>
              <w:pStyle w:val="2024TABLEHEADER"/>
              <w:rPr>
                <w:color w:val="000000"/>
              </w:rPr>
            </w:pPr>
            <w:r w:rsidRPr="0054775B">
              <w:t>Priority intervention (Tier 3)</w:t>
            </w:r>
            <w:r>
              <w:t xml:space="preserve"> – not considered</w:t>
            </w:r>
          </w:p>
        </w:tc>
      </w:tr>
      <w:tr w:rsidR="0055618A" w:rsidRPr="0054775B" w14:paraId="63B83963" w14:textId="77777777">
        <w:trPr>
          <w:trHeight w:val="677"/>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75CA979F" w14:textId="77777777" w:rsidR="003957ED" w:rsidRPr="0054775B" w:rsidRDefault="003957ED">
            <w:pPr>
              <w:pStyle w:val="2024TABLETEXT"/>
              <w:framePr w:hSpace="0" w:wrap="auto" w:vAnchor="margin" w:yAlign="inline"/>
              <w:suppressOverlap w:val="0"/>
            </w:pPr>
            <w:r w:rsidRPr="0054775B">
              <w:t>1</w:t>
            </w:r>
          </w:p>
        </w:tc>
        <w:tc>
          <w:tcPr>
            <w:tcW w:w="2156" w:type="dxa"/>
            <w:tcBorders>
              <w:top w:val="nil"/>
              <w:left w:val="nil"/>
              <w:bottom w:val="single" w:sz="4" w:space="0" w:color="auto"/>
              <w:right w:val="single" w:sz="4" w:space="0" w:color="auto"/>
            </w:tcBorders>
            <w:shd w:val="clear" w:color="auto" w:fill="auto"/>
            <w:vAlign w:val="center"/>
            <w:hideMark/>
          </w:tcPr>
          <w:p w14:paraId="78279D94" w14:textId="77777777" w:rsidR="003957ED" w:rsidRPr="0054775B" w:rsidRDefault="003957ED">
            <w:pPr>
              <w:pStyle w:val="2024TABLETEXT"/>
              <w:framePr w:hSpace="0" w:wrap="auto" w:vAnchor="margin" w:yAlign="inline"/>
              <w:suppressOverlap w:val="0"/>
            </w:pPr>
            <w:r w:rsidRPr="0054775B">
              <w:t>Anxiety (including post-natal)</w:t>
            </w:r>
          </w:p>
        </w:tc>
        <w:tc>
          <w:tcPr>
            <w:tcW w:w="2098" w:type="dxa"/>
            <w:tcBorders>
              <w:top w:val="nil"/>
              <w:left w:val="nil"/>
              <w:bottom w:val="single" w:sz="4" w:space="0" w:color="auto"/>
              <w:right w:val="single" w:sz="4" w:space="0" w:color="auto"/>
            </w:tcBorders>
            <w:shd w:val="clear" w:color="000000" w:fill="80C1DB"/>
            <w:vAlign w:val="center"/>
            <w:hideMark/>
          </w:tcPr>
          <w:p w14:paraId="22D5297C" w14:textId="77777777" w:rsidR="003957ED" w:rsidRPr="0054775B" w:rsidRDefault="003957ED">
            <w:pPr>
              <w:pStyle w:val="2024TABLETEXT"/>
              <w:framePr w:hSpace="0" w:wrap="auto" w:vAnchor="margin" w:yAlign="inline"/>
              <w:suppressOverlap w:val="0"/>
            </w:pPr>
            <w:r w:rsidRPr="0054775B">
              <w:t>Magnesium</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66A5311E" w14:textId="77777777" w:rsidR="003957ED" w:rsidRPr="0054775B" w:rsidRDefault="003957ED">
            <w:pPr>
              <w:pStyle w:val="2024TABLETEXT"/>
              <w:framePr w:hSpace="0" w:wrap="auto" w:vAnchor="margin" w:yAlign="inline"/>
              <w:suppressOverlap w:val="0"/>
            </w:pPr>
            <w:r w:rsidRPr="0054775B">
              <w:t>Vitamin B and mineral complex (B6, B12, folate – individually and in combination)</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6A5A3924" w14:textId="77777777" w:rsidR="003957ED" w:rsidRPr="0054775B" w:rsidRDefault="003957ED">
            <w:pPr>
              <w:pStyle w:val="2024TABLETEXT"/>
              <w:framePr w:hSpace="0" w:wrap="auto" w:vAnchor="margin" w:yAlign="inline"/>
              <w:suppressOverlap w:val="0"/>
            </w:pPr>
            <w:r w:rsidRPr="0054775B">
              <w:t>N-acetylcysteine (NAC)</w:t>
            </w:r>
          </w:p>
        </w:tc>
      </w:tr>
      <w:tr w:rsidR="0055618A" w:rsidRPr="0054775B" w14:paraId="3757269E" w14:textId="77777777">
        <w:trPr>
          <w:trHeight w:val="73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EB8D8F3" w14:textId="77777777" w:rsidR="003957ED" w:rsidRPr="0054775B" w:rsidRDefault="003957ED">
            <w:pPr>
              <w:pStyle w:val="2024TABLETEXT"/>
              <w:framePr w:hSpace="0" w:wrap="auto" w:vAnchor="margin" w:yAlign="inline"/>
              <w:suppressOverlap w:val="0"/>
            </w:pPr>
            <w:r w:rsidRPr="0054775B">
              <w:lastRenderedPageBreak/>
              <w:t>2</w:t>
            </w:r>
          </w:p>
        </w:tc>
        <w:tc>
          <w:tcPr>
            <w:tcW w:w="2156" w:type="dxa"/>
            <w:tcBorders>
              <w:top w:val="nil"/>
              <w:left w:val="nil"/>
              <w:bottom w:val="single" w:sz="4" w:space="0" w:color="auto"/>
              <w:right w:val="single" w:sz="4" w:space="0" w:color="auto"/>
            </w:tcBorders>
            <w:shd w:val="clear" w:color="auto" w:fill="auto"/>
            <w:vAlign w:val="center"/>
            <w:hideMark/>
          </w:tcPr>
          <w:p w14:paraId="2467C4CF" w14:textId="77777777" w:rsidR="003957ED" w:rsidRPr="0054775B" w:rsidRDefault="003957ED">
            <w:pPr>
              <w:pStyle w:val="2024TABLETEXT"/>
              <w:framePr w:hSpace="0" w:wrap="auto" w:vAnchor="margin" w:yAlign="inline"/>
              <w:suppressOverlap w:val="0"/>
            </w:pPr>
            <w:r w:rsidRPr="0054775B">
              <w:t>Stress (perceived, occupational)</w:t>
            </w:r>
          </w:p>
        </w:tc>
        <w:tc>
          <w:tcPr>
            <w:tcW w:w="2098" w:type="dxa"/>
            <w:tcBorders>
              <w:top w:val="nil"/>
              <w:left w:val="nil"/>
              <w:bottom w:val="single" w:sz="4" w:space="0" w:color="auto"/>
              <w:right w:val="single" w:sz="4" w:space="0" w:color="auto"/>
            </w:tcBorders>
            <w:shd w:val="clear" w:color="000000" w:fill="80C1DB"/>
            <w:vAlign w:val="center"/>
            <w:hideMark/>
          </w:tcPr>
          <w:p w14:paraId="3BF60D92" w14:textId="77777777" w:rsidR="003957ED" w:rsidRPr="0054775B" w:rsidRDefault="003957ED">
            <w:pPr>
              <w:pStyle w:val="2024TABLETEXT"/>
              <w:framePr w:hSpace="0" w:wrap="auto" w:vAnchor="margin" w:yAlign="inline"/>
              <w:suppressOverlap w:val="0"/>
            </w:pPr>
            <w:r w:rsidRPr="0054775B">
              <w:t>Magnesium</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697361BE" w14:textId="77777777" w:rsidR="003957ED" w:rsidRPr="0054775B" w:rsidRDefault="003957ED">
            <w:pPr>
              <w:pStyle w:val="2024TABLETEXT"/>
              <w:framePr w:hSpace="0" w:wrap="auto" w:vAnchor="margin" w:yAlign="inline"/>
              <w:suppressOverlap w:val="0"/>
            </w:pPr>
            <w:r w:rsidRPr="0054775B">
              <w:t>Vitamin B and mineral complex (B6, B12, folate – individually and in combination)</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0A79AFB6" w14:textId="77777777" w:rsidR="003957ED" w:rsidRPr="0054775B" w:rsidRDefault="003957ED">
            <w:pPr>
              <w:pStyle w:val="2024TABLETEXT"/>
              <w:framePr w:hSpace="0" w:wrap="auto" w:vAnchor="margin" w:yAlign="inline"/>
              <w:suppressOverlap w:val="0"/>
            </w:pPr>
            <w:r w:rsidRPr="0054775B">
              <w:t>N-acetylcysteine (NAC)</w:t>
            </w:r>
          </w:p>
        </w:tc>
      </w:tr>
      <w:tr w:rsidR="0055618A" w:rsidRPr="0054775B" w14:paraId="02555568" w14:textId="77777777">
        <w:trPr>
          <w:trHeight w:val="751"/>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84575EE" w14:textId="77777777" w:rsidR="003957ED" w:rsidRPr="0054775B" w:rsidRDefault="003957ED">
            <w:pPr>
              <w:pStyle w:val="2024TABLETEXT"/>
              <w:framePr w:hSpace="0" w:wrap="auto" w:vAnchor="margin" w:yAlign="inline"/>
              <w:suppressOverlap w:val="0"/>
            </w:pPr>
            <w:r w:rsidRPr="0054775B">
              <w:t>3</w:t>
            </w:r>
          </w:p>
        </w:tc>
        <w:tc>
          <w:tcPr>
            <w:tcW w:w="2156" w:type="dxa"/>
            <w:tcBorders>
              <w:top w:val="nil"/>
              <w:left w:val="nil"/>
              <w:bottom w:val="single" w:sz="4" w:space="0" w:color="auto"/>
              <w:right w:val="single" w:sz="4" w:space="0" w:color="auto"/>
            </w:tcBorders>
            <w:shd w:val="clear" w:color="auto" w:fill="auto"/>
            <w:vAlign w:val="center"/>
            <w:hideMark/>
          </w:tcPr>
          <w:p w14:paraId="6BC9D93D" w14:textId="77777777" w:rsidR="003957ED" w:rsidRPr="0054775B" w:rsidRDefault="003957ED">
            <w:pPr>
              <w:pStyle w:val="2024TABLETEXT"/>
              <w:framePr w:hSpace="0" w:wrap="auto" w:vAnchor="margin" w:yAlign="inline"/>
              <w:suppressOverlap w:val="0"/>
            </w:pPr>
            <w:r w:rsidRPr="0054775B">
              <w:t>Irritable bowel syndrome</w:t>
            </w:r>
          </w:p>
        </w:tc>
        <w:tc>
          <w:tcPr>
            <w:tcW w:w="2098" w:type="dxa"/>
            <w:tcBorders>
              <w:top w:val="nil"/>
              <w:left w:val="nil"/>
              <w:bottom w:val="single" w:sz="4" w:space="0" w:color="auto"/>
              <w:right w:val="single" w:sz="4" w:space="0" w:color="auto"/>
            </w:tcBorders>
            <w:shd w:val="clear" w:color="000000" w:fill="80C1DB"/>
            <w:vAlign w:val="center"/>
            <w:hideMark/>
          </w:tcPr>
          <w:p w14:paraId="399FF8B0" w14:textId="7F3DAA23" w:rsidR="003957ED" w:rsidRPr="0054775B" w:rsidRDefault="003957ED">
            <w:pPr>
              <w:pStyle w:val="2024TABLETEXT"/>
              <w:framePr w:hSpace="0" w:wrap="auto" w:vAnchor="margin" w:yAlign="inline"/>
              <w:suppressOverlap w:val="0"/>
            </w:pPr>
            <w:r w:rsidRPr="0054775B">
              <w:t>Probiotics (see TGA list for specific strains)</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491457C5" w14:textId="77777777" w:rsidR="003957ED" w:rsidRPr="0054775B" w:rsidRDefault="003957ED">
            <w:pPr>
              <w:pStyle w:val="2024TABLETEXT"/>
              <w:framePr w:hSpace="0" w:wrap="auto" w:vAnchor="margin" w:yAlign="inline"/>
              <w:suppressOverlap w:val="0"/>
            </w:pPr>
            <w:r w:rsidRPr="0054775B">
              <w:t>Glutamine</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2C78069F" w14:textId="77777777" w:rsidR="003957ED" w:rsidRPr="0054775B" w:rsidRDefault="003957ED">
            <w:pPr>
              <w:pStyle w:val="2024TABLETEXT"/>
              <w:framePr w:hSpace="0" w:wrap="auto" w:vAnchor="margin" w:yAlign="inline"/>
              <w:suppressOverlap w:val="0"/>
            </w:pPr>
            <w:r w:rsidRPr="0054775B">
              <w:t>Digestive enzymes (including betaine hydrochloride, papain, bromelain)</w:t>
            </w:r>
          </w:p>
        </w:tc>
      </w:tr>
      <w:tr w:rsidR="0055618A" w:rsidRPr="0054775B" w14:paraId="5670942A" w14:textId="77777777">
        <w:trPr>
          <w:trHeight w:val="417"/>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6545CB5" w14:textId="77777777" w:rsidR="003957ED" w:rsidRPr="0054775B" w:rsidRDefault="003957ED">
            <w:pPr>
              <w:pStyle w:val="2024TABLETEXT"/>
              <w:framePr w:hSpace="0" w:wrap="auto" w:vAnchor="margin" w:yAlign="inline"/>
              <w:suppressOverlap w:val="0"/>
            </w:pPr>
            <w:r w:rsidRPr="0054775B">
              <w:t>4</w:t>
            </w:r>
          </w:p>
        </w:tc>
        <w:tc>
          <w:tcPr>
            <w:tcW w:w="2156" w:type="dxa"/>
            <w:tcBorders>
              <w:top w:val="nil"/>
              <w:left w:val="nil"/>
              <w:bottom w:val="single" w:sz="4" w:space="0" w:color="auto"/>
              <w:right w:val="single" w:sz="4" w:space="0" w:color="auto"/>
            </w:tcBorders>
            <w:shd w:val="clear" w:color="auto" w:fill="auto"/>
            <w:vAlign w:val="center"/>
            <w:hideMark/>
          </w:tcPr>
          <w:p w14:paraId="4D7570AF" w14:textId="77777777" w:rsidR="003957ED" w:rsidRPr="0054775B" w:rsidRDefault="003957ED">
            <w:pPr>
              <w:pStyle w:val="2024TABLETEXT"/>
              <w:framePr w:hSpace="0" w:wrap="auto" w:vAnchor="margin" w:yAlign="inline"/>
              <w:suppressOverlap w:val="0"/>
            </w:pPr>
            <w:r w:rsidRPr="0054775B">
              <w:t>Insomnia/Sleeping disorders</w:t>
            </w:r>
          </w:p>
        </w:tc>
        <w:tc>
          <w:tcPr>
            <w:tcW w:w="2098" w:type="dxa"/>
            <w:tcBorders>
              <w:top w:val="nil"/>
              <w:left w:val="nil"/>
              <w:bottom w:val="single" w:sz="4" w:space="0" w:color="auto"/>
              <w:right w:val="single" w:sz="4" w:space="0" w:color="auto"/>
            </w:tcBorders>
            <w:shd w:val="clear" w:color="000000" w:fill="80C1DB"/>
            <w:vAlign w:val="center"/>
            <w:hideMark/>
          </w:tcPr>
          <w:p w14:paraId="2D70B6C0" w14:textId="77777777" w:rsidR="003957ED" w:rsidRPr="0054775B" w:rsidRDefault="003957ED">
            <w:pPr>
              <w:pStyle w:val="2024TABLETEXT"/>
              <w:framePr w:hSpace="0" w:wrap="auto" w:vAnchor="margin" w:yAlign="inline"/>
              <w:suppressOverlap w:val="0"/>
            </w:pPr>
            <w:r w:rsidRPr="0054775B">
              <w:t>Magnesium</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581FC109" w14:textId="77777777" w:rsidR="003957ED" w:rsidRPr="0054775B" w:rsidRDefault="003957ED">
            <w:pPr>
              <w:pStyle w:val="2024TABLETEXT"/>
              <w:framePr w:hSpace="0" w:wrap="auto" w:vAnchor="margin" w:yAlign="inline"/>
              <w:suppressOverlap w:val="0"/>
            </w:pPr>
            <w:r w:rsidRPr="0054775B">
              <w:t>5-HTP (5- hydroxytryptophan)</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553D5594" w14:textId="77777777" w:rsidR="003957ED" w:rsidRPr="0054775B" w:rsidRDefault="003957ED">
            <w:pPr>
              <w:pStyle w:val="2024TABLETEXT"/>
              <w:framePr w:hSpace="0" w:wrap="auto" w:vAnchor="margin" w:yAlign="inline"/>
              <w:suppressOverlap w:val="0"/>
            </w:pPr>
            <w:r w:rsidRPr="0054775B">
              <w:t>Palmitoylethanolamide (PEA)</w:t>
            </w:r>
          </w:p>
        </w:tc>
      </w:tr>
      <w:tr w:rsidR="0055618A" w:rsidRPr="0054775B" w14:paraId="7364F493" w14:textId="77777777">
        <w:trPr>
          <w:trHeight w:val="542"/>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A1550E0" w14:textId="77777777" w:rsidR="003957ED" w:rsidRPr="0054775B" w:rsidRDefault="003957ED">
            <w:pPr>
              <w:pStyle w:val="2024TABLETEXT"/>
              <w:framePr w:hSpace="0" w:wrap="auto" w:vAnchor="margin" w:yAlign="inline"/>
              <w:suppressOverlap w:val="0"/>
            </w:pPr>
            <w:r w:rsidRPr="0054775B">
              <w:t>5</w:t>
            </w:r>
          </w:p>
        </w:tc>
        <w:tc>
          <w:tcPr>
            <w:tcW w:w="2156" w:type="dxa"/>
            <w:tcBorders>
              <w:top w:val="nil"/>
              <w:left w:val="nil"/>
              <w:bottom w:val="single" w:sz="4" w:space="0" w:color="auto"/>
              <w:right w:val="single" w:sz="4" w:space="0" w:color="auto"/>
            </w:tcBorders>
            <w:shd w:val="clear" w:color="auto" w:fill="auto"/>
            <w:vAlign w:val="center"/>
            <w:hideMark/>
          </w:tcPr>
          <w:p w14:paraId="2ECC8AF3" w14:textId="77777777" w:rsidR="003957ED" w:rsidRPr="0054775B" w:rsidRDefault="003957ED">
            <w:pPr>
              <w:pStyle w:val="2024TABLETEXT"/>
              <w:framePr w:hSpace="0" w:wrap="auto" w:vAnchor="margin" w:yAlign="inline"/>
              <w:suppressOverlap w:val="0"/>
            </w:pPr>
            <w:r w:rsidRPr="0054775B">
              <w:t>Depression (including post-natal)</w:t>
            </w:r>
          </w:p>
        </w:tc>
        <w:tc>
          <w:tcPr>
            <w:tcW w:w="2098" w:type="dxa"/>
            <w:tcBorders>
              <w:top w:val="nil"/>
              <w:left w:val="nil"/>
              <w:bottom w:val="single" w:sz="4" w:space="0" w:color="auto"/>
              <w:right w:val="single" w:sz="4" w:space="0" w:color="auto"/>
            </w:tcBorders>
            <w:shd w:val="clear" w:color="000000" w:fill="80C1DB"/>
            <w:vAlign w:val="center"/>
            <w:hideMark/>
          </w:tcPr>
          <w:p w14:paraId="77FB637E" w14:textId="30870FCF" w:rsidR="003957ED" w:rsidRPr="0054775B" w:rsidRDefault="003957ED">
            <w:pPr>
              <w:pStyle w:val="2024TABLETEXT"/>
              <w:framePr w:hSpace="0" w:wrap="auto" w:vAnchor="margin" w:yAlign="inline"/>
              <w:suppressOverlap w:val="0"/>
            </w:pPr>
            <w:r w:rsidRPr="0054775B">
              <w:t>Omega-3</w:t>
            </w:r>
            <w:r w:rsidR="00B50FBF">
              <w:t xml:space="preserve"> fatty acids</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0224C31A" w14:textId="77777777" w:rsidR="003957ED" w:rsidRPr="0054775B" w:rsidRDefault="003957ED">
            <w:pPr>
              <w:pStyle w:val="2024TABLETEXT"/>
              <w:framePr w:hSpace="0" w:wrap="auto" w:vAnchor="margin" w:yAlign="inline"/>
              <w:suppressOverlap w:val="0"/>
            </w:pPr>
            <w:r w:rsidRPr="0054775B">
              <w:t>Vitamin B and mineral complex (B6, B12, folate – individually and in combination)</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575D6654" w14:textId="77777777" w:rsidR="003957ED" w:rsidRPr="0054775B" w:rsidRDefault="003957ED">
            <w:pPr>
              <w:pStyle w:val="2024TABLETEXT"/>
              <w:framePr w:hSpace="0" w:wrap="auto" w:vAnchor="margin" w:yAlign="inline"/>
              <w:suppressOverlap w:val="0"/>
            </w:pPr>
            <w:r w:rsidRPr="0054775B">
              <w:t>N-acetylcysteine (NAC)</w:t>
            </w:r>
          </w:p>
        </w:tc>
      </w:tr>
      <w:tr w:rsidR="0055618A" w:rsidRPr="0054775B" w14:paraId="2C48B65E" w14:textId="77777777">
        <w:trPr>
          <w:trHeight w:val="692"/>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3B1CE2B" w14:textId="77777777" w:rsidR="003957ED" w:rsidRPr="0054775B" w:rsidRDefault="003957ED">
            <w:pPr>
              <w:pStyle w:val="2024TABLETEXT"/>
              <w:framePr w:hSpace="0" w:wrap="auto" w:vAnchor="margin" w:yAlign="inline"/>
              <w:suppressOverlap w:val="0"/>
            </w:pPr>
            <w:r w:rsidRPr="0054775B">
              <w:t>6</w:t>
            </w:r>
          </w:p>
        </w:tc>
        <w:tc>
          <w:tcPr>
            <w:tcW w:w="2156" w:type="dxa"/>
            <w:tcBorders>
              <w:top w:val="nil"/>
              <w:left w:val="nil"/>
              <w:bottom w:val="single" w:sz="4" w:space="0" w:color="auto"/>
              <w:right w:val="single" w:sz="4" w:space="0" w:color="auto"/>
            </w:tcBorders>
            <w:shd w:val="clear" w:color="auto" w:fill="auto"/>
            <w:vAlign w:val="center"/>
            <w:hideMark/>
          </w:tcPr>
          <w:p w14:paraId="373F298E" w14:textId="77777777" w:rsidR="003957ED" w:rsidRPr="0054775B" w:rsidRDefault="003957ED">
            <w:pPr>
              <w:pStyle w:val="2024TABLETEXT"/>
              <w:framePr w:hSpace="0" w:wrap="auto" w:vAnchor="margin" w:yAlign="inline"/>
              <w:suppressOverlap w:val="0"/>
            </w:pPr>
            <w:r w:rsidRPr="0054775B">
              <w:t>Dysmenorrhea</w:t>
            </w:r>
          </w:p>
        </w:tc>
        <w:tc>
          <w:tcPr>
            <w:tcW w:w="2098" w:type="dxa"/>
            <w:tcBorders>
              <w:top w:val="nil"/>
              <w:left w:val="nil"/>
              <w:bottom w:val="single" w:sz="4" w:space="0" w:color="auto"/>
              <w:right w:val="single" w:sz="4" w:space="0" w:color="auto"/>
            </w:tcBorders>
            <w:shd w:val="clear" w:color="000000" w:fill="80C1DB"/>
            <w:vAlign w:val="center"/>
            <w:hideMark/>
          </w:tcPr>
          <w:p w14:paraId="0D29EF93" w14:textId="77777777" w:rsidR="003957ED" w:rsidRPr="0054775B" w:rsidRDefault="003957ED">
            <w:pPr>
              <w:pStyle w:val="2024TABLETEXT"/>
              <w:framePr w:hSpace="0" w:wrap="auto" w:vAnchor="margin" w:yAlign="inline"/>
              <w:suppressOverlap w:val="0"/>
            </w:pPr>
            <w:r w:rsidRPr="0054775B">
              <w:t>Cruciferous Indoles (indole-3- carbinol, di-indolylmethane)</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1CD89CB7" w14:textId="77777777" w:rsidR="003957ED" w:rsidRPr="0054775B" w:rsidRDefault="003957ED">
            <w:pPr>
              <w:pStyle w:val="2024TABLETEXT"/>
              <w:framePr w:hSpace="0" w:wrap="auto" w:vAnchor="margin" w:yAlign="inline"/>
              <w:suppressOverlap w:val="0"/>
            </w:pPr>
            <w:r w:rsidRPr="0054775B">
              <w:t>Magnesium</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3D00E8CE" w14:textId="77777777" w:rsidR="003957ED" w:rsidRPr="0054775B" w:rsidRDefault="003957ED">
            <w:pPr>
              <w:pStyle w:val="2024TABLETEXT"/>
              <w:framePr w:hSpace="0" w:wrap="auto" w:vAnchor="margin" w:yAlign="inline"/>
              <w:suppressOverlap w:val="0"/>
            </w:pPr>
            <w:r w:rsidRPr="0054775B">
              <w:t>Vitamin B and mineral complex (B6, B12, folate – individually and in combination)</w:t>
            </w:r>
          </w:p>
        </w:tc>
      </w:tr>
      <w:tr w:rsidR="0055618A" w:rsidRPr="0054775B" w14:paraId="09A1E970" w14:textId="77777777">
        <w:trPr>
          <w:trHeight w:val="745"/>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EB8D125" w14:textId="77777777" w:rsidR="003957ED" w:rsidRPr="0054775B" w:rsidRDefault="003957ED">
            <w:pPr>
              <w:pStyle w:val="2024TABLETEXT"/>
              <w:framePr w:hSpace="0" w:wrap="auto" w:vAnchor="margin" w:yAlign="inline"/>
              <w:suppressOverlap w:val="0"/>
            </w:pPr>
            <w:r w:rsidRPr="0054775B">
              <w:t>7</w:t>
            </w:r>
          </w:p>
        </w:tc>
        <w:tc>
          <w:tcPr>
            <w:tcW w:w="2156" w:type="dxa"/>
            <w:tcBorders>
              <w:top w:val="nil"/>
              <w:left w:val="nil"/>
              <w:bottom w:val="single" w:sz="4" w:space="0" w:color="auto"/>
              <w:right w:val="single" w:sz="4" w:space="0" w:color="auto"/>
            </w:tcBorders>
            <w:shd w:val="clear" w:color="auto" w:fill="auto"/>
            <w:vAlign w:val="center"/>
            <w:hideMark/>
          </w:tcPr>
          <w:p w14:paraId="333C3D74" w14:textId="77777777" w:rsidR="003957ED" w:rsidRPr="0054775B" w:rsidRDefault="003957ED">
            <w:pPr>
              <w:pStyle w:val="2024TABLETEXT"/>
              <w:framePr w:hSpace="0" w:wrap="auto" w:vAnchor="margin" w:yAlign="inline"/>
              <w:suppressOverlap w:val="0"/>
            </w:pPr>
            <w:r w:rsidRPr="0054775B">
              <w:t>Premenstrual syndrome (PMS)</w:t>
            </w:r>
          </w:p>
        </w:tc>
        <w:tc>
          <w:tcPr>
            <w:tcW w:w="2098" w:type="dxa"/>
            <w:tcBorders>
              <w:top w:val="nil"/>
              <w:left w:val="nil"/>
              <w:bottom w:val="single" w:sz="4" w:space="0" w:color="auto"/>
              <w:right w:val="single" w:sz="4" w:space="0" w:color="auto"/>
            </w:tcBorders>
            <w:shd w:val="clear" w:color="000000" w:fill="80C1DB"/>
            <w:vAlign w:val="center"/>
            <w:hideMark/>
          </w:tcPr>
          <w:p w14:paraId="290E49C8" w14:textId="77777777" w:rsidR="003957ED" w:rsidRPr="0054775B" w:rsidRDefault="003957ED">
            <w:pPr>
              <w:pStyle w:val="2024TABLETEXT"/>
              <w:framePr w:hSpace="0" w:wrap="auto" w:vAnchor="margin" w:yAlign="inline"/>
              <w:suppressOverlap w:val="0"/>
            </w:pPr>
            <w:r w:rsidRPr="0054775B">
              <w:t>Cruciferous Indoles (indole-3- carbinol, di-indolylmethane)</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243151CE" w14:textId="77777777" w:rsidR="003957ED" w:rsidRPr="0054775B" w:rsidRDefault="003957ED">
            <w:pPr>
              <w:pStyle w:val="2024TABLETEXT"/>
              <w:framePr w:hSpace="0" w:wrap="auto" w:vAnchor="margin" w:yAlign="inline"/>
              <w:suppressOverlap w:val="0"/>
            </w:pPr>
            <w:r w:rsidRPr="0054775B">
              <w:t>Magnesium</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131BFEA4" w14:textId="77777777" w:rsidR="003957ED" w:rsidRPr="0054775B" w:rsidRDefault="003957ED">
            <w:pPr>
              <w:pStyle w:val="2024TABLETEXT"/>
              <w:framePr w:hSpace="0" w:wrap="auto" w:vAnchor="margin" w:yAlign="inline"/>
              <w:suppressOverlap w:val="0"/>
            </w:pPr>
            <w:r w:rsidRPr="0054775B">
              <w:t>Vitamin B and mineral complex (B6, B12, folate – individually and in combination)</w:t>
            </w:r>
          </w:p>
        </w:tc>
      </w:tr>
      <w:tr w:rsidR="0055618A" w:rsidRPr="0054775B" w14:paraId="6A73F210" w14:textId="77777777">
        <w:trPr>
          <w:trHeight w:val="637"/>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2E8459AC" w14:textId="77777777" w:rsidR="003957ED" w:rsidRPr="0054775B" w:rsidRDefault="003957ED">
            <w:pPr>
              <w:pStyle w:val="2024TABLETEXT"/>
              <w:framePr w:hSpace="0" w:wrap="auto" w:vAnchor="margin" w:yAlign="inline"/>
              <w:suppressOverlap w:val="0"/>
            </w:pPr>
            <w:r w:rsidRPr="0054775B">
              <w:t>8</w:t>
            </w:r>
          </w:p>
        </w:tc>
        <w:tc>
          <w:tcPr>
            <w:tcW w:w="2156" w:type="dxa"/>
            <w:tcBorders>
              <w:top w:val="nil"/>
              <w:left w:val="nil"/>
              <w:bottom w:val="single" w:sz="4" w:space="0" w:color="auto"/>
              <w:right w:val="single" w:sz="4" w:space="0" w:color="auto"/>
            </w:tcBorders>
            <w:shd w:val="clear" w:color="auto" w:fill="auto"/>
            <w:vAlign w:val="center"/>
            <w:hideMark/>
          </w:tcPr>
          <w:p w14:paraId="2670E657" w14:textId="57A3DC8E" w:rsidR="003957ED" w:rsidRPr="0054775B" w:rsidRDefault="003957ED">
            <w:pPr>
              <w:pStyle w:val="2024TABLETEXT"/>
              <w:framePr w:hSpace="0" w:wrap="auto" w:vAnchor="margin" w:yAlign="inline"/>
              <w:suppressOverlap w:val="0"/>
            </w:pPr>
            <w:r w:rsidRPr="0054775B">
              <w:t>Atopic disorders (including eczema, dermatitis, allergic rhinitis, allergies (e.g. hay fever))</w:t>
            </w:r>
          </w:p>
        </w:tc>
        <w:tc>
          <w:tcPr>
            <w:tcW w:w="2098" w:type="dxa"/>
            <w:tcBorders>
              <w:top w:val="nil"/>
              <w:left w:val="nil"/>
              <w:bottom w:val="single" w:sz="4" w:space="0" w:color="auto"/>
              <w:right w:val="single" w:sz="4" w:space="0" w:color="auto"/>
            </w:tcBorders>
            <w:shd w:val="clear" w:color="000000" w:fill="80C1DB"/>
            <w:vAlign w:val="center"/>
            <w:hideMark/>
          </w:tcPr>
          <w:p w14:paraId="54415CB0" w14:textId="77777777" w:rsidR="003957ED" w:rsidRPr="0054775B" w:rsidRDefault="003957ED">
            <w:pPr>
              <w:pStyle w:val="2024TABLETEXT"/>
              <w:framePr w:hSpace="0" w:wrap="auto" w:vAnchor="margin" w:yAlign="inline"/>
              <w:suppressOverlap w:val="0"/>
            </w:pPr>
            <w:r w:rsidRPr="0054775B">
              <w:t>Zinc</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6A8DB7E8" w14:textId="77777777" w:rsidR="003957ED" w:rsidRPr="0054775B" w:rsidRDefault="003957ED">
            <w:pPr>
              <w:pStyle w:val="2024TABLETEXT"/>
              <w:framePr w:hSpace="0" w:wrap="auto" w:vAnchor="margin" w:yAlign="inline"/>
              <w:suppressOverlap w:val="0"/>
            </w:pPr>
            <w:r w:rsidRPr="0054775B">
              <w:t>Prebiotics (including beta-glucan, guar gum and others listed on the TGA list)</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59D535AB" w14:textId="77777777" w:rsidR="003957ED" w:rsidRPr="0054775B" w:rsidRDefault="003957ED">
            <w:pPr>
              <w:pStyle w:val="2024TABLETEXT"/>
              <w:framePr w:hSpace="0" w:wrap="auto" w:vAnchor="margin" w:yAlign="inline"/>
              <w:suppressOverlap w:val="0"/>
            </w:pPr>
            <w:r w:rsidRPr="0054775B">
              <w:t>Probiotics (see TGA list for specific strains)</w:t>
            </w:r>
          </w:p>
        </w:tc>
      </w:tr>
      <w:tr w:rsidR="0055618A" w:rsidRPr="0054775B" w14:paraId="04C370D5" w14:textId="77777777">
        <w:trPr>
          <w:trHeight w:val="788"/>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299DC18F" w14:textId="77777777" w:rsidR="003957ED" w:rsidRPr="0054775B" w:rsidRDefault="003957ED">
            <w:pPr>
              <w:pStyle w:val="2024TABLETEXT"/>
              <w:framePr w:hSpace="0" w:wrap="auto" w:vAnchor="margin" w:yAlign="inline"/>
              <w:suppressOverlap w:val="0"/>
            </w:pPr>
            <w:r w:rsidRPr="0054775B">
              <w:t>9</w:t>
            </w:r>
          </w:p>
        </w:tc>
        <w:tc>
          <w:tcPr>
            <w:tcW w:w="2156" w:type="dxa"/>
            <w:tcBorders>
              <w:top w:val="nil"/>
              <w:left w:val="nil"/>
              <w:bottom w:val="single" w:sz="4" w:space="0" w:color="auto"/>
              <w:right w:val="single" w:sz="4" w:space="0" w:color="auto"/>
            </w:tcBorders>
            <w:shd w:val="clear" w:color="auto" w:fill="auto"/>
            <w:vAlign w:val="center"/>
            <w:hideMark/>
          </w:tcPr>
          <w:p w14:paraId="24174E76" w14:textId="77777777" w:rsidR="003957ED" w:rsidRPr="0054775B" w:rsidRDefault="003957ED">
            <w:pPr>
              <w:pStyle w:val="2024TABLETEXT"/>
              <w:framePr w:hSpace="0" w:wrap="auto" w:vAnchor="margin" w:yAlign="inline"/>
              <w:suppressOverlap w:val="0"/>
            </w:pPr>
            <w:r w:rsidRPr="0054775B">
              <w:t>Fatigue (general) (including myalgic encephalomyelitis (ME) and Chronic Fatigue Syndrome (CFS))</w:t>
            </w:r>
          </w:p>
        </w:tc>
        <w:tc>
          <w:tcPr>
            <w:tcW w:w="2098" w:type="dxa"/>
            <w:tcBorders>
              <w:top w:val="nil"/>
              <w:left w:val="nil"/>
              <w:bottom w:val="single" w:sz="4" w:space="0" w:color="auto"/>
              <w:right w:val="single" w:sz="4" w:space="0" w:color="auto"/>
            </w:tcBorders>
            <w:shd w:val="clear" w:color="000000" w:fill="80C1DB"/>
            <w:vAlign w:val="center"/>
            <w:hideMark/>
          </w:tcPr>
          <w:p w14:paraId="2D29D198" w14:textId="77777777" w:rsidR="003957ED" w:rsidRPr="0054775B" w:rsidRDefault="003957ED">
            <w:pPr>
              <w:pStyle w:val="2024TABLETEXT"/>
              <w:framePr w:hSpace="0" w:wrap="auto" w:vAnchor="margin" w:yAlign="inline"/>
              <w:suppressOverlap w:val="0"/>
            </w:pPr>
            <w:r w:rsidRPr="0054775B">
              <w:t>Antioxidants (specifically: CoQ10 and alpha-lipoic acid)</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385A8E0F" w14:textId="77777777" w:rsidR="003957ED" w:rsidRPr="0054775B" w:rsidRDefault="003957ED">
            <w:pPr>
              <w:pStyle w:val="2024TABLETEXT"/>
              <w:framePr w:hSpace="0" w:wrap="auto" w:vAnchor="margin" w:yAlign="inline"/>
              <w:suppressOverlap w:val="0"/>
            </w:pPr>
            <w:r w:rsidRPr="0054775B">
              <w:t>Vitamin B and mineral complex (B6, B12, folate – individually and in combination)</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0508A720" w14:textId="77777777" w:rsidR="003957ED" w:rsidRPr="0054775B" w:rsidRDefault="003957ED">
            <w:pPr>
              <w:pStyle w:val="2024TABLETEXT"/>
              <w:framePr w:hSpace="0" w:wrap="auto" w:vAnchor="margin" w:yAlign="inline"/>
              <w:suppressOverlap w:val="0"/>
            </w:pPr>
            <w:r w:rsidRPr="0054775B">
              <w:t>Magnesium</w:t>
            </w:r>
          </w:p>
        </w:tc>
      </w:tr>
      <w:tr w:rsidR="0055618A" w:rsidRPr="0054775B" w14:paraId="4CB3C135" w14:textId="77777777">
        <w:trPr>
          <w:trHeight w:val="53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794AB9E4" w14:textId="77777777" w:rsidR="003957ED" w:rsidRPr="0054775B" w:rsidRDefault="003957ED">
            <w:pPr>
              <w:pStyle w:val="2024TABLETEXT"/>
              <w:framePr w:hSpace="0" w:wrap="auto" w:vAnchor="margin" w:yAlign="inline"/>
              <w:suppressOverlap w:val="0"/>
            </w:pPr>
            <w:r w:rsidRPr="0054775B">
              <w:t>10</w:t>
            </w:r>
          </w:p>
        </w:tc>
        <w:tc>
          <w:tcPr>
            <w:tcW w:w="2156" w:type="dxa"/>
            <w:tcBorders>
              <w:top w:val="single" w:sz="4" w:space="0" w:color="auto"/>
              <w:left w:val="nil"/>
              <w:bottom w:val="single" w:sz="4" w:space="0" w:color="auto"/>
              <w:right w:val="single" w:sz="4" w:space="0" w:color="auto"/>
            </w:tcBorders>
            <w:shd w:val="clear" w:color="auto" w:fill="auto"/>
            <w:vAlign w:val="center"/>
            <w:hideMark/>
          </w:tcPr>
          <w:p w14:paraId="42CA51F2" w14:textId="77777777" w:rsidR="003957ED" w:rsidRPr="0054775B" w:rsidRDefault="003957ED">
            <w:pPr>
              <w:pStyle w:val="2024TABLETEXT"/>
              <w:framePr w:hSpace="0" w:wrap="auto" w:vAnchor="margin" w:yAlign="inline"/>
              <w:suppressOverlap w:val="0"/>
            </w:pPr>
            <w:r w:rsidRPr="0054775B">
              <w:t>Headache and migraine</w:t>
            </w:r>
          </w:p>
        </w:tc>
        <w:tc>
          <w:tcPr>
            <w:tcW w:w="2098" w:type="dxa"/>
            <w:tcBorders>
              <w:top w:val="single" w:sz="4" w:space="0" w:color="auto"/>
              <w:left w:val="nil"/>
              <w:bottom w:val="single" w:sz="4" w:space="0" w:color="auto"/>
              <w:right w:val="single" w:sz="4" w:space="0" w:color="auto"/>
            </w:tcBorders>
            <w:shd w:val="clear" w:color="000000" w:fill="80C1DB"/>
            <w:vAlign w:val="center"/>
            <w:hideMark/>
          </w:tcPr>
          <w:p w14:paraId="66B67CF7" w14:textId="77777777" w:rsidR="003957ED" w:rsidRPr="0054775B" w:rsidRDefault="003957ED">
            <w:pPr>
              <w:pStyle w:val="2024TABLETEXT"/>
              <w:framePr w:hSpace="0" w:wrap="auto" w:vAnchor="margin" w:yAlign="inline"/>
              <w:suppressOverlap w:val="0"/>
            </w:pPr>
            <w:r w:rsidRPr="0054775B">
              <w:t>Magnesium</w:t>
            </w:r>
          </w:p>
        </w:tc>
        <w:tc>
          <w:tcPr>
            <w:tcW w:w="2127"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01E4F796" w14:textId="77777777" w:rsidR="003957ED" w:rsidRPr="0054775B" w:rsidRDefault="003957ED">
            <w:pPr>
              <w:pStyle w:val="2024TABLETEXT"/>
              <w:framePr w:hSpace="0" w:wrap="auto" w:vAnchor="margin" w:yAlign="inline"/>
              <w:suppressOverlap w:val="0"/>
            </w:pPr>
            <w:r w:rsidRPr="0054775B">
              <w:t>Vitamin B and mineral complex (B6, B12, folate – individually and in combination)</w:t>
            </w:r>
          </w:p>
        </w:tc>
        <w:tc>
          <w:tcPr>
            <w:tcW w:w="2164"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47FADF87" w14:textId="77777777" w:rsidR="003957ED" w:rsidRPr="0054775B" w:rsidRDefault="003957ED">
            <w:pPr>
              <w:pStyle w:val="2024TABLETEXT"/>
              <w:framePr w:hSpace="0" w:wrap="auto" w:vAnchor="margin" w:yAlign="inline"/>
              <w:suppressOverlap w:val="0"/>
            </w:pPr>
            <w:r w:rsidRPr="0054775B">
              <w:t>N-acetylcysteine (NAC)</w:t>
            </w:r>
          </w:p>
        </w:tc>
      </w:tr>
      <w:tr w:rsidR="0055618A" w:rsidRPr="0054775B" w14:paraId="487C9F1C" w14:textId="77777777">
        <w:trPr>
          <w:trHeight w:val="53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7A34885E" w14:textId="77777777" w:rsidR="003957ED" w:rsidRPr="0054775B" w:rsidRDefault="003957ED">
            <w:pPr>
              <w:pStyle w:val="2024TABLETEXT"/>
              <w:framePr w:hSpace="0" w:wrap="auto" w:vAnchor="margin" w:yAlign="inline"/>
              <w:suppressOverlap w:val="0"/>
            </w:pPr>
            <w:r w:rsidRPr="0054775B">
              <w:t>11</w:t>
            </w:r>
          </w:p>
        </w:tc>
        <w:tc>
          <w:tcPr>
            <w:tcW w:w="2156" w:type="dxa"/>
            <w:tcBorders>
              <w:top w:val="single" w:sz="4" w:space="0" w:color="auto"/>
              <w:left w:val="nil"/>
              <w:bottom w:val="single" w:sz="4" w:space="0" w:color="auto"/>
              <w:right w:val="single" w:sz="4" w:space="0" w:color="auto"/>
            </w:tcBorders>
            <w:shd w:val="clear" w:color="auto" w:fill="auto"/>
            <w:vAlign w:val="center"/>
            <w:hideMark/>
          </w:tcPr>
          <w:p w14:paraId="4C608757" w14:textId="77777777" w:rsidR="003957ED" w:rsidRPr="0054775B" w:rsidRDefault="003957ED">
            <w:pPr>
              <w:pStyle w:val="2024TABLETEXT"/>
              <w:framePr w:hSpace="0" w:wrap="auto" w:vAnchor="margin" w:yAlign="inline"/>
              <w:suppressOverlap w:val="0"/>
            </w:pPr>
            <w:r w:rsidRPr="0054775B">
              <w:t>Arthritis/Osteoarthritis</w:t>
            </w:r>
          </w:p>
        </w:tc>
        <w:tc>
          <w:tcPr>
            <w:tcW w:w="2098" w:type="dxa"/>
            <w:tcBorders>
              <w:top w:val="single" w:sz="4" w:space="0" w:color="auto"/>
              <w:left w:val="nil"/>
              <w:bottom w:val="single" w:sz="4" w:space="0" w:color="auto"/>
              <w:right w:val="single" w:sz="4" w:space="0" w:color="auto"/>
            </w:tcBorders>
            <w:shd w:val="clear" w:color="000000" w:fill="80C1DB"/>
            <w:vAlign w:val="center"/>
            <w:hideMark/>
          </w:tcPr>
          <w:p w14:paraId="2E3504ED" w14:textId="77777777" w:rsidR="003957ED" w:rsidRPr="0054775B" w:rsidRDefault="003957ED">
            <w:pPr>
              <w:pStyle w:val="2024TABLETEXT"/>
              <w:framePr w:hSpace="0" w:wrap="auto" w:vAnchor="margin" w:yAlign="inline"/>
              <w:suppressOverlap w:val="0"/>
            </w:pPr>
            <w:r w:rsidRPr="0054775B">
              <w:t>Magnesium</w:t>
            </w:r>
          </w:p>
        </w:tc>
        <w:tc>
          <w:tcPr>
            <w:tcW w:w="2127"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430AB64A" w14:textId="4BA96A6D" w:rsidR="003957ED" w:rsidRPr="0054775B" w:rsidRDefault="003957ED">
            <w:pPr>
              <w:pStyle w:val="2024TABLETEXT"/>
              <w:framePr w:hSpace="0" w:wrap="auto" w:vAnchor="margin" w:yAlign="inline"/>
              <w:suppressOverlap w:val="0"/>
            </w:pPr>
            <w:r w:rsidRPr="0054775B">
              <w:t>Omega-3</w:t>
            </w:r>
            <w:r w:rsidR="00B50FBF">
              <w:t xml:space="preserve"> fatty acids</w:t>
            </w:r>
          </w:p>
        </w:tc>
        <w:tc>
          <w:tcPr>
            <w:tcW w:w="2164"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0D000596" w14:textId="77777777" w:rsidR="003957ED" w:rsidRPr="0054775B" w:rsidRDefault="003957ED">
            <w:pPr>
              <w:pStyle w:val="2024TABLETEXT"/>
              <w:framePr w:hSpace="0" w:wrap="auto" w:vAnchor="margin" w:yAlign="inline"/>
              <w:suppressOverlap w:val="0"/>
            </w:pPr>
            <w:r w:rsidRPr="0054775B">
              <w:t>Vitamin D</w:t>
            </w:r>
          </w:p>
        </w:tc>
      </w:tr>
      <w:tr w:rsidR="0055618A" w:rsidRPr="0054775B" w14:paraId="391B09E3" w14:textId="77777777">
        <w:trPr>
          <w:trHeight w:val="774"/>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21373A78" w14:textId="77777777" w:rsidR="003957ED" w:rsidRPr="0054775B" w:rsidRDefault="003957ED">
            <w:pPr>
              <w:pStyle w:val="2024TABLETEXT"/>
              <w:framePr w:hSpace="0" w:wrap="auto" w:vAnchor="margin" w:yAlign="inline"/>
              <w:suppressOverlap w:val="0"/>
            </w:pPr>
            <w:r w:rsidRPr="0054775B">
              <w:t>12</w:t>
            </w:r>
          </w:p>
        </w:tc>
        <w:tc>
          <w:tcPr>
            <w:tcW w:w="2156" w:type="dxa"/>
            <w:tcBorders>
              <w:top w:val="single" w:sz="4" w:space="0" w:color="auto"/>
              <w:left w:val="nil"/>
              <w:bottom w:val="single" w:sz="4" w:space="0" w:color="auto"/>
              <w:right w:val="single" w:sz="4" w:space="0" w:color="auto"/>
            </w:tcBorders>
            <w:shd w:val="clear" w:color="auto" w:fill="auto"/>
            <w:vAlign w:val="center"/>
            <w:hideMark/>
          </w:tcPr>
          <w:p w14:paraId="5ECAD479" w14:textId="77777777" w:rsidR="003957ED" w:rsidRPr="0054775B" w:rsidRDefault="003957ED">
            <w:pPr>
              <w:pStyle w:val="2024TABLETEXT"/>
              <w:framePr w:hSpace="0" w:wrap="auto" w:vAnchor="margin" w:yAlign="inline"/>
              <w:suppressOverlap w:val="0"/>
            </w:pPr>
            <w:r w:rsidRPr="0054775B">
              <w:t>Hypertension</w:t>
            </w:r>
          </w:p>
        </w:tc>
        <w:tc>
          <w:tcPr>
            <w:tcW w:w="2098" w:type="dxa"/>
            <w:tcBorders>
              <w:top w:val="single" w:sz="4" w:space="0" w:color="auto"/>
              <w:left w:val="nil"/>
              <w:bottom w:val="single" w:sz="4" w:space="0" w:color="auto"/>
              <w:right w:val="single" w:sz="4" w:space="0" w:color="auto"/>
            </w:tcBorders>
            <w:shd w:val="clear" w:color="000000" w:fill="80C1DB"/>
            <w:vAlign w:val="center"/>
            <w:hideMark/>
          </w:tcPr>
          <w:p w14:paraId="26461FB8" w14:textId="36958C33" w:rsidR="003957ED" w:rsidRPr="0054775B" w:rsidRDefault="003957ED">
            <w:pPr>
              <w:pStyle w:val="2024TABLETEXT"/>
              <w:framePr w:hSpace="0" w:wrap="auto" w:vAnchor="margin" w:yAlign="inline"/>
              <w:suppressOverlap w:val="0"/>
            </w:pPr>
            <w:r w:rsidRPr="0054775B">
              <w:t>Omega-3</w:t>
            </w:r>
            <w:r w:rsidR="00B50FBF">
              <w:t xml:space="preserve"> fatty acids</w:t>
            </w:r>
          </w:p>
        </w:tc>
        <w:tc>
          <w:tcPr>
            <w:tcW w:w="2127"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6B3B8FB0" w14:textId="77777777" w:rsidR="003957ED" w:rsidRPr="0054775B" w:rsidRDefault="003957ED">
            <w:pPr>
              <w:pStyle w:val="2024TABLETEXT"/>
              <w:framePr w:hSpace="0" w:wrap="auto" w:vAnchor="margin" w:yAlign="inline"/>
              <w:suppressOverlap w:val="0"/>
            </w:pPr>
            <w:r w:rsidRPr="0054775B">
              <w:t>Antioxidants (specifically: CoQ10 and alpha-lipoic acid)</w:t>
            </w:r>
          </w:p>
        </w:tc>
        <w:tc>
          <w:tcPr>
            <w:tcW w:w="2164"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67043577" w14:textId="77777777" w:rsidR="003957ED" w:rsidRPr="0054775B" w:rsidRDefault="003957ED">
            <w:pPr>
              <w:pStyle w:val="2024TABLETEXT"/>
              <w:framePr w:hSpace="0" w:wrap="auto" w:vAnchor="margin" w:yAlign="inline"/>
              <w:suppressOverlap w:val="0"/>
            </w:pPr>
            <w:r w:rsidRPr="0054775B">
              <w:t>Magnesium</w:t>
            </w:r>
          </w:p>
        </w:tc>
      </w:tr>
      <w:tr w:rsidR="0055618A" w:rsidRPr="0054775B" w14:paraId="4DC3300E" w14:textId="77777777">
        <w:trPr>
          <w:trHeight w:val="227"/>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08E7B50" w14:textId="77777777" w:rsidR="003957ED" w:rsidRPr="0054775B" w:rsidRDefault="003957ED">
            <w:pPr>
              <w:pStyle w:val="2024TABLETEXT"/>
              <w:framePr w:hSpace="0" w:wrap="auto" w:vAnchor="margin" w:yAlign="inline"/>
              <w:suppressOverlap w:val="0"/>
            </w:pPr>
            <w:r w:rsidRPr="0054775B">
              <w:t>13</w:t>
            </w:r>
          </w:p>
        </w:tc>
        <w:tc>
          <w:tcPr>
            <w:tcW w:w="2156" w:type="dxa"/>
            <w:tcBorders>
              <w:top w:val="nil"/>
              <w:left w:val="nil"/>
              <w:bottom w:val="single" w:sz="4" w:space="0" w:color="auto"/>
              <w:right w:val="single" w:sz="4" w:space="0" w:color="auto"/>
            </w:tcBorders>
            <w:shd w:val="clear" w:color="auto" w:fill="auto"/>
            <w:vAlign w:val="center"/>
            <w:hideMark/>
          </w:tcPr>
          <w:p w14:paraId="451D54E6" w14:textId="77777777" w:rsidR="003957ED" w:rsidRPr="0054775B" w:rsidRDefault="003957ED">
            <w:pPr>
              <w:pStyle w:val="2024TABLETEXT"/>
              <w:framePr w:hSpace="0" w:wrap="auto" w:vAnchor="margin" w:yAlign="inline"/>
              <w:suppressOverlap w:val="0"/>
            </w:pPr>
            <w:r w:rsidRPr="0054775B">
              <w:t>Fibromyalgia</w:t>
            </w:r>
          </w:p>
        </w:tc>
        <w:tc>
          <w:tcPr>
            <w:tcW w:w="2098" w:type="dxa"/>
            <w:tcBorders>
              <w:top w:val="nil"/>
              <w:left w:val="nil"/>
              <w:bottom w:val="single" w:sz="4" w:space="0" w:color="auto"/>
              <w:right w:val="single" w:sz="4" w:space="0" w:color="auto"/>
            </w:tcBorders>
            <w:shd w:val="clear" w:color="000000" w:fill="80C1DB"/>
            <w:vAlign w:val="center"/>
            <w:hideMark/>
          </w:tcPr>
          <w:p w14:paraId="114ED52C" w14:textId="77777777" w:rsidR="003957ED" w:rsidRPr="0054775B" w:rsidRDefault="003957ED">
            <w:pPr>
              <w:pStyle w:val="2024TABLETEXT"/>
              <w:framePr w:hSpace="0" w:wrap="auto" w:vAnchor="margin" w:yAlign="inline"/>
              <w:suppressOverlap w:val="0"/>
            </w:pPr>
            <w:r w:rsidRPr="0054775B">
              <w:t>Magnesium</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1854B5C1" w14:textId="47E76549" w:rsidR="003957ED" w:rsidRPr="0054775B" w:rsidRDefault="003957ED">
            <w:pPr>
              <w:pStyle w:val="2024TABLETEXT"/>
              <w:framePr w:hSpace="0" w:wrap="auto" w:vAnchor="margin" w:yAlign="inline"/>
              <w:suppressOverlap w:val="0"/>
            </w:pPr>
            <w:r w:rsidRPr="0054775B">
              <w:t>Omega-3</w:t>
            </w:r>
            <w:r w:rsidR="00B50FBF">
              <w:t xml:space="preserve"> fatty acids</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04CD6C82" w14:textId="77777777" w:rsidR="003957ED" w:rsidRPr="0054775B" w:rsidRDefault="003957ED">
            <w:pPr>
              <w:pStyle w:val="2024TABLETEXT"/>
              <w:framePr w:hSpace="0" w:wrap="auto" w:vAnchor="margin" w:yAlign="inline"/>
              <w:suppressOverlap w:val="0"/>
            </w:pPr>
            <w:r w:rsidRPr="0054775B">
              <w:t>Vitamin D</w:t>
            </w:r>
          </w:p>
        </w:tc>
      </w:tr>
      <w:tr w:rsidR="0055618A" w:rsidRPr="0054775B" w14:paraId="4EF17922" w14:textId="77777777">
        <w:trPr>
          <w:trHeight w:val="968"/>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CC9A30C" w14:textId="77777777" w:rsidR="003957ED" w:rsidRPr="0054775B" w:rsidRDefault="003957ED">
            <w:pPr>
              <w:pStyle w:val="2024TABLETEXT"/>
              <w:framePr w:hSpace="0" w:wrap="auto" w:vAnchor="margin" w:yAlign="inline"/>
              <w:suppressOverlap w:val="0"/>
            </w:pPr>
            <w:r w:rsidRPr="0054775B">
              <w:t>14</w:t>
            </w:r>
          </w:p>
        </w:tc>
        <w:tc>
          <w:tcPr>
            <w:tcW w:w="2156" w:type="dxa"/>
            <w:tcBorders>
              <w:top w:val="nil"/>
              <w:left w:val="nil"/>
              <w:bottom w:val="single" w:sz="4" w:space="0" w:color="auto"/>
              <w:right w:val="single" w:sz="4" w:space="0" w:color="auto"/>
            </w:tcBorders>
            <w:shd w:val="clear" w:color="auto" w:fill="auto"/>
            <w:vAlign w:val="center"/>
            <w:hideMark/>
          </w:tcPr>
          <w:p w14:paraId="1E80E6CB" w14:textId="77777777" w:rsidR="003957ED" w:rsidRPr="0054775B" w:rsidRDefault="003957ED">
            <w:pPr>
              <w:pStyle w:val="2024TABLETEXT"/>
              <w:framePr w:hSpace="0" w:wrap="auto" w:vAnchor="margin" w:yAlign="inline"/>
              <w:suppressOverlap w:val="0"/>
            </w:pPr>
            <w:r w:rsidRPr="0054775B">
              <w:t>Recurrent infection/s (including urinary tract infections, cystitis, respiratory tract infection, otitis media in children, etc.)</w:t>
            </w:r>
          </w:p>
        </w:tc>
        <w:tc>
          <w:tcPr>
            <w:tcW w:w="2098" w:type="dxa"/>
            <w:tcBorders>
              <w:top w:val="nil"/>
              <w:left w:val="nil"/>
              <w:bottom w:val="single" w:sz="4" w:space="0" w:color="auto"/>
              <w:right w:val="single" w:sz="4" w:space="0" w:color="auto"/>
            </w:tcBorders>
            <w:shd w:val="clear" w:color="000000" w:fill="80C1DB"/>
            <w:vAlign w:val="center"/>
            <w:hideMark/>
          </w:tcPr>
          <w:p w14:paraId="5222AEA5" w14:textId="77777777" w:rsidR="003957ED" w:rsidRPr="0054775B" w:rsidRDefault="003957ED">
            <w:pPr>
              <w:pStyle w:val="2024TABLETEXT"/>
              <w:framePr w:hSpace="0" w:wrap="auto" w:vAnchor="margin" w:yAlign="inline"/>
              <w:suppressOverlap w:val="0"/>
            </w:pPr>
            <w:r w:rsidRPr="0054775B">
              <w:t>Zinc</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1792D2ED" w14:textId="77777777" w:rsidR="003957ED" w:rsidRPr="0054775B" w:rsidRDefault="003957ED">
            <w:pPr>
              <w:pStyle w:val="2024TABLETEXT"/>
              <w:framePr w:hSpace="0" w:wrap="auto" w:vAnchor="margin" w:yAlign="inline"/>
              <w:suppressOverlap w:val="0"/>
            </w:pPr>
            <w:r w:rsidRPr="0054775B">
              <w:t>Prebiotics (including beta-glucan, guar gum and others listed on the TGA list)</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76B27F8C" w14:textId="77777777" w:rsidR="003957ED" w:rsidRPr="0054775B" w:rsidRDefault="003957ED">
            <w:pPr>
              <w:pStyle w:val="2024TABLETEXT"/>
              <w:framePr w:hSpace="0" w:wrap="auto" w:vAnchor="margin" w:yAlign="inline"/>
              <w:suppressOverlap w:val="0"/>
            </w:pPr>
            <w:r w:rsidRPr="0054775B">
              <w:t>Probiotics (see TGA list for specific strains)</w:t>
            </w:r>
          </w:p>
        </w:tc>
      </w:tr>
      <w:tr w:rsidR="0055618A" w:rsidRPr="0054775B" w14:paraId="46C6A1D3" w14:textId="77777777">
        <w:trPr>
          <w:trHeight w:val="1162"/>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BE5A552" w14:textId="77777777" w:rsidR="003957ED" w:rsidRPr="0054775B" w:rsidRDefault="003957ED">
            <w:pPr>
              <w:pStyle w:val="2024TABLETEXT"/>
              <w:framePr w:hSpace="0" w:wrap="auto" w:vAnchor="margin" w:yAlign="inline"/>
              <w:suppressOverlap w:val="0"/>
            </w:pPr>
            <w:r w:rsidRPr="0054775B">
              <w:t>15</w:t>
            </w:r>
          </w:p>
        </w:tc>
        <w:tc>
          <w:tcPr>
            <w:tcW w:w="2156" w:type="dxa"/>
            <w:tcBorders>
              <w:top w:val="nil"/>
              <w:left w:val="nil"/>
              <w:bottom w:val="single" w:sz="4" w:space="0" w:color="auto"/>
              <w:right w:val="single" w:sz="4" w:space="0" w:color="auto"/>
            </w:tcBorders>
            <w:shd w:val="clear" w:color="auto" w:fill="auto"/>
            <w:vAlign w:val="center"/>
            <w:hideMark/>
          </w:tcPr>
          <w:p w14:paraId="740405DD" w14:textId="3BFE04CC" w:rsidR="003957ED" w:rsidRPr="0054775B" w:rsidRDefault="003957ED">
            <w:pPr>
              <w:pStyle w:val="2024TABLETEXT"/>
              <w:framePr w:hSpace="0" w:wrap="auto" w:vAnchor="margin" w:yAlign="inline"/>
              <w:suppressOverlap w:val="0"/>
            </w:pPr>
            <w:r w:rsidRPr="0054775B">
              <w:t xml:space="preserve">Diabetes (Type </w:t>
            </w:r>
            <w:r w:rsidR="00A900C1">
              <w:t>II</w:t>
            </w:r>
            <w:r w:rsidRPr="0054775B">
              <w:t>) (including metabolic syndrome)</w:t>
            </w:r>
          </w:p>
        </w:tc>
        <w:tc>
          <w:tcPr>
            <w:tcW w:w="2098" w:type="dxa"/>
            <w:tcBorders>
              <w:top w:val="nil"/>
              <w:left w:val="nil"/>
              <w:bottom w:val="single" w:sz="4" w:space="0" w:color="auto"/>
              <w:right w:val="single" w:sz="4" w:space="0" w:color="auto"/>
            </w:tcBorders>
            <w:shd w:val="clear" w:color="000000" w:fill="80C1DB"/>
            <w:vAlign w:val="center"/>
            <w:hideMark/>
          </w:tcPr>
          <w:p w14:paraId="5961EFA3" w14:textId="77777777" w:rsidR="003957ED" w:rsidRPr="0054775B" w:rsidRDefault="003957ED">
            <w:pPr>
              <w:pStyle w:val="2024TABLETEXT"/>
              <w:framePr w:hSpace="0" w:wrap="auto" w:vAnchor="margin" w:yAlign="inline"/>
              <w:suppressOverlap w:val="0"/>
            </w:pPr>
            <w:r w:rsidRPr="0054775B">
              <w:t>Antioxidants (specifically: CoQ10 and alpha-lipoic acid)</w:t>
            </w:r>
          </w:p>
        </w:tc>
        <w:tc>
          <w:tcPr>
            <w:tcW w:w="2127" w:type="dxa"/>
            <w:tcBorders>
              <w:top w:val="nil"/>
              <w:left w:val="nil"/>
              <w:bottom w:val="single" w:sz="4" w:space="0" w:color="auto"/>
              <w:right w:val="single" w:sz="4" w:space="0" w:color="auto"/>
            </w:tcBorders>
            <w:shd w:val="clear" w:color="auto" w:fill="D9D9D9" w:themeFill="background1" w:themeFillShade="D9"/>
            <w:vAlign w:val="center"/>
            <w:hideMark/>
          </w:tcPr>
          <w:p w14:paraId="1D331FE7" w14:textId="77777777" w:rsidR="003957ED" w:rsidRPr="0054775B" w:rsidRDefault="003957ED">
            <w:pPr>
              <w:pStyle w:val="2024TABLETEXT"/>
              <w:framePr w:hSpace="0" w:wrap="auto" w:vAnchor="margin" w:yAlign="inline"/>
              <w:suppressOverlap w:val="0"/>
            </w:pPr>
            <w:r w:rsidRPr="0054775B">
              <w:t>Chromium (specifically: chromium picolinate, chromium enriched brewers’ yeast)</w:t>
            </w:r>
          </w:p>
        </w:tc>
        <w:tc>
          <w:tcPr>
            <w:tcW w:w="2164" w:type="dxa"/>
            <w:tcBorders>
              <w:top w:val="nil"/>
              <w:left w:val="nil"/>
              <w:bottom w:val="single" w:sz="4" w:space="0" w:color="auto"/>
              <w:right w:val="single" w:sz="4" w:space="0" w:color="auto"/>
            </w:tcBorders>
            <w:shd w:val="clear" w:color="auto" w:fill="D9D9D9" w:themeFill="background1" w:themeFillShade="D9"/>
            <w:vAlign w:val="center"/>
            <w:hideMark/>
          </w:tcPr>
          <w:p w14:paraId="4D5B92AB" w14:textId="77777777" w:rsidR="003957ED" w:rsidRPr="0054775B" w:rsidRDefault="003957ED">
            <w:pPr>
              <w:pStyle w:val="2024TABLETEXT"/>
              <w:framePr w:hSpace="0" w:wrap="auto" w:vAnchor="margin" w:yAlign="inline"/>
              <w:suppressOverlap w:val="0"/>
            </w:pPr>
            <w:r w:rsidRPr="0054775B">
              <w:t>Inositol</w:t>
            </w:r>
          </w:p>
        </w:tc>
      </w:tr>
    </w:tbl>
    <w:p w14:paraId="1607EE02" w14:textId="37B41019" w:rsidR="00C80197" w:rsidRPr="00D518FF" w:rsidRDefault="003957ED" w:rsidP="00E77295">
      <w:pPr>
        <w:pStyle w:val="2024TABLEFOOTER"/>
      </w:pPr>
      <w:r w:rsidRPr="0054775B">
        <w:t>Note: Glutathione, Vitamin B12 (including cyanocobalamin and methylcobalamin) and Vitamin C were also considered but were not identified as a priority for any of the target populations/conditions.</w:t>
      </w:r>
    </w:p>
    <w:p w14:paraId="6259C7EE" w14:textId="77777777" w:rsidR="00F726B5" w:rsidRPr="00D518FF" w:rsidRDefault="00F726B5" w:rsidP="0027240E">
      <w:pPr>
        <w:pStyle w:val="heading3numbers"/>
      </w:pPr>
      <w:bookmarkStart w:id="41" w:name="_Toc100711485"/>
      <w:bookmarkStart w:id="42" w:name="_Toc126835780"/>
      <w:bookmarkStart w:id="43" w:name="_Toc185254614"/>
      <w:r w:rsidRPr="00D518FF">
        <w:t>Types of comparators</w:t>
      </w:r>
      <w:bookmarkEnd w:id="41"/>
      <w:bookmarkEnd w:id="42"/>
      <w:bookmarkEnd w:id="43"/>
    </w:p>
    <w:p w14:paraId="2957DD17" w14:textId="2131EB61"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Comparisons </w:t>
      </w:r>
      <w:r w:rsidR="00023C63">
        <w:rPr>
          <w:rFonts w:ascii="Aptos" w:hAnsi="Aptos" w:cs="Arial"/>
          <w:sz w:val="21"/>
          <w:szCs w:val="21"/>
        </w:rPr>
        <w:t xml:space="preserve">as part of the overview </w:t>
      </w:r>
      <w:r w:rsidR="000404A7">
        <w:rPr>
          <w:rFonts w:ascii="Aptos" w:hAnsi="Aptos" w:cs="Arial"/>
          <w:sz w:val="21"/>
          <w:szCs w:val="21"/>
        </w:rPr>
        <w:t>were</w:t>
      </w:r>
      <w:r w:rsidRPr="00D518FF">
        <w:rPr>
          <w:rFonts w:ascii="Aptos" w:hAnsi="Aptos" w:cs="Arial"/>
          <w:sz w:val="21"/>
          <w:szCs w:val="21"/>
        </w:rPr>
        <w:t xml:space="preserve"> presented in accordance with how they </w:t>
      </w:r>
      <w:r w:rsidR="00023C63">
        <w:rPr>
          <w:rFonts w:ascii="Aptos" w:hAnsi="Aptos" w:cs="Arial"/>
          <w:sz w:val="21"/>
          <w:szCs w:val="21"/>
        </w:rPr>
        <w:t>were</w:t>
      </w:r>
      <w:r w:rsidR="00023C63" w:rsidRPr="00D518FF">
        <w:rPr>
          <w:rFonts w:ascii="Aptos" w:hAnsi="Aptos" w:cs="Arial"/>
          <w:sz w:val="21"/>
          <w:szCs w:val="21"/>
        </w:rPr>
        <w:t xml:space="preserve"> </w:t>
      </w:r>
      <w:r w:rsidRPr="00D518FF">
        <w:rPr>
          <w:rFonts w:ascii="Aptos" w:hAnsi="Aptos" w:cs="Arial"/>
          <w:sz w:val="21"/>
          <w:szCs w:val="21"/>
        </w:rPr>
        <w:t xml:space="preserve">reported in each systematic review and no new analysis </w:t>
      </w:r>
      <w:r w:rsidR="000404A7">
        <w:rPr>
          <w:rFonts w:ascii="Aptos" w:hAnsi="Aptos" w:cs="Arial"/>
          <w:sz w:val="21"/>
          <w:szCs w:val="21"/>
        </w:rPr>
        <w:t>was</w:t>
      </w:r>
      <w:r w:rsidRPr="00D518FF">
        <w:rPr>
          <w:rFonts w:ascii="Aptos" w:hAnsi="Aptos" w:cs="Arial"/>
          <w:sz w:val="21"/>
          <w:szCs w:val="21"/>
        </w:rPr>
        <w:t xml:space="preserve"> undertaken.</w:t>
      </w:r>
    </w:p>
    <w:p w14:paraId="2AC976DA" w14:textId="3C631A60"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Comparators </w:t>
      </w:r>
      <w:r w:rsidR="00BF0EB3">
        <w:rPr>
          <w:rFonts w:ascii="Aptos" w:hAnsi="Aptos" w:cs="Arial"/>
          <w:sz w:val="21"/>
          <w:szCs w:val="21"/>
        </w:rPr>
        <w:t xml:space="preserve">included </w:t>
      </w:r>
      <w:r w:rsidR="00675BB7">
        <w:rPr>
          <w:rFonts w:ascii="Aptos" w:hAnsi="Aptos" w:cs="Arial"/>
          <w:sz w:val="21"/>
          <w:szCs w:val="21"/>
        </w:rPr>
        <w:t>were</w:t>
      </w:r>
      <w:r w:rsidR="00675BB7" w:rsidRPr="00D518FF">
        <w:rPr>
          <w:rFonts w:ascii="Aptos" w:hAnsi="Aptos" w:cs="Arial"/>
          <w:sz w:val="21"/>
          <w:szCs w:val="21"/>
        </w:rPr>
        <w:t xml:space="preserve"> </w:t>
      </w:r>
      <w:r w:rsidRPr="00D518FF">
        <w:rPr>
          <w:rFonts w:ascii="Aptos" w:hAnsi="Aptos" w:cs="Arial"/>
          <w:sz w:val="21"/>
          <w:szCs w:val="21"/>
        </w:rPr>
        <w:t xml:space="preserve">placebo, </w:t>
      </w:r>
      <w:r w:rsidR="00BF0EB3">
        <w:rPr>
          <w:rFonts w:ascii="Aptos" w:hAnsi="Aptos" w:cs="Arial"/>
          <w:sz w:val="21"/>
          <w:szCs w:val="21"/>
        </w:rPr>
        <w:t xml:space="preserve">inactive control or </w:t>
      </w:r>
      <w:r w:rsidRPr="00D518FF">
        <w:rPr>
          <w:rFonts w:ascii="Aptos" w:hAnsi="Aptos" w:cs="Arial"/>
          <w:sz w:val="21"/>
          <w:szCs w:val="21"/>
        </w:rPr>
        <w:t>usual care</w:t>
      </w:r>
      <w:r w:rsidR="00BF0EB3">
        <w:rPr>
          <w:rFonts w:ascii="Aptos" w:hAnsi="Aptos" w:cs="Arial"/>
          <w:sz w:val="21"/>
          <w:szCs w:val="21"/>
        </w:rPr>
        <w:t xml:space="preserve">. </w:t>
      </w:r>
      <w:r w:rsidR="00281380">
        <w:rPr>
          <w:rFonts w:ascii="Aptos" w:hAnsi="Aptos" w:cs="Arial"/>
          <w:sz w:val="21"/>
          <w:szCs w:val="21"/>
        </w:rPr>
        <w:t>Active comparators</w:t>
      </w:r>
      <w:r w:rsidR="00BF0EB3">
        <w:rPr>
          <w:rFonts w:ascii="Aptos" w:hAnsi="Aptos" w:cs="Arial"/>
          <w:sz w:val="21"/>
          <w:szCs w:val="21"/>
        </w:rPr>
        <w:t xml:space="preserve"> were not included as the overview was trying to determine the effect of chosen supplements with or without co-interventions, and not to compare against other interventions</w:t>
      </w:r>
      <w:r w:rsidR="00CA24BA">
        <w:rPr>
          <w:rFonts w:ascii="Aptos" w:hAnsi="Aptos" w:cs="Arial"/>
          <w:sz w:val="21"/>
          <w:szCs w:val="21"/>
        </w:rPr>
        <w:t>.</w:t>
      </w:r>
      <w:r w:rsidR="00BF0EB3">
        <w:rPr>
          <w:rFonts w:ascii="Aptos" w:hAnsi="Aptos" w:cs="Arial"/>
          <w:sz w:val="21"/>
          <w:szCs w:val="21"/>
        </w:rPr>
        <w:t xml:space="preserve"> </w:t>
      </w:r>
      <w:r w:rsidR="00CF085E">
        <w:rPr>
          <w:rFonts w:ascii="Aptos" w:hAnsi="Aptos" w:cs="Arial"/>
          <w:sz w:val="21"/>
          <w:szCs w:val="21"/>
        </w:rPr>
        <w:t>As t</w:t>
      </w:r>
      <w:r w:rsidR="00CA24BA">
        <w:rPr>
          <w:rFonts w:ascii="Aptos" w:hAnsi="Aptos" w:cs="Arial"/>
          <w:sz w:val="21"/>
          <w:szCs w:val="21"/>
        </w:rPr>
        <w:t>he protocol was somewhat unclear about whether active comparators were</w:t>
      </w:r>
      <w:r w:rsidR="00136AD6">
        <w:rPr>
          <w:rFonts w:ascii="Aptos" w:hAnsi="Aptos" w:cs="Arial"/>
          <w:sz w:val="21"/>
          <w:szCs w:val="21"/>
        </w:rPr>
        <w:t xml:space="preserve"> to be</w:t>
      </w:r>
      <w:r w:rsidR="00CA24BA">
        <w:rPr>
          <w:rFonts w:ascii="Aptos" w:hAnsi="Aptos" w:cs="Arial"/>
          <w:sz w:val="21"/>
          <w:szCs w:val="21"/>
        </w:rPr>
        <w:t xml:space="preserve"> included, this has been </w:t>
      </w:r>
      <w:r w:rsidR="00BF0EB3">
        <w:rPr>
          <w:rFonts w:ascii="Aptos" w:hAnsi="Aptos" w:cs="Arial"/>
          <w:sz w:val="21"/>
          <w:szCs w:val="21"/>
        </w:rPr>
        <w:t>detailed in Appendix G.</w:t>
      </w:r>
      <w:r w:rsidRPr="00D518FF">
        <w:rPr>
          <w:rFonts w:ascii="Aptos" w:hAnsi="Aptos" w:cs="Arial"/>
          <w:sz w:val="21"/>
          <w:szCs w:val="21"/>
        </w:rPr>
        <w:t xml:space="preserve"> </w:t>
      </w:r>
    </w:p>
    <w:p w14:paraId="6AFEF658" w14:textId="5C699137" w:rsidR="00136FD9" w:rsidRDefault="00AA00DA" w:rsidP="00F726B5">
      <w:pPr>
        <w:spacing w:before="120" w:after="120"/>
        <w:rPr>
          <w:rFonts w:ascii="Aptos" w:hAnsi="Aptos" w:cs="Arial"/>
          <w:sz w:val="21"/>
          <w:szCs w:val="21"/>
        </w:rPr>
      </w:pPr>
      <w:r>
        <w:rPr>
          <w:rFonts w:ascii="Aptos" w:hAnsi="Aptos" w:cs="Arial"/>
          <w:sz w:val="21"/>
          <w:szCs w:val="21"/>
        </w:rPr>
        <w:lastRenderedPageBreak/>
        <w:t>Nutritional supplement</w:t>
      </w:r>
      <w:r w:rsidR="00E14522">
        <w:rPr>
          <w:rFonts w:ascii="Aptos" w:hAnsi="Aptos" w:cs="Arial"/>
          <w:sz w:val="21"/>
          <w:szCs w:val="21"/>
        </w:rPr>
        <w:t xml:space="preserve"> c</w:t>
      </w:r>
      <w:r w:rsidR="00F726B5" w:rsidRPr="00D518FF">
        <w:rPr>
          <w:rFonts w:ascii="Aptos" w:hAnsi="Aptos" w:cs="Arial"/>
          <w:sz w:val="21"/>
          <w:szCs w:val="21"/>
        </w:rPr>
        <w:t xml:space="preserve">o-interventions </w:t>
      </w:r>
      <w:r w:rsidR="00136FD9">
        <w:rPr>
          <w:rFonts w:ascii="Aptos" w:hAnsi="Aptos" w:cs="Arial"/>
          <w:sz w:val="21"/>
          <w:szCs w:val="21"/>
        </w:rPr>
        <w:t xml:space="preserve">delivered with the supplement of interest </w:t>
      </w:r>
      <w:r w:rsidR="005C3759">
        <w:rPr>
          <w:rFonts w:ascii="Aptos" w:hAnsi="Aptos" w:cs="Arial"/>
          <w:sz w:val="21"/>
          <w:szCs w:val="21"/>
        </w:rPr>
        <w:t>were</w:t>
      </w:r>
      <w:r w:rsidR="00F726B5" w:rsidRPr="00D518FF">
        <w:rPr>
          <w:rFonts w:ascii="Aptos" w:hAnsi="Aptos" w:cs="Arial"/>
          <w:sz w:val="21"/>
          <w:szCs w:val="21"/>
        </w:rPr>
        <w:t xml:space="preserve"> included</w:t>
      </w:r>
      <w:r w:rsidR="00136FD9">
        <w:rPr>
          <w:rFonts w:ascii="Aptos" w:hAnsi="Aptos" w:cs="Arial"/>
          <w:sz w:val="21"/>
          <w:szCs w:val="21"/>
        </w:rPr>
        <w:t>.</w:t>
      </w:r>
      <w:r w:rsidR="00136FD9" w:rsidRPr="00136FD9">
        <w:rPr>
          <w:rFonts w:ascii="Aptos" w:hAnsi="Aptos" w:cs="Arial"/>
          <w:sz w:val="21"/>
          <w:szCs w:val="21"/>
          <w:lang w:val="en-GB"/>
        </w:rPr>
        <w:t xml:space="preserve"> </w:t>
      </w:r>
      <w:r w:rsidR="00136FD9">
        <w:rPr>
          <w:rFonts w:ascii="Aptos" w:hAnsi="Aptos" w:cs="Arial"/>
          <w:sz w:val="21"/>
          <w:szCs w:val="21"/>
          <w:lang w:val="en-GB"/>
        </w:rPr>
        <w:t>This is because</w:t>
      </w:r>
      <w:r w:rsidR="00136FD9" w:rsidRPr="00136FD9">
        <w:rPr>
          <w:rFonts w:ascii="Aptos" w:hAnsi="Aptos" w:cs="Arial"/>
          <w:sz w:val="21"/>
          <w:szCs w:val="21"/>
          <w:lang w:val="en-GB"/>
        </w:rPr>
        <w:t xml:space="preserve"> </w:t>
      </w:r>
      <w:r w:rsidR="00136FD9">
        <w:rPr>
          <w:rFonts w:ascii="Aptos" w:hAnsi="Aptos" w:cs="Arial"/>
          <w:sz w:val="21"/>
          <w:szCs w:val="21"/>
          <w:lang w:val="en-GB"/>
        </w:rPr>
        <w:t xml:space="preserve">in </w:t>
      </w:r>
      <w:r w:rsidR="00182CF5">
        <w:rPr>
          <w:rFonts w:ascii="Aptos" w:hAnsi="Aptos" w:cs="Arial"/>
          <w:sz w:val="21"/>
          <w:szCs w:val="21"/>
          <w:lang w:val="en-GB"/>
        </w:rPr>
        <w:t xml:space="preserve">naturopathic </w:t>
      </w:r>
      <w:r w:rsidR="00136FD9">
        <w:rPr>
          <w:rFonts w:ascii="Aptos" w:hAnsi="Aptos" w:cs="Arial"/>
          <w:sz w:val="21"/>
          <w:szCs w:val="21"/>
          <w:lang w:val="en-GB"/>
        </w:rPr>
        <w:t xml:space="preserve">practice, </w:t>
      </w:r>
      <w:r w:rsidR="00182CF5">
        <w:rPr>
          <w:rFonts w:ascii="Aptos" w:hAnsi="Aptos" w:cs="Arial"/>
          <w:sz w:val="21"/>
          <w:szCs w:val="21"/>
          <w:lang w:val="en-GB"/>
        </w:rPr>
        <w:t xml:space="preserve">nutritional supplements </w:t>
      </w:r>
      <w:r w:rsidR="00136FD9">
        <w:rPr>
          <w:rFonts w:ascii="Aptos" w:hAnsi="Aptos" w:cs="Arial"/>
          <w:sz w:val="21"/>
          <w:szCs w:val="21"/>
          <w:lang w:val="en-GB"/>
        </w:rPr>
        <w:t xml:space="preserve">are commonly delivered </w:t>
      </w:r>
      <w:r w:rsidR="00136FD9" w:rsidRPr="00136FD9">
        <w:rPr>
          <w:rFonts w:ascii="Aptos" w:hAnsi="Aptos" w:cs="Arial"/>
          <w:sz w:val="21"/>
          <w:szCs w:val="21"/>
          <w:lang w:val="en-GB"/>
        </w:rPr>
        <w:t xml:space="preserve">in tandem </w:t>
      </w:r>
      <w:r w:rsidR="00136FD9">
        <w:rPr>
          <w:rFonts w:ascii="Aptos" w:hAnsi="Aptos" w:cs="Arial"/>
          <w:sz w:val="21"/>
          <w:szCs w:val="21"/>
          <w:lang w:val="en-GB"/>
        </w:rPr>
        <w:t xml:space="preserve">with </w:t>
      </w:r>
      <w:r w:rsidR="00182CF5">
        <w:rPr>
          <w:rFonts w:ascii="Aptos" w:hAnsi="Aptos" w:cs="Arial"/>
          <w:sz w:val="21"/>
          <w:szCs w:val="21"/>
          <w:lang w:val="en-GB"/>
        </w:rPr>
        <w:t xml:space="preserve">other supplements (e.g., multivitamins). </w:t>
      </w:r>
    </w:p>
    <w:p w14:paraId="0DE14537" w14:textId="060D686B" w:rsidR="00F726B5" w:rsidRPr="00D518FF" w:rsidRDefault="00AA00DA" w:rsidP="00F726B5">
      <w:pPr>
        <w:spacing w:before="120" w:after="120"/>
        <w:rPr>
          <w:rFonts w:ascii="Aptos" w:hAnsi="Aptos" w:cs="Arial"/>
          <w:sz w:val="21"/>
          <w:szCs w:val="21"/>
        </w:rPr>
      </w:pPr>
      <w:r>
        <w:rPr>
          <w:rFonts w:ascii="Aptos" w:hAnsi="Aptos" w:cs="Arial"/>
          <w:sz w:val="21"/>
          <w:szCs w:val="21"/>
        </w:rPr>
        <w:t xml:space="preserve">Non-nutritional supplement co-interventions were only included </w:t>
      </w:r>
      <w:r w:rsidR="00F726B5" w:rsidRPr="00D518FF">
        <w:rPr>
          <w:rFonts w:ascii="Aptos" w:hAnsi="Aptos" w:cs="Arial"/>
          <w:sz w:val="21"/>
          <w:szCs w:val="21"/>
        </w:rPr>
        <w:t>if all arms of a study receive</w:t>
      </w:r>
      <w:r>
        <w:rPr>
          <w:rFonts w:ascii="Aptos" w:hAnsi="Aptos" w:cs="Arial"/>
          <w:sz w:val="21"/>
          <w:szCs w:val="21"/>
        </w:rPr>
        <w:t>d</w:t>
      </w:r>
      <w:r w:rsidR="00F726B5" w:rsidRPr="00D518FF">
        <w:rPr>
          <w:rFonts w:ascii="Aptos" w:hAnsi="Aptos" w:cs="Arial"/>
          <w:sz w:val="21"/>
          <w:szCs w:val="21"/>
        </w:rPr>
        <w:t xml:space="preserve"> the same co-interventions. However, if nutritional supplementation </w:t>
      </w:r>
      <w:r w:rsidR="00675BB7">
        <w:rPr>
          <w:rFonts w:ascii="Aptos" w:hAnsi="Aptos" w:cs="Arial"/>
          <w:sz w:val="21"/>
          <w:szCs w:val="21"/>
        </w:rPr>
        <w:t>was</w:t>
      </w:r>
      <w:r w:rsidR="00675BB7" w:rsidRPr="00D518FF">
        <w:rPr>
          <w:rFonts w:ascii="Aptos" w:hAnsi="Aptos" w:cs="Arial"/>
          <w:sz w:val="21"/>
          <w:szCs w:val="21"/>
        </w:rPr>
        <w:t xml:space="preserve"> </w:t>
      </w:r>
      <w:r w:rsidR="00F726B5" w:rsidRPr="00D518FF">
        <w:rPr>
          <w:rFonts w:ascii="Aptos" w:hAnsi="Aptos" w:cs="Arial"/>
          <w:sz w:val="21"/>
          <w:szCs w:val="21"/>
        </w:rPr>
        <w:t xml:space="preserve">delivered with another intervention so that the effects of nutritional supplementation alone </w:t>
      </w:r>
      <w:r>
        <w:rPr>
          <w:rFonts w:ascii="Aptos" w:hAnsi="Aptos" w:cs="Arial"/>
          <w:sz w:val="21"/>
          <w:szCs w:val="21"/>
        </w:rPr>
        <w:t>could not</w:t>
      </w:r>
      <w:r w:rsidRPr="00D518FF">
        <w:rPr>
          <w:rFonts w:ascii="Aptos" w:hAnsi="Aptos" w:cs="Arial"/>
          <w:sz w:val="21"/>
          <w:szCs w:val="21"/>
        </w:rPr>
        <w:t xml:space="preserve"> </w:t>
      </w:r>
      <w:r w:rsidR="00F726B5" w:rsidRPr="00D518FF">
        <w:rPr>
          <w:rFonts w:ascii="Aptos" w:hAnsi="Aptos" w:cs="Arial"/>
          <w:sz w:val="21"/>
          <w:szCs w:val="21"/>
        </w:rPr>
        <w:t xml:space="preserve">be determined, these </w:t>
      </w:r>
      <w:r>
        <w:rPr>
          <w:rFonts w:ascii="Aptos" w:hAnsi="Aptos" w:cs="Arial"/>
          <w:sz w:val="21"/>
          <w:szCs w:val="21"/>
        </w:rPr>
        <w:t>were</w:t>
      </w:r>
      <w:r w:rsidR="00F726B5" w:rsidRPr="00D518FF">
        <w:rPr>
          <w:rFonts w:ascii="Aptos" w:hAnsi="Aptos" w:cs="Arial"/>
          <w:sz w:val="21"/>
          <w:szCs w:val="21"/>
        </w:rPr>
        <w:t xml:space="preserve"> excluded. This </w:t>
      </w:r>
      <w:r w:rsidR="00F9291D">
        <w:rPr>
          <w:rFonts w:ascii="Aptos" w:hAnsi="Aptos" w:cs="Arial"/>
          <w:sz w:val="21"/>
          <w:szCs w:val="21"/>
        </w:rPr>
        <w:t>was</w:t>
      </w:r>
      <w:r w:rsidR="00F726B5" w:rsidRPr="00D518FF">
        <w:rPr>
          <w:rFonts w:ascii="Aptos" w:hAnsi="Aptos" w:cs="Arial"/>
          <w:sz w:val="21"/>
          <w:szCs w:val="21"/>
        </w:rPr>
        <w:t xml:space="preserve"> evaluated at a systematic review, not primary study, level – so if any results for nutritional supplementation </w:t>
      </w:r>
      <w:r w:rsidR="00EA7321">
        <w:rPr>
          <w:rFonts w:ascii="Aptos" w:hAnsi="Aptos" w:cs="Arial"/>
          <w:sz w:val="21"/>
          <w:szCs w:val="21"/>
        </w:rPr>
        <w:t>could</w:t>
      </w:r>
      <w:r w:rsidR="00EA7321" w:rsidRPr="00D518FF">
        <w:rPr>
          <w:rFonts w:ascii="Aptos" w:hAnsi="Aptos" w:cs="Arial"/>
          <w:sz w:val="21"/>
          <w:szCs w:val="21"/>
        </w:rPr>
        <w:t xml:space="preserve"> </w:t>
      </w:r>
      <w:r w:rsidR="00F726B5" w:rsidRPr="00D518FF">
        <w:rPr>
          <w:rFonts w:ascii="Aptos" w:hAnsi="Aptos" w:cs="Arial"/>
          <w:sz w:val="21"/>
          <w:szCs w:val="21"/>
        </w:rPr>
        <w:t xml:space="preserve">be individually determined, the systematic review </w:t>
      </w:r>
      <w:r w:rsidR="00EA7321">
        <w:rPr>
          <w:rFonts w:ascii="Aptos" w:hAnsi="Aptos" w:cs="Arial"/>
          <w:sz w:val="21"/>
          <w:szCs w:val="21"/>
        </w:rPr>
        <w:t>was</w:t>
      </w:r>
      <w:r w:rsidR="00F726B5" w:rsidRPr="00D518FF">
        <w:rPr>
          <w:rFonts w:ascii="Aptos" w:hAnsi="Aptos" w:cs="Arial"/>
          <w:sz w:val="21"/>
          <w:szCs w:val="21"/>
        </w:rPr>
        <w:t xml:space="preserve"> included.</w:t>
      </w:r>
    </w:p>
    <w:p w14:paraId="21EFAA4A" w14:textId="385BD9A4" w:rsidR="007B1B81" w:rsidRPr="00E77295" w:rsidRDefault="007B1B81" w:rsidP="00E77295">
      <w:pPr>
        <w:spacing w:before="120" w:after="120"/>
        <w:rPr>
          <w:rFonts w:ascii="Aptos" w:hAnsi="Aptos" w:cs="Arial"/>
          <w:sz w:val="21"/>
          <w:szCs w:val="21"/>
        </w:rPr>
      </w:pPr>
      <w:r w:rsidRPr="00E77295">
        <w:rPr>
          <w:rFonts w:ascii="Aptos" w:hAnsi="Aptos" w:cs="Arial"/>
          <w:sz w:val="21"/>
          <w:szCs w:val="21"/>
        </w:rPr>
        <w:t xml:space="preserve">Examples of comparisons which were </w:t>
      </w:r>
      <w:r w:rsidR="00EA7321">
        <w:rPr>
          <w:rFonts w:ascii="Aptos" w:hAnsi="Aptos" w:cs="Arial"/>
          <w:sz w:val="21"/>
          <w:szCs w:val="21"/>
        </w:rPr>
        <w:t>eligi</w:t>
      </w:r>
      <w:r w:rsidR="00CE0145">
        <w:rPr>
          <w:rFonts w:ascii="Aptos" w:hAnsi="Aptos" w:cs="Arial"/>
          <w:sz w:val="21"/>
          <w:szCs w:val="21"/>
        </w:rPr>
        <w:t>b</w:t>
      </w:r>
      <w:r w:rsidR="00EA7321">
        <w:rPr>
          <w:rFonts w:ascii="Aptos" w:hAnsi="Aptos" w:cs="Arial"/>
          <w:sz w:val="21"/>
          <w:szCs w:val="21"/>
        </w:rPr>
        <w:t>le</w:t>
      </w:r>
      <w:r w:rsidRPr="00E77295">
        <w:rPr>
          <w:rFonts w:ascii="Aptos" w:hAnsi="Aptos" w:cs="Arial"/>
          <w:sz w:val="21"/>
          <w:szCs w:val="21"/>
        </w:rPr>
        <w:t>:</w:t>
      </w:r>
    </w:p>
    <w:p w14:paraId="02648C36" w14:textId="77777777" w:rsidR="007B1B81" w:rsidRPr="0054775B" w:rsidRDefault="007B1B81" w:rsidP="007B1B81">
      <w:pPr>
        <w:pStyle w:val="Dotpoints"/>
        <w:spacing w:before="180" w:after="180"/>
        <w:ind w:left="709" w:hanging="349"/>
      </w:pPr>
      <w:r w:rsidRPr="0054775B">
        <w:t xml:space="preserve">Eligible supplement </w:t>
      </w:r>
      <w:r w:rsidRPr="0054775B">
        <w:rPr>
          <w:i/>
          <w:iCs/>
        </w:rPr>
        <w:t>VS</w:t>
      </w:r>
      <w:r w:rsidRPr="0054775B">
        <w:t xml:space="preserve"> placebo/sham/inactive control </w:t>
      </w:r>
    </w:p>
    <w:p w14:paraId="6663B75A" w14:textId="1197052E" w:rsidR="007B1B81" w:rsidRPr="0054775B" w:rsidRDefault="007B1B81" w:rsidP="007B1B81">
      <w:pPr>
        <w:pStyle w:val="Dotpoints"/>
        <w:spacing w:before="180" w:after="180"/>
        <w:ind w:left="709" w:hanging="349"/>
      </w:pPr>
      <w:r w:rsidRPr="0054775B">
        <w:t>Eligible supplement + naturopathy co-intervention VS placebo/sham/inactive control</w:t>
      </w:r>
    </w:p>
    <w:p w14:paraId="1A7DD955" w14:textId="77777777" w:rsidR="007B1B81" w:rsidRPr="0054775B" w:rsidRDefault="007B1B81" w:rsidP="007B1B81">
      <w:pPr>
        <w:pStyle w:val="Dotpoints"/>
        <w:spacing w:before="180" w:after="180"/>
        <w:ind w:left="709" w:hanging="349"/>
      </w:pPr>
      <w:r w:rsidRPr="0054775B">
        <w:t>Eligible supplement + naturopathy co-intervention VS naturopathy co-intervention</w:t>
      </w:r>
    </w:p>
    <w:p w14:paraId="69074FFE" w14:textId="77777777" w:rsidR="007B1B81" w:rsidRPr="0054775B" w:rsidRDefault="007B1B81" w:rsidP="007B1B81">
      <w:pPr>
        <w:pStyle w:val="Dotpoints"/>
        <w:spacing w:before="180" w:after="180"/>
        <w:ind w:left="709" w:hanging="349"/>
      </w:pPr>
      <w:r w:rsidRPr="0054775B">
        <w:t xml:space="preserve">Eligible supplement + non-naturopathy co-intervention </w:t>
      </w:r>
      <w:r w:rsidRPr="0054775B">
        <w:rPr>
          <w:i/>
          <w:iCs/>
        </w:rPr>
        <w:t>VS</w:t>
      </w:r>
      <w:r w:rsidRPr="0054775B">
        <w:t xml:space="preserve"> non-naturopathy co-intervention</w:t>
      </w:r>
    </w:p>
    <w:p w14:paraId="5894B35D" w14:textId="77777777" w:rsidR="007B1B81" w:rsidRPr="00E77295" w:rsidRDefault="007B1B81" w:rsidP="00E77295">
      <w:pPr>
        <w:spacing w:before="120" w:after="120"/>
        <w:rPr>
          <w:rFonts w:ascii="Aptos" w:hAnsi="Aptos" w:cs="Arial"/>
          <w:sz w:val="21"/>
          <w:szCs w:val="21"/>
        </w:rPr>
      </w:pPr>
      <w:r w:rsidRPr="00E77295">
        <w:rPr>
          <w:rFonts w:ascii="Aptos" w:hAnsi="Aptos" w:cs="Arial"/>
          <w:sz w:val="21"/>
          <w:szCs w:val="21"/>
        </w:rPr>
        <w:t>Examples of comparisons which were excluded:</w:t>
      </w:r>
    </w:p>
    <w:p w14:paraId="5BB1ECCC" w14:textId="77777777" w:rsidR="007B1B81" w:rsidRPr="0054775B" w:rsidRDefault="007B1B81" w:rsidP="007B1B81">
      <w:pPr>
        <w:pStyle w:val="Dotpoints"/>
        <w:spacing w:before="180" w:after="180"/>
        <w:ind w:left="709" w:hanging="349"/>
      </w:pPr>
      <w:r w:rsidRPr="0054775B">
        <w:t>Eligible supplement VS another eligible supplement</w:t>
      </w:r>
    </w:p>
    <w:p w14:paraId="53D62B2B" w14:textId="31432C52" w:rsidR="007B1B81" w:rsidRPr="0054775B" w:rsidRDefault="007B1B81" w:rsidP="007B1B81">
      <w:pPr>
        <w:pStyle w:val="Dotpoints"/>
        <w:spacing w:before="180" w:after="180"/>
        <w:ind w:left="709" w:hanging="349"/>
      </w:pPr>
      <w:r w:rsidRPr="0054775B">
        <w:t>Eligible supplement VS other intervention</w:t>
      </w:r>
      <w:r w:rsidR="0001724E">
        <w:t xml:space="preserve"> (where considered active)</w:t>
      </w:r>
    </w:p>
    <w:p w14:paraId="5A430163" w14:textId="77777777" w:rsidR="007B1B81" w:rsidRPr="0054775B" w:rsidRDefault="007B1B81" w:rsidP="007B1B81">
      <w:pPr>
        <w:pStyle w:val="Dotpoints"/>
        <w:spacing w:before="180" w:after="180"/>
        <w:ind w:left="709" w:hanging="349"/>
      </w:pPr>
      <w:r w:rsidRPr="0054775B">
        <w:t>Eligible supplement + non-naturopathy co-intervention VS placebo/sham/inactive control</w:t>
      </w:r>
    </w:p>
    <w:p w14:paraId="569C859A" w14:textId="3527C507" w:rsidR="00BF0EB3" w:rsidRDefault="007B1B81" w:rsidP="00CE0145">
      <w:pPr>
        <w:pStyle w:val="Dotpoints"/>
        <w:spacing w:before="180" w:after="180"/>
        <w:ind w:left="709" w:hanging="349"/>
      </w:pPr>
      <w:r w:rsidRPr="0054775B">
        <w:t>Eligible supplement VS the same supplement administered in a different way (i.e. different dose, route of administration, prescriber, formulation)</w:t>
      </w:r>
    </w:p>
    <w:p w14:paraId="116422DC" w14:textId="77777777" w:rsidR="00F726B5" w:rsidRPr="00D518FF" w:rsidRDefault="00F726B5" w:rsidP="0027240E">
      <w:pPr>
        <w:pStyle w:val="heading3numbers"/>
      </w:pPr>
      <w:bookmarkStart w:id="44" w:name="_Toc100711486"/>
      <w:bookmarkStart w:id="45" w:name="_Toc126835781"/>
      <w:bookmarkStart w:id="46" w:name="_Toc185254615"/>
      <w:r w:rsidRPr="00D518FF">
        <w:t>Types of outcomes</w:t>
      </w:r>
      <w:bookmarkEnd w:id="44"/>
      <w:bookmarkEnd w:id="45"/>
      <w:bookmarkEnd w:id="46"/>
    </w:p>
    <w:p w14:paraId="499A1415" w14:textId="6A4B2796"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Prioritised outcomes align</w:t>
      </w:r>
      <w:r w:rsidR="000761D5">
        <w:rPr>
          <w:rFonts w:ascii="Aptos" w:hAnsi="Aptos" w:cs="Arial"/>
          <w:sz w:val="21"/>
          <w:szCs w:val="21"/>
        </w:rPr>
        <w:t>ed</w:t>
      </w:r>
      <w:r w:rsidRPr="00D518FF">
        <w:rPr>
          <w:rFonts w:ascii="Aptos" w:hAnsi="Aptos" w:cs="Arial"/>
          <w:sz w:val="21"/>
          <w:szCs w:val="21"/>
        </w:rPr>
        <w:t xml:space="preserve"> with reasons why patients use the intervention and/or practitioners prescribe the intervention. This includes recovery, rehabilitation, changes in disease outcomes and symptoms (including proxy surrogate clinical outcomes e.g. HbA1C, BMI, lung function tests), health-related psychological/behavioural outcomes, health-related quality of life domains, medication use or compliance with conventional medicine treatment, and disease specific prevention outcomes (e.g. smoking cessation). Patient reported experience outcomes (e.g. satisfaction), safety, quality and economic outcomes </w:t>
      </w:r>
      <w:r w:rsidR="004D114D">
        <w:rPr>
          <w:rFonts w:ascii="Aptos" w:hAnsi="Aptos" w:cs="Arial"/>
          <w:sz w:val="21"/>
          <w:szCs w:val="21"/>
        </w:rPr>
        <w:t xml:space="preserve">were </w:t>
      </w:r>
      <w:r w:rsidRPr="00D518FF">
        <w:rPr>
          <w:rFonts w:ascii="Aptos" w:hAnsi="Aptos" w:cs="Arial"/>
          <w:sz w:val="21"/>
          <w:szCs w:val="21"/>
        </w:rPr>
        <w:t xml:space="preserve">out of scope </w:t>
      </w:r>
      <w:r w:rsidR="004D114D">
        <w:rPr>
          <w:rFonts w:ascii="Aptos" w:hAnsi="Aptos" w:cs="Arial"/>
          <w:sz w:val="21"/>
          <w:szCs w:val="21"/>
        </w:rPr>
        <w:t>for</w:t>
      </w:r>
      <w:r w:rsidR="004D114D" w:rsidRPr="00D518FF">
        <w:rPr>
          <w:rFonts w:ascii="Aptos" w:hAnsi="Aptos" w:cs="Arial"/>
          <w:sz w:val="21"/>
          <w:szCs w:val="21"/>
        </w:rPr>
        <w:t xml:space="preserve"> </w:t>
      </w:r>
      <w:r w:rsidRPr="00D518FF">
        <w:rPr>
          <w:rFonts w:ascii="Aptos" w:hAnsi="Aptos" w:cs="Arial"/>
          <w:sz w:val="21"/>
          <w:szCs w:val="21"/>
        </w:rPr>
        <w:t xml:space="preserve">this </w:t>
      </w:r>
      <w:r w:rsidR="00F812C8">
        <w:rPr>
          <w:rFonts w:ascii="Aptos" w:hAnsi="Aptos" w:cs="Arial"/>
          <w:sz w:val="21"/>
          <w:szCs w:val="21"/>
        </w:rPr>
        <w:t>o</w:t>
      </w:r>
      <w:r w:rsidRPr="00D518FF">
        <w:rPr>
          <w:rFonts w:ascii="Aptos" w:hAnsi="Aptos" w:cs="Arial"/>
          <w:sz w:val="21"/>
          <w:szCs w:val="21"/>
        </w:rPr>
        <w:t>verview.</w:t>
      </w:r>
    </w:p>
    <w:p w14:paraId="37015261" w14:textId="58306B37"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Given </w:t>
      </w:r>
      <w:r w:rsidR="00D7244B">
        <w:rPr>
          <w:rFonts w:ascii="Aptos" w:hAnsi="Aptos" w:cs="Arial"/>
          <w:sz w:val="21"/>
          <w:szCs w:val="21"/>
        </w:rPr>
        <w:t>the</w:t>
      </w:r>
      <w:r w:rsidRPr="00D518FF">
        <w:rPr>
          <w:rFonts w:ascii="Aptos" w:hAnsi="Aptos" w:cs="Arial"/>
          <w:sz w:val="21"/>
          <w:szCs w:val="21"/>
        </w:rPr>
        <w:t xml:space="preserve"> broad range of populations, conditions, and interventions included in </w:t>
      </w:r>
      <w:r w:rsidR="004D114D">
        <w:rPr>
          <w:rFonts w:ascii="Aptos" w:hAnsi="Aptos" w:cs="Arial"/>
          <w:sz w:val="21"/>
          <w:szCs w:val="21"/>
        </w:rPr>
        <w:t>the</w:t>
      </w:r>
      <w:r w:rsidR="004D114D" w:rsidRPr="00D518FF">
        <w:rPr>
          <w:rFonts w:ascii="Aptos" w:hAnsi="Aptos" w:cs="Arial"/>
          <w:sz w:val="21"/>
          <w:szCs w:val="21"/>
        </w:rPr>
        <w:t xml:space="preserve"> </w:t>
      </w:r>
      <w:r w:rsidR="00F812C8">
        <w:rPr>
          <w:rFonts w:ascii="Aptos" w:hAnsi="Aptos" w:cs="Arial"/>
          <w:sz w:val="21"/>
          <w:szCs w:val="21"/>
        </w:rPr>
        <w:t>o</w:t>
      </w:r>
      <w:r w:rsidRPr="00D518FF">
        <w:rPr>
          <w:rFonts w:ascii="Aptos" w:hAnsi="Aptos" w:cs="Arial"/>
          <w:sz w:val="21"/>
          <w:szCs w:val="21"/>
        </w:rPr>
        <w:t xml:space="preserve">verview, </w:t>
      </w:r>
      <w:bookmarkStart w:id="47" w:name="_Hlk112100204"/>
      <w:r w:rsidRPr="00D518FF">
        <w:rPr>
          <w:rFonts w:ascii="Aptos" w:hAnsi="Aptos" w:cs="Arial"/>
          <w:sz w:val="21"/>
          <w:szCs w:val="21"/>
        </w:rPr>
        <w:t xml:space="preserve">outcomes </w:t>
      </w:r>
      <w:r w:rsidR="00D7244B">
        <w:rPr>
          <w:rFonts w:ascii="Aptos" w:hAnsi="Aptos" w:cs="Arial"/>
          <w:sz w:val="21"/>
          <w:szCs w:val="21"/>
        </w:rPr>
        <w:t>were</w:t>
      </w:r>
      <w:r w:rsidR="00D7244B" w:rsidRPr="00D518FF">
        <w:rPr>
          <w:rFonts w:ascii="Aptos" w:hAnsi="Aptos" w:cs="Arial"/>
          <w:sz w:val="21"/>
          <w:szCs w:val="21"/>
        </w:rPr>
        <w:t xml:space="preserve"> </w:t>
      </w:r>
      <w:r w:rsidRPr="00D518FF">
        <w:rPr>
          <w:rFonts w:ascii="Aptos" w:hAnsi="Aptos" w:cs="Arial"/>
          <w:sz w:val="21"/>
          <w:szCs w:val="21"/>
        </w:rPr>
        <w:t xml:space="preserve">not </w:t>
      </w:r>
      <w:r w:rsidR="00D7244B">
        <w:rPr>
          <w:rFonts w:ascii="Aptos" w:hAnsi="Aptos" w:cs="Arial"/>
          <w:sz w:val="21"/>
          <w:szCs w:val="21"/>
        </w:rPr>
        <w:t>pre-specified</w:t>
      </w:r>
      <w:r w:rsidRPr="00D518FF">
        <w:rPr>
          <w:rFonts w:ascii="Aptos" w:hAnsi="Aptos" w:cs="Arial"/>
          <w:sz w:val="21"/>
          <w:szCs w:val="21"/>
        </w:rPr>
        <w:t xml:space="preserve">. As part of the </w:t>
      </w:r>
      <w:r w:rsidR="00190B88">
        <w:rPr>
          <w:rFonts w:ascii="Aptos" w:hAnsi="Aptos" w:cs="Arial"/>
          <w:sz w:val="21"/>
          <w:szCs w:val="21"/>
        </w:rPr>
        <w:t>o</w:t>
      </w:r>
      <w:r w:rsidRPr="00D518FF">
        <w:rPr>
          <w:rFonts w:ascii="Aptos" w:hAnsi="Aptos" w:cs="Arial"/>
          <w:sz w:val="21"/>
          <w:szCs w:val="21"/>
        </w:rPr>
        <w:t xml:space="preserve">verview process, an outcome prioritisation exercise (detailed below) </w:t>
      </w:r>
      <w:r w:rsidR="00D7244B">
        <w:rPr>
          <w:rFonts w:ascii="Aptos" w:hAnsi="Aptos" w:cs="Arial"/>
          <w:sz w:val="21"/>
          <w:szCs w:val="21"/>
        </w:rPr>
        <w:t>was</w:t>
      </w:r>
      <w:r w:rsidRPr="00D518FF">
        <w:rPr>
          <w:rFonts w:ascii="Aptos" w:hAnsi="Aptos" w:cs="Arial"/>
          <w:sz w:val="21"/>
          <w:szCs w:val="21"/>
        </w:rPr>
        <w:t xml:space="preserve"> conducted. </w:t>
      </w:r>
    </w:p>
    <w:p w14:paraId="4665F250" w14:textId="3DB3F639" w:rsidR="00C05618" w:rsidRDefault="00F726B5" w:rsidP="00F726B5">
      <w:pPr>
        <w:spacing w:before="120" w:after="120"/>
        <w:rPr>
          <w:rFonts w:ascii="Aptos" w:eastAsia="Cambria" w:hAnsi="Aptos" w:cs="Arial"/>
          <w:sz w:val="21"/>
          <w:szCs w:val="21"/>
        </w:rPr>
      </w:pPr>
      <w:r w:rsidRPr="00D518FF">
        <w:rPr>
          <w:rFonts w:ascii="Aptos" w:eastAsia="Cambria" w:hAnsi="Aptos" w:cs="Arial"/>
          <w:sz w:val="21"/>
          <w:szCs w:val="21"/>
        </w:rPr>
        <w:t xml:space="preserve">There </w:t>
      </w:r>
      <w:r w:rsidR="003625EF">
        <w:rPr>
          <w:rFonts w:ascii="Aptos" w:eastAsia="Cambria" w:hAnsi="Aptos" w:cs="Arial"/>
          <w:sz w:val="21"/>
          <w:szCs w:val="21"/>
        </w:rPr>
        <w:t>were</w:t>
      </w:r>
      <w:r w:rsidRPr="00D518FF">
        <w:rPr>
          <w:rFonts w:ascii="Aptos" w:eastAsia="Cambria" w:hAnsi="Aptos" w:cs="Arial"/>
          <w:sz w:val="21"/>
          <w:szCs w:val="21"/>
        </w:rPr>
        <w:t xml:space="preserve"> no limits on </w:t>
      </w:r>
      <w:r w:rsidRPr="00D518FF">
        <w:rPr>
          <w:rFonts w:ascii="Aptos" w:hAnsi="Aptos" w:cs="Arial"/>
          <w:sz w:val="21"/>
          <w:szCs w:val="21"/>
        </w:rPr>
        <w:t>timepoints for measurement</w:t>
      </w:r>
      <w:r w:rsidRPr="00D518FF">
        <w:rPr>
          <w:rFonts w:ascii="Aptos" w:eastAsia="Cambria" w:hAnsi="Aptos" w:cs="Arial"/>
          <w:sz w:val="21"/>
          <w:szCs w:val="21"/>
        </w:rPr>
        <w:t xml:space="preserve">, and short and long-term outcomes </w:t>
      </w:r>
      <w:r w:rsidR="007B7440">
        <w:rPr>
          <w:rFonts w:ascii="Aptos" w:eastAsia="Cambria" w:hAnsi="Aptos" w:cs="Arial"/>
          <w:sz w:val="21"/>
          <w:szCs w:val="21"/>
        </w:rPr>
        <w:t>were</w:t>
      </w:r>
      <w:r w:rsidRPr="00D518FF">
        <w:rPr>
          <w:rFonts w:ascii="Aptos" w:eastAsia="Cambria" w:hAnsi="Aptos" w:cs="Arial"/>
          <w:sz w:val="21"/>
          <w:szCs w:val="21"/>
        </w:rPr>
        <w:t xml:space="preserve"> included. </w:t>
      </w:r>
      <w:r w:rsidR="00E03CCA">
        <w:rPr>
          <w:rFonts w:ascii="Aptos" w:eastAsia="Cambria" w:hAnsi="Aptos" w:cs="Arial"/>
          <w:sz w:val="21"/>
          <w:szCs w:val="21"/>
        </w:rPr>
        <w:t xml:space="preserve">The </w:t>
      </w:r>
      <w:r w:rsidR="000F111E">
        <w:rPr>
          <w:rFonts w:ascii="Aptos" w:eastAsia="Cambria" w:hAnsi="Aptos" w:cs="Arial"/>
          <w:sz w:val="21"/>
          <w:szCs w:val="21"/>
        </w:rPr>
        <w:t xml:space="preserve">plan in the </w:t>
      </w:r>
      <w:r w:rsidR="00E03CCA">
        <w:rPr>
          <w:rFonts w:ascii="Aptos" w:eastAsia="Cambria" w:hAnsi="Aptos" w:cs="Arial"/>
          <w:sz w:val="21"/>
          <w:szCs w:val="21"/>
        </w:rPr>
        <w:t xml:space="preserve">protocol </w:t>
      </w:r>
      <w:r w:rsidR="000F111E">
        <w:rPr>
          <w:rFonts w:ascii="Aptos" w:eastAsia="Cambria" w:hAnsi="Aptos" w:cs="Arial"/>
          <w:sz w:val="21"/>
          <w:szCs w:val="21"/>
        </w:rPr>
        <w:t>was to group</w:t>
      </w:r>
      <w:r w:rsidR="00D64FF1">
        <w:rPr>
          <w:rFonts w:ascii="Aptos" w:eastAsia="Cambria" w:hAnsi="Aptos" w:cs="Arial"/>
          <w:sz w:val="21"/>
          <w:szCs w:val="21"/>
        </w:rPr>
        <w:t xml:space="preserve"> results according to</w:t>
      </w:r>
      <w:r w:rsidR="000F111E">
        <w:rPr>
          <w:rFonts w:ascii="Aptos" w:eastAsia="Cambria" w:hAnsi="Aptos" w:cs="Arial"/>
          <w:sz w:val="21"/>
          <w:szCs w:val="21"/>
        </w:rPr>
        <w:t xml:space="preserve"> </w:t>
      </w:r>
      <w:r w:rsidR="00D64FF1">
        <w:rPr>
          <w:rFonts w:ascii="Aptos" w:eastAsia="Cambria" w:hAnsi="Aptos" w:cs="Arial"/>
          <w:sz w:val="21"/>
          <w:szCs w:val="21"/>
        </w:rPr>
        <w:t xml:space="preserve">measurement </w:t>
      </w:r>
      <w:r w:rsidR="000F111E">
        <w:rPr>
          <w:rFonts w:ascii="Aptos" w:eastAsia="Cambria" w:hAnsi="Aptos" w:cs="Arial"/>
          <w:sz w:val="21"/>
          <w:szCs w:val="21"/>
        </w:rPr>
        <w:t>timepoints</w:t>
      </w:r>
      <w:r w:rsidR="003833CF">
        <w:rPr>
          <w:rFonts w:ascii="Aptos" w:eastAsia="Cambria" w:hAnsi="Aptos" w:cs="Arial"/>
          <w:sz w:val="21"/>
          <w:szCs w:val="21"/>
        </w:rPr>
        <w:t xml:space="preserve">, however this was not possible due to reporting issues in the </w:t>
      </w:r>
      <w:r w:rsidR="00EF0EF3">
        <w:rPr>
          <w:rFonts w:ascii="Aptos" w:eastAsia="Cambria" w:hAnsi="Aptos" w:cs="Arial"/>
          <w:sz w:val="21"/>
          <w:szCs w:val="21"/>
        </w:rPr>
        <w:t xml:space="preserve">systematic reviews (see Appendix G). </w:t>
      </w:r>
    </w:p>
    <w:bookmarkEnd w:id="47"/>
    <w:p w14:paraId="5BE66E55"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Outcome prioritisation exercise procedure</w:t>
      </w:r>
    </w:p>
    <w:p w14:paraId="3223A54C" w14:textId="6B98E942" w:rsidR="00F726B5" w:rsidRPr="00D518FF" w:rsidRDefault="007B7440" w:rsidP="00F726B5">
      <w:pPr>
        <w:spacing w:before="120" w:after="120"/>
        <w:rPr>
          <w:rFonts w:ascii="Aptos" w:hAnsi="Aptos" w:cs="Arial"/>
          <w:sz w:val="21"/>
          <w:szCs w:val="21"/>
        </w:rPr>
      </w:pPr>
      <w:r w:rsidRPr="00D518FF">
        <w:rPr>
          <w:rFonts w:ascii="Aptos" w:hAnsi="Aptos" w:cs="Arial"/>
          <w:sz w:val="21"/>
          <w:szCs w:val="21"/>
        </w:rPr>
        <w:t xml:space="preserve">Once all eligible systematic reviews </w:t>
      </w:r>
      <w:r>
        <w:rPr>
          <w:rFonts w:ascii="Aptos" w:hAnsi="Aptos" w:cs="Arial"/>
          <w:sz w:val="21"/>
          <w:szCs w:val="21"/>
        </w:rPr>
        <w:t>were</w:t>
      </w:r>
      <w:r w:rsidRPr="00D518FF">
        <w:rPr>
          <w:rFonts w:ascii="Aptos" w:hAnsi="Aptos" w:cs="Arial"/>
          <w:sz w:val="21"/>
          <w:szCs w:val="21"/>
        </w:rPr>
        <w:t xml:space="preserve"> identified in full-text screening, outcomes </w:t>
      </w:r>
      <w:r>
        <w:rPr>
          <w:rFonts w:ascii="Aptos" w:hAnsi="Aptos" w:cs="Arial"/>
          <w:sz w:val="21"/>
          <w:szCs w:val="21"/>
        </w:rPr>
        <w:t>were</w:t>
      </w:r>
      <w:r w:rsidRPr="00D518FF">
        <w:rPr>
          <w:rFonts w:ascii="Aptos" w:hAnsi="Aptos" w:cs="Arial"/>
          <w:sz w:val="21"/>
          <w:szCs w:val="21"/>
        </w:rPr>
        <w:t xml:space="preserve"> selected using a blinded approach with NTWC and in consultation with NTREAP</w:t>
      </w:r>
      <w:r w:rsidR="00190B88">
        <w:rPr>
          <w:rFonts w:ascii="Aptos" w:hAnsi="Aptos" w:cs="Arial"/>
          <w:sz w:val="21"/>
          <w:szCs w:val="21"/>
        </w:rPr>
        <w:t xml:space="preserve"> (Figure A1)</w:t>
      </w:r>
      <w:r w:rsidRPr="00D518FF">
        <w:rPr>
          <w:rFonts w:ascii="Aptos" w:hAnsi="Aptos" w:cs="Arial"/>
          <w:sz w:val="21"/>
          <w:szCs w:val="21"/>
        </w:rPr>
        <w:t xml:space="preserve">. </w:t>
      </w:r>
      <w:r w:rsidR="00472F1A">
        <w:rPr>
          <w:rFonts w:ascii="Aptos" w:hAnsi="Aptos" w:cs="Arial"/>
          <w:sz w:val="21"/>
          <w:szCs w:val="21"/>
        </w:rPr>
        <w:t>A</w:t>
      </w:r>
      <w:r w:rsidR="00472F1A" w:rsidRPr="00D518FF">
        <w:rPr>
          <w:rFonts w:ascii="Aptos" w:hAnsi="Aptos" w:cs="Arial"/>
          <w:sz w:val="21"/>
          <w:szCs w:val="21"/>
        </w:rPr>
        <w:t xml:space="preserve">n </w:t>
      </w:r>
      <w:r w:rsidR="00F726B5" w:rsidRPr="00D518FF">
        <w:rPr>
          <w:rFonts w:ascii="Aptos" w:hAnsi="Aptos" w:cs="Arial"/>
          <w:sz w:val="21"/>
          <w:szCs w:val="21"/>
        </w:rPr>
        <w:t xml:space="preserve">outcome prioritisation spreadsheet </w:t>
      </w:r>
      <w:r w:rsidR="00472F1A">
        <w:rPr>
          <w:rFonts w:ascii="Aptos" w:hAnsi="Aptos" w:cs="Arial"/>
          <w:sz w:val="21"/>
          <w:szCs w:val="21"/>
        </w:rPr>
        <w:t>was</w:t>
      </w:r>
      <w:r w:rsidR="00F726B5" w:rsidRPr="00D518FF">
        <w:rPr>
          <w:rFonts w:ascii="Aptos" w:hAnsi="Aptos" w:cs="Arial"/>
          <w:sz w:val="21"/>
          <w:szCs w:val="21"/>
        </w:rPr>
        <w:t xml:space="preserve"> developed that include</w:t>
      </w:r>
      <w:r w:rsidR="00D64FF1">
        <w:rPr>
          <w:rFonts w:ascii="Aptos" w:hAnsi="Aptos" w:cs="Arial"/>
          <w:sz w:val="21"/>
          <w:szCs w:val="21"/>
        </w:rPr>
        <w:t>d</w:t>
      </w:r>
      <w:r w:rsidR="00F726B5" w:rsidRPr="00D518FF">
        <w:rPr>
          <w:rFonts w:ascii="Aptos" w:hAnsi="Aptos" w:cs="Arial"/>
          <w:sz w:val="21"/>
          <w:szCs w:val="21"/>
        </w:rPr>
        <w:t>:</w:t>
      </w:r>
    </w:p>
    <w:p w14:paraId="1C891619" w14:textId="7AED9098" w:rsidR="00F726B5" w:rsidRPr="00D518FF" w:rsidRDefault="00F726B5" w:rsidP="00A4650A">
      <w:pPr>
        <w:numPr>
          <w:ilvl w:val="0"/>
          <w:numId w:val="22"/>
        </w:numPr>
        <w:spacing w:before="120" w:after="120"/>
        <w:contextualSpacing/>
        <w:rPr>
          <w:rFonts w:ascii="Aptos" w:hAnsi="Aptos" w:cs="Arial"/>
          <w:sz w:val="21"/>
          <w:szCs w:val="21"/>
        </w:rPr>
      </w:pPr>
      <w:r w:rsidRPr="00D518FF">
        <w:rPr>
          <w:rFonts w:ascii="Aptos" w:hAnsi="Aptos" w:cs="Arial"/>
          <w:sz w:val="21"/>
          <w:szCs w:val="21"/>
        </w:rPr>
        <w:t xml:space="preserve">A tab for each pre-specified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w:t>
      </w:r>
    </w:p>
    <w:p w14:paraId="52218D7B" w14:textId="10D3E60F" w:rsidR="00F726B5" w:rsidRPr="00D518FF" w:rsidRDefault="00F726B5" w:rsidP="00A4650A">
      <w:pPr>
        <w:numPr>
          <w:ilvl w:val="0"/>
          <w:numId w:val="22"/>
        </w:numPr>
        <w:spacing w:before="120" w:after="120"/>
        <w:contextualSpacing/>
        <w:rPr>
          <w:rFonts w:ascii="Aptos" w:hAnsi="Aptos" w:cs="Arial"/>
          <w:sz w:val="21"/>
          <w:szCs w:val="21"/>
        </w:rPr>
      </w:pPr>
      <w:r w:rsidRPr="00D518FF">
        <w:rPr>
          <w:rFonts w:ascii="Aptos" w:hAnsi="Aptos" w:cs="Arial"/>
          <w:sz w:val="21"/>
          <w:szCs w:val="21"/>
        </w:rPr>
        <w:t xml:space="preserve">For each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 a list of outcome domains and associated outcome measures reported in systematic reviews selected for full-text screening.</w:t>
      </w:r>
    </w:p>
    <w:p w14:paraId="0E0C29F3" w14:textId="39C05416" w:rsidR="00F726B5" w:rsidRPr="00D518FF" w:rsidRDefault="00F726B5" w:rsidP="00A4650A">
      <w:pPr>
        <w:numPr>
          <w:ilvl w:val="0"/>
          <w:numId w:val="22"/>
        </w:numPr>
        <w:spacing w:before="120" w:after="120"/>
        <w:ind w:left="714" w:hanging="357"/>
        <w:rPr>
          <w:rFonts w:ascii="Aptos" w:hAnsi="Aptos" w:cs="Arial"/>
          <w:sz w:val="21"/>
          <w:szCs w:val="21"/>
        </w:rPr>
      </w:pPr>
      <w:r w:rsidRPr="00D518FF">
        <w:rPr>
          <w:rFonts w:ascii="Aptos" w:hAnsi="Aptos" w:cs="Arial"/>
          <w:sz w:val="21"/>
          <w:szCs w:val="21"/>
        </w:rPr>
        <w:t xml:space="preserve">In addition to outcome domains from eligible systematic reviews, outcome domains from relevant core outcome sets and relevant Cochrane reviews </w:t>
      </w:r>
      <w:r w:rsidR="00472F1A">
        <w:rPr>
          <w:rFonts w:ascii="Aptos" w:hAnsi="Aptos" w:cs="Arial"/>
          <w:sz w:val="21"/>
          <w:szCs w:val="21"/>
        </w:rPr>
        <w:t>were</w:t>
      </w:r>
      <w:r w:rsidRPr="00D518FF">
        <w:rPr>
          <w:rFonts w:ascii="Aptos" w:hAnsi="Aptos" w:cs="Arial"/>
          <w:sz w:val="21"/>
          <w:szCs w:val="21"/>
        </w:rPr>
        <w:t xml:space="preserve"> included to prevent knowledge of study or review results, or other characteristics such as study design</w:t>
      </w:r>
      <w:r w:rsidR="00D64FF1">
        <w:rPr>
          <w:rFonts w:ascii="Aptos" w:hAnsi="Aptos" w:cs="Arial"/>
          <w:sz w:val="21"/>
          <w:szCs w:val="21"/>
        </w:rPr>
        <w:t>,</w:t>
      </w:r>
      <w:r w:rsidRPr="00D518FF">
        <w:rPr>
          <w:rFonts w:ascii="Aptos" w:hAnsi="Aptos" w:cs="Arial"/>
          <w:sz w:val="21"/>
          <w:szCs w:val="21"/>
        </w:rPr>
        <w:t xml:space="preserve"> from influencing decision-making</w:t>
      </w:r>
      <w:r w:rsidR="00D64FF1">
        <w:rPr>
          <w:rFonts w:ascii="Aptos" w:hAnsi="Aptos" w:cs="Arial"/>
          <w:sz w:val="21"/>
          <w:szCs w:val="21"/>
        </w:rPr>
        <w:t xml:space="preserve"> about priority outcomes</w:t>
      </w:r>
      <w:r w:rsidRPr="00D518FF">
        <w:rPr>
          <w:rFonts w:ascii="Aptos" w:hAnsi="Aptos" w:cs="Arial"/>
          <w:sz w:val="21"/>
          <w:szCs w:val="21"/>
        </w:rPr>
        <w:t>. This also help</w:t>
      </w:r>
      <w:r w:rsidR="005D17A2">
        <w:rPr>
          <w:rFonts w:ascii="Aptos" w:hAnsi="Aptos" w:cs="Arial"/>
          <w:sz w:val="21"/>
          <w:szCs w:val="21"/>
        </w:rPr>
        <w:t>ed</w:t>
      </w:r>
      <w:r w:rsidRPr="00D518FF">
        <w:rPr>
          <w:rFonts w:ascii="Aptos" w:hAnsi="Aptos" w:cs="Arial"/>
          <w:sz w:val="21"/>
          <w:szCs w:val="21"/>
        </w:rPr>
        <w:t xml:space="preserve"> to identify outcomes that are important but not addressed in included systematic reviews.</w:t>
      </w:r>
    </w:p>
    <w:p w14:paraId="03B214BD" w14:textId="092FC6E1"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lastRenderedPageBreak/>
        <w:t xml:space="preserve">Critical and important outcome domains </w:t>
      </w:r>
      <w:r w:rsidR="005D17A2">
        <w:rPr>
          <w:rFonts w:ascii="Aptos" w:hAnsi="Aptos" w:cs="Arial"/>
          <w:sz w:val="21"/>
          <w:szCs w:val="21"/>
        </w:rPr>
        <w:t>were</w:t>
      </w:r>
      <w:r w:rsidRPr="00D518FF">
        <w:rPr>
          <w:rFonts w:ascii="Aptos" w:hAnsi="Aptos" w:cs="Arial"/>
          <w:sz w:val="21"/>
          <w:szCs w:val="21"/>
        </w:rPr>
        <w:t xml:space="preserve"> identified by NTREAP and NTWC using the spreadsheet. This result</w:t>
      </w:r>
      <w:r w:rsidR="00A40B78">
        <w:rPr>
          <w:rFonts w:ascii="Aptos" w:hAnsi="Aptos" w:cs="Arial"/>
          <w:sz w:val="21"/>
          <w:szCs w:val="21"/>
        </w:rPr>
        <w:t>ed</w:t>
      </w:r>
      <w:r w:rsidRPr="00D518FF">
        <w:rPr>
          <w:rFonts w:ascii="Aptos" w:hAnsi="Aptos" w:cs="Arial"/>
          <w:sz w:val="21"/>
          <w:szCs w:val="21"/>
        </w:rPr>
        <w:t xml:space="preserve"> in a list of</w:t>
      </w:r>
      <w:r w:rsidR="00A40B78">
        <w:rPr>
          <w:rFonts w:ascii="Aptos" w:hAnsi="Aptos" w:cs="Arial"/>
          <w:sz w:val="21"/>
          <w:szCs w:val="21"/>
        </w:rPr>
        <w:t xml:space="preserve"> up to </w:t>
      </w:r>
      <w:r w:rsidRPr="00D518FF">
        <w:rPr>
          <w:rFonts w:ascii="Aptos" w:hAnsi="Aptos" w:cs="Arial"/>
          <w:sz w:val="21"/>
          <w:szCs w:val="21"/>
        </w:rPr>
        <w:t>7 outcome</w:t>
      </w:r>
      <w:r w:rsidR="00CE662E">
        <w:rPr>
          <w:rFonts w:ascii="Aptos" w:hAnsi="Aptos" w:cs="Arial"/>
          <w:sz w:val="21"/>
          <w:szCs w:val="21"/>
        </w:rPr>
        <w:t xml:space="preserve"> domain</w:t>
      </w:r>
      <w:r w:rsidRPr="00D518FF">
        <w:rPr>
          <w:rFonts w:ascii="Aptos" w:hAnsi="Aptos" w:cs="Arial"/>
          <w:sz w:val="21"/>
          <w:szCs w:val="21"/>
        </w:rPr>
        <w:t xml:space="preserve">s per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 xml:space="preserve"> that </w:t>
      </w:r>
      <w:r w:rsidR="00D64FF1">
        <w:rPr>
          <w:rFonts w:ascii="Aptos" w:hAnsi="Aptos" w:cs="Arial"/>
          <w:sz w:val="21"/>
          <w:szCs w:val="21"/>
        </w:rPr>
        <w:t>were</w:t>
      </w:r>
      <w:r w:rsidRPr="00D518FF">
        <w:rPr>
          <w:rFonts w:ascii="Aptos" w:hAnsi="Aptos" w:cs="Arial"/>
          <w:sz w:val="21"/>
          <w:szCs w:val="21"/>
        </w:rPr>
        <w:t xml:space="preserve"> included in the </w:t>
      </w:r>
      <w:r w:rsidR="00D64FF1">
        <w:rPr>
          <w:rFonts w:ascii="Aptos" w:hAnsi="Aptos" w:cs="Arial"/>
          <w:sz w:val="21"/>
          <w:szCs w:val="21"/>
        </w:rPr>
        <w:t>o</w:t>
      </w:r>
      <w:r w:rsidRPr="00D518FF">
        <w:rPr>
          <w:rFonts w:ascii="Aptos" w:hAnsi="Aptos" w:cs="Arial"/>
          <w:sz w:val="21"/>
          <w:szCs w:val="21"/>
        </w:rPr>
        <w:t>verview.</w:t>
      </w:r>
    </w:p>
    <w:p w14:paraId="61D258BF" w14:textId="34272E17" w:rsidR="00F726B5" w:rsidRDefault="00F726B5" w:rsidP="00F726B5">
      <w:pPr>
        <w:spacing w:before="120" w:after="120"/>
        <w:rPr>
          <w:rFonts w:ascii="Aptos" w:hAnsi="Aptos" w:cs="Arial"/>
          <w:sz w:val="21"/>
          <w:szCs w:val="21"/>
        </w:rPr>
      </w:pPr>
      <w:bookmarkStart w:id="48" w:name="_Hlk112091969"/>
      <w:r w:rsidRPr="00D518FF">
        <w:rPr>
          <w:rFonts w:ascii="Aptos" w:hAnsi="Aptos" w:cs="Arial"/>
          <w:sz w:val="21"/>
          <w:szCs w:val="21"/>
        </w:rPr>
        <w:t xml:space="preserve">All pre-specified outcomes for the </w:t>
      </w:r>
      <w:r w:rsidR="00190B88">
        <w:rPr>
          <w:rFonts w:ascii="Aptos" w:hAnsi="Aptos" w:cs="Arial"/>
          <w:sz w:val="21"/>
          <w:szCs w:val="21"/>
        </w:rPr>
        <w:t>o</w:t>
      </w:r>
      <w:r w:rsidRPr="00D518FF">
        <w:rPr>
          <w:rFonts w:ascii="Aptos" w:hAnsi="Aptos" w:cs="Arial"/>
          <w:sz w:val="21"/>
          <w:szCs w:val="21"/>
        </w:rPr>
        <w:t>verview which</w:t>
      </w:r>
      <w:r w:rsidRPr="00D518FF" w:rsidDel="00190B88">
        <w:rPr>
          <w:rFonts w:ascii="Aptos" w:hAnsi="Aptos" w:cs="Arial"/>
          <w:sz w:val="21"/>
          <w:szCs w:val="21"/>
        </w:rPr>
        <w:t xml:space="preserve"> </w:t>
      </w:r>
      <w:r w:rsidR="00190B88">
        <w:rPr>
          <w:rFonts w:ascii="Aptos" w:hAnsi="Aptos" w:cs="Arial"/>
          <w:sz w:val="21"/>
          <w:szCs w:val="21"/>
        </w:rPr>
        <w:t>were</w:t>
      </w:r>
      <w:r w:rsidR="00190B88" w:rsidRPr="00D518FF">
        <w:rPr>
          <w:rFonts w:ascii="Aptos" w:hAnsi="Aptos" w:cs="Arial"/>
          <w:sz w:val="21"/>
          <w:szCs w:val="21"/>
        </w:rPr>
        <w:t xml:space="preserve"> </w:t>
      </w:r>
      <w:r w:rsidRPr="00D518FF">
        <w:rPr>
          <w:rFonts w:ascii="Aptos" w:hAnsi="Aptos" w:cs="Arial"/>
          <w:sz w:val="21"/>
          <w:szCs w:val="21"/>
        </w:rPr>
        <w:t xml:space="preserve">reported in an eligible systematic review (as determined from the systematic review protocol or registry entry, or, if unavailable, the Methods and Results section of the review) </w:t>
      </w:r>
      <w:bookmarkEnd w:id="48"/>
      <w:r w:rsidR="00190B88">
        <w:rPr>
          <w:rFonts w:ascii="Aptos" w:hAnsi="Aptos" w:cs="Arial"/>
          <w:sz w:val="21"/>
          <w:szCs w:val="21"/>
        </w:rPr>
        <w:t>were</w:t>
      </w:r>
      <w:r w:rsidRPr="00D518FF">
        <w:rPr>
          <w:rFonts w:ascii="Aptos" w:hAnsi="Aptos" w:cs="Arial"/>
          <w:sz w:val="21"/>
          <w:szCs w:val="21"/>
        </w:rPr>
        <w:t xml:space="preserve"> </w:t>
      </w:r>
      <w:r w:rsidR="00190B88">
        <w:rPr>
          <w:rFonts w:ascii="Aptos" w:hAnsi="Aptos" w:cs="Arial"/>
          <w:sz w:val="21"/>
          <w:szCs w:val="21"/>
        </w:rPr>
        <w:t>recorded</w:t>
      </w:r>
      <w:r w:rsidR="004B15B1">
        <w:rPr>
          <w:rFonts w:ascii="Aptos" w:hAnsi="Aptos" w:cs="Arial"/>
          <w:sz w:val="21"/>
          <w:szCs w:val="21"/>
        </w:rPr>
        <w:t xml:space="preserve"> and presented in the Characteristics of included reviews tables (Appendix D)</w:t>
      </w:r>
      <w:r w:rsidRPr="00D518FF">
        <w:rPr>
          <w:rFonts w:ascii="Aptos" w:hAnsi="Aptos" w:cs="Arial"/>
          <w:sz w:val="21"/>
          <w:szCs w:val="21"/>
        </w:rPr>
        <w:t xml:space="preserve">. However, only results </w:t>
      </w:r>
      <w:r w:rsidR="00190B88">
        <w:rPr>
          <w:rFonts w:ascii="Aptos" w:hAnsi="Aptos" w:cs="Arial"/>
          <w:sz w:val="21"/>
          <w:szCs w:val="21"/>
        </w:rPr>
        <w:t>for</w:t>
      </w:r>
      <w:r w:rsidRPr="00D518FF">
        <w:rPr>
          <w:rFonts w:ascii="Aptos" w:hAnsi="Aptos" w:cs="Arial"/>
          <w:sz w:val="21"/>
          <w:szCs w:val="21"/>
        </w:rPr>
        <w:t xml:space="preserve"> </w:t>
      </w:r>
      <w:r w:rsidR="00190B88">
        <w:rPr>
          <w:rFonts w:ascii="Aptos" w:hAnsi="Aptos" w:cs="Arial"/>
          <w:sz w:val="21"/>
          <w:szCs w:val="21"/>
        </w:rPr>
        <w:t xml:space="preserve">preferred reviews (see Appendix B1.1) </w:t>
      </w:r>
      <w:r w:rsidR="00F51EB7">
        <w:rPr>
          <w:rFonts w:ascii="Aptos" w:hAnsi="Aptos" w:cs="Arial"/>
          <w:sz w:val="21"/>
          <w:szCs w:val="21"/>
        </w:rPr>
        <w:t>were</w:t>
      </w:r>
      <w:r w:rsidRPr="00D518FF">
        <w:rPr>
          <w:rFonts w:ascii="Aptos" w:hAnsi="Aptos" w:cs="Arial"/>
          <w:sz w:val="21"/>
          <w:szCs w:val="21"/>
        </w:rPr>
        <w:t xml:space="preserve"> reported in GRADE ‘Summary of Findings’ tables with corresponding evidence statements. </w:t>
      </w:r>
    </w:p>
    <w:p w14:paraId="19136465" w14:textId="3070CFD6" w:rsidR="00190B88" w:rsidRDefault="00190B88" w:rsidP="00F726B5">
      <w:pPr>
        <w:spacing w:before="120" w:after="120"/>
        <w:rPr>
          <w:rFonts w:ascii="Aptos" w:hAnsi="Aptos" w:cs="Arial"/>
          <w:sz w:val="21"/>
          <w:szCs w:val="21"/>
        </w:rPr>
      </w:pPr>
      <w:r>
        <w:rPr>
          <w:rFonts w:ascii="Aptos" w:hAnsi="Aptos" w:cs="Arial"/>
          <w:sz w:val="21"/>
          <w:szCs w:val="21"/>
        </w:rPr>
        <w:t>It was intended that</w:t>
      </w:r>
      <w:r w:rsidR="00A4615A">
        <w:rPr>
          <w:rFonts w:ascii="Aptos" w:hAnsi="Aptos" w:cs="Arial"/>
          <w:sz w:val="21"/>
          <w:szCs w:val="21"/>
        </w:rPr>
        <w:t xml:space="preserve"> results for</w:t>
      </w:r>
      <w:r>
        <w:rPr>
          <w:rFonts w:ascii="Aptos" w:hAnsi="Aptos" w:cs="Arial"/>
          <w:sz w:val="21"/>
          <w:szCs w:val="21"/>
        </w:rPr>
        <w:t xml:space="preserve"> all outcomes from included systematic reviews would be recorded and extracted. However, this was only completed for prioritised outcomes</w:t>
      </w:r>
      <w:r w:rsidRPr="00545071">
        <w:rPr>
          <w:rFonts w:ascii="Aptos" w:hAnsi="Aptos" w:cs="Arial"/>
          <w:sz w:val="21"/>
          <w:szCs w:val="21"/>
        </w:rPr>
        <w:t xml:space="preserve"> due to the </w:t>
      </w:r>
      <w:r w:rsidR="004B15B1">
        <w:rPr>
          <w:rFonts w:ascii="Aptos" w:hAnsi="Aptos" w:cs="Arial"/>
          <w:sz w:val="21"/>
          <w:szCs w:val="21"/>
        </w:rPr>
        <w:t xml:space="preserve">large </w:t>
      </w:r>
      <w:r w:rsidRPr="00545071">
        <w:rPr>
          <w:rFonts w:ascii="Aptos" w:hAnsi="Aptos" w:cs="Arial"/>
          <w:sz w:val="21"/>
          <w:szCs w:val="21"/>
        </w:rPr>
        <w:t xml:space="preserve">volume of information </w:t>
      </w:r>
      <w:r w:rsidR="004B15B1">
        <w:rPr>
          <w:rFonts w:ascii="Aptos" w:hAnsi="Aptos" w:cs="Arial"/>
          <w:sz w:val="21"/>
          <w:szCs w:val="21"/>
        </w:rPr>
        <w:t xml:space="preserve">in the overview </w:t>
      </w:r>
      <w:r w:rsidRPr="00545071">
        <w:rPr>
          <w:rFonts w:ascii="Aptos" w:hAnsi="Aptos" w:cs="Arial"/>
          <w:sz w:val="21"/>
          <w:szCs w:val="21"/>
        </w:rPr>
        <w:t>(many reviews with many outcomes</w:t>
      </w:r>
      <w:r>
        <w:rPr>
          <w:rFonts w:ascii="Aptos" w:hAnsi="Aptos" w:cs="Arial"/>
          <w:sz w:val="21"/>
          <w:szCs w:val="21"/>
        </w:rPr>
        <w:t>; see Appendix G).</w:t>
      </w:r>
    </w:p>
    <w:p w14:paraId="6716E26C" w14:textId="77777777" w:rsidR="00190B88" w:rsidRPr="00D518FF" w:rsidRDefault="00190B88" w:rsidP="00F726B5">
      <w:pPr>
        <w:spacing w:before="120" w:after="120"/>
        <w:rPr>
          <w:rFonts w:ascii="Aptos" w:hAnsi="Aptos" w:cs="Arial"/>
          <w:sz w:val="21"/>
          <w:szCs w:val="21"/>
        </w:rPr>
      </w:pPr>
    </w:p>
    <w:p w14:paraId="0B650A09" w14:textId="7361FD37" w:rsidR="003D558F" w:rsidRPr="0054775B" w:rsidRDefault="003D558F" w:rsidP="003D558F">
      <w:pPr>
        <w:pStyle w:val="2024TABLECAPTION"/>
        <w:rPr>
          <w:rFonts w:ascii="Aptos" w:hAnsi="Aptos"/>
        </w:rPr>
      </w:pPr>
      <w:bookmarkStart w:id="49" w:name="_Ref161103343"/>
      <w:bookmarkStart w:id="50" w:name="_Ref161103339"/>
      <w:bookmarkStart w:id="51" w:name="_Toc172476641"/>
      <w:r w:rsidRPr="0054775B">
        <w:rPr>
          <w:rFonts w:ascii="Aptos" w:hAnsi="Aptos"/>
        </w:rPr>
        <w:t xml:space="preserve">Figure </w:t>
      </w:r>
      <w:r w:rsidR="00190B88">
        <w:rPr>
          <w:rFonts w:ascii="Aptos" w:hAnsi="Aptos"/>
        </w:rPr>
        <w:t>A</w:t>
      </w:r>
      <w:r w:rsidRPr="0054775B">
        <w:rPr>
          <w:rFonts w:ascii="Aptos" w:hAnsi="Aptos"/>
        </w:rPr>
        <w:fldChar w:fldCharType="begin"/>
      </w:r>
      <w:r w:rsidRPr="0054775B">
        <w:rPr>
          <w:rFonts w:ascii="Aptos" w:hAnsi="Aptos"/>
        </w:rPr>
        <w:instrText xml:space="preserve"> SEQ Figure \* ARABIC </w:instrText>
      </w:r>
      <w:r w:rsidRPr="0054775B">
        <w:rPr>
          <w:rFonts w:ascii="Aptos" w:hAnsi="Aptos"/>
        </w:rPr>
        <w:fldChar w:fldCharType="separate"/>
      </w:r>
      <w:r w:rsidR="00C426C6">
        <w:rPr>
          <w:rFonts w:ascii="Aptos" w:hAnsi="Aptos"/>
          <w:noProof/>
        </w:rPr>
        <w:t>1</w:t>
      </w:r>
      <w:r w:rsidRPr="0054775B">
        <w:rPr>
          <w:rFonts w:ascii="Aptos" w:hAnsi="Aptos"/>
        </w:rPr>
        <w:fldChar w:fldCharType="end"/>
      </w:r>
      <w:bookmarkEnd w:id="49"/>
      <w:r w:rsidRPr="0054775B">
        <w:rPr>
          <w:rFonts w:ascii="Aptos" w:hAnsi="Aptos"/>
        </w:rPr>
        <w:t>. Summary of Process for Outcome Prioritisation (provided by NTWC)</w:t>
      </w:r>
      <w:bookmarkEnd w:id="50"/>
      <w:bookmarkEnd w:id="51"/>
    </w:p>
    <w:p w14:paraId="3B5DDC1F" w14:textId="0C59DD10" w:rsidR="003D558F" w:rsidRPr="00E77295" w:rsidRDefault="003D558F" w:rsidP="00E77295">
      <w:r w:rsidRPr="0054775B">
        <w:rPr>
          <w:noProof/>
          <w:lang w:eastAsia="en-AU"/>
        </w:rPr>
        <w:drawing>
          <wp:inline distT="0" distB="0" distL="0" distR="0" wp14:anchorId="08C50467" wp14:editId="09469E8A">
            <wp:extent cx="5861050" cy="3764180"/>
            <wp:effectExtent l="19050" t="0" r="25400" b="27305"/>
            <wp:docPr id="898043964" name="Diagram 898043964" descr="P1009#yIS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14:paraId="3B760301" w14:textId="3684706A" w:rsidR="00F726B5" w:rsidRPr="00D518FF" w:rsidRDefault="00F726B5" w:rsidP="0027240E">
      <w:pPr>
        <w:pStyle w:val="heading2numbers"/>
      </w:pPr>
      <w:bookmarkStart w:id="52" w:name="_Toc126835786"/>
      <w:bookmarkStart w:id="53" w:name="_Toc185254616"/>
      <w:bookmarkStart w:id="54" w:name="_Toc100711491"/>
      <w:r w:rsidRPr="00D518FF">
        <w:t>Review selection</w:t>
      </w:r>
      <w:bookmarkEnd w:id="52"/>
      <w:r w:rsidR="0027240E">
        <w:t xml:space="preserve"> (inclusion decision)</w:t>
      </w:r>
      <w:bookmarkEnd w:id="53"/>
    </w:p>
    <w:p w14:paraId="395E0751" w14:textId="266C064D"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In the first instance, the </w:t>
      </w:r>
      <w:sdt>
        <w:sdtPr>
          <w:rPr>
            <w:rFonts w:ascii="Aptos" w:hAnsi="Aptos" w:cs="Arial"/>
            <w:sz w:val="21"/>
            <w:szCs w:val="21"/>
          </w:rPr>
          <w:tag w:val="goog_rdk_33"/>
          <w:id w:val="1963461407"/>
        </w:sdtPr>
        <w:sdtContent/>
      </w:sdt>
      <w:r w:rsidR="00190B88">
        <w:rPr>
          <w:rFonts w:ascii="Aptos" w:hAnsi="Aptos" w:cs="Arial"/>
          <w:sz w:val="21"/>
          <w:szCs w:val="21"/>
        </w:rPr>
        <w:t>o</w:t>
      </w:r>
      <w:r w:rsidRPr="00D518FF">
        <w:rPr>
          <w:rFonts w:ascii="Aptos" w:hAnsi="Aptos" w:cs="Arial"/>
          <w:sz w:val="21"/>
          <w:szCs w:val="21"/>
        </w:rPr>
        <w:t xml:space="preserve">verview </w:t>
      </w:r>
      <w:r w:rsidR="00190B88">
        <w:rPr>
          <w:rFonts w:ascii="Aptos" w:hAnsi="Aptos" w:cs="Arial"/>
          <w:sz w:val="21"/>
          <w:szCs w:val="21"/>
        </w:rPr>
        <w:t>aimed</w:t>
      </w:r>
      <w:r w:rsidRPr="00D518FF">
        <w:rPr>
          <w:rFonts w:ascii="Aptos" w:hAnsi="Aptos" w:cs="Arial"/>
          <w:sz w:val="21"/>
          <w:szCs w:val="21"/>
        </w:rPr>
        <w:t xml:space="preserve"> to assess the full breadth of eligible</w:t>
      </w:r>
      <w:r w:rsidR="004B15B1">
        <w:rPr>
          <w:rFonts w:ascii="Aptos" w:hAnsi="Aptos" w:cs="Arial"/>
          <w:sz w:val="21"/>
          <w:szCs w:val="21"/>
        </w:rPr>
        <w:t xml:space="preserve"> reviews</w:t>
      </w:r>
      <w:r w:rsidRPr="00D518FF">
        <w:rPr>
          <w:rFonts w:ascii="Aptos" w:hAnsi="Aptos" w:cs="Arial"/>
          <w:sz w:val="21"/>
          <w:szCs w:val="21"/>
        </w:rPr>
        <w:t xml:space="preserve">. </w:t>
      </w:r>
    </w:p>
    <w:p w14:paraId="674B92FA" w14:textId="77777777" w:rsidR="00F726B5" w:rsidRPr="00D518FF" w:rsidRDefault="00F726B5" w:rsidP="0027240E">
      <w:pPr>
        <w:pStyle w:val="heading3numbers"/>
      </w:pPr>
      <w:bookmarkStart w:id="55" w:name="_Toc126835787"/>
      <w:bookmarkStart w:id="56" w:name="_Toc185254617"/>
      <w:r w:rsidRPr="00D518FF">
        <w:t xml:space="preserve">Inclusion decisions – </w:t>
      </w:r>
      <w:sdt>
        <w:sdtPr>
          <w:tag w:val="goog_rdk_37"/>
          <w:id w:val="-398135380"/>
        </w:sdtPr>
        <w:sdtContent/>
      </w:sdt>
      <w:r w:rsidRPr="00D518FF">
        <w:t>title/abstract screening</w:t>
      </w:r>
      <w:bookmarkEnd w:id="55"/>
      <w:bookmarkEnd w:id="56"/>
    </w:p>
    <w:p w14:paraId="595277E1" w14:textId="59D16EBB"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Records retrieved from the database and citation searches, together with any citations provided by the Department, w</w:t>
      </w:r>
      <w:r w:rsidR="00190B88">
        <w:rPr>
          <w:rFonts w:ascii="Aptos" w:hAnsi="Aptos" w:cs="Arial"/>
          <w:sz w:val="21"/>
          <w:szCs w:val="21"/>
        </w:rPr>
        <w:t>ere</w:t>
      </w:r>
      <w:r w:rsidRPr="00D518FF">
        <w:rPr>
          <w:rFonts w:ascii="Aptos" w:hAnsi="Aptos" w:cs="Arial"/>
          <w:sz w:val="21"/>
          <w:szCs w:val="21"/>
        </w:rPr>
        <w:t xml:space="preserve"> imported into Covidence or EndNote and duplicates </w:t>
      </w:r>
      <w:r w:rsidR="00BA627E">
        <w:rPr>
          <w:rFonts w:ascii="Aptos" w:hAnsi="Aptos" w:cs="Arial"/>
          <w:sz w:val="21"/>
          <w:szCs w:val="21"/>
        </w:rPr>
        <w:t xml:space="preserve">were </w:t>
      </w:r>
      <w:r w:rsidRPr="00D518FF">
        <w:rPr>
          <w:rFonts w:ascii="Aptos" w:hAnsi="Aptos" w:cs="Arial"/>
          <w:sz w:val="21"/>
          <w:szCs w:val="21"/>
        </w:rPr>
        <w:t xml:space="preserve">removed using automated tools within the software. Records </w:t>
      </w:r>
      <w:r w:rsidR="00596C79">
        <w:rPr>
          <w:rFonts w:ascii="Aptos" w:hAnsi="Aptos" w:cs="Arial"/>
          <w:sz w:val="21"/>
          <w:szCs w:val="21"/>
        </w:rPr>
        <w:t>were</w:t>
      </w:r>
      <w:r w:rsidRPr="00D518FF">
        <w:rPr>
          <w:rFonts w:ascii="Aptos" w:hAnsi="Aptos" w:cs="Arial"/>
          <w:sz w:val="21"/>
          <w:szCs w:val="21"/>
        </w:rPr>
        <w:t xml:space="preserve"> independently screened against the inclusion criteria by two reviewers, with any discrepancies resolved by discussion. Citations in languages other than English w</w:t>
      </w:r>
      <w:r w:rsidR="00190B88">
        <w:rPr>
          <w:rFonts w:ascii="Aptos" w:hAnsi="Aptos" w:cs="Arial"/>
          <w:sz w:val="21"/>
          <w:szCs w:val="21"/>
        </w:rPr>
        <w:t>ere</w:t>
      </w:r>
      <w:r w:rsidRPr="00D518FF">
        <w:rPr>
          <w:rFonts w:ascii="Aptos" w:hAnsi="Aptos" w:cs="Arial"/>
          <w:sz w:val="21"/>
          <w:szCs w:val="21"/>
        </w:rPr>
        <w:t xml:space="preserve"> tagged and managed as described in “Reviews published in languages other than English”</w:t>
      </w:r>
      <w:r w:rsidR="00BA627E">
        <w:rPr>
          <w:rFonts w:ascii="Aptos" w:hAnsi="Aptos" w:cs="Arial"/>
          <w:sz w:val="21"/>
          <w:szCs w:val="21"/>
        </w:rPr>
        <w:t xml:space="preserve"> (Appendix A4.3)</w:t>
      </w:r>
      <w:r w:rsidRPr="00D518FF">
        <w:rPr>
          <w:rFonts w:ascii="Aptos" w:hAnsi="Aptos" w:cs="Arial"/>
          <w:sz w:val="21"/>
          <w:szCs w:val="21"/>
        </w:rPr>
        <w:t xml:space="preserve">. Endnote 20 </w:t>
      </w:r>
      <w:r w:rsidR="001F3809">
        <w:rPr>
          <w:rFonts w:ascii="Aptos" w:hAnsi="Aptos" w:cs="Arial"/>
          <w:sz w:val="21"/>
          <w:szCs w:val="21"/>
        </w:rPr>
        <w:t>was</w:t>
      </w:r>
      <w:r w:rsidRPr="00D518FF">
        <w:rPr>
          <w:rFonts w:ascii="Aptos" w:hAnsi="Aptos" w:cs="Arial"/>
          <w:sz w:val="21"/>
          <w:szCs w:val="21"/>
        </w:rPr>
        <w:t xml:space="preserve"> used to cross-check for retractions with the Retraction Watch database</w:t>
      </w:r>
      <w:r w:rsidR="00BA627E">
        <w:rPr>
          <w:rFonts w:ascii="Aptos" w:hAnsi="Aptos" w:cs="Arial"/>
          <w:sz w:val="21"/>
          <w:szCs w:val="21"/>
        </w:rPr>
        <w:t>. E</w:t>
      </w:r>
      <w:r w:rsidRPr="00D518FF">
        <w:rPr>
          <w:rFonts w:ascii="Aptos" w:hAnsi="Aptos" w:cs="Arial"/>
          <w:sz w:val="21"/>
          <w:szCs w:val="21"/>
        </w:rPr>
        <w:t xml:space="preserve">rrata and corrigenda of included reviews </w:t>
      </w:r>
      <w:r w:rsidR="00BA627E">
        <w:rPr>
          <w:rFonts w:ascii="Aptos" w:hAnsi="Aptos" w:cs="Arial"/>
          <w:sz w:val="21"/>
          <w:szCs w:val="21"/>
        </w:rPr>
        <w:t xml:space="preserve">were also checked </w:t>
      </w:r>
      <w:r w:rsidRPr="00D518FF">
        <w:rPr>
          <w:rFonts w:ascii="Aptos" w:hAnsi="Aptos" w:cs="Arial"/>
          <w:sz w:val="21"/>
          <w:szCs w:val="21"/>
        </w:rPr>
        <w:t>through the publication sites</w:t>
      </w:r>
      <w:r w:rsidR="00BA627E">
        <w:rPr>
          <w:rFonts w:ascii="Aptos" w:hAnsi="Aptos" w:cs="Arial"/>
          <w:sz w:val="21"/>
          <w:szCs w:val="21"/>
        </w:rPr>
        <w:t xml:space="preserve">, though none </w:t>
      </w:r>
      <w:r w:rsidR="00EA6EAA">
        <w:rPr>
          <w:rFonts w:ascii="Aptos" w:hAnsi="Aptos" w:cs="Arial"/>
          <w:sz w:val="21"/>
          <w:szCs w:val="21"/>
        </w:rPr>
        <w:t>were found for reviews contributing to results</w:t>
      </w:r>
      <w:r w:rsidR="00BA627E">
        <w:rPr>
          <w:rFonts w:ascii="Aptos" w:hAnsi="Aptos" w:cs="Arial"/>
          <w:sz w:val="21"/>
          <w:szCs w:val="21"/>
        </w:rPr>
        <w:t xml:space="preserve"> (preferred reviews)</w:t>
      </w:r>
      <w:r w:rsidR="00EA6EAA">
        <w:rPr>
          <w:rFonts w:ascii="Aptos" w:hAnsi="Aptos" w:cs="Arial"/>
          <w:sz w:val="21"/>
          <w:szCs w:val="21"/>
        </w:rPr>
        <w:t>.</w:t>
      </w:r>
    </w:p>
    <w:p w14:paraId="4BCDE4A1" w14:textId="77777777" w:rsidR="00F726B5" w:rsidRPr="00D518FF" w:rsidRDefault="00F726B5" w:rsidP="0027240E">
      <w:pPr>
        <w:pStyle w:val="heading3numbers"/>
      </w:pPr>
      <w:bookmarkStart w:id="57" w:name="_Toc126835788"/>
      <w:bookmarkStart w:id="58" w:name="_Toc185254618"/>
      <w:r w:rsidRPr="00D518FF">
        <w:lastRenderedPageBreak/>
        <w:t>Inclusion decisions – full-text screening</w:t>
      </w:r>
      <w:bookmarkEnd w:id="57"/>
      <w:bookmarkEnd w:id="58"/>
    </w:p>
    <w:p w14:paraId="0C4E1127" w14:textId="14216BB0" w:rsidR="009136A0" w:rsidRDefault="00E57C2A" w:rsidP="00F726B5">
      <w:pPr>
        <w:spacing w:before="120" w:after="120"/>
        <w:rPr>
          <w:rFonts w:ascii="Aptos" w:hAnsi="Aptos" w:cs="Arial"/>
          <w:sz w:val="21"/>
          <w:szCs w:val="21"/>
        </w:rPr>
      </w:pPr>
      <w:r>
        <w:rPr>
          <w:rFonts w:ascii="Aptos" w:hAnsi="Aptos" w:cs="Arial"/>
          <w:sz w:val="21"/>
          <w:szCs w:val="21"/>
        </w:rPr>
        <w:t>One</w:t>
      </w:r>
      <w:r w:rsidR="00F726B5" w:rsidRPr="00D518FF">
        <w:rPr>
          <w:rFonts w:ascii="Aptos" w:hAnsi="Aptos" w:cs="Arial"/>
          <w:sz w:val="21"/>
          <w:szCs w:val="21"/>
        </w:rPr>
        <w:t xml:space="preserve"> reviewer retrieve</w:t>
      </w:r>
      <w:r w:rsidR="00605552">
        <w:rPr>
          <w:rFonts w:ascii="Aptos" w:hAnsi="Aptos" w:cs="Arial"/>
          <w:sz w:val="21"/>
          <w:szCs w:val="21"/>
        </w:rPr>
        <w:t>d</w:t>
      </w:r>
      <w:r w:rsidR="00F726B5" w:rsidRPr="00D518FF">
        <w:rPr>
          <w:rFonts w:ascii="Aptos" w:hAnsi="Aptos" w:cs="Arial"/>
          <w:sz w:val="21"/>
          <w:szCs w:val="21"/>
        </w:rPr>
        <w:t xml:space="preserve"> full-text copies of potentially eligible systematic reviews, and two reviewers independently screen</w:t>
      </w:r>
      <w:r w:rsidR="00D5592D">
        <w:rPr>
          <w:rFonts w:ascii="Aptos" w:hAnsi="Aptos" w:cs="Arial"/>
          <w:sz w:val="21"/>
          <w:szCs w:val="21"/>
        </w:rPr>
        <w:t>ed</w:t>
      </w:r>
      <w:r w:rsidR="00F726B5" w:rsidRPr="00D518FF">
        <w:rPr>
          <w:rFonts w:ascii="Aptos" w:hAnsi="Aptos" w:cs="Arial"/>
          <w:sz w:val="21"/>
          <w:szCs w:val="21"/>
        </w:rPr>
        <w:t xml:space="preserve"> the reviews for inclusion. </w:t>
      </w:r>
      <w:r w:rsidR="00DF1939">
        <w:rPr>
          <w:rFonts w:ascii="Aptos" w:hAnsi="Aptos" w:cs="Arial"/>
          <w:sz w:val="21"/>
          <w:szCs w:val="21"/>
        </w:rPr>
        <w:t xml:space="preserve">Following outcome prioritisation, additional full-text screening was undertaken, and reviews were excluded if they did not report any prioritised outcomes. </w:t>
      </w:r>
      <w:r w:rsidR="00F726B5" w:rsidRPr="00D518FF">
        <w:rPr>
          <w:rFonts w:ascii="Aptos" w:hAnsi="Aptos" w:cs="Arial"/>
          <w:sz w:val="21"/>
          <w:szCs w:val="21"/>
        </w:rPr>
        <w:t xml:space="preserve">Any disagreements </w:t>
      </w:r>
      <w:r w:rsidR="006F5ECE">
        <w:rPr>
          <w:rFonts w:ascii="Aptos" w:hAnsi="Aptos" w:cs="Arial"/>
          <w:sz w:val="21"/>
          <w:szCs w:val="21"/>
        </w:rPr>
        <w:t>were</w:t>
      </w:r>
      <w:r w:rsidR="00F726B5" w:rsidRPr="00D518FF">
        <w:rPr>
          <w:rFonts w:ascii="Aptos" w:hAnsi="Aptos" w:cs="Arial"/>
          <w:sz w:val="21"/>
          <w:szCs w:val="21"/>
        </w:rPr>
        <w:t xml:space="preserve"> resolved by discussion, and/or with reference to a third reviewer. Ineligible reviews </w:t>
      </w:r>
      <w:r w:rsidR="0066060C">
        <w:rPr>
          <w:rFonts w:ascii="Aptos" w:hAnsi="Aptos" w:cs="Arial"/>
          <w:sz w:val="21"/>
          <w:szCs w:val="21"/>
        </w:rPr>
        <w:t>were</w:t>
      </w:r>
      <w:r w:rsidR="00F726B5" w:rsidRPr="00D518FF">
        <w:rPr>
          <w:rFonts w:ascii="Aptos" w:hAnsi="Aptos" w:cs="Arial"/>
          <w:sz w:val="21"/>
          <w:szCs w:val="21"/>
        </w:rPr>
        <w:t xml:space="preserve"> marked with a reason for exclusion and listed in “Characteristics of excluded reviews”</w:t>
      </w:r>
      <w:r w:rsidR="0066060C">
        <w:rPr>
          <w:rFonts w:ascii="Aptos" w:hAnsi="Aptos" w:cs="Arial"/>
          <w:sz w:val="21"/>
          <w:szCs w:val="21"/>
        </w:rPr>
        <w:t xml:space="preserve"> (Appendix C)</w:t>
      </w:r>
      <w:r w:rsidR="00F726B5" w:rsidRPr="00D518FF">
        <w:rPr>
          <w:rFonts w:ascii="Aptos" w:hAnsi="Aptos" w:cs="Arial"/>
          <w:sz w:val="21"/>
          <w:szCs w:val="21"/>
        </w:rPr>
        <w:t xml:space="preserve">. </w:t>
      </w:r>
      <w:r w:rsidR="009136A0">
        <w:rPr>
          <w:rFonts w:ascii="Aptos" w:hAnsi="Aptos" w:cs="Arial"/>
          <w:sz w:val="21"/>
          <w:szCs w:val="21"/>
          <w:lang w:val="en-GB"/>
        </w:rPr>
        <w:t>R</w:t>
      </w:r>
      <w:r w:rsidR="009136A0" w:rsidRPr="009136A0">
        <w:rPr>
          <w:rFonts w:ascii="Aptos" w:hAnsi="Aptos" w:cs="Arial"/>
          <w:sz w:val="21"/>
          <w:szCs w:val="21"/>
          <w:lang w:val="en-GB"/>
        </w:rPr>
        <w:t xml:space="preserve">ecorded exclusion reasons </w:t>
      </w:r>
      <w:r w:rsidR="009136A0">
        <w:rPr>
          <w:rFonts w:ascii="Aptos" w:hAnsi="Aptos" w:cs="Arial"/>
          <w:sz w:val="21"/>
          <w:szCs w:val="21"/>
          <w:lang w:val="en-GB"/>
        </w:rPr>
        <w:t>in Appendix C are</w:t>
      </w:r>
      <w:r w:rsidR="009136A0" w:rsidRPr="009136A0">
        <w:rPr>
          <w:rFonts w:ascii="Aptos" w:hAnsi="Aptos" w:cs="Arial"/>
          <w:sz w:val="21"/>
          <w:szCs w:val="21"/>
          <w:lang w:val="en-GB"/>
        </w:rPr>
        <w:t xml:space="preserve"> the first </w:t>
      </w:r>
      <w:r w:rsidR="009136A0">
        <w:rPr>
          <w:rFonts w:ascii="Aptos" w:hAnsi="Aptos" w:cs="Arial"/>
          <w:sz w:val="21"/>
          <w:szCs w:val="21"/>
          <w:lang w:val="en-GB"/>
        </w:rPr>
        <w:t>reason</w:t>
      </w:r>
      <w:r w:rsidR="00EC4E21">
        <w:rPr>
          <w:rFonts w:ascii="Aptos" w:hAnsi="Aptos" w:cs="Arial"/>
          <w:sz w:val="21"/>
          <w:szCs w:val="21"/>
          <w:lang w:val="en-GB"/>
        </w:rPr>
        <w:t>s</w:t>
      </w:r>
      <w:r w:rsidR="009136A0">
        <w:rPr>
          <w:rFonts w:ascii="Aptos" w:hAnsi="Aptos" w:cs="Arial"/>
          <w:sz w:val="21"/>
          <w:szCs w:val="21"/>
          <w:lang w:val="en-GB"/>
        </w:rPr>
        <w:t xml:space="preserve"> identified</w:t>
      </w:r>
      <w:r w:rsidR="009136A0">
        <w:rPr>
          <w:rFonts w:ascii="Aptos" w:hAnsi="Aptos" w:cs="Arial"/>
          <w:sz w:val="21"/>
          <w:szCs w:val="21"/>
        </w:rPr>
        <w:t>, noting that in some cases there may have been more pressing/relevant reason for exclusion.</w:t>
      </w:r>
    </w:p>
    <w:p w14:paraId="34C8D1ED" w14:textId="5325552F" w:rsidR="00F726B5" w:rsidRPr="00D518FF" w:rsidRDefault="00E57C2A" w:rsidP="00F726B5">
      <w:pPr>
        <w:spacing w:before="120" w:after="120"/>
        <w:rPr>
          <w:rFonts w:ascii="Aptos" w:hAnsi="Aptos" w:cs="Arial"/>
          <w:sz w:val="21"/>
          <w:szCs w:val="21"/>
        </w:rPr>
      </w:pPr>
      <w:r>
        <w:rPr>
          <w:rFonts w:ascii="Aptos" w:hAnsi="Aptos" w:cs="Arial"/>
          <w:sz w:val="21"/>
          <w:szCs w:val="21"/>
        </w:rPr>
        <w:t>We had intended to present information on the review</w:t>
      </w:r>
      <w:r w:rsidRPr="00D518FF">
        <w:rPr>
          <w:rFonts w:ascii="Aptos" w:hAnsi="Aptos" w:cs="Arial"/>
          <w:sz w:val="21"/>
          <w:szCs w:val="21"/>
        </w:rPr>
        <w:t xml:space="preserve"> selection process </w:t>
      </w:r>
      <w:r>
        <w:rPr>
          <w:rFonts w:ascii="Aptos" w:hAnsi="Aptos" w:cs="Arial"/>
          <w:sz w:val="21"/>
          <w:szCs w:val="21"/>
        </w:rPr>
        <w:t>as a</w:t>
      </w:r>
      <w:r w:rsidRPr="00D518FF">
        <w:rPr>
          <w:rFonts w:ascii="Aptos" w:hAnsi="Aptos" w:cs="Arial"/>
          <w:sz w:val="21"/>
          <w:szCs w:val="21"/>
        </w:rPr>
        <w:t xml:space="preserve"> PRIOR flow diagram </w:t>
      </w:r>
      <w:r w:rsidR="000935F9">
        <w:rPr>
          <w:rFonts w:ascii="Aptos" w:hAnsi="Aptos" w:cs="Arial"/>
          <w:noProof/>
          <w:sz w:val="21"/>
          <w:szCs w:val="21"/>
        </w:rPr>
        <w:t>(3)</w:t>
      </w:r>
      <w:r>
        <w:rPr>
          <w:rFonts w:ascii="Aptos" w:hAnsi="Aptos" w:cs="Arial"/>
          <w:sz w:val="21"/>
          <w:szCs w:val="21"/>
        </w:rPr>
        <w:t xml:space="preserve">, however determined that a PRISMA diagram for each </w:t>
      </w:r>
      <w:r w:rsidDel="008B625F">
        <w:rPr>
          <w:rFonts w:ascii="Aptos" w:hAnsi="Aptos" w:cs="Arial"/>
          <w:sz w:val="21"/>
          <w:szCs w:val="21"/>
        </w:rPr>
        <w:t>population-</w:t>
      </w:r>
      <w:r w:rsidR="008B625F">
        <w:rPr>
          <w:rFonts w:ascii="Aptos" w:hAnsi="Aptos" w:cs="Arial"/>
          <w:sz w:val="21"/>
          <w:szCs w:val="21"/>
        </w:rPr>
        <w:t>supplement pair</w:t>
      </w:r>
      <w:r>
        <w:rPr>
          <w:rFonts w:ascii="Aptos" w:hAnsi="Aptos" w:cs="Arial"/>
          <w:sz w:val="21"/>
          <w:szCs w:val="21"/>
        </w:rPr>
        <w:t xml:space="preserve"> </w:t>
      </w:r>
      <w:r w:rsidR="00B12552">
        <w:rPr>
          <w:rFonts w:ascii="Aptos" w:hAnsi="Aptos" w:cs="Arial"/>
          <w:sz w:val="21"/>
          <w:szCs w:val="21"/>
        </w:rPr>
        <w:t xml:space="preserve">was </w:t>
      </w:r>
      <w:r>
        <w:rPr>
          <w:rFonts w:ascii="Aptos" w:hAnsi="Aptos" w:cs="Arial"/>
          <w:sz w:val="21"/>
          <w:szCs w:val="21"/>
        </w:rPr>
        <w:t>more informative</w:t>
      </w:r>
      <w:r w:rsidR="00190B88">
        <w:rPr>
          <w:rFonts w:ascii="Aptos" w:hAnsi="Aptos" w:cs="Arial"/>
          <w:sz w:val="21"/>
          <w:szCs w:val="21"/>
        </w:rPr>
        <w:t xml:space="preserve"> (</w:t>
      </w:r>
      <w:r w:rsidR="00B12552">
        <w:rPr>
          <w:rFonts w:ascii="Aptos" w:hAnsi="Aptos" w:cs="Arial"/>
          <w:sz w:val="21"/>
          <w:szCs w:val="21"/>
        </w:rPr>
        <w:t>see</w:t>
      </w:r>
      <w:r w:rsidR="00190B88">
        <w:rPr>
          <w:rFonts w:ascii="Aptos" w:hAnsi="Aptos" w:cs="Arial"/>
          <w:sz w:val="21"/>
          <w:szCs w:val="21"/>
        </w:rPr>
        <w:t xml:space="preserve"> Appendix G)</w:t>
      </w:r>
      <w:r>
        <w:rPr>
          <w:rFonts w:ascii="Aptos" w:hAnsi="Aptos" w:cs="Arial"/>
          <w:sz w:val="21"/>
          <w:szCs w:val="21"/>
        </w:rPr>
        <w:t>.</w:t>
      </w:r>
      <w:r w:rsidRPr="00D518FF">
        <w:rPr>
          <w:rFonts w:ascii="Aptos" w:hAnsi="Aptos" w:cs="Arial"/>
          <w:sz w:val="21"/>
          <w:szCs w:val="21"/>
        </w:rPr>
        <w:t xml:space="preserve"> </w:t>
      </w:r>
    </w:p>
    <w:p w14:paraId="172A37FC" w14:textId="4D783454" w:rsidR="00F726B5" w:rsidRPr="00D518FF" w:rsidRDefault="00E57C2A" w:rsidP="00F726B5">
      <w:pPr>
        <w:spacing w:before="120" w:after="120"/>
        <w:rPr>
          <w:rFonts w:ascii="Aptos" w:hAnsi="Aptos" w:cs="Arial"/>
          <w:sz w:val="21"/>
          <w:szCs w:val="21"/>
        </w:rPr>
      </w:pPr>
      <w:r>
        <w:rPr>
          <w:rFonts w:ascii="Aptos" w:hAnsi="Aptos" w:cs="Arial"/>
          <w:sz w:val="21"/>
          <w:szCs w:val="21"/>
        </w:rPr>
        <w:t>It was intended that i</w:t>
      </w:r>
      <w:r w:rsidR="00F726B5" w:rsidRPr="00D518FF">
        <w:rPr>
          <w:rFonts w:ascii="Aptos" w:hAnsi="Aptos" w:cs="Arial"/>
          <w:sz w:val="21"/>
          <w:szCs w:val="21"/>
        </w:rPr>
        <w:t xml:space="preserve">f a review </w:t>
      </w:r>
      <w:r w:rsidR="00257ACB">
        <w:rPr>
          <w:rFonts w:ascii="Aptos" w:hAnsi="Aptos" w:cs="Arial"/>
          <w:sz w:val="21"/>
          <w:szCs w:val="21"/>
        </w:rPr>
        <w:t>was</w:t>
      </w:r>
      <w:r w:rsidR="00257ACB" w:rsidRPr="00D518FF">
        <w:rPr>
          <w:rFonts w:ascii="Aptos" w:hAnsi="Aptos" w:cs="Arial"/>
          <w:sz w:val="21"/>
          <w:szCs w:val="21"/>
        </w:rPr>
        <w:t xml:space="preserve"> the only review for </w:t>
      </w:r>
      <w:r w:rsidR="00701011">
        <w:rPr>
          <w:rFonts w:ascii="Aptos" w:hAnsi="Aptos" w:cs="Arial"/>
          <w:sz w:val="21"/>
          <w:szCs w:val="21"/>
        </w:rPr>
        <w:t>a</w:t>
      </w:r>
      <w:r w:rsidR="00701011" w:rsidRPr="00D518FF">
        <w:rPr>
          <w:rFonts w:ascii="Aptos" w:hAnsi="Aptos" w:cs="Arial"/>
          <w:sz w:val="21"/>
          <w:szCs w:val="21"/>
        </w:rPr>
        <w:t xml:space="preserve"> </w:t>
      </w:r>
      <w:r w:rsidR="00257ACB" w:rsidRPr="00D518FF">
        <w:rPr>
          <w:rFonts w:ascii="Aptos" w:hAnsi="Aptos" w:cs="Arial"/>
          <w:sz w:val="21"/>
          <w:szCs w:val="21"/>
        </w:rPr>
        <w:t>priority population/intervention relevant</w:t>
      </w:r>
      <w:r w:rsidR="00257ACB" w:rsidRPr="00D518FF" w:rsidDel="00C02634">
        <w:rPr>
          <w:rFonts w:ascii="Aptos" w:hAnsi="Aptos" w:cs="Arial"/>
          <w:sz w:val="21"/>
          <w:szCs w:val="21"/>
        </w:rPr>
        <w:t xml:space="preserve"> </w:t>
      </w:r>
      <w:r w:rsidR="00FD7E94">
        <w:rPr>
          <w:rFonts w:ascii="Aptos" w:hAnsi="Aptos" w:cs="Arial"/>
          <w:sz w:val="21"/>
          <w:szCs w:val="21"/>
        </w:rPr>
        <w:t xml:space="preserve">and </w:t>
      </w:r>
      <w:r w:rsidR="00C02634">
        <w:rPr>
          <w:rFonts w:ascii="Aptos" w:hAnsi="Aptos" w:cs="Arial"/>
          <w:sz w:val="21"/>
          <w:szCs w:val="21"/>
        </w:rPr>
        <w:t>did</w:t>
      </w:r>
      <w:r w:rsidR="00C02634" w:rsidRPr="00D518FF">
        <w:rPr>
          <w:rFonts w:ascii="Aptos" w:hAnsi="Aptos" w:cs="Arial"/>
          <w:sz w:val="21"/>
          <w:szCs w:val="21"/>
        </w:rPr>
        <w:t xml:space="preserve"> </w:t>
      </w:r>
      <w:r w:rsidR="00F726B5" w:rsidRPr="00D518FF">
        <w:rPr>
          <w:rFonts w:ascii="Aptos" w:hAnsi="Aptos" w:cs="Arial"/>
          <w:sz w:val="21"/>
          <w:szCs w:val="21"/>
        </w:rPr>
        <w:t xml:space="preserve">not contain the required PICO information for a decision to be made regarding eligibility, the information </w:t>
      </w:r>
      <w:r w:rsidR="00701011">
        <w:rPr>
          <w:rFonts w:ascii="Aptos" w:hAnsi="Aptos" w:cs="Arial"/>
          <w:sz w:val="21"/>
          <w:szCs w:val="21"/>
        </w:rPr>
        <w:t xml:space="preserve">would be </w:t>
      </w:r>
      <w:r w:rsidR="00F726B5" w:rsidRPr="00D518FF">
        <w:rPr>
          <w:rFonts w:ascii="Aptos" w:hAnsi="Aptos" w:cs="Arial"/>
          <w:sz w:val="21"/>
          <w:szCs w:val="21"/>
        </w:rPr>
        <w:t xml:space="preserve">sought from the review’s authors. </w:t>
      </w:r>
      <w:r>
        <w:rPr>
          <w:rFonts w:ascii="Aptos" w:hAnsi="Aptos" w:cs="Arial"/>
          <w:sz w:val="21"/>
          <w:szCs w:val="21"/>
        </w:rPr>
        <w:t>However, this did not happen during the overview.</w:t>
      </w:r>
    </w:p>
    <w:p w14:paraId="49B26B94" w14:textId="2B42313F"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Eligible reviews that </w:t>
      </w:r>
      <w:r w:rsidR="00527070">
        <w:rPr>
          <w:rFonts w:ascii="Aptos" w:hAnsi="Aptos" w:cs="Arial"/>
          <w:sz w:val="21"/>
          <w:szCs w:val="21"/>
        </w:rPr>
        <w:t>were</w:t>
      </w:r>
      <w:r w:rsidR="00527070" w:rsidRPr="00D518FF">
        <w:rPr>
          <w:rFonts w:ascii="Aptos" w:hAnsi="Aptos" w:cs="Arial"/>
          <w:sz w:val="21"/>
          <w:szCs w:val="21"/>
        </w:rPr>
        <w:t xml:space="preserve"> </w:t>
      </w:r>
      <w:r w:rsidRPr="00D518FF">
        <w:rPr>
          <w:rFonts w:ascii="Aptos" w:hAnsi="Aptos" w:cs="Arial"/>
          <w:sz w:val="21"/>
          <w:szCs w:val="21"/>
        </w:rPr>
        <w:t xml:space="preserve">not available in English </w:t>
      </w:r>
      <w:r w:rsidR="00527070">
        <w:rPr>
          <w:rFonts w:ascii="Aptos" w:hAnsi="Aptos" w:cs="Arial"/>
          <w:sz w:val="21"/>
          <w:szCs w:val="21"/>
        </w:rPr>
        <w:t>were</w:t>
      </w:r>
      <w:r w:rsidRPr="00D518FF">
        <w:rPr>
          <w:rFonts w:ascii="Aptos" w:hAnsi="Aptos" w:cs="Arial"/>
          <w:sz w:val="21"/>
          <w:szCs w:val="21"/>
        </w:rPr>
        <w:t xml:space="preserve"> noted and managed as described</w:t>
      </w:r>
      <w:r w:rsidR="00527070">
        <w:rPr>
          <w:rFonts w:ascii="Aptos" w:hAnsi="Aptos" w:cs="Arial"/>
          <w:sz w:val="21"/>
          <w:szCs w:val="21"/>
        </w:rPr>
        <w:t xml:space="preserve"> below</w:t>
      </w:r>
      <w:r w:rsidRPr="00D518FF">
        <w:rPr>
          <w:rFonts w:ascii="Aptos" w:hAnsi="Aptos" w:cs="Arial"/>
          <w:sz w:val="21"/>
          <w:szCs w:val="21"/>
        </w:rPr>
        <w:t xml:space="preserve"> in “Reviews published in languages other than English”</w:t>
      </w:r>
      <w:r w:rsidR="00023088">
        <w:rPr>
          <w:rFonts w:ascii="Aptos" w:hAnsi="Aptos" w:cs="Arial"/>
          <w:sz w:val="21"/>
          <w:szCs w:val="21"/>
        </w:rPr>
        <w:t xml:space="preserve"> (Appendix A4.3)</w:t>
      </w:r>
      <w:r w:rsidRPr="00D518FF">
        <w:rPr>
          <w:rFonts w:ascii="Aptos" w:hAnsi="Aptos" w:cs="Arial"/>
          <w:sz w:val="21"/>
          <w:szCs w:val="21"/>
        </w:rPr>
        <w:t>.</w:t>
      </w:r>
    </w:p>
    <w:p w14:paraId="5CD5ECF9" w14:textId="77777777" w:rsidR="00F726B5" w:rsidRPr="00D518FF" w:rsidRDefault="00F726B5" w:rsidP="0027240E">
      <w:pPr>
        <w:pStyle w:val="heading3numbers"/>
      </w:pPr>
      <w:bookmarkStart w:id="59" w:name="_Toc126835789"/>
      <w:bookmarkStart w:id="60" w:name="_Toc185254619"/>
      <w:r w:rsidRPr="00D518FF">
        <w:t>Reviews published in languages other than English</w:t>
      </w:r>
      <w:bookmarkEnd w:id="59"/>
      <w:bookmarkEnd w:id="60"/>
    </w:p>
    <w:p w14:paraId="15F0EEFE" w14:textId="191477B7"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Reviews published in languages other than English </w:t>
      </w:r>
      <w:r w:rsidR="00C70912" w:rsidRPr="00D518FF">
        <w:rPr>
          <w:rFonts w:ascii="Aptos" w:hAnsi="Aptos" w:cs="Arial"/>
          <w:sz w:val="21"/>
          <w:szCs w:val="21"/>
        </w:rPr>
        <w:t>under</w:t>
      </w:r>
      <w:r w:rsidR="00C70912">
        <w:rPr>
          <w:rFonts w:ascii="Aptos" w:hAnsi="Aptos" w:cs="Arial"/>
          <w:sz w:val="21"/>
          <w:szCs w:val="21"/>
        </w:rPr>
        <w:t>went</w:t>
      </w:r>
      <w:r w:rsidR="00C70912" w:rsidRPr="00D518FF">
        <w:rPr>
          <w:rFonts w:ascii="Aptos" w:hAnsi="Aptos" w:cs="Arial"/>
          <w:sz w:val="21"/>
          <w:szCs w:val="21"/>
        </w:rPr>
        <w:t xml:space="preserve"> </w:t>
      </w:r>
      <w:r w:rsidRPr="00D518FF">
        <w:rPr>
          <w:rFonts w:ascii="Aptos" w:hAnsi="Aptos" w:cs="Arial"/>
          <w:sz w:val="21"/>
          <w:szCs w:val="21"/>
        </w:rPr>
        <w:t xml:space="preserve">title and abstract translation using Google translate (or an equivalent tool). Translated titles and abstracts </w:t>
      </w:r>
      <w:r w:rsidR="00A90B27">
        <w:rPr>
          <w:rFonts w:ascii="Aptos" w:hAnsi="Aptos" w:cs="Arial"/>
          <w:sz w:val="21"/>
          <w:szCs w:val="21"/>
        </w:rPr>
        <w:t>were</w:t>
      </w:r>
      <w:r w:rsidRPr="00D518FF">
        <w:rPr>
          <w:rFonts w:ascii="Aptos" w:hAnsi="Aptos" w:cs="Arial"/>
          <w:sz w:val="21"/>
          <w:szCs w:val="21"/>
        </w:rPr>
        <w:t xml:space="preserve"> screened during the title/abstract screening stage and reported in the </w:t>
      </w:r>
      <w:r w:rsidR="00E57C2A">
        <w:rPr>
          <w:rFonts w:ascii="Aptos" w:hAnsi="Aptos" w:cs="Arial"/>
          <w:sz w:val="21"/>
          <w:szCs w:val="21"/>
        </w:rPr>
        <w:t>PRISMA</w:t>
      </w:r>
      <w:r w:rsidR="00E57C2A" w:rsidRPr="00D518FF">
        <w:rPr>
          <w:rFonts w:ascii="Aptos" w:hAnsi="Aptos" w:cs="Arial"/>
          <w:sz w:val="21"/>
          <w:szCs w:val="21"/>
        </w:rPr>
        <w:t xml:space="preserve"> </w:t>
      </w:r>
      <w:r w:rsidRPr="00D518FF">
        <w:rPr>
          <w:rFonts w:ascii="Aptos" w:hAnsi="Aptos" w:cs="Arial"/>
          <w:sz w:val="21"/>
          <w:szCs w:val="21"/>
        </w:rPr>
        <w:t>flow diagram</w:t>
      </w:r>
      <w:r w:rsidR="00E57C2A">
        <w:rPr>
          <w:rFonts w:ascii="Aptos" w:hAnsi="Aptos" w:cs="Arial"/>
          <w:sz w:val="21"/>
          <w:szCs w:val="21"/>
        </w:rPr>
        <w:t>s</w:t>
      </w:r>
      <w:r w:rsidRPr="00D518FF">
        <w:rPr>
          <w:rFonts w:ascii="Aptos" w:hAnsi="Aptos" w:cs="Arial"/>
          <w:sz w:val="21"/>
          <w:szCs w:val="21"/>
        </w:rPr>
        <w:t>.</w:t>
      </w:r>
    </w:p>
    <w:p w14:paraId="570D3447" w14:textId="72563415"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For reviews not published in English but which </w:t>
      </w:r>
      <w:r w:rsidR="00E57C2A">
        <w:rPr>
          <w:rFonts w:ascii="Aptos" w:hAnsi="Aptos" w:cs="Arial"/>
          <w:sz w:val="21"/>
          <w:szCs w:val="21"/>
        </w:rPr>
        <w:t>were</w:t>
      </w:r>
      <w:r w:rsidR="00E57C2A" w:rsidRPr="00D518FF">
        <w:rPr>
          <w:rFonts w:ascii="Aptos" w:hAnsi="Aptos" w:cs="Arial"/>
          <w:sz w:val="21"/>
          <w:szCs w:val="21"/>
        </w:rPr>
        <w:t xml:space="preserve"> </w:t>
      </w:r>
      <w:r w:rsidRPr="00D518FF">
        <w:rPr>
          <w:rFonts w:ascii="Aptos" w:hAnsi="Aptos" w:cs="Arial"/>
          <w:sz w:val="21"/>
          <w:szCs w:val="21"/>
        </w:rPr>
        <w:t xml:space="preserve">eligible for full-text review and </w:t>
      </w:r>
      <w:r w:rsidR="00E57C2A">
        <w:rPr>
          <w:rFonts w:ascii="Aptos" w:hAnsi="Aptos" w:cs="Arial"/>
          <w:sz w:val="21"/>
          <w:szCs w:val="21"/>
        </w:rPr>
        <w:t>were</w:t>
      </w:r>
      <w:r w:rsidR="00E57C2A" w:rsidRPr="00D518FF">
        <w:rPr>
          <w:rFonts w:ascii="Aptos" w:hAnsi="Aptos" w:cs="Arial"/>
          <w:sz w:val="21"/>
          <w:szCs w:val="21"/>
        </w:rPr>
        <w:t xml:space="preserve"> </w:t>
      </w:r>
      <w:r w:rsidRPr="00D518FF">
        <w:rPr>
          <w:rFonts w:ascii="Aptos" w:hAnsi="Aptos" w:cs="Arial"/>
          <w:sz w:val="21"/>
          <w:szCs w:val="21"/>
        </w:rPr>
        <w:t xml:space="preserve">likely to meet the inclusion criteria, or if there </w:t>
      </w:r>
      <w:r w:rsidR="00190B88">
        <w:rPr>
          <w:rFonts w:ascii="Aptos" w:hAnsi="Aptos" w:cs="Arial"/>
          <w:sz w:val="21"/>
          <w:szCs w:val="21"/>
        </w:rPr>
        <w:t>was</w:t>
      </w:r>
      <w:r w:rsidR="00190B88" w:rsidRPr="00D518FF">
        <w:rPr>
          <w:rFonts w:ascii="Aptos" w:hAnsi="Aptos" w:cs="Arial"/>
          <w:sz w:val="21"/>
          <w:szCs w:val="21"/>
        </w:rPr>
        <w:t xml:space="preserve"> </w:t>
      </w:r>
      <w:r w:rsidRPr="00D518FF">
        <w:rPr>
          <w:rFonts w:ascii="Aptos" w:hAnsi="Aptos" w:cs="Arial"/>
          <w:sz w:val="21"/>
          <w:szCs w:val="21"/>
        </w:rPr>
        <w:t xml:space="preserve">any uncertainty, the full-text report </w:t>
      </w:r>
      <w:r w:rsidR="00E57C2A">
        <w:rPr>
          <w:rFonts w:ascii="Aptos" w:hAnsi="Aptos" w:cs="Arial"/>
          <w:sz w:val="21"/>
          <w:szCs w:val="21"/>
        </w:rPr>
        <w:t>was</w:t>
      </w:r>
      <w:r w:rsidR="00E57C2A" w:rsidRPr="00D518FF">
        <w:rPr>
          <w:rFonts w:ascii="Aptos" w:hAnsi="Aptos" w:cs="Arial"/>
          <w:sz w:val="21"/>
          <w:szCs w:val="21"/>
        </w:rPr>
        <w:t xml:space="preserve"> </w:t>
      </w:r>
      <w:r w:rsidRPr="00D518FF">
        <w:rPr>
          <w:rFonts w:ascii="Aptos" w:hAnsi="Aptos" w:cs="Arial"/>
          <w:sz w:val="21"/>
          <w:szCs w:val="21"/>
        </w:rPr>
        <w:t>not translated to determine the reviews’ compliance with eligibility criteria. The</w:t>
      </w:r>
      <w:r w:rsidR="008F4E9F">
        <w:rPr>
          <w:rFonts w:ascii="Aptos" w:hAnsi="Aptos" w:cs="Arial"/>
          <w:sz w:val="21"/>
          <w:szCs w:val="21"/>
        </w:rPr>
        <w:t>se reviews</w:t>
      </w:r>
      <w:r w:rsidRPr="00D518FF">
        <w:rPr>
          <w:rFonts w:ascii="Aptos" w:hAnsi="Aptos" w:cs="Arial"/>
          <w:sz w:val="21"/>
          <w:szCs w:val="21"/>
        </w:rPr>
        <w:t xml:space="preserve"> </w:t>
      </w:r>
      <w:r w:rsidR="00E57C2A">
        <w:rPr>
          <w:rFonts w:ascii="Aptos" w:hAnsi="Aptos" w:cs="Arial"/>
          <w:sz w:val="21"/>
          <w:szCs w:val="21"/>
        </w:rPr>
        <w:t>were</w:t>
      </w:r>
      <w:r w:rsidRPr="00D518FF">
        <w:rPr>
          <w:rFonts w:ascii="Aptos" w:hAnsi="Aptos" w:cs="Arial"/>
          <w:sz w:val="21"/>
          <w:szCs w:val="21"/>
        </w:rPr>
        <w:t xml:space="preserve"> recorded in a “Reviews awaiting classification” table</w:t>
      </w:r>
      <w:r w:rsidR="00BE2BFC">
        <w:rPr>
          <w:rFonts w:ascii="Aptos" w:hAnsi="Aptos" w:cs="Arial"/>
          <w:sz w:val="21"/>
          <w:szCs w:val="21"/>
        </w:rPr>
        <w:t xml:space="preserve"> (Appendix C3)</w:t>
      </w:r>
      <w:r w:rsidRPr="00D518FF">
        <w:rPr>
          <w:rFonts w:ascii="Aptos" w:hAnsi="Aptos" w:cs="Arial"/>
          <w:sz w:val="21"/>
          <w:szCs w:val="21"/>
        </w:rPr>
        <w:t xml:space="preserve">. </w:t>
      </w:r>
    </w:p>
    <w:p w14:paraId="309B75DD" w14:textId="277ED6BB"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Appropriate qualifying statements </w:t>
      </w:r>
      <w:r w:rsidR="00190B88">
        <w:rPr>
          <w:rFonts w:ascii="Aptos" w:hAnsi="Aptos" w:cs="Arial"/>
          <w:sz w:val="21"/>
          <w:szCs w:val="21"/>
        </w:rPr>
        <w:t>were</w:t>
      </w:r>
      <w:r w:rsidR="00190B88" w:rsidRPr="00D518FF">
        <w:rPr>
          <w:rFonts w:ascii="Aptos" w:hAnsi="Aptos" w:cs="Arial"/>
          <w:sz w:val="21"/>
          <w:szCs w:val="21"/>
        </w:rPr>
        <w:t xml:space="preserve"> </w:t>
      </w:r>
      <w:r w:rsidRPr="00D518FF">
        <w:rPr>
          <w:rFonts w:ascii="Aptos" w:hAnsi="Aptos" w:cs="Arial"/>
          <w:sz w:val="21"/>
          <w:szCs w:val="21"/>
        </w:rPr>
        <w:t xml:space="preserve">made throughout the </w:t>
      </w:r>
      <w:r w:rsidR="007A43D8">
        <w:rPr>
          <w:rFonts w:ascii="Aptos" w:hAnsi="Aptos" w:cs="Arial"/>
          <w:sz w:val="21"/>
          <w:szCs w:val="21"/>
        </w:rPr>
        <w:t>overview</w:t>
      </w:r>
      <w:r w:rsidRPr="00D518FF">
        <w:rPr>
          <w:rFonts w:ascii="Aptos" w:hAnsi="Aptos" w:cs="Arial"/>
          <w:sz w:val="21"/>
          <w:szCs w:val="21"/>
        </w:rPr>
        <w:t xml:space="preserve"> to acknowledge that only evidence published in English was reviewed</w:t>
      </w:r>
      <w:r w:rsidR="007A43D8">
        <w:rPr>
          <w:rFonts w:ascii="Aptos" w:hAnsi="Aptos" w:cs="Arial"/>
          <w:sz w:val="21"/>
          <w:szCs w:val="21"/>
        </w:rPr>
        <w:t xml:space="preserve"> and included</w:t>
      </w:r>
      <w:r w:rsidRPr="00D518FF">
        <w:rPr>
          <w:rFonts w:ascii="Aptos" w:hAnsi="Aptos" w:cs="Arial"/>
          <w:sz w:val="21"/>
          <w:szCs w:val="21"/>
        </w:rPr>
        <w:t xml:space="preserve">. In relevant sections of the </w:t>
      </w:r>
      <w:r w:rsidR="007A43D8">
        <w:rPr>
          <w:rFonts w:ascii="Aptos" w:hAnsi="Aptos" w:cs="Arial"/>
          <w:sz w:val="21"/>
          <w:szCs w:val="21"/>
        </w:rPr>
        <w:t>report</w:t>
      </w:r>
      <w:r w:rsidRPr="00D518FF">
        <w:rPr>
          <w:rFonts w:ascii="Aptos" w:hAnsi="Aptos" w:cs="Arial"/>
          <w:sz w:val="21"/>
          <w:szCs w:val="21"/>
        </w:rPr>
        <w:t xml:space="preserve">, potential limitations due to language bias that might influence the conclusions of the review </w:t>
      </w:r>
      <w:r w:rsidR="00334155">
        <w:rPr>
          <w:rFonts w:ascii="Aptos" w:hAnsi="Aptos" w:cs="Arial"/>
          <w:sz w:val="21"/>
          <w:szCs w:val="21"/>
        </w:rPr>
        <w:t>are</w:t>
      </w:r>
      <w:r w:rsidRPr="00D518FF">
        <w:rPr>
          <w:rFonts w:ascii="Aptos" w:hAnsi="Aptos" w:cs="Arial"/>
          <w:sz w:val="21"/>
          <w:szCs w:val="21"/>
        </w:rPr>
        <w:t xml:space="preserve"> discussed.</w:t>
      </w:r>
    </w:p>
    <w:p w14:paraId="5705729B" w14:textId="77777777" w:rsidR="00F726B5" w:rsidRPr="00D518FF" w:rsidRDefault="00F726B5" w:rsidP="0027240E">
      <w:pPr>
        <w:pStyle w:val="heading3numbers"/>
      </w:pPr>
      <w:bookmarkStart w:id="61" w:name="_Toc126835790"/>
      <w:bookmarkStart w:id="62" w:name="_Toc185254620"/>
      <w:r w:rsidRPr="00D518FF">
        <w:t>Evidence provided through the Department’s public call for evidence</w:t>
      </w:r>
      <w:bookmarkEnd w:id="61"/>
      <w:bookmarkEnd w:id="62"/>
    </w:p>
    <w:p w14:paraId="070A7D8D" w14:textId="021A8878" w:rsidR="00F726B5" w:rsidRDefault="00F726B5" w:rsidP="00F726B5">
      <w:pPr>
        <w:spacing w:before="120" w:after="120"/>
        <w:rPr>
          <w:rFonts w:ascii="Aptos" w:hAnsi="Aptos" w:cs="Arial"/>
          <w:sz w:val="21"/>
          <w:szCs w:val="21"/>
        </w:rPr>
      </w:pPr>
      <w:r w:rsidRPr="00D518FF">
        <w:rPr>
          <w:rFonts w:ascii="Aptos" w:hAnsi="Aptos" w:cs="Arial"/>
          <w:sz w:val="21"/>
          <w:szCs w:val="21"/>
        </w:rPr>
        <w:t xml:space="preserve">Evidence provided through the Department’s public call for evidence (or provided by any other key stakeholders) </w:t>
      </w:r>
      <w:r w:rsidR="00E45273">
        <w:rPr>
          <w:rFonts w:ascii="Aptos" w:hAnsi="Aptos" w:cs="Arial"/>
          <w:sz w:val="21"/>
          <w:szCs w:val="21"/>
        </w:rPr>
        <w:t>was</w:t>
      </w:r>
      <w:r w:rsidRPr="00D518FF">
        <w:rPr>
          <w:rFonts w:ascii="Aptos" w:hAnsi="Aptos" w:cs="Arial"/>
          <w:sz w:val="21"/>
          <w:szCs w:val="21"/>
        </w:rPr>
        <w:t xml:space="preserve"> assessed according to the inclusion criteria. Evidence not meeting the inclusion criteria </w:t>
      </w:r>
      <w:r w:rsidR="00E45273">
        <w:rPr>
          <w:rFonts w:ascii="Aptos" w:hAnsi="Aptos" w:cs="Arial"/>
          <w:sz w:val="21"/>
          <w:szCs w:val="21"/>
        </w:rPr>
        <w:t>was</w:t>
      </w:r>
      <w:r w:rsidRPr="00D518FF">
        <w:rPr>
          <w:rFonts w:ascii="Aptos" w:hAnsi="Aptos" w:cs="Arial"/>
          <w:sz w:val="21"/>
          <w:szCs w:val="21"/>
        </w:rPr>
        <w:t xml:space="preserve"> considered out of scope, and a rationale for exclusion </w:t>
      </w:r>
      <w:r w:rsidR="00E45273">
        <w:rPr>
          <w:rFonts w:ascii="Aptos" w:hAnsi="Aptos" w:cs="Arial"/>
          <w:sz w:val="21"/>
          <w:szCs w:val="21"/>
        </w:rPr>
        <w:t>was</w:t>
      </w:r>
      <w:r w:rsidRPr="00D518FF">
        <w:rPr>
          <w:rFonts w:ascii="Aptos" w:hAnsi="Aptos" w:cs="Arial"/>
          <w:sz w:val="21"/>
          <w:szCs w:val="21"/>
        </w:rPr>
        <w:t xml:space="preserve"> provided. Eligible reviews that have not been identified in database searches and other search processes</w:t>
      </w:r>
      <w:r w:rsidR="0094302F">
        <w:rPr>
          <w:rFonts w:ascii="Aptos" w:hAnsi="Aptos" w:cs="Arial"/>
          <w:sz w:val="21"/>
          <w:szCs w:val="21"/>
        </w:rPr>
        <w:t xml:space="preserve"> were</w:t>
      </w:r>
      <w:r w:rsidRPr="00D518FF" w:rsidDel="0094302F">
        <w:rPr>
          <w:rFonts w:ascii="Aptos" w:hAnsi="Aptos" w:cs="Arial"/>
          <w:sz w:val="21"/>
          <w:szCs w:val="21"/>
        </w:rPr>
        <w:t xml:space="preserve"> </w:t>
      </w:r>
      <w:r w:rsidRPr="00D518FF">
        <w:rPr>
          <w:rFonts w:ascii="Aptos" w:hAnsi="Aptos" w:cs="Arial"/>
          <w:sz w:val="21"/>
          <w:szCs w:val="21"/>
        </w:rPr>
        <w:t>incorporated into the review.</w:t>
      </w:r>
      <w:r w:rsidR="00546745">
        <w:rPr>
          <w:rFonts w:ascii="Aptos" w:hAnsi="Aptos" w:cs="Arial"/>
          <w:sz w:val="21"/>
          <w:szCs w:val="21"/>
        </w:rPr>
        <w:t xml:space="preserve"> Details are provided in Appendix C2.</w:t>
      </w:r>
    </w:p>
    <w:p w14:paraId="44CA1E31" w14:textId="700D16A6" w:rsidR="00C21041" w:rsidRDefault="00C21041" w:rsidP="00F23D04">
      <w:pPr>
        <w:pStyle w:val="heading3numbers"/>
        <w:rPr>
          <w:rFonts w:cs="Arial"/>
          <w:sz w:val="21"/>
          <w:szCs w:val="21"/>
        </w:rPr>
      </w:pPr>
      <w:bookmarkStart w:id="63" w:name="_Toc185254621"/>
      <w:r w:rsidRPr="00BD63EE">
        <w:rPr>
          <w:rFonts w:cs="Arial"/>
          <w:sz w:val="21"/>
          <w:szCs w:val="21"/>
        </w:rPr>
        <w:t>Selection</w:t>
      </w:r>
      <w:r>
        <w:rPr>
          <w:rFonts w:cs="Arial"/>
          <w:sz w:val="21"/>
          <w:szCs w:val="21"/>
        </w:rPr>
        <w:t xml:space="preserve"> of preferred reviews</w:t>
      </w:r>
      <w:bookmarkEnd w:id="63"/>
    </w:p>
    <w:p w14:paraId="3D9813C5" w14:textId="27A5E9FE" w:rsidR="006A38E2" w:rsidRDefault="00897277" w:rsidP="00C21041">
      <w:pPr>
        <w:spacing w:before="120" w:after="120"/>
        <w:rPr>
          <w:rFonts w:ascii="Aptos" w:hAnsi="Aptos" w:cs="Arial"/>
          <w:sz w:val="21"/>
          <w:szCs w:val="21"/>
        </w:rPr>
      </w:pPr>
      <w:r w:rsidRPr="00393733">
        <w:rPr>
          <w:rFonts w:ascii="Aptos" w:hAnsi="Aptos" w:cs="Arial"/>
          <w:sz w:val="21"/>
          <w:szCs w:val="21"/>
        </w:rPr>
        <w:t>The systematic review that provided the “best” evidence for each PICO was selected – termed “preferred” review (</w:t>
      </w:r>
      <w:r w:rsidR="00AC5AAE">
        <w:rPr>
          <w:rFonts w:ascii="Aptos" w:hAnsi="Aptos" w:cs="Arial"/>
          <w:sz w:val="21"/>
          <w:szCs w:val="21"/>
        </w:rPr>
        <w:t>6)</w:t>
      </w:r>
      <w:r w:rsidRPr="00393733">
        <w:rPr>
          <w:rFonts w:ascii="Aptos" w:hAnsi="Aptos" w:cs="Arial"/>
          <w:sz w:val="21"/>
          <w:szCs w:val="21"/>
        </w:rPr>
        <w:t xml:space="preserve">. </w:t>
      </w:r>
      <w:r w:rsidR="00C21041" w:rsidRPr="00D518FF">
        <w:rPr>
          <w:rFonts w:ascii="Aptos" w:hAnsi="Aptos" w:cs="Arial"/>
          <w:sz w:val="21"/>
          <w:szCs w:val="21"/>
        </w:rPr>
        <w:t xml:space="preserve">Where there </w:t>
      </w:r>
      <w:r w:rsidR="00C21041">
        <w:rPr>
          <w:rFonts w:ascii="Aptos" w:hAnsi="Aptos" w:cs="Arial"/>
          <w:sz w:val="21"/>
          <w:szCs w:val="21"/>
        </w:rPr>
        <w:t>were</w:t>
      </w:r>
      <w:r w:rsidR="00C21041" w:rsidRPr="00D518FF">
        <w:rPr>
          <w:rFonts w:ascii="Aptos" w:hAnsi="Aptos" w:cs="Arial"/>
          <w:sz w:val="21"/>
          <w:szCs w:val="21"/>
        </w:rPr>
        <w:t xml:space="preserve"> multiple reviews which report</w:t>
      </w:r>
      <w:r w:rsidR="00693B09">
        <w:rPr>
          <w:rFonts w:ascii="Aptos" w:hAnsi="Aptos" w:cs="Arial"/>
          <w:sz w:val="21"/>
          <w:szCs w:val="21"/>
        </w:rPr>
        <w:t>ed</w:t>
      </w:r>
      <w:r w:rsidR="00C21041" w:rsidRPr="00D518FF">
        <w:rPr>
          <w:rFonts w:ascii="Aptos" w:hAnsi="Aptos" w:cs="Arial"/>
          <w:sz w:val="21"/>
          <w:szCs w:val="21"/>
        </w:rPr>
        <w:t xml:space="preserve"> on the same PICO, the most comprehensive and/or highest quality review based on Risk of Bias in Systematic Reviews (ROBIS) assessment </w:t>
      </w:r>
      <w:r w:rsidR="00C21041">
        <w:rPr>
          <w:rFonts w:ascii="Aptos" w:hAnsi="Aptos" w:cs="Arial"/>
          <w:sz w:val="21"/>
          <w:szCs w:val="21"/>
        </w:rPr>
        <w:t>was</w:t>
      </w:r>
      <w:r w:rsidR="00C21041" w:rsidRPr="00D518FF">
        <w:rPr>
          <w:rFonts w:ascii="Aptos" w:hAnsi="Aptos" w:cs="Arial"/>
          <w:sz w:val="21"/>
          <w:szCs w:val="21"/>
        </w:rPr>
        <w:t xml:space="preserve"> selected </w:t>
      </w:r>
      <w:r w:rsidR="00C21041">
        <w:rPr>
          <w:rFonts w:ascii="Aptos" w:hAnsi="Aptos" w:cs="Arial"/>
          <w:noProof/>
          <w:sz w:val="21"/>
          <w:szCs w:val="21"/>
        </w:rPr>
        <w:t>(</w:t>
      </w:r>
      <w:r w:rsidR="0081145E">
        <w:rPr>
          <w:rFonts w:ascii="Aptos" w:hAnsi="Aptos" w:cs="Arial"/>
          <w:noProof/>
          <w:sz w:val="21"/>
          <w:szCs w:val="21"/>
        </w:rPr>
        <w:t>6</w:t>
      </w:r>
      <w:r w:rsidR="00C21041">
        <w:rPr>
          <w:rFonts w:ascii="Aptos" w:hAnsi="Aptos" w:cs="Arial"/>
          <w:noProof/>
          <w:sz w:val="21"/>
          <w:szCs w:val="21"/>
        </w:rPr>
        <w:t>)</w:t>
      </w:r>
      <w:r w:rsidR="00C21041" w:rsidRPr="00D518FF">
        <w:rPr>
          <w:rFonts w:ascii="Aptos" w:hAnsi="Aptos" w:cs="Arial"/>
          <w:sz w:val="21"/>
          <w:szCs w:val="21"/>
        </w:rPr>
        <w:t xml:space="preserve">. If there </w:t>
      </w:r>
      <w:r w:rsidR="00C21041">
        <w:rPr>
          <w:rFonts w:ascii="Aptos" w:hAnsi="Aptos" w:cs="Arial"/>
          <w:sz w:val="21"/>
          <w:szCs w:val="21"/>
        </w:rPr>
        <w:t>were</w:t>
      </w:r>
      <w:r w:rsidR="00C21041" w:rsidRPr="00D518FF">
        <w:rPr>
          <w:rFonts w:ascii="Aptos" w:hAnsi="Aptos" w:cs="Arial"/>
          <w:sz w:val="21"/>
          <w:szCs w:val="21"/>
        </w:rPr>
        <w:t xml:space="preserve"> multiple systematic reviews of a given quality and comprehensiveness, we prioritise</w:t>
      </w:r>
      <w:r w:rsidR="00C21041">
        <w:rPr>
          <w:rFonts w:ascii="Aptos" w:hAnsi="Aptos" w:cs="Arial"/>
          <w:sz w:val="21"/>
          <w:szCs w:val="21"/>
        </w:rPr>
        <w:t>d</w:t>
      </w:r>
      <w:r w:rsidR="00C21041" w:rsidRPr="00D518FF">
        <w:rPr>
          <w:rFonts w:ascii="Aptos" w:hAnsi="Aptos" w:cs="Arial"/>
          <w:sz w:val="21"/>
          <w:szCs w:val="21"/>
        </w:rPr>
        <w:t xml:space="preserve"> the most recent review for inclusion</w:t>
      </w:r>
      <w:r w:rsidR="00C21041">
        <w:rPr>
          <w:rFonts w:ascii="Aptos" w:hAnsi="Aptos" w:cs="Arial"/>
          <w:sz w:val="21"/>
          <w:szCs w:val="21"/>
        </w:rPr>
        <w:t xml:space="preserve"> (based on </w:t>
      </w:r>
      <w:r w:rsidR="00C21041" w:rsidRPr="00E77295">
        <w:rPr>
          <w:rFonts w:ascii="Aptos" w:hAnsi="Aptos" w:cs="Arial"/>
          <w:sz w:val="21"/>
          <w:szCs w:val="21"/>
        </w:rPr>
        <w:t xml:space="preserve">date review was published, </w:t>
      </w:r>
      <w:r w:rsidR="004B72A7">
        <w:rPr>
          <w:rFonts w:ascii="Aptos" w:hAnsi="Aptos" w:cs="Arial"/>
          <w:sz w:val="21"/>
          <w:szCs w:val="21"/>
        </w:rPr>
        <w:t xml:space="preserve">and, if relevant, </w:t>
      </w:r>
      <w:r w:rsidR="00C21041" w:rsidRPr="00E77295">
        <w:rPr>
          <w:rFonts w:ascii="Aptos" w:hAnsi="Aptos" w:cs="Arial"/>
          <w:sz w:val="21"/>
          <w:szCs w:val="21"/>
        </w:rPr>
        <w:t>date included primary studies were published)</w:t>
      </w:r>
      <w:r w:rsidR="00C21041" w:rsidRPr="00D518FF">
        <w:rPr>
          <w:rFonts w:ascii="Aptos" w:hAnsi="Aptos" w:cs="Arial"/>
          <w:sz w:val="21"/>
          <w:szCs w:val="21"/>
        </w:rPr>
        <w:t xml:space="preserve">. </w:t>
      </w:r>
      <w:r w:rsidR="00EF5E7C">
        <w:rPr>
          <w:rFonts w:ascii="Aptos" w:hAnsi="Aptos" w:cs="Arial"/>
          <w:sz w:val="21"/>
          <w:szCs w:val="21"/>
        </w:rPr>
        <w:t xml:space="preserve">Risk of bias of included primary studies was not </w:t>
      </w:r>
      <w:r w:rsidR="00D12CE4">
        <w:rPr>
          <w:rFonts w:ascii="Aptos" w:hAnsi="Aptos" w:cs="Arial"/>
          <w:sz w:val="21"/>
          <w:szCs w:val="21"/>
        </w:rPr>
        <w:t>considered</w:t>
      </w:r>
      <w:r w:rsidR="00EF5E7C">
        <w:rPr>
          <w:rFonts w:ascii="Aptos" w:hAnsi="Aptos" w:cs="Arial"/>
          <w:sz w:val="21"/>
          <w:szCs w:val="21"/>
        </w:rPr>
        <w:t xml:space="preserve"> in the selection of preferred reviews.</w:t>
      </w:r>
    </w:p>
    <w:p w14:paraId="618D6467" w14:textId="64EA8C42" w:rsidR="00C21041" w:rsidRDefault="00C21041" w:rsidP="00C21041">
      <w:pPr>
        <w:spacing w:before="120" w:after="120"/>
        <w:rPr>
          <w:rFonts w:ascii="Aptos" w:hAnsi="Aptos" w:cs="Arial"/>
          <w:sz w:val="21"/>
          <w:szCs w:val="21"/>
        </w:rPr>
      </w:pPr>
      <w:r w:rsidRPr="00D518FF">
        <w:rPr>
          <w:rFonts w:ascii="Aptos" w:hAnsi="Aptos" w:cs="Arial"/>
          <w:sz w:val="21"/>
          <w:szCs w:val="21"/>
        </w:rPr>
        <w:t xml:space="preserve">Rather than implementing rigid decision rules for </w:t>
      </w:r>
      <w:r w:rsidR="00FC0487" w:rsidRPr="00FC0487">
        <w:rPr>
          <w:rFonts w:ascii="Aptos" w:hAnsi="Aptos" w:cs="Arial"/>
          <w:sz w:val="21"/>
          <w:szCs w:val="21"/>
        </w:rPr>
        <w:t>use of the criteria to select “preferred reviews”,</w:t>
      </w:r>
      <w:r w:rsidRPr="00D518FF">
        <w:rPr>
          <w:rFonts w:ascii="Aptos" w:hAnsi="Aptos" w:cs="Arial"/>
          <w:sz w:val="21"/>
          <w:szCs w:val="21"/>
        </w:rPr>
        <w:t xml:space="preserve"> these </w:t>
      </w:r>
      <w:r>
        <w:rPr>
          <w:rFonts w:ascii="Aptos" w:hAnsi="Aptos" w:cs="Arial"/>
          <w:sz w:val="21"/>
          <w:szCs w:val="21"/>
        </w:rPr>
        <w:t>were</w:t>
      </w:r>
      <w:r w:rsidRPr="00D518FF">
        <w:rPr>
          <w:rFonts w:ascii="Aptos" w:hAnsi="Aptos" w:cs="Arial"/>
          <w:sz w:val="21"/>
          <w:szCs w:val="21"/>
        </w:rPr>
        <w:t xml:space="preserve"> used as guiding principles for choosing the most relevant evidence (per advice from NTWC and NTREAP). </w:t>
      </w:r>
      <w:r w:rsidR="007E64F7" w:rsidRPr="007E64F7">
        <w:rPr>
          <w:rFonts w:ascii="Aptos" w:hAnsi="Aptos" w:cs="Arial"/>
          <w:sz w:val="21"/>
          <w:szCs w:val="21"/>
        </w:rPr>
        <w:t>Explanations for choosing the preferred review for each PICO are presented in the relevant results sections.</w:t>
      </w:r>
    </w:p>
    <w:p w14:paraId="64DADDF0" w14:textId="77777777" w:rsidR="00A41187" w:rsidRPr="00A41187" w:rsidRDefault="00A41187" w:rsidP="00A41187">
      <w:pPr>
        <w:spacing w:before="120" w:after="120"/>
        <w:rPr>
          <w:rFonts w:ascii="Aptos" w:hAnsi="Aptos" w:cs="Arial"/>
          <w:sz w:val="21"/>
          <w:szCs w:val="21"/>
        </w:rPr>
      </w:pPr>
      <w:r w:rsidRPr="00A41187">
        <w:rPr>
          <w:rFonts w:ascii="Aptos" w:hAnsi="Aptos" w:cs="Arial"/>
          <w:sz w:val="21"/>
          <w:szCs w:val="21"/>
        </w:rPr>
        <w:lastRenderedPageBreak/>
        <w:t>Key criteria considered in selection of preferred reviews was:</w:t>
      </w:r>
    </w:p>
    <w:tbl>
      <w:tblPr>
        <w:tblStyle w:val="TableGrid"/>
        <w:tblW w:w="0" w:type="auto"/>
        <w:tblLook w:val="04A0" w:firstRow="1" w:lastRow="0" w:firstColumn="1" w:lastColumn="0" w:noHBand="0" w:noVBand="1"/>
      </w:tblPr>
      <w:tblGrid>
        <w:gridCol w:w="2270"/>
        <w:gridCol w:w="6787"/>
      </w:tblGrid>
      <w:tr w:rsidR="00A41187" w:rsidRPr="003B3ED0" w14:paraId="21AFCC98" w14:textId="77777777" w:rsidTr="00CF6EDC">
        <w:trPr>
          <w:trHeight w:val="90"/>
        </w:trPr>
        <w:tc>
          <w:tcPr>
            <w:tcW w:w="2270" w:type="dxa"/>
          </w:tcPr>
          <w:p w14:paraId="3B811EAC" w14:textId="77777777" w:rsidR="00A41187" w:rsidRPr="002F1F79" w:rsidRDefault="00A41187" w:rsidP="00CF6EDC">
            <w:pPr>
              <w:pStyle w:val="2024TABLETEXT"/>
              <w:framePr w:hSpace="0" w:wrap="auto" w:vAnchor="margin" w:yAlign="inline"/>
              <w:suppressOverlap w:val="0"/>
              <w:rPr>
                <w:b/>
                <w:bCs/>
              </w:rPr>
            </w:pPr>
            <w:r w:rsidRPr="002F1F79">
              <w:rPr>
                <w:b/>
                <w:bCs/>
              </w:rPr>
              <w:t>Criteria</w:t>
            </w:r>
          </w:p>
        </w:tc>
        <w:tc>
          <w:tcPr>
            <w:tcW w:w="6787" w:type="dxa"/>
          </w:tcPr>
          <w:p w14:paraId="63828832" w14:textId="77777777" w:rsidR="00A41187" w:rsidRPr="002F1F79" w:rsidRDefault="00A41187" w:rsidP="00CF6EDC">
            <w:pPr>
              <w:pStyle w:val="2024TABLETEXT"/>
              <w:framePr w:hSpace="0" w:wrap="auto" w:vAnchor="margin" w:yAlign="inline"/>
              <w:suppressOverlap w:val="0"/>
              <w:rPr>
                <w:b/>
                <w:bCs/>
              </w:rPr>
            </w:pPr>
            <w:r w:rsidRPr="002F1F79">
              <w:rPr>
                <w:b/>
                <w:bCs/>
              </w:rPr>
              <w:t>Assessed by:</w:t>
            </w:r>
          </w:p>
        </w:tc>
      </w:tr>
      <w:tr w:rsidR="00A41187" w:rsidRPr="003B3ED0" w14:paraId="4940AC60" w14:textId="77777777" w:rsidTr="00CF6EDC">
        <w:trPr>
          <w:trHeight w:val="557"/>
        </w:trPr>
        <w:tc>
          <w:tcPr>
            <w:tcW w:w="2270" w:type="dxa"/>
          </w:tcPr>
          <w:p w14:paraId="7048A24E" w14:textId="77777777" w:rsidR="00A41187" w:rsidRPr="007A08C7" w:rsidRDefault="00A41187" w:rsidP="00CF6EDC">
            <w:pPr>
              <w:pStyle w:val="2024TABLETEXT"/>
              <w:framePr w:hSpace="0" w:wrap="auto" w:vAnchor="margin" w:yAlign="inline"/>
              <w:suppressOverlap w:val="0"/>
            </w:pPr>
            <w:r w:rsidRPr="007A08C7">
              <w:t>Comprehensive</w:t>
            </w:r>
          </w:p>
        </w:tc>
        <w:tc>
          <w:tcPr>
            <w:tcW w:w="6787" w:type="dxa"/>
          </w:tcPr>
          <w:p w14:paraId="2D87884B" w14:textId="09D0D9FD" w:rsidR="00A41187" w:rsidRPr="007A08C7" w:rsidRDefault="00A41187" w:rsidP="00A41187">
            <w:pPr>
              <w:pStyle w:val="2024TABLETEXT"/>
              <w:framePr w:hSpace="0" w:wrap="auto" w:vAnchor="margin" w:yAlign="inline"/>
              <w:numPr>
                <w:ilvl w:val="0"/>
                <w:numId w:val="56"/>
              </w:numPr>
              <w:ind w:left="172" w:hanging="218"/>
              <w:suppressOverlap w:val="0"/>
            </w:pPr>
            <w:r w:rsidRPr="007A08C7">
              <w:t>Meta-analysis preferred to systematic review</w:t>
            </w:r>
            <w:r>
              <w:t>.</w:t>
            </w:r>
          </w:p>
          <w:p w14:paraId="438465C2" w14:textId="4EE7E8F5" w:rsidR="00A41187" w:rsidRPr="007A08C7" w:rsidRDefault="00A41187" w:rsidP="00A41187">
            <w:pPr>
              <w:pStyle w:val="2024TABLETEXT"/>
              <w:framePr w:hSpace="0" w:wrap="auto" w:vAnchor="margin" w:yAlign="inline"/>
              <w:numPr>
                <w:ilvl w:val="0"/>
                <w:numId w:val="56"/>
              </w:numPr>
              <w:ind w:left="172" w:hanging="218"/>
              <w:suppressOverlap w:val="0"/>
            </w:pPr>
            <w:r>
              <w:t>Highest number of</w:t>
            </w:r>
            <w:r w:rsidRPr="007A08C7">
              <w:t xml:space="preserve"> included studies and/or participants in meta-analysis</w:t>
            </w:r>
            <w:r>
              <w:t xml:space="preserve"> or systematic review.</w:t>
            </w:r>
          </w:p>
        </w:tc>
      </w:tr>
      <w:tr w:rsidR="00A41187" w:rsidRPr="003B3ED0" w14:paraId="4C058EF0" w14:textId="77777777" w:rsidTr="00CF6EDC">
        <w:trPr>
          <w:trHeight w:val="90"/>
        </w:trPr>
        <w:tc>
          <w:tcPr>
            <w:tcW w:w="2270" w:type="dxa"/>
          </w:tcPr>
          <w:p w14:paraId="5121C41A" w14:textId="77777777" w:rsidR="00A41187" w:rsidRPr="007A08C7" w:rsidRDefault="00A41187" w:rsidP="00CF6EDC">
            <w:pPr>
              <w:pStyle w:val="2024TABLETEXT"/>
              <w:framePr w:hSpace="0" w:wrap="auto" w:vAnchor="margin" w:yAlign="inline"/>
              <w:suppressOverlap w:val="0"/>
            </w:pPr>
            <w:r w:rsidRPr="007A08C7">
              <w:t>Highest quality</w:t>
            </w:r>
          </w:p>
        </w:tc>
        <w:tc>
          <w:tcPr>
            <w:tcW w:w="6787" w:type="dxa"/>
          </w:tcPr>
          <w:p w14:paraId="176D027F" w14:textId="03AD07E1" w:rsidR="00A41187" w:rsidRPr="007A08C7" w:rsidRDefault="00A41187" w:rsidP="00A41187">
            <w:pPr>
              <w:pStyle w:val="2024TABLETEXT"/>
              <w:framePr w:hSpace="0" w:wrap="auto" w:vAnchor="margin" w:yAlign="inline"/>
              <w:numPr>
                <w:ilvl w:val="0"/>
                <w:numId w:val="56"/>
              </w:numPr>
              <w:ind w:left="172" w:hanging="218"/>
              <w:suppressOverlap w:val="0"/>
            </w:pPr>
            <w:r w:rsidRPr="007A08C7">
              <w:t>Lowest risk of bias of review assessed using ROBIS</w:t>
            </w:r>
            <w:r w:rsidR="00266048">
              <w:t>.</w:t>
            </w:r>
          </w:p>
        </w:tc>
      </w:tr>
      <w:tr w:rsidR="00A41187" w:rsidRPr="003B3ED0" w14:paraId="5D97D998" w14:textId="77777777" w:rsidTr="00DD5E3C">
        <w:trPr>
          <w:trHeight w:val="137"/>
        </w:trPr>
        <w:tc>
          <w:tcPr>
            <w:tcW w:w="2270" w:type="dxa"/>
          </w:tcPr>
          <w:p w14:paraId="0C496E00" w14:textId="77777777" w:rsidR="00A41187" w:rsidRPr="007A08C7" w:rsidRDefault="00A41187" w:rsidP="00CF6EDC">
            <w:pPr>
              <w:pStyle w:val="2024TABLETEXT"/>
              <w:framePr w:hSpace="0" w:wrap="auto" w:vAnchor="margin" w:yAlign="inline"/>
              <w:suppressOverlap w:val="0"/>
            </w:pPr>
            <w:r w:rsidRPr="007A08C7">
              <w:t>Recency</w:t>
            </w:r>
          </w:p>
        </w:tc>
        <w:tc>
          <w:tcPr>
            <w:tcW w:w="6787" w:type="dxa"/>
          </w:tcPr>
          <w:p w14:paraId="780D9D2F" w14:textId="2A1FE4AB" w:rsidR="00A41187" w:rsidRPr="007A08C7" w:rsidRDefault="00A41187" w:rsidP="00A41187">
            <w:pPr>
              <w:pStyle w:val="2024TABLETEXT"/>
              <w:framePr w:hSpace="0" w:wrap="auto" w:vAnchor="margin" w:yAlign="inline"/>
              <w:numPr>
                <w:ilvl w:val="0"/>
                <w:numId w:val="56"/>
              </w:numPr>
              <w:ind w:left="172" w:hanging="218"/>
              <w:suppressOverlap w:val="0"/>
            </w:pPr>
            <w:r>
              <w:t>Most recent r</w:t>
            </w:r>
            <w:r w:rsidRPr="007A08C7">
              <w:t>eview publish date</w:t>
            </w:r>
            <w:r w:rsidR="00266048">
              <w:t>.</w:t>
            </w:r>
          </w:p>
          <w:p w14:paraId="3D541434" w14:textId="77777777" w:rsidR="00A41187" w:rsidRPr="007A08C7" w:rsidRDefault="00A41187" w:rsidP="00A41187">
            <w:pPr>
              <w:pStyle w:val="2024TABLETEXT"/>
              <w:framePr w:hSpace="0" w:wrap="auto" w:vAnchor="margin" w:yAlign="inline"/>
              <w:numPr>
                <w:ilvl w:val="0"/>
                <w:numId w:val="56"/>
              </w:numPr>
              <w:ind w:left="172" w:hanging="218"/>
              <w:suppressOverlap w:val="0"/>
            </w:pPr>
            <w:r>
              <w:t>Most recent p</w:t>
            </w:r>
            <w:r w:rsidRPr="007A08C7">
              <w:t>ublish dates of included primary studies</w:t>
            </w:r>
          </w:p>
        </w:tc>
      </w:tr>
    </w:tbl>
    <w:p w14:paraId="085BE809" w14:textId="77777777" w:rsidR="00A41187" w:rsidRDefault="00A41187" w:rsidP="00C21041">
      <w:pPr>
        <w:spacing w:before="120" w:after="120"/>
        <w:rPr>
          <w:rFonts w:ascii="Aptos" w:hAnsi="Aptos" w:cs="Arial"/>
          <w:sz w:val="21"/>
          <w:szCs w:val="21"/>
        </w:rPr>
      </w:pPr>
    </w:p>
    <w:p w14:paraId="6E2E6E2E" w14:textId="77777777" w:rsidR="00393733" w:rsidRPr="00393733" w:rsidRDefault="00393733" w:rsidP="00C21041">
      <w:pPr>
        <w:spacing w:before="120" w:after="120"/>
      </w:pPr>
    </w:p>
    <w:p w14:paraId="38C2866F" w14:textId="77777777" w:rsidR="00C21041" w:rsidRPr="00D518FF" w:rsidRDefault="00C21041" w:rsidP="00F726B5">
      <w:pPr>
        <w:spacing w:before="120" w:after="120"/>
        <w:rPr>
          <w:rFonts w:ascii="Aptos" w:hAnsi="Aptos" w:cs="Arial"/>
          <w:sz w:val="21"/>
          <w:szCs w:val="21"/>
        </w:rPr>
      </w:pPr>
    </w:p>
    <w:p w14:paraId="607947BA" w14:textId="34D920D0" w:rsidR="0055680C" w:rsidRPr="0055680C" w:rsidRDefault="0055680C" w:rsidP="0055680C">
      <w:pPr>
        <w:pStyle w:val="Heading1"/>
        <w:rPr>
          <w:rFonts w:ascii="Aptos" w:eastAsia="Calibri" w:hAnsi="Aptos"/>
          <w:b/>
          <w:bCs w:val="0"/>
          <w:color w:val="C00000"/>
          <w:w w:val="105"/>
        </w:rPr>
      </w:pPr>
      <w:bookmarkStart w:id="64" w:name="_Toc185254622"/>
      <w:bookmarkStart w:id="65" w:name="_Toc126835791"/>
      <w:r w:rsidRPr="0055680C">
        <w:rPr>
          <w:rFonts w:ascii="Aptos" w:eastAsia="Calibri" w:hAnsi="Aptos"/>
          <w:b/>
          <w:bCs w:val="0"/>
          <w:color w:val="C00000"/>
          <w:w w:val="105"/>
        </w:rPr>
        <w:lastRenderedPageBreak/>
        <w:t>Methods of data collection, appraisal and reporting</w:t>
      </w:r>
      <w:bookmarkEnd w:id="64"/>
    </w:p>
    <w:p w14:paraId="387F4A83" w14:textId="6755C527" w:rsidR="00F726B5" w:rsidRPr="00D518FF" w:rsidRDefault="00F726B5" w:rsidP="0055680C">
      <w:pPr>
        <w:pStyle w:val="heading2numbers"/>
      </w:pPr>
      <w:bookmarkStart w:id="66" w:name="_Ref172746770"/>
      <w:bookmarkStart w:id="67" w:name="_Toc185254623"/>
      <w:r w:rsidRPr="00D518FF">
        <w:t>Data collection</w:t>
      </w:r>
      <w:bookmarkEnd w:id="54"/>
      <w:bookmarkEnd w:id="65"/>
      <w:bookmarkEnd w:id="66"/>
      <w:bookmarkEnd w:id="67"/>
      <w:r w:rsidRPr="00D518FF">
        <w:t xml:space="preserve"> </w:t>
      </w:r>
    </w:p>
    <w:p w14:paraId="065A5797" w14:textId="77777777" w:rsidR="00F726B5" w:rsidRPr="00D518FF" w:rsidRDefault="00F726B5" w:rsidP="0055680C">
      <w:pPr>
        <w:pStyle w:val="heading3numbers"/>
      </w:pPr>
      <w:bookmarkStart w:id="68" w:name="_Toc100711496"/>
      <w:bookmarkStart w:id="69" w:name="_Toc126835792"/>
      <w:bookmarkStart w:id="70" w:name="_Toc185254624"/>
      <w:r w:rsidRPr="00D518FF">
        <w:t>Data collection process</w:t>
      </w:r>
      <w:bookmarkEnd w:id="68"/>
      <w:bookmarkEnd w:id="69"/>
      <w:bookmarkEnd w:id="70"/>
    </w:p>
    <w:p w14:paraId="52DEE0B8" w14:textId="7016FBA0"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w:t>
      </w:r>
      <w:r w:rsidR="00D3352A">
        <w:rPr>
          <w:rFonts w:ascii="Aptos" w:hAnsi="Aptos" w:cs="Arial"/>
          <w:sz w:val="21"/>
          <w:szCs w:val="21"/>
        </w:rPr>
        <w:t xml:space="preserve">data </w:t>
      </w:r>
      <w:r w:rsidRPr="00D518FF">
        <w:rPr>
          <w:rFonts w:ascii="Aptos" w:hAnsi="Aptos" w:cs="Arial"/>
          <w:sz w:val="21"/>
          <w:szCs w:val="21"/>
        </w:rPr>
        <w:t xml:space="preserve">extraction form finalised after the outcome prioritisation exercise </w:t>
      </w:r>
      <w:r w:rsidR="0045429E">
        <w:rPr>
          <w:rFonts w:ascii="Aptos" w:hAnsi="Aptos" w:cs="Arial"/>
          <w:sz w:val="21"/>
          <w:szCs w:val="21"/>
        </w:rPr>
        <w:t>was</w:t>
      </w:r>
      <w:r w:rsidRPr="00D518FF">
        <w:rPr>
          <w:rFonts w:ascii="Aptos" w:hAnsi="Aptos" w:cs="Arial"/>
          <w:sz w:val="21"/>
          <w:szCs w:val="21"/>
        </w:rPr>
        <w:t xml:space="preserve"> piloted on 5 systematic reviews across multiple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s to test practicality and reliability. During piloting, two reviewers independently extract</w:t>
      </w:r>
      <w:r w:rsidR="00143654">
        <w:rPr>
          <w:rFonts w:ascii="Aptos" w:hAnsi="Aptos" w:cs="Arial"/>
          <w:sz w:val="21"/>
          <w:szCs w:val="21"/>
        </w:rPr>
        <w:t>ed</w:t>
      </w:r>
      <w:r w:rsidRPr="00D518FF">
        <w:rPr>
          <w:rFonts w:ascii="Aptos" w:hAnsi="Aptos" w:cs="Arial"/>
          <w:sz w:val="21"/>
          <w:szCs w:val="21"/>
        </w:rPr>
        <w:t xml:space="preserve"> the data from </w:t>
      </w:r>
      <w:r w:rsidR="00E57C2A">
        <w:rPr>
          <w:rFonts w:ascii="Aptos" w:hAnsi="Aptos" w:cs="Arial"/>
          <w:sz w:val="21"/>
          <w:szCs w:val="21"/>
        </w:rPr>
        <w:t>the</w:t>
      </w:r>
      <w:r w:rsidR="00E57C2A" w:rsidRPr="00D518FF">
        <w:rPr>
          <w:rFonts w:ascii="Aptos" w:hAnsi="Aptos" w:cs="Arial"/>
          <w:sz w:val="21"/>
          <w:szCs w:val="21"/>
        </w:rPr>
        <w:t xml:space="preserve"> </w:t>
      </w:r>
      <w:r w:rsidRPr="00D518FF">
        <w:rPr>
          <w:rFonts w:ascii="Aptos" w:hAnsi="Aptos" w:cs="Arial"/>
          <w:sz w:val="21"/>
          <w:szCs w:val="21"/>
        </w:rPr>
        <w:t xml:space="preserve">systematic reviews into the extraction forms to ensure consistent understanding and suitability of the forms. Completed data extraction forms </w:t>
      </w:r>
      <w:r w:rsidR="00413DBD">
        <w:rPr>
          <w:rFonts w:ascii="Aptos" w:hAnsi="Aptos" w:cs="Arial"/>
          <w:sz w:val="21"/>
          <w:szCs w:val="21"/>
        </w:rPr>
        <w:t>were</w:t>
      </w:r>
      <w:r w:rsidR="00413DBD" w:rsidRPr="00D518FF">
        <w:rPr>
          <w:rFonts w:ascii="Aptos" w:hAnsi="Aptos" w:cs="Arial"/>
          <w:sz w:val="21"/>
          <w:szCs w:val="21"/>
        </w:rPr>
        <w:t xml:space="preserve"> </w:t>
      </w:r>
      <w:r w:rsidRPr="00D518FF">
        <w:rPr>
          <w:rFonts w:ascii="Aptos" w:hAnsi="Aptos" w:cs="Arial"/>
          <w:sz w:val="21"/>
          <w:szCs w:val="21"/>
        </w:rPr>
        <w:t>compared by a third reviewer, with any discrepancies in extractions reconciled by discussion.</w:t>
      </w:r>
    </w:p>
    <w:p w14:paraId="4B5FDAC5" w14:textId="5DE7E069"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Two reviewers independently extract</w:t>
      </w:r>
      <w:r w:rsidR="00413DBD">
        <w:rPr>
          <w:rFonts w:ascii="Aptos" w:hAnsi="Aptos" w:cs="Arial"/>
          <w:sz w:val="21"/>
          <w:szCs w:val="21"/>
        </w:rPr>
        <w:t>ed</w:t>
      </w:r>
      <w:r w:rsidRPr="00D518FF">
        <w:rPr>
          <w:rFonts w:ascii="Aptos" w:hAnsi="Aptos" w:cs="Arial"/>
          <w:sz w:val="21"/>
          <w:szCs w:val="21"/>
        </w:rPr>
        <w:t xml:space="preserve"> data from reports of included systematic reviews using data extraction forms. </w:t>
      </w:r>
      <w:r w:rsidR="00896E9F">
        <w:rPr>
          <w:rFonts w:ascii="Aptos" w:hAnsi="Aptos" w:cs="Arial"/>
          <w:sz w:val="21"/>
          <w:szCs w:val="21"/>
        </w:rPr>
        <w:t>All information was extracted and reported in Appendix D and E as per the review, with no or minimal editing.</w:t>
      </w:r>
    </w:p>
    <w:p w14:paraId="37588EEF" w14:textId="3F33FD0B"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Addressing overlap</w:t>
      </w:r>
    </w:p>
    <w:p w14:paraId="5B7038B8" w14:textId="3FBE7155"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All systematic reviews that met </w:t>
      </w:r>
      <w:r w:rsidR="008C59EA">
        <w:rPr>
          <w:rFonts w:ascii="Aptos" w:hAnsi="Aptos" w:cs="Arial"/>
          <w:sz w:val="21"/>
          <w:szCs w:val="21"/>
        </w:rPr>
        <w:t>inclusion criteria</w:t>
      </w:r>
      <w:r w:rsidRPr="00D518FF">
        <w:rPr>
          <w:rFonts w:ascii="Aptos" w:hAnsi="Aptos" w:cs="Arial"/>
          <w:sz w:val="21"/>
          <w:szCs w:val="21"/>
        </w:rPr>
        <w:t>, regardless of overlap</w:t>
      </w:r>
      <w:r w:rsidR="008C59EA">
        <w:rPr>
          <w:rFonts w:ascii="Aptos" w:hAnsi="Aptos" w:cs="Arial"/>
          <w:sz w:val="21"/>
          <w:szCs w:val="21"/>
        </w:rPr>
        <w:t>,</w:t>
      </w:r>
      <w:r w:rsidRPr="00D518FF">
        <w:rPr>
          <w:rFonts w:ascii="Aptos" w:hAnsi="Aptos" w:cs="Arial"/>
          <w:sz w:val="21"/>
          <w:szCs w:val="21"/>
        </w:rPr>
        <w:t xml:space="preserve"> </w:t>
      </w:r>
      <w:r w:rsidR="00E57C2A">
        <w:rPr>
          <w:rFonts w:ascii="Aptos" w:hAnsi="Aptos" w:cs="Arial"/>
          <w:sz w:val="21"/>
          <w:szCs w:val="21"/>
        </w:rPr>
        <w:t>were</w:t>
      </w:r>
      <w:r w:rsidRPr="00D518FF">
        <w:rPr>
          <w:rFonts w:ascii="Aptos" w:hAnsi="Aptos" w:cs="Arial"/>
          <w:sz w:val="21"/>
          <w:szCs w:val="21"/>
        </w:rPr>
        <w:t xml:space="preserve"> included and recorded in “Characteristics of included reviews” table</w:t>
      </w:r>
      <w:r w:rsidR="004978E7">
        <w:rPr>
          <w:rFonts w:ascii="Aptos" w:hAnsi="Aptos" w:cs="Arial"/>
          <w:sz w:val="21"/>
          <w:szCs w:val="21"/>
        </w:rPr>
        <w:t>s (Appendix D</w:t>
      </w:r>
      <w:r w:rsidR="00050CCF">
        <w:rPr>
          <w:rFonts w:ascii="Aptos" w:hAnsi="Aptos" w:cs="Arial"/>
          <w:sz w:val="21"/>
          <w:szCs w:val="21"/>
        </w:rPr>
        <w:t>)</w:t>
      </w:r>
      <w:r w:rsidRPr="00D518FF">
        <w:rPr>
          <w:rFonts w:ascii="Aptos" w:hAnsi="Aptos" w:cs="Arial"/>
          <w:sz w:val="21"/>
          <w:szCs w:val="21"/>
        </w:rPr>
        <w:t xml:space="preserve">. </w:t>
      </w:r>
      <w:r w:rsidR="00021877">
        <w:rPr>
          <w:rFonts w:ascii="Aptos" w:hAnsi="Aptos" w:cs="Arial"/>
          <w:sz w:val="21"/>
          <w:szCs w:val="21"/>
        </w:rPr>
        <w:t>T</w:t>
      </w:r>
      <w:r w:rsidR="001808E8">
        <w:rPr>
          <w:rFonts w:ascii="Aptos" w:hAnsi="Aptos" w:cs="Arial"/>
          <w:sz w:val="21"/>
          <w:szCs w:val="21"/>
        </w:rPr>
        <w:t>o assess which reviews addressed the same or similar questions</w:t>
      </w:r>
      <w:r w:rsidR="00C86464">
        <w:rPr>
          <w:rFonts w:ascii="Aptos" w:hAnsi="Aptos" w:cs="Arial"/>
          <w:sz w:val="21"/>
          <w:szCs w:val="21"/>
        </w:rPr>
        <w:t xml:space="preserve"> the aim of the study and PICO </w:t>
      </w:r>
      <w:r w:rsidR="00021877">
        <w:rPr>
          <w:rFonts w:ascii="Aptos" w:hAnsi="Aptos" w:cs="Arial"/>
          <w:sz w:val="21"/>
          <w:szCs w:val="21"/>
        </w:rPr>
        <w:t xml:space="preserve">were </w:t>
      </w:r>
      <w:r w:rsidR="00C86464">
        <w:rPr>
          <w:rFonts w:ascii="Aptos" w:hAnsi="Aptos" w:cs="Arial"/>
          <w:sz w:val="21"/>
          <w:szCs w:val="21"/>
        </w:rPr>
        <w:t xml:space="preserve">examined. </w:t>
      </w:r>
      <w:r w:rsidR="003C7085">
        <w:rPr>
          <w:rFonts w:ascii="Aptos" w:hAnsi="Aptos" w:cs="Arial"/>
          <w:sz w:val="21"/>
          <w:szCs w:val="21"/>
        </w:rPr>
        <w:t>The protocol listed that f</w:t>
      </w:r>
      <w:r w:rsidR="003C7085" w:rsidRPr="00D518FF">
        <w:rPr>
          <w:rFonts w:ascii="Aptos" w:hAnsi="Aptos" w:cs="Arial"/>
          <w:sz w:val="21"/>
          <w:szCs w:val="21"/>
        </w:rPr>
        <w:t xml:space="preserve">ollowing </w:t>
      </w:r>
      <w:r w:rsidRPr="00D518FF">
        <w:rPr>
          <w:rFonts w:ascii="Aptos" w:hAnsi="Aptos" w:cs="Arial"/>
          <w:sz w:val="21"/>
          <w:szCs w:val="21"/>
        </w:rPr>
        <w:t xml:space="preserve">inclusion decision, an assessment of the overlap across systematic reviews </w:t>
      </w:r>
      <w:r w:rsidR="003C7085">
        <w:rPr>
          <w:rFonts w:ascii="Aptos" w:hAnsi="Aptos" w:cs="Arial"/>
          <w:sz w:val="21"/>
          <w:szCs w:val="21"/>
        </w:rPr>
        <w:t>would</w:t>
      </w:r>
      <w:r w:rsidR="003C7085" w:rsidRPr="00D518FF">
        <w:rPr>
          <w:rFonts w:ascii="Aptos" w:hAnsi="Aptos" w:cs="Arial"/>
          <w:sz w:val="21"/>
          <w:szCs w:val="21"/>
        </w:rPr>
        <w:t xml:space="preserve"> </w:t>
      </w:r>
      <w:r w:rsidRPr="00D518FF">
        <w:rPr>
          <w:rFonts w:ascii="Aptos" w:hAnsi="Aptos" w:cs="Arial"/>
          <w:sz w:val="21"/>
          <w:szCs w:val="21"/>
        </w:rPr>
        <w:t>be completed</w:t>
      </w:r>
      <w:r w:rsidR="00D97753">
        <w:rPr>
          <w:rFonts w:ascii="Aptos" w:hAnsi="Aptos" w:cs="Arial"/>
          <w:sz w:val="21"/>
          <w:szCs w:val="21"/>
        </w:rPr>
        <w:t>.</w:t>
      </w:r>
      <w:r w:rsidR="003C7085">
        <w:rPr>
          <w:rFonts w:ascii="Aptos" w:hAnsi="Aptos" w:cs="Arial"/>
          <w:sz w:val="21"/>
          <w:szCs w:val="21"/>
        </w:rPr>
        <w:t xml:space="preserve"> </w:t>
      </w:r>
      <w:r w:rsidR="00D97753">
        <w:rPr>
          <w:rFonts w:ascii="Aptos" w:hAnsi="Aptos" w:cs="Arial"/>
          <w:sz w:val="21"/>
          <w:szCs w:val="21"/>
        </w:rPr>
        <w:t>However,</w:t>
      </w:r>
      <w:r w:rsidR="003C7085">
        <w:rPr>
          <w:rFonts w:ascii="Aptos" w:hAnsi="Aptos" w:cs="Arial"/>
          <w:sz w:val="21"/>
          <w:szCs w:val="21"/>
        </w:rPr>
        <w:t xml:space="preserve"> it was determined </w:t>
      </w:r>
      <w:r w:rsidR="003D33BC">
        <w:rPr>
          <w:rFonts w:ascii="Aptos" w:hAnsi="Aptos" w:cs="Arial"/>
          <w:sz w:val="21"/>
          <w:szCs w:val="21"/>
        </w:rPr>
        <w:t xml:space="preserve">that this was not necessary given that </w:t>
      </w:r>
      <w:r w:rsidR="00D97753" w:rsidRPr="00D518FF">
        <w:rPr>
          <w:rFonts w:ascii="Aptos" w:hAnsi="Aptos" w:cs="Arial"/>
          <w:sz w:val="21"/>
          <w:szCs w:val="21"/>
        </w:rPr>
        <w:t>evidence from only the most relevant systematic review for each PICO was included</w:t>
      </w:r>
      <w:r w:rsidR="00D97753">
        <w:rPr>
          <w:rFonts w:ascii="Aptos" w:hAnsi="Aptos" w:cs="Arial"/>
          <w:sz w:val="21"/>
          <w:szCs w:val="21"/>
        </w:rPr>
        <w:t xml:space="preserve"> (see Appendix G)</w:t>
      </w:r>
      <w:r w:rsidRPr="00D518FF">
        <w:rPr>
          <w:rFonts w:ascii="Aptos" w:hAnsi="Aptos" w:cs="Arial"/>
          <w:sz w:val="21"/>
          <w:szCs w:val="21"/>
        </w:rPr>
        <w:t xml:space="preserve">. </w:t>
      </w:r>
    </w:p>
    <w:p w14:paraId="38681981" w14:textId="38E205C3"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Addressing discrepant or missing information</w:t>
      </w:r>
    </w:p>
    <w:p w14:paraId="38A759C6" w14:textId="4DE855A1" w:rsidR="00E57C2A" w:rsidRPr="00E77295" w:rsidRDefault="00E57C2A" w:rsidP="00E77295">
      <w:pPr>
        <w:spacing w:before="120" w:after="120"/>
        <w:rPr>
          <w:rFonts w:ascii="Aptos" w:hAnsi="Aptos" w:cs="Arial"/>
          <w:sz w:val="21"/>
          <w:szCs w:val="21"/>
        </w:rPr>
      </w:pPr>
      <w:r>
        <w:rPr>
          <w:rFonts w:ascii="Aptos" w:hAnsi="Aptos" w:cs="Arial"/>
          <w:sz w:val="21"/>
          <w:szCs w:val="21"/>
        </w:rPr>
        <w:t>As only one systematic review for each PICO was presented (i.e.</w:t>
      </w:r>
      <w:r w:rsidRPr="00E57C2A">
        <w:rPr>
          <w:rFonts w:ascii="Aptos" w:hAnsi="Aptos" w:cs="Arial"/>
          <w:sz w:val="21"/>
          <w:szCs w:val="21"/>
        </w:rPr>
        <w:t xml:space="preserve"> </w:t>
      </w:r>
      <w:r w:rsidRPr="00D518FF">
        <w:rPr>
          <w:rFonts w:ascii="Aptos" w:hAnsi="Aptos" w:cs="Arial"/>
          <w:sz w:val="21"/>
          <w:szCs w:val="21"/>
        </w:rPr>
        <w:t>the most comprehensive</w:t>
      </w:r>
      <w:r w:rsidR="00D3352A">
        <w:rPr>
          <w:rFonts w:ascii="Aptos" w:hAnsi="Aptos" w:cs="Arial"/>
          <w:sz w:val="21"/>
          <w:szCs w:val="21"/>
        </w:rPr>
        <w:t>, recent</w:t>
      </w:r>
      <w:r w:rsidRPr="00D518FF">
        <w:rPr>
          <w:rFonts w:ascii="Aptos" w:hAnsi="Aptos" w:cs="Arial"/>
          <w:sz w:val="21"/>
          <w:szCs w:val="21"/>
        </w:rPr>
        <w:t xml:space="preserve"> and/or highest quality</w:t>
      </w:r>
      <w:r>
        <w:rPr>
          <w:rFonts w:ascii="Aptos" w:hAnsi="Aptos" w:cs="Arial"/>
          <w:sz w:val="21"/>
          <w:szCs w:val="21"/>
        </w:rPr>
        <w:t>), addressing</w:t>
      </w:r>
      <w:r w:rsidRPr="00D518FF">
        <w:rPr>
          <w:rFonts w:ascii="Aptos" w:hAnsi="Aptos" w:cs="Arial"/>
          <w:sz w:val="21"/>
          <w:szCs w:val="21"/>
        </w:rPr>
        <w:t xml:space="preserve"> </w:t>
      </w:r>
      <w:r w:rsidR="00083B25" w:rsidRPr="00D518FF">
        <w:rPr>
          <w:rFonts w:ascii="Aptos" w:hAnsi="Aptos" w:cs="Arial"/>
          <w:sz w:val="21"/>
          <w:szCs w:val="21"/>
        </w:rPr>
        <w:t>discrepant data across included systematic reviews</w:t>
      </w:r>
      <w:r>
        <w:rPr>
          <w:rFonts w:ascii="Aptos" w:hAnsi="Aptos" w:cs="Arial"/>
          <w:sz w:val="21"/>
          <w:szCs w:val="21"/>
        </w:rPr>
        <w:t xml:space="preserve"> was not </w:t>
      </w:r>
      <w:r w:rsidR="00D3352A">
        <w:rPr>
          <w:rFonts w:ascii="Aptos" w:hAnsi="Aptos" w:cs="Arial"/>
          <w:sz w:val="21"/>
          <w:szCs w:val="21"/>
        </w:rPr>
        <w:t>required</w:t>
      </w:r>
      <w:r>
        <w:rPr>
          <w:rFonts w:ascii="Aptos" w:hAnsi="Aptos" w:cs="Arial"/>
          <w:sz w:val="21"/>
          <w:szCs w:val="21"/>
        </w:rPr>
        <w:t>.</w:t>
      </w:r>
      <w:r w:rsidR="00083B25" w:rsidRPr="00D518FF">
        <w:rPr>
          <w:rFonts w:ascii="Aptos" w:hAnsi="Aptos" w:cs="Arial"/>
          <w:sz w:val="21"/>
          <w:szCs w:val="21"/>
        </w:rPr>
        <w:t xml:space="preserve"> </w:t>
      </w:r>
    </w:p>
    <w:p w14:paraId="2B181C32" w14:textId="3C2665F5" w:rsidR="00E57C2A" w:rsidRPr="00CA1C96" w:rsidRDefault="00E57C2A" w:rsidP="00E57C2A">
      <w:pPr>
        <w:spacing w:before="120" w:after="120"/>
        <w:rPr>
          <w:rFonts w:ascii="Aptos" w:hAnsi="Aptos" w:cs="Arial"/>
          <w:sz w:val="21"/>
          <w:szCs w:val="21"/>
        </w:rPr>
      </w:pPr>
      <w:r>
        <w:rPr>
          <w:rFonts w:ascii="Aptos" w:hAnsi="Aptos" w:cs="Arial"/>
          <w:sz w:val="21"/>
          <w:szCs w:val="21"/>
        </w:rPr>
        <w:t xml:space="preserve">Where there were </w:t>
      </w:r>
      <w:r w:rsidRPr="00D518FF">
        <w:rPr>
          <w:rFonts w:ascii="Aptos" w:hAnsi="Aptos" w:cs="Arial"/>
          <w:sz w:val="21"/>
          <w:szCs w:val="21"/>
        </w:rPr>
        <w:t>incompletely reported results in systematic reviews (either meta-analysis or primary studies)</w:t>
      </w:r>
      <w:r>
        <w:rPr>
          <w:rFonts w:ascii="Aptos" w:hAnsi="Aptos" w:cs="Arial"/>
          <w:sz w:val="21"/>
          <w:szCs w:val="21"/>
        </w:rPr>
        <w:t>, review authors were not contacted as intended in the protocol</w:t>
      </w:r>
      <w:r w:rsidR="00D3352A">
        <w:rPr>
          <w:rFonts w:ascii="Aptos" w:hAnsi="Aptos" w:cs="Arial"/>
          <w:sz w:val="21"/>
          <w:szCs w:val="21"/>
        </w:rPr>
        <w:t xml:space="preserve"> due to the volume of reviews</w:t>
      </w:r>
      <w:r>
        <w:rPr>
          <w:rFonts w:ascii="Aptos" w:hAnsi="Aptos" w:cs="Arial"/>
          <w:sz w:val="21"/>
          <w:szCs w:val="21"/>
        </w:rPr>
        <w:t xml:space="preserve">. Where results were not reported adequately (e.g. </w:t>
      </w:r>
      <w:r w:rsidRPr="00D518FF">
        <w:rPr>
          <w:rFonts w:ascii="Aptos" w:hAnsi="Aptos" w:cs="Arial"/>
          <w:sz w:val="21"/>
          <w:szCs w:val="21"/>
        </w:rPr>
        <w:t xml:space="preserve">no effect estimates or confidence intervals, no information about inconsistency </w:t>
      </w:r>
      <w:r w:rsidR="004F4C8B">
        <w:rPr>
          <w:rFonts w:ascii="Aptos" w:hAnsi="Aptos" w:cs="Arial"/>
          <w:sz w:val="21"/>
          <w:szCs w:val="21"/>
        </w:rPr>
        <w:t>[</w:t>
      </w:r>
      <w:r w:rsidRPr="00D518FF">
        <w:rPr>
          <w:rFonts w:ascii="Aptos" w:hAnsi="Aptos" w:cs="Arial"/>
          <w:sz w:val="21"/>
          <w:szCs w:val="21"/>
        </w:rPr>
        <w:t>such as a forest plot displaying effect estimates for individual studies</w:t>
      </w:r>
      <w:r w:rsidR="004F4C8B">
        <w:rPr>
          <w:rFonts w:ascii="Aptos" w:hAnsi="Aptos" w:cs="Arial"/>
          <w:sz w:val="21"/>
          <w:szCs w:val="21"/>
        </w:rPr>
        <w:t>]</w:t>
      </w:r>
      <w:r w:rsidR="004F4C8B" w:rsidRPr="00D518FF">
        <w:rPr>
          <w:rFonts w:ascii="Aptos" w:hAnsi="Aptos" w:cs="Arial"/>
          <w:sz w:val="21"/>
          <w:szCs w:val="21"/>
        </w:rPr>
        <w:t xml:space="preserve"> </w:t>
      </w:r>
      <w:r w:rsidRPr="00D518FF">
        <w:rPr>
          <w:rFonts w:ascii="Aptos" w:hAnsi="Aptos" w:cs="Arial"/>
          <w:sz w:val="21"/>
          <w:szCs w:val="21"/>
        </w:rPr>
        <w:t>or no heterogeneity statistics</w:t>
      </w:r>
      <w:r>
        <w:rPr>
          <w:rFonts w:ascii="Aptos" w:hAnsi="Aptos" w:cs="Arial"/>
          <w:sz w:val="21"/>
          <w:szCs w:val="21"/>
        </w:rPr>
        <w:t>), this was considered in GRADE assessments</w:t>
      </w:r>
      <w:r w:rsidRPr="00D518FF">
        <w:rPr>
          <w:rFonts w:ascii="Aptos" w:hAnsi="Aptos" w:cs="Arial"/>
          <w:sz w:val="21"/>
          <w:szCs w:val="21"/>
        </w:rPr>
        <w:t xml:space="preserve">. </w:t>
      </w:r>
      <w:r w:rsidR="005771AB">
        <w:rPr>
          <w:rFonts w:ascii="Aptos" w:hAnsi="Aptos" w:cs="Arial"/>
          <w:sz w:val="21"/>
          <w:szCs w:val="21"/>
        </w:rPr>
        <w:t>U</w:t>
      </w:r>
      <w:r w:rsidR="00B55DD7">
        <w:rPr>
          <w:rFonts w:ascii="Aptos" w:hAnsi="Aptos" w:cs="Arial"/>
          <w:sz w:val="21"/>
          <w:szCs w:val="21"/>
        </w:rPr>
        <w:t>nclear or missing information may impact reported results and GRADE assessments</w:t>
      </w:r>
      <w:r w:rsidR="005771AB">
        <w:rPr>
          <w:rFonts w:ascii="Aptos" w:hAnsi="Aptos" w:cs="Arial"/>
          <w:sz w:val="21"/>
          <w:szCs w:val="21"/>
        </w:rPr>
        <w:t>, which is a limitation.</w:t>
      </w:r>
    </w:p>
    <w:p w14:paraId="053F6033" w14:textId="2B67E499"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Retrievable results (e.g. summary statistics, effect estimates and confidence intervals) </w:t>
      </w:r>
      <w:r w:rsidR="000702BF">
        <w:rPr>
          <w:rFonts w:ascii="Aptos" w:hAnsi="Aptos" w:cs="Arial"/>
          <w:sz w:val="21"/>
          <w:szCs w:val="21"/>
        </w:rPr>
        <w:t>were</w:t>
      </w:r>
      <w:r w:rsidRPr="00D518FF">
        <w:rPr>
          <w:rFonts w:ascii="Aptos" w:hAnsi="Aptos" w:cs="Arial"/>
          <w:sz w:val="21"/>
          <w:szCs w:val="21"/>
        </w:rPr>
        <w:t xml:space="preserve"> extracted and reported from </w:t>
      </w:r>
      <w:r w:rsidR="000702BF">
        <w:rPr>
          <w:rFonts w:ascii="Aptos" w:hAnsi="Aptos" w:cs="Arial"/>
          <w:sz w:val="21"/>
          <w:szCs w:val="21"/>
        </w:rPr>
        <w:t>reviews (</w:t>
      </w:r>
      <w:r w:rsidR="000702BF" w:rsidRPr="00E77295">
        <w:rPr>
          <w:rFonts w:ascii="Aptos" w:hAnsi="Aptos" w:cs="Arial"/>
          <w:sz w:val="21"/>
          <w:szCs w:val="21"/>
        </w:rPr>
        <w:t>including risk of bias assessments of primary studies and sensitivity analyses)</w:t>
      </w:r>
      <w:r w:rsidR="000702BF">
        <w:rPr>
          <w:rFonts w:ascii="Aptos" w:hAnsi="Aptos" w:cs="Arial"/>
          <w:sz w:val="21"/>
          <w:szCs w:val="21"/>
        </w:rPr>
        <w:t>.</w:t>
      </w:r>
      <w:r w:rsidRPr="00D518FF">
        <w:rPr>
          <w:rFonts w:ascii="Aptos" w:hAnsi="Aptos" w:cs="Arial"/>
          <w:sz w:val="21"/>
          <w:szCs w:val="21"/>
        </w:rPr>
        <w:t xml:space="preserve"> </w:t>
      </w:r>
      <w:r w:rsidR="000702BF">
        <w:rPr>
          <w:rFonts w:ascii="Aptos" w:hAnsi="Aptos" w:cs="Arial"/>
          <w:sz w:val="21"/>
          <w:szCs w:val="21"/>
        </w:rPr>
        <w:t>N</w:t>
      </w:r>
      <w:r w:rsidRPr="00D518FF">
        <w:rPr>
          <w:rFonts w:ascii="Aptos" w:hAnsi="Aptos" w:cs="Arial"/>
          <w:sz w:val="21"/>
          <w:szCs w:val="21"/>
        </w:rPr>
        <w:t xml:space="preserve">o new analysis </w:t>
      </w:r>
      <w:r w:rsidR="000702BF">
        <w:rPr>
          <w:rFonts w:ascii="Aptos" w:hAnsi="Aptos" w:cs="Arial"/>
          <w:sz w:val="21"/>
          <w:szCs w:val="21"/>
        </w:rPr>
        <w:t>was</w:t>
      </w:r>
      <w:r w:rsidRPr="00D518FF">
        <w:rPr>
          <w:rFonts w:ascii="Aptos" w:hAnsi="Aptos" w:cs="Arial"/>
          <w:sz w:val="21"/>
          <w:szCs w:val="21"/>
        </w:rPr>
        <w:t xml:space="preserve"> undertaken as part of the </w:t>
      </w:r>
      <w:r w:rsidR="000702BF">
        <w:rPr>
          <w:rFonts w:ascii="Aptos" w:hAnsi="Aptos" w:cs="Arial"/>
          <w:sz w:val="21"/>
          <w:szCs w:val="21"/>
        </w:rPr>
        <w:t>o</w:t>
      </w:r>
      <w:r w:rsidRPr="00D518FF">
        <w:rPr>
          <w:rFonts w:ascii="Aptos" w:hAnsi="Aptos" w:cs="Arial"/>
          <w:sz w:val="21"/>
          <w:szCs w:val="21"/>
        </w:rPr>
        <w:t>verview</w:t>
      </w:r>
      <w:r w:rsidR="000702BF" w:rsidRPr="00E77295">
        <w:rPr>
          <w:rFonts w:ascii="Aptos" w:hAnsi="Aptos" w:cs="Arial"/>
          <w:sz w:val="21"/>
          <w:szCs w:val="21"/>
        </w:rPr>
        <w:t>, including any independent analyses to explain inconsistency or publication bias</w:t>
      </w:r>
      <w:r w:rsidR="000702BF">
        <w:rPr>
          <w:rFonts w:ascii="Aptos" w:hAnsi="Aptos" w:cs="Arial"/>
          <w:sz w:val="21"/>
          <w:szCs w:val="21"/>
        </w:rPr>
        <w:t xml:space="preserve">. </w:t>
      </w:r>
      <w:r w:rsidRPr="00D518FF">
        <w:rPr>
          <w:rFonts w:ascii="Aptos" w:hAnsi="Aptos" w:cs="Arial"/>
          <w:sz w:val="21"/>
          <w:szCs w:val="21"/>
        </w:rPr>
        <w:t xml:space="preserve"> </w:t>
      </w:r>
    </w:p>
    <w:p w14:paraId="6B5A38AD" w14:textId="6B16316C"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Across different systematic reviews, risk of bias assessments</w:t>
      </w:r>
      <w:r w:rsidR="00E57C2A">
        <w:rPr>
          <w:rFonts w:ascii="Aptos" w:hAnsi="Aptos" w:cs="Arial"/>
          <w:sz w:val="21"/>
          <w:szCs w:val="21"/>
        </w:rPr>
        <w:t xml:space="preserve"> for primary studies</w:t>
      </w:r>
      <w:r w:rsidRPr="00D518FF">
        <w:rPr>
          <w:rFonts w:ascii="Aptos" w:hAnsi="Aptos" w:cs="Arial"/>
          <w:sz w:val="21"/>
          <w:szCs w:val="21"/>
        </w:rPr>
        <w:t xml:space="preserve"> </w:t>
      </w:r>
      <w:r w:rsidR="00E57C2A">
        <w:rPr>
          <w:rFonts w:ascii="Aptos" w:hAnsi="Aptos" w:cs="Arial"/>
          <w:sz w:val="21"/>
          <w:szCs w:val="21"/>
        </w:rPr>
        <w:t>were performed with</w:t>
      </w:r>
      <w:r w:rsidR="00E57C2A" w:rsidRPr="00D518FF">
        <w:rPr>
          <w:rFonts w:ascii="Aptos" w:hAnsi="Aptos" w:cs="Arial"/>
          <w:sz w:val="21"/>
          <w:szCs w:val="21"/>
        </w:rPr>
        <w:t xml:space="preserve"> </w:t>
      </w:r>
      <w:r w:rsidRPr="00D518FF">
        <w:rPr>
          <w:rFonts w:ascii="Aptos" w:hAnsi="Aptos" w:cs="Arial"/>
          <w:sz w:val="21"/>
          <w:szCs w:val="21"/>
        </w:rPr>
        <w:t xml:space="preserve">different tools. </w:t>
      </w:r>
      <w:r w:rsidR="0036110E">
        <w:rPr>
          <w:rFonts w:ascii="Aptos" w:hAnsi="Aptos" w:cs="Arial"/>
          <w:sz w:val="21"/>
          <w:szCs w:val="21"/>
        </w:rPr>
        <w:t xml:space="preserve">These were extracted as reported in the reviews using the tool or measure specified, with no independent assessments of risk of bias by overview authors. </w:t>
      </w:r>
    </w:p>
    <w:p w14:paraId="7F3D2EDE"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Inclusion of supplemental primary studies</w:t>
      </w:r>
    </w:p>
    <w:p w14:paraId="0EE2EA2E" w14:textId="7C2723F8" w:rsidR="00614F36" w:rsidRDefault="00E232C0" w:rsidP="00F726B5">
      <w:pPr>
        <w:spacing w:before="120" w:after="120"/>
        <w:rPr>
          <w:rFonts w:ascii="Aptos" w:hAnsi="Aptos" w:cs="Arial"/>
          <w:sz w:val="21"/>
          <w:szCs w:val="21"/>
        </w:rPr>
      </w:pPr>
      <w:r>
        <w:rPr>
          <w:rFonts w:ascii="Aptos" w:hAnsi="Aptos" w:cs="Arial"/>
          <w:sz w:val="21"/>
          <w:szCs w:val="21"/>
        </w:rPr>
        <w:t xml:space="preserve">The protocol noted that supplementary studies would be included if there was no </w:t>
      </w:r>
      <w:r w:rsidR="009B17DB">
        <w:rPr>
          <w:rFonts w:ascii="Aptos" w:hAnsi="Aptos" w:cs="Arial"/>
          <w:sz w:val="21"/>
          <w:szCs w:val="21"/>
        </w:rPr>
        <w:t>systematic review for a population-</w:t>
      </w:r>
      <w:r w:rsidR="006C0639">
        <w:rPr>
          <w:rFonts w:ascii="Aptos" w:hAnsi="Aptos" w:cs="Arial"/>
          <w:sz w:val="21"/>
          <w:szCs w:val="21"/>
        </w:rPr>
        <w:t xml:space="preserve">supplement pair </w:t>
      </w:r>
      <w:r w:rsidR="009B17DB">
        <w:rPr>
          <w:rFonts w:ascii="Aptos" w:hAnsi="Aptos" w:cs="Arial"/>
          <w:sz w:val="21"/>
          <w:szCs w:val="21"/>
        </w:rPr>
        <w:t xml:space="preserve">or if the available systematic review did not meet the </w:t>
      </w:r>
      <w:r w:rsidR="00614F36">
        <w:rPr>
          <w:rFonts w:ascii="Aptos" w:hAnsi="Aptos" w:cs="Arial"/>
          <w:sz w:val="21"/>
          <w:szCs w:val="21"/>
        </w:rPr>
        <w:t xml:space="preserve">minimum criteria (see Appendix A3.1). </w:t>
      </w:r>
      <w:r w:rsidR="00D4460D">
        <w:rPr>
          <w:rFonts w:ascii="Aptos" w:hAnsi="Aptos" w:cs="Arial"/>
          <w:sz w:val="21"/>
          <w:szCs w:val="21"/>
        </w:rPr>
        <w:t>However, to appropriately cover primary studies for a population-</w:t>
      </w:r>
      <w:r w:rsidR="006C0639">
        <w:rPr>
          <w:rFonts w:ascii="Aptos" w:hAnsi="Aptos" w:cs="Arial"/>
          <w:sz w:val="21"/>
          <w:szCs w:val="21"/>
        </w:rPr>
        <w:t>suppl</w:t>
      </w:r>
      <w:r w:rsidR="008355BA">
        <w:rPr>
          <w:rFonts w:ascii="Aptos" w:hAnsi="Aptos" w:cs="Arial"/>
          <w:sz w:val="21"/>
          <w:szCs w:val="21"/>
        </w:rPr>
        <w:t>e</w:t>
      </w:r>
      <w:r w:rsidR="006C0639">
        <w:rPr>
          <w:rFonts w:ascii="Aptos" w:hAnsi="Aptos" w:cs="Arial"/>
          <w:sz w:val="21"/>
          <w:szCs w:val="21"/>
        </w:rPr>
        <w:t xml:space="preserve">ment </w:t>
      </w:r>
      <w:r w:rsidR="00D4460D">
        <w:rPr>
          <w:rFonts w:ascii="Aptos" w:hAnsi="Aptos" w:cs="Arial"/>
          <w:sz w:val="21"/>
          <w:szCs w:val="21"/>
        </w:rPr>
        <w:t>pair would require conducting a full systematic review</w:t>
      </w:r>
      <w:r w:rsidR="002A500E">
        <w:rPr>
          <w:rFonts w:ascii="Aptos" w:hAnsi="Aptos" w:cs="Arial"/>
          <w:sz w:val="21"/>
          <w:szCs w:val="21"/>
        </w:rPr>
        <w:t xml:space="preserve">. Given the scope of the </w:t>
      </w:r>
      <w:r w:rsidR="0036110E">
        <w:rPr>
          <w:rFonts w:ascii="Aptos" w:hAnsi="Aptos" w:cs="Arial"/>
          <w:sz w:val="21"/>
          <w:szCs w:val="21"/>
        </w:rPr>
        <w:t>o</w:t>
      </w:r>
      <w:r w:rsidR="002A500E">
        <w:rPr>
          <w:rFonts w:ascii="Aptos" w:hAnsi="Aptos" w:cs="Arial"/>
          <w:sz w:val="21"/>
          <w:szCs w:val="21"/>
        </w:rPr>
        <w:t xml:space="preserve">verview, this was not possible. This change from protocol is </w:t>
      </w:r>
      <w:r w:rsidR="00372BEC">
        <w:rPr>
          <w:rFonts w:ascii="Aptos" w:hAnsi="Aptos" w:cs="Arial"/>
          <w:sz w:val="21"/>
          <w:szCs w:val="21"/>
        </w:rPr>
        <w:t xml:space="preserve">noted in Appendix G. Four </w:t>
      </w:r>
      <w:r w:rsidR="00372BEC" w:rsidDel="008B625F">
        <w:rPr>
          <w:rFonts w:ascii="Aptos" w:hAnsi="Aptos" w:cs="Arial"/>
          <w:sz w:val="21"/>
          <w:szCs w:val="21"/>
        </w:rPr>
        <w:t>population-</w:t>
      </w:r>
      <w:r w:rsidR="008B625F">
        <w:rPr>
          <w:rFonts w:ascii="Aptos" w:hAnsi="Aptos" w:cs="Arial"/>
          <w:sz w:val="21"/>
          <w:szCs w:val="21"/>
        </w:rPr>
        <w:t xml:space="preserve">supplement </w:t>
      </w:r>
      <w:r w:rsidR="008B625F">
        <w:rPr>
          <w:rFonts w:ascii="Aptos" w:hAnsi="Aptos" w:cs="Arial"/>
          <w:sz w:val="21"/>
          <w:szCs w:val="21"/>
        </w:rPr>
        <w:lastRenderedPageBreak/>
        <w:t>pair</w:t>
      </w:r>
      <w:r w:rsidR="00B523F8">
        <w:rPr>
          <w:rFonts w:ascii="Aptos" w:hAnsi="Aptos" w:cs="Arial"/>
          <w:sz w:val="21"/>
          <w:szCs w:val="21"/>
        </w:rPr>
        <w:t xml:space="preserve">s were not covered by a </w:t>
      </w:r>
      <w:r w:rsidR="004238A3">
        <w:rPr>
          <w:rFonts w:ascii="Aptos" w:hAnsi="Aptos" w:cs="Arial"/>
          <w:sz w:val="21"/>
          <w:szCs w:val="21"/>
        </w:rPr>
        <w:t>relevant</w:t>
      </w:r>
      <w:r w:rsidR="00B523F8">
        <w:rPr>
          <w:rFonts w:ascii="Aptos" w:hAnsi="Aptos" w:cs="Arial"/>
          <w:sz w:val="21"/>
          <w:szCs w:val="21"/>
        </w:rPr>
        <w:t xml:space="preserve"> </w:t>
      </w:r>
      <w:r w:rsidR="004238A3">
        <w:rPr>
          <w:rFonts w:ascii="Aptos" w:hAnsi="Aptos" w:cs="Arial"/>
          <w:sz w:val="21"/>
          <w:szCs w:val="21"/>
        </w:rPr>
        <w:t>systematic review</w:t>
      </w:r>
      <w:r w:rsidR="0036110E">
        <w:rPr>
          <w:rFonts w:ascii="Aptos" w:hAnsi="Aptos" w:cs="Arial"/>
          <w:sz w:val="21"/>
          <w:szCs w:val="21"/>
        </w:rPr>
        <w:t xml:space="preserve"> and </w:t>
      </w:r>
      <w:r w:rsidR="00AD7058">
        <w:rPr>
          <w:rFonts w:ascii="Aptos" w:hAnsi="Aptos" w:cs="Arial"/>
          <w:sz w:val="21"/>
          <w:szCs w:val="21"/>
        </w:rPr>
        <w:t xml:space="preserve">therefore </w:t>
      </w:r>
      <w:r w:rsidR="0036110E">
        <w:rPr>
          <w:rFonts w:ascii="Aptos" w:hAnsi="Aptos" w:cs="Arial"/>
          <w:sz w:val="21"/>
          <w:szCs w:val="21"/>
        </w:rPr>
        <w:t>none of the prioritised outcomes were reported on</w:t>
      </w:r>
      <w:r w:rsidR="00AD7058">
        <w:rPr>
          <w:rFonts w:ascii="Aptos" w:hAnsi="Aptos" w:cs="Arial"/>
          <w:sz w:val="21"/>
          <w:szCs w:val="21"/>
        </w:rPr>
        <w:t xml:space="preserve"> in the overview</w:t>
      </w:r>
      <w:r w:rsidR="004238A3">
        <w:rPr>
          <w:rFonts w:ascii="Aptos" w:hAnsi="Aptos" w:cs="Arial"/>
          <w:sz w:val="21"/>
          <w:szCs w:val="21"/>
        </w:rPr>
        <w:t>:</w:t>
      </w:r>
    </w:p>
    <w:p w14:paraId="716F675D" w14:textId="77777777" w:rsidR="004238A3" w:rsidRPr="009E03B0" w:rsidRDefault="004238A3" w:rsidP="00A4650A">
      <w:pPr>
        <w:pStyle w:val="ListParagraph"/>
        <w:numPr>
          <w:ilvl w:val="0"/>
          <w:numId w:val="33"/>
        </w:numPr>
        <w:spacing w:before="180" w:after="180" w:line="252" w:lineRule="auto"/>
        <w:ind w:left="426"/>
        <w:rPr>
          <w:rFonts w:ascii="Aptos" w:hAnsi="Aptos"/>
          <w:sz w:val="21"/>
          <w:szCs w:val="21"/>
          <w:lang w:eastAsia="en-AU"/>
        </w:rPr>
      </w:pPr>
      <w:r w:rsidRPr="009E03B0">
        <w:rPr>
          <w:rFonts w:ascii="Aptos" w:hAnsi="Aptos"/>
          <w:sz w:val="21"/>
          <w:szCs w:val="21"/>
        </w:rPr>
        <w:t>Stress (</w:t>
      </w:r>
      <w:r w:rsidRPr="009E03B0">
        <w:rPr>
          <w:rFonts w:ascii="Aptos" w:hAnsi="Aptos"/>
          <w:sz w:val="21"/>
          <w:szCs w:val="21"/>
          <w:lang w:eastAsia="en-AU"/>
        </w:rPr>
        <w:t>perceived</w:t>
      </w:r>
      <w:r w:rsidRPr="009E03B0">
        <w:rPr>
          <w:rFonts w:ascii="Aptos" w:hAnsi="Aptos"/>
          <w:sz w:val="21"/>
          <w:szCs w:val="21"/>
        </w:rPr>
        <w:t>, occupational) and magnesium.</w:t>
      </w:r>
    </w:p>
    <w:p w14:paraId="59DD4029" w14:textId="77777777" w:rsidR="004238A3" w:rsidRPr="009E03B0" w:rsidRDefault="004238A3" w:rsidP="00A4650A">
      <w:pPr>
        <w:pStyle w:val="ListParagraph"/>
        <w:numPr>
          <w:ilvl w:val="0"/>
          <w:numId w:val="33"/>
        </w:numPr>
        <w:spacing w:before="180" w:after="180" w:line="252" w:lineRule="auto"/>
        <w:ind w:left="426"/>
        <w:rPr>
          <w:rFonts w:ascii="Aptos" w:hAnsi="Aptos"/>
          <w:sz w:val="21"/>
          <w:szCs w:val="21"/>
          <w:lang w:eastAsia="en-AU"/>
        </w:rPr>
      </w:pPr>
      <w:r w:rsidRPr="009E03B0">
        <w:rPr>
          <w:rFonts w:ascii="Aptos" w:hAnsi="Aptos"/>
          <w:sz w:val="21"/>
          <w:szCs w:val="21"/>
        </w:rPr>
        <w:t>Dysmenorrhea and cruciferous indoles.</w:t>
      </w:r>
    </w:p>
    <w:p w14:paraId="17F35BF5" w14:textId="77777777" w:rsidR="004238A3" w:rsidRPr="009E03B0" w:rsidRDefault="004238A3" w:rsidP="00A4650A">
      <w:pPr>
        <w:pStyle w:val="ListParagraph"/>
        <w:numPr>
          <w:ilvl w:val="0"/>
          <w:numId w:val="33"/>
        </w:numPr>
        <w:spacing w:before="180" w:after="180" w:line="252" w:lineRule="auto"/>
        <w:ind w:left="426"/>
        <w:rPr>
          <w:rFonts w:ascii="Aptos" w:hAnsi="Aptos"/>
          <w:sz w:val="21"/>
          <w:szCs w:val="21"/>
          <w:lang w:eastAsia="en-AU"/>
        </w:rPr>
      </w:pPr>
      <w:r w:rsidRPr="009E03B0">
        <w:rPr>
          <w:rFonts w:ascii="Aptos" w:hAnsi="Aptos"/>
          <w:sz w:val="21"/>
          <w:szCs w:val="21"/>
        </w:rPr>
        <w:t>Premenstrual syndrome (PMS) and cruciferous indoles.</w:t>
      </w:r>
    </w:p>
    <w:p w14:paraId="72015052" w14:textId="5FD9A838" w:rsidR="004238A3" w:rsidRPr="009E03B0" w:rsidRDefault="004238A3" w:rsidP="00A4650A">
      <w:pPr>
        <w:pStyle w:val="ListParagraph"/>
        <w:numPr>
          <w:ilvl w:val="0"/>
          <w:numId w:val="33"/>
        </w:numPr>
        <w:spacing w:before="180" w:after="180" w:line="252" w:lineRule="auto"/>
        <w:ind w:left="426"/>
        <w:rPr>
          <w:rFonts w:ascii="Aptos" w:hAnsi="Aptos"/>
          <w:sz w:val="21"/>
          <w:szCs w:val="21"/>
          <w:lang w:eastAsia="en-AU"/>
        </w:rPr>
      </w:pPr>
      <w:r w:rsidRPr="009E03B0">
        <w:rPr>
          <w:rFonts w:ascii="Aptos" w:hAnsi="Aptos"/>
          <w:sz w:val="21"/>
          <w:szCs w:val="21"/>
        </w:rPr>
        <w:t>Arthritis/osteoarthritis and magnesium.</w:t>
      </w:r>
    </w:p>
    <w:p w14:paraId="68E1BC9F"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bookmarkStart w:id="71" w:name="_Toc100711497"/>
      <w:r w:rsidRPr="00D518FF">
        <w:rPr>
          <w:rFonts w:ascii="Aptos" w:eastAsia="Calibri" w:hAnsi="Aptos" w:cs="Arial"/>
          <w:b/>
          <w:bCs/>
          <w:i/>
          <w:iCs/>
          <w:color w:val="C00000"/>
          <w:sz w:val="21"/>
          <w:szCs w:val="21"/>
          <w:lang w:eastAsia="en-US"/>
        </w:rPr>
        <w:t>Requests for data</w:t>
      </w:r>
      <w:bookmarkEnd w:id="71"/>
    </w:p>
    <w:p w14:paraId="370E14CD" w14:textId="4887899C" w:rsidR="00F726B5" w:rsidRPr="00D518FF" w:rsidRDefault="000A0B18" w:rsidP="00F726B5">
      <w:pPr>
        <w:spacing w:before="120" w:after="120"/>
        <w:rPr>
          <w:rFonts w:ascii="Aptos" w:hAnsi="Aptos" w:cs="Arial"/>
          <w:sz w:val="21"/>
          <w:szCs w:val="21"/>
        </w:rPr>
      </w:pPr>
      <w:r>
        <w:rPr>
          <w:rFonts w:ascii="Aptos" w:hAnsi="Aptos" w:cs="Arial"/>
          <w:sz w:val="21"/>
          <w:szCs w:val="21"/>
        </w:rPr>
        <w:t>A</w:t>
      </w:r>
      <w:r w:rsidR="00F726B5" w:rsidRPr="0050178D">
        <w:rPr>
          <w:rFonts w:ascii="Aptos" w:hAnsi="Aptos" w:cs="Arial"/>
          <w:sz w:val="21"/>
          <w:szCs w:val="21"/>
        </w:rPr>
        <w:t xml:space="preserve">uthors of </w:t>
      </w:r>
      <w:r>
        <w:rPr>
          <w:rFonts w:ascii="Aptos" w:hAnsi="Aptos" w:cs="Arial"/>
          <w:sz w:val="21"/>
          <w:szCs w:val="21"/>
        </w:rPr>
        <w:t xml:space="preserve">potentially eligible </w:t>
      </w:r>
      <w:r w:rsidR="00F726B5" w:rsidRPr="0050178D">
        <w:rPr>
          <w:rFonts w:ascii="Aptos" w:hAnsi="Aptos" w:cs="Arial"/>
          <w:sz w:val="21"/>
          <w:szCs w:val="21"/>
        </w:rPr>
        <w:t xml:space="preserve">systematic reviews </w:t>
      </w:r>
      <w:r>
        <w:rPr>
          <w:rFonts w:ascii="Aptos" w:hAnsi="Aptos" w:cs="Arial"/>
          <w:sz w:val="21"/>
          <w:szCs w:val="21"/>
        </w:rPr>
        <w:t xml:space="preserve">where a full-text article could not be located </w:t>
      </w:r>
      <w:r w:rsidR="00CD4577" w:rsidRPr="000A0B18">
        <w:rPr>
          <w:rFonts w:ascii="Aptos" w:hAnsi="Aptos" w:cs="Arial"/>
          <w:sz w:val="21"/>
          <w:szCs w:val="21"/>
        </w:rPr>
        <w:t>were</w:t>
      </w:r>
      <w:r w:rsidR="00F726B5" w:rsidRPr="000A0B18">
        <w:rPr>
          <w:rFonts w:ascii="Aptos" w:hAnsi="Aptos" w:cs="Arial"/>
          <w:sz w:val="21"/>
          <w:szCs w:val="21"/>
        </w:rPr>
        <w:t xml:space="preserve"> </w:t>
      </w:r>
      <w:r w:rsidR="004933B9" w:rsidRPr="000A0B18">
        <w:rPr>
          <w:rFonts w:ascii="Aptos" w:hAnsi="Aptos" w:cs="Arial"/>
          <w:sz w:val="21"/>
          <w:szCs w:val="21"/>
        </w:rPr>
        <w:t xml:space="preserve">intended </w:t>
      </w:r>
      <w:r w:rsidR="0036110E" w:rsidRPr="000A0B18">
        <w:rPr>
          <w:rFonts w:ascii="Aptos" w:hAnsi="Aptos" w:cs="Arial"/>
          <w:sz w:val="21"/>
          <w:szCs w:val="21"/>
        </w:rPr>
        <w:t xml:space="preserve">to be </w:t>
      </w:r>
      <w:r w:rsidR="00F726B5" w:rsidRPr="000A0B18">
        <w:rPr>
          <w:rFonts w:ascii="Aptos" w:hAnsi="Aptos" w:cs="Arial"/>
          <w:sz w:val="21"/>
          <w:szCs w:val="21"/>
        </w:rPr>
        <w:t>contacted through an open-ended request for data or further information.</w:t>
      </w:r>
      <w:r w:rsidR="0036110E" w:rsidRPr="000A0B18">
        <w:rPr>
          <w:rFonts w:ascii="Aptos" w:hAnsi="Aptos" w:cs="Arial"/>
          <w:sz w:val="21"/>
          <w:szCs w:val="21"/>
        </w:rPr>
        <w:t xml:space="preserve"> </w:t>
      </w:r>
      <w:r>
        <w:rPr>
          <w:rFonts w:ascii="Aptos" w:hAnsi="Aptos" w:cs="Arial"/>
          <w:sz w:val="21"/>
          <w:szCs w:val="21"/>
        </w:rPr>
        <w:t>For conference abstracts</w:t>
      </w:r>
      <w:r w:rsidR="0036110E" w:rsidRPr="000A0B18">
        <w:rPr>
          <w:rFonts w:ascii="Aptos" w:hAnsi="Aptos" w:cs="Arial"/>
          <w:sz w:val="21"/>
          <w:szCs w:val="21"/>
        </w:rPr>
        <w:t xml:space="preserve">, </w:t>
      </w:r>
      <w:r w:rsidRPr="006A3A3F">
        <w:rPr>
          <w:rFonts w:ascii="Aptos" w:hAnsi="Aptos" w:cs="Arial"/>
          <w:sz w:val="21"/>
          <w:szCs w:val="21"/>
        </w:rPr>
        <w:t>no non-published potentially relevant abstracts were found</w:t>
      </w:r>
      <w:r w:rsidR="001C0CD1">
        <w:rPr>
          <w:rFonts w:ascii="Aptos" w:hAnsi="Aptos" w:cs="Arial"/>
          <w:sz w:val="21"/>
          <w:szCs w:val="21"/>
        </w:rPr>
        <w:t>,</w:t>
      </w:r>
      <w:r>
        <w:rPr>
          <w:rFonts w:ascii="Aptos" w:hAnsi="Aptos" w:cs="Arial"/>
          <w:sz w:val="21"/>
          <w:szCs w:val="21"/>
        </w:rPr>
        <w:t xml:space="preserve"> therefore this was not completed</w:t>
      </w:r>
      <w:r w:rsidRPr="006A3A3F">
        <w:rPr>
          <w:rFonts w:ascii="Aptos" w:hAnsi="Aptos" w:cs="Arial"/>
          <w:sz w:val="21"/>
          <w:szCs w:val="21"/>
        </w:rPr>
        <w:t>.</w:t>
      </w:r>
      <w:r w:rsidR="00F726B5" w:rsidRPr="00955489">
        <w:rPr>
          <w:rFonts w:ascii="Aptos" w:hAnsi="Aptos" w:cs="Arial"/>
          <w:sz w:val="21"/>
          <w:szCs w:val="21"/>
        </w:rPr>
        <w:t xml:space="preserve"> </w:t>
      </w:r>
      <w:r w:rsidR="00A166B5" w:rsidRPr="00955489">
        <w:rPr>
          <w:rFonts w:ascii="Aptos" w:hAnsi="Aptos" w:cs="Arial"/>
          <w:sz w:val="21"/>
          <w:szCs w:val="21"/>
        </w:rPr>
        <w:t xml:space="preserve">This change from protocol is noted in Appendix G. </w:t>
      </w:r>
    </w:p>
    <w:p w14:paraId="3240CBAC" w14:textId="63592F65" w:rsidR="00F726B5" w:rsidRPr="00D518FF" w:rsidRDefault="00F726B5" w:rsidP="0055680C">
      <w:pPr>
        <w:pStyle w:val="heading3numbers"/>
      </w:pPr>
      <w:bookmarkStart w:id="72" w:name="_Toc126835793"/>
      <w:bookmarkStart w:id="73" w:name="_Toc185254625"/>
      <w:r w:rsidRPr="00D518FF">
        <w:t>Data items for collection</w:t>
      </w:r>
      <w:bookmarkEnd w:id="72"/>
      <w:bookmarkEnd w:id="73"/>
    </w:p>
    <w:p w14:paraId="206B9823" w14:textId="29ED66F7" w:rsidR="00D35A3B" w:rsidRDefault="00F726B5" w:rsidP="00F726B5">
      <w:pPr>
        <w:spacing w:before="120" w:after="120"/>
        <w:rPr>
          <w:rFonts w:ascii="Aptos" w:hAnsi="Aptos" w:cs="Arial"/>
          <w:sz w:val="21"/>
          <w:szCs w:val="21"/>
        </w:rPr>
      </w:pPr>
      <w:r w:rsidRPr="00D518FF">
        <w:rPr>
          <w:rFonts w:ascii="Aptos" w:hAnsi="Aptos" w:cs="Arial"/>
          <w:sz w:val="21"/>
          <w:szCs w:val="21"/>
        </w:rPr>
        <w:t>Results</w:t>
      </w:r>
      <w:r w:rsidRPr="00D518FF" w:rsidDel="00D35A3B">
        <w:rPr>
          <w:rFonts w:ascii="Aptos" w:hAnsi="Aptos" w:cs="Arial"/>
          <w:sz w:val="21"/>
          <w:szCs w:val="21"/>
        </w:rPr>
        <w:t xml:space="preserve"> </w:t>
      </w:r>
      <w:r w:rsidR="00D35A3B">
        <w:rPr>
          <w:rFonts w:ascii="Aptos" w:hAnsi="Aptos" w:cs="Arial"/>
          <w:sz w:val="21"/>
          <w:szCs w:val="21"/>
        </w:rPr>
        <w:t>were</w:t>
      </w:r>
      <w:r w:rsidR="00D35A3B" w:rsidRPr="00D518FF">
        <w:rPr>
          <w:rFonts w:ascii="Aptos" w:hAnsi="Aptos" w:cs="Arial"/>
          <w:sz w:val="21"/>
          <w:szCs w:val="21"/>
        </w:rPr>
        <w:t xml:space="preserve"> </w:t>
      </w:r>
      <w:r w:rsidRPr="00D518FF">
        <w:rPr>
          <w:rFonts w:ascii="Aptos" w:hAnsi="Aptos" w:cs="Arial"/>
          <w:sz w:val="21"/>
          <w:szCs w:val="21"/>
        </w:rPr>
        <w:t xml:space="preserve">presented as a descriptive summary of the included systematic reviews, rather than re-synthesis of information, due to the breadth of the PICO and outcomes. </w:t>
      </w:r>
      <w:r w:rsidR="00D35A3B">
        <w:rPr>
          <w:rFonts w:ascii="Aptos" w:hAnsi="Aptos" w:cs="Arial"/>
          <w:sz w:val="21"/>
          <w:szCs w:val="21"/>
        </w:rPr>
        <w:t xml:space="preserve">Data was extracted and presented in Appendix D and E exactly as it was reported in the publications </w:t>
      </w:r>
      <w:r w:rsidR="00E00986">
        <w:rPr>
          <w:rFonts w:ascii="Aptos" w:hAnsi="Aptos" w:cs="Arial"/>
          <w:sz w:val="21"/>
          <w:szCs w:val="21"/>
        </w:rPr>
        <w:t>with limited formatting or wording changes</w:t>
      </w:r>
      <w:r w:rsidR="00D35A3B">
        <w:rPr>
          <w:rFonts w:ascii="Aptos" w:hAnsi="Aptos" w:cs="Arial"/>
          <w:sz w:val="21"/>
          <w:szCs w:val="21"/>
        </w:rPr>
        <w:t xml:space="preserve">. </w:t>
      </w:r>
    </w:p>
    <w:p w14:paraId="7AD25F18" w14:textId="134611F6" w:rsidR="00F726B5" w:rsidRPr="00D518FF" w:rsidRDefault="00A43ADB" w:rsidP="00F726B5">
      <w:pPr>
        <w:spacing w:before="120" w:after="120"/>
        <w:rPr>
          <w:rFonts w:ascii="Aptos" w:hAnsi="Aptos" w:cs="Arial"/>
          <w:sz w:val="21"/>
          <w:szCs w:val="21"/>
        </w:rPr>
      </w:pPr>
      <w:r>
        <w:rPr>
          <w:rFonts w:ascii="Aptos" w:hAnsi="Aptos" w:cs="Arial"/>
          <w:sz w:val="21"/>
          <w:szCs w:val="21"/>
        </w:rPr>
        <w:t xml:space="preserve">Included </w:t>
      </w:r>
      <w:r w:rsidR="00F726B5" w:rsidRPr="00D518FF">
        <w:rPr>
          <w:rFonts w:ascii="Aptos" w:hAnsi="Aptos" w:cs="Arial"/>
          <w:sz w:val="21"/>
          <w:szCs w:val="21"/>
        </w:rPr>
        <w:t xml:space="preserve">reviews </w:t>
      </w:r>
      <w:r>
        <w:rPr>
          <w:rFonts w:ascii="Aptos" w:hAnsi="Aptos" w:cs="Arial"/>
          <w:sz w:val="21"/>
          <w:szCs w:val="21"/>
        </w:rPr>
        <w:t xml:space="preserve">often </w:t>
      </w:r>
      <w:r w:rsidR="00F726B5" w:rsidRPr="00D518FF">
        <w:rPr>
          <w:rFonts w:ascii="Aptos" w:hAnsi="Aptos" w:cs="Arial"/>
          <w:sz w:val="21"/>
          <w:szCs w:val="21"/>
        </w:rPr>
        <w:t>also include</w:t>
      </w:r>
      <w:r w:rsidR="00D35A3B">
        <w:rPr>
          <w:rFonts w:ascii="Aptos" w:hAnsi="Aptos" w:cs="Arial"/>
          <w:sz w:val="21"/>
          <w:szCs w:val="21"/>
        </w:rPr>
        <w:t>d</w:t>
      </w:r>
      <w:r w:rsidR="00F726B5" w:rsidRPr="00D518FF">
        <w:rPr>
          <w:rFonts w:ascii="Aptos" w:hAnsi="Aptos" w:cs="Arial"/>
          <w:sz w:val="21"/>
          <w:szCs w:val="21"/>
        </w:rPr>
        <w:t xml:space="preserve"> outcomes not of interest to the </w:t>
      </w:r>
      <w:r w:rsidR="006D3F49">
        <w:rPr>
          <w:rFonts w:ascii="Aptos" w:hAnsi="Aptos" w:cs="Arial"/>
          <w:sz w:val="21"/>
          <w:szCs w:val="21"/>
        </w:rPr>
        <w:t>o</w:t>
      </w:r>
      <w:r w:rsidR="006D3F49" w:rsidRPr="00D518FF">
        <w:rPr>
          <w:rFonts w:ascii="Aptos" w:hAnsi="Aptos" w:cs="Arial"/>
          <w:sz w:val="21"/>
          <w:szCs w:val="21"/>
        </w:rPr>
        <w:t>verview</w:t>
      </w:r>
      <w:r w:rsidR="00F726B5" w:rsidRPr="00D518FF">
        <w:rPr>
          <w:rFonts w:ascii="Aptos" w:hAnsi="Aptos" w:cs="Arial"/>
          <w:sz w:val="21"/>
          <w:szCs w:val="21"/>
        </w:rPr>
        <w:t xml:space="preserve">. These outcomes </w:t>
      </w:r>
      <w:r w:rsidR="00E57C2A">
        <w:rPr>
          <w:rFonts w:ascii="Aptos" w:hAnsi="Aptos" w:cs="Arial"/>
          <w:sz w:val="21"/>
          <w:szCs w:val="21"/>
        </w:rPr>
        <w:t>were intended to be</w:t>
      </w:r>
      <w:r w:rsidR="00E57C2A" w:rsidRPr="00D518FF">
        <w:rPr>
          <w:rFonts w:ascii="Aptos" w:hAnsi="Aptos" w:cs="Arial"/>
          <w:sz w:val="21"/>
          <w:szCs w:val="21"/>
        </w:rPr>
        <w:t xml:space="preserve"> </w:t>
      </w:r>
      <w:r w:rsidR="00F726B5" w:rsidRPr="00D518FF">
        <w:rPr>
          <w:rFonts w:ascii="Aptos" w:hAnsi="Aptos" w:cs="Arial"/>
          <w:sz w:val="21"/>
          <w:szCs w:val="21"/>
        </w:rPr>
        <w:t>extracted as part of data collection</w:t>
      </w:r>
      <w:r w:rsidR="00E57C2A">
        <w:rPr>
          <w:rFonts w:ascii="Aptos" w:hAnsi="Aptos" w:cs="Arial"/>
          <w:sz w:val="21"/>
          <w:szCs w:val="21"/>
        </w:rPr>
        <w:t xml:space="preserve"> per the protocol</w:t>
      </w:r>
      <w:r w:rsidR="00F726B5" w:rsidRPr="00D518FF">
        <w:rPr>
          <w:rFonts w:ascii="Aptos" w:hAnsi="Aptos" w:cs="Arial"/>
          <w:sz w:val="21"/>
          <w:szCs w:val="21"/>
        </w:rPr>
        <w:t xml:space="preserve">, but </w:t>
      </w:r>
      <w:r w:rsidR="00E57C2A">
        <w:rPr>
          <w:rFonts w:ascii="Aptos" w:hAnsi="Aptos" w:cs="Arial"/>
          <w:sz w:val="21"/>
          <w:szCs w:val="21"/>
        </w:rPr>
        <w:t xml:space="preserve">were not for practicality </w:t>
      </w:r>
      <w:r w:rsidR="00D35A3B">
        <w:rPr>
          <w:rFonts w:ascii="Aptos" w:hAnsi="Aptos" w:cs="Arial"/>
          <w:sz w:val="21"/>
          <w:szCs w:val="21"/>
        </w:rPr>
        <w:t xml:space="preserve">and given that they would not contribute to findings </w:t>
      </w:r>
      <w:r w:rsidR="00E57C2A">
        <w:rPr>
          <w:rFonts w:ascii="Aptos" w:hAnsi="Aptos" w:cs="Arial"/>
          <w:sz w:val="21"/>
          <w:szCs w:val="21"/>
        </w:rPr>
        <w:t>(see Appendix G)</w:t>
      </w:r>
      <w:r w:rsidR="00F726B5" w:rsidRPr="00D518FF">
        <w:rPr>
          <w:rFonts w:ascii="Aptos" w:hAnsi="Aptos" w:cs="Arial"/>
          <w:sz w:val="21"/>
          <w:szCs w:val="21"/>
        </w:rPr>
        <w:t xml:space="preserve">. </w:t>
      </w:r>
    </w:p>
    <w:p w14:paraId="73972536" w14:textId="4D399192"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following broad characteristics of included systematic reviews </w:t>
      </w:r>
      <w:r w:rsidR="00E178EE">
        <w:rPr>
          <w:rFonts w:ascii="Aptos" w:hAnsi="Aptos" w:cs="Arial"/>
          <w:sz w:val="21"/>
          <w:szCs w:val="21"/>
        </w:rPr>
        <w:t>were</w:t>
      </w:r>
      <w:r w:rsidRPr="00D518FF">
        <w:rPr>
          <w:rFonts w:ascii="Aptos" w:hAnsi="Aptos" w:cs="Arial"/>
          <w:sz w:val="21"/>
          <w:szCs w:val="21"/>
        </w:rPr>
        <w:t xml:space="preserve"> extracted: </w:t>
      </w:r>
    </w:p>
    <w:p w14:paraId="01F3168B" w14:textId="4BB9864A" w:rsidR="00F274FE" w:rsidRDefault="00F726B5"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Author, year, review design (e.g. meta-analysis)</w:t>
      </w:r>
    </w:p>
    <w:p w14:paraId="087B6E73" w14:textId="7DA8318F" w:rsidR="00F726B5" w:rsidRPr="00D518FF" w:rsidRDefault="00F274FE" w:rsidP="00A4650A">
      <w:pPr>
        <w:pStyle w:val="ListParagraph"/>
        <w:numPr>
          <w:ilvl w:val="0"/>
          <w:numId w:val="28"/>
        </w:numPr>
        <w:spacing w:before="120" w:after="120"/>
        <w:rPr>
          <w:rFonts w:ascii="Aptos" w:hAnsi="Aptos" w:cs="Arial"/>
          <w:sz w:val="21"/>
          <w:szCs w:val="21"/>
        </w:rPr>
      </w:pPr>
      <w:r>
        <w:rPr>
          <w:rFonts w:ascii="Aptos" w:hAnsi="Aptos" w:cs="Arial"/>
          <w:sz w:val="21"/>
          <w:szCs w:val="21"/>
        </w:rPr>
        <w:t xml:space="preserve">Search information (number and names of databases searched, </w:t>
      </w:r>
      <w:r w:rsidR="00BD188B">
        <w:rPr>
          <w:rFonts w:ascii="Aptos" w:hAnsi="Aptos" w:cs="Arial"/>
          <w:sz w:val="21"/>
          <w:szCs w:val="21"/>
        </w:rPr>
        <w:t>date of last search</w:t>
      </w:r>
      <w:r>
        <w:rPr>
          <w:rFonts w:ascii="Aptos" w:hAnsi="Aptos" w:cs="Arial"/>
          <w:sz w:val="21"/>
          <w:szCs w:val="21"/>
        </w:rPr>
        <w:t>, restrictions)</w:t>
      </w:r>
    </w:p>
    <w:p w14:paraId="0248DF90" w14:textId="7F55EE6C" w:rsidR="00F726B5" w:rsidRPr="00D518FF" w:rsidRDefault="00F726B5"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Number</w:t>
      </w:r>
      <w:r w:rsidR="00AE61ED">
        <w:rPr>
          <w:rFonts w:ascii="Aptos" w:hAnsi="Aptos" w:cs="Arial"/>
          <w:sz w:val="21"/>
          <w:szCs w:val="21"/>
        </w:rPr>
        <w:t>/type</w:t>
      </w:r>
      <w:r w:rsidRPr="00D518FF">
        <w:rPr>
          <w:rFonts w:ascii="Aptos" w:hAnsi="Aptos" w:cs="Arial"/>
          <w:sz w:val="21"/>
          <w:szCs w:val="21"/>
        </w:rPr>
        <w:t xml:space="preserve"> of included </w:t>
      </w:r>
      <w:r w:rsidR="00AE61ED">
        <w:rPr>
          <w:rFonts w:ascii="Aptos" w:hAnsi="Aptos" w:cs="Arial"/>
          <w:sz w:val="21"/>
          <w:szCs w:val="21"/>
        </w:rPr>
        <w:t xml:space="preserve">primary </w:t>
      </w:r>
      <w:r w:rsidRPr="00D518FF">
        <w:rPr>
          <w:rFonts w:ascii="Aptos" w:hAnsi="Aptos" w:cs="Arial"/>
          <w:sz w:val="21"/>
          <w:szCs w:val="21"/>
        </w:rPr>
        <w:t>studies</w:t>
      </w:r>
    </w:p>
    <w:p w14:paraId="40B54A1D" w14:textId="7798C2E4" w:rsidR="00F726B5" w:rsidRPr="00D518FF" w:rsidRDefault="00F726B5"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Systematic review eligibility criteria for participant characteristics</w:t>
      </w:r>
    </w:p>
    <w:p w14:paraId="43B31D94" w14:textId="502B9BF7" w:rsidR="00611A96" w:rsidRDefault="00F726B5"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 xml:space="preserve">Systematic review eligibility criteria for </w:t>
      </w:r>
      <w:r w:rsidRPr="00D518FF" w:rsidDel="00611A96">
        <w:rPr>
          <w:rFonts w:ascii="Aptos" w:hAnsi="Aptos" w:cs="Arial"/>
          <w:sz w:val="21"/>
          <w:szCs w:val="21"/>
        </w:rPr>
        <w:t>i</w:t>
      </w:r>
      <w:r w:rsidRPr="00D518FF">
        <w:rPr>
          <w:rFonts w:ascii="Aptos" w:hAnsi="Aptos" w:cs="Arial"/>
          <w:sz w:val="21"/>
          <w:szCs w:val="21"/>
        </w:rPr>
        <w:t xml:space="preserve">ntervention </w:t>
      </w:r>
      <w:r w:rsidR="00611A96">
        <w:rPr>
          <w:rFonts w:ascii="Aptos" w:hAnsi="Aptos" w:cs="Arial"/>
          <w:sz w:val="21"/>
          <w:szCs w:val="21"/>
        </w:rPr>
        <w:t>description</w:t>
      </w:r>
    </w:p>
    <w:p w14:paraId="05E91A3A" w14:textId="2C8E6524" w:rsidR="00F726B5" w:rsidRPr="00D518FF" w:rsidRDefault="00611A96" w:rsidP="00A4650A">
      <w:pPr>
        <w:pStyle w:val="ListParagraph"/>
        <w:numPr>
          <w:ilvl w:val="0"/>
          <w:numId w:val="28"/>
        </w:numPr>
        <w:spacing w:before="120" w:after="120"/>
        <w:rPr>
          <w:rFonts w:ascii="Aptos" w:hAnsi="Aptos" w:cs="Arial"/>
          <w:sz w:val="21"/>
          <w:szCs w:val="21"/>
        </w:rPr>
      </w:pPr>
      <w:r>
        <w:rPr>
          <w:rFonts w:ascii="Aptos" w:hAnsi="Aptos" w:cs="Arial"/>
          <w:sz w:val="21"/>
          <w:szCs w:val="21"/>
        </w:rPr>
        <w:t>C</w:t>
      </w:r>
      <w:r w:rsidR="00F726B5" w:rsidRPr="00D518FF">
        <w:rPr>
          <w:rFonts w:ascii="Aptos" w:hAnsi="Aptos" w:cs="Arial"/>
          <w:sz w:val="21"/>
          <w:szCs w:val="21"/>
        </w:rPr>
        <w:t xml:space="preserve">omparator </w:t>
      </w:r>
      <w:r>
        <w:rPr>
          <w:rFonts w:ascii="Aptos" w:hAnsi="Aptos" w:cs="Arial"/>
          <w:sz w:val="21"/>
          <w:szCs w:val="21"/>
        </w:rPr>
        <w:t>description</w:t>
      </w:r>
    </w:p>
    <w:p w14:paraId="5A9FC576" w14:textId="6DCAF16A" w:rsidR="00F726B5" w:rsidRDefault="009E41B2" w:rsidP="00A4650A">
      <w:pPr>
        <w:pStyle w:val="ListParagraph"/>
        <w:numPr>
          <w:ilvl w:val="0"/>
          <w:numId w:val="28"/>
        </w:numPr>
        <w:spacing w:before="120" w:after="120"/>
        <w:rPr>
          <w:rFonts w:ascii="Aptos" w:hAnsi="Aptos" w:cs="Arial"/>
          <w:sz w:val="21"/>
          <w:szCs w:val="21"/>
        </w:rPr>
      </w:pPr>
      <w:r>
        <w:rPr>
          <w:rFonts w:ascii="Aptos" w:hAnsi="Aptos" w:cs="Arial"/>
          <w:sz w:val="21"/>
          <w:szCs w:val="21"/>
        </w:rPr>
        <w:t>Number of participants (total)</w:t>
      </w:r>
    </w:p>
    <w:p w14:paraId="007F7406" w14:textId="172BF931" w:rsidR="009E41B2" w:rsidRDefault="009E41B2" w:rsidP="00A4650A">
      <w:pPr>
        <w:pStyle w:val="ListParagraph"/>
        <w:numPr>
          <w:ilvl w:val="0"/>
          <w:numId w:val="28"/>
        </w:numPr>
        <w:spacing w:before="120" w:after="120"/>
        <w:rPr>
          <w:rFonts w:ascii="Aptos" w:hAnsi="Aptos" w:cs="Arial"/>
          <w:sz w:val="21"/>
          <w:szCs w:val="21"/>
        </w:rPr>
      </w:pPr>
      <w:r>
        <w:rPr>
          <w:rFonts w:ascii="Aptos" w:hAnsi="Aptos" w:cs="Arial"/>
          <w:sz w:val="21"/>
          <w:szCs w:val="21"/>
        </w:rPr>
        <w:t>Outcome measures</w:t>
      </w:r>
    </w:p>
    <w:p w14:paraId="697D6957" w14:textId="5C512658" w:rsidR="002F77AF" w:rsidRPr="00D518FF" w:rsidRDefault="002F77AF" w:rsidP="00A4650A">
      <w:pPr>
        <w:pStyle w:val="ListParagraph"/>
        <w:numPr>
          <w:ilvl w:val="0"/>
          <w:numId w:val="28"/>
        </w:numPr>
        <w:spacing w:before="120" w:after="120"/>
        <w:rPr>
          <w:rFonts w:ascii="Aptos" w:hAnsi="Aptos" w:cs="Arial"/>
          <w:sz w:val="21"/>
          <w:szCs w:val="21"/>
        </w:rPr>
      </w:pPr>
      <w:r>
        <w:rPr>
          <w:rFonts w:ascii="Aptos" w:hAnsi="Aptos" w:cs="Arial"/>
          <w:sz w:val="21"/>
          <w:szCs w:val="21"/>
        </w:rPr>
        <w:t>Follow-up</w:t>
      </w:r>
    </w:p>
    <w:p w14:paraId="70565E1A" w14:textId="77777777" w:rsidR="00F726B5" w:rsidRPr="00D518FF" w:rsidRDefault="00F726B5"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Risk of bias tool used to appraise included primary studies and their ratings</w:t>
      </w:r>
    </w:p>
    <w:p w14:paraId="30CE4885" w14:textId="0B4086FD" w:rsidR="00B72DE2" w:rsidRPr="00B72DE2" w:rsidRDefault="001F081F"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Results</w:t>
      </w:r>
      <w:r w:rsidR="002F77AF">
        <w:rPr>
          <w:rFonts w:ascii="Aptos" w:hAnsi="Aptos" w:cs="Arial"/>
          <w:sz w:val="21"/>
          <w:szCs w:val="21"/>
        </w:rPr>
        <w:t xml:space="preserve"> (effect size</w:t>
      </w:r>
      <w:r w:rsidR="00B72DE2">
        <w:rPr>
          <w:rFonts w:ascii="Aptos" w:hAnsi="Aptos" w:cs="Arial"/>
          <w:sz w:val="21"/>
          <w:szCs w:val="21"/>
        </w:rPr>
        <w:t>, h</w:t>
      </w:r>
      <w:r w:rsidR="00B72DE2" w:rsidRPr="00B72DE2">
        <w:rPr>
          <w:rFonts w:ascii="Aptos" w:hAnsi="Aptos" w:cs="Arial"/>
          <w:sz w:val="21"/>
          <w:szCs w:val="21"/>
        </w:rPr>
        <w:t xml:space="preserve">eterogeneity statistics, </w:t>
      </w:r>
      <w:r w:rsidR="00B72DE2">
        <w:rPr>
          <w:rFonts w:ascii="Aptos" w:hAnsi="Aptos" w:cs="Arial"/>
          <w:sz w:val="21"/>
          <w:szCs w:val="21"/>
        </w:rPr>
        <w:t xml:space="preserve">reported </w:t>
      </w:r>
      <w:r w:rsidR="00B72DE2" w:rsidRPr="00B72DE2">
        <w:rPr>
          <w:rFonts w:ascii="Aptos" w:hAnsi="Aptos" w:cs="Arial"/>
          <w:sz w:val="21"/>
          <w:szCs w:val="21"/>
        </w:rPr>
        <w:t>visual inspection of plots</w:t>
      </w:r>
      <w:r w:rsidR="00B72DE2">
        <w:rPr>
          <w:rFonts w:ascii="Aptos" w:hAnsi="Aptos" w:cs="Arial"/>
          <w:sz w:val="21"/>
          <w:szCs w:val="21"/>
        </w:rPr>
        <w:t>, r</w:t>
      </w:r>
      <w:r w:rsidR="00B72DE2" w:rsidRPr="00B72DE2">
        <w:rPr>
          <w:rFonts w:ascii="Aptos" w:hAnsi="Aptos" w:cs="Arial"/>
          <w:sz w:val="21"/>
          <w:szCs w:val="21"/>
        </w:rPr>
        <w:t>esults of any subgroup analyses or similar that might be needed to explain inconsistency)</w:t>
      </w:r>
    </w:p>
    <w:p w14:paraId="74C0E297" w14:textId="77777777" w:rsidR="00B72DE2" w:rsidRPr="00B72DE2" w:rsidRDefault="00B72DE2" w:rsidP="00A4650A">
      <w:pPr>
        <w:pStyle w:val="ListParagraph"/>
        <w:numPr>
          <w:ilvl w:val="0"/>
          <w:numId w:val="28"/>
        </w:numPr>
        <w:spacing w:before="120" w:after="120"/>
        <w:rPr>
          <w:rFonts w:ascii="Aptos" w:hAnsi="Aptos" w:cs="Arial"/>
          <w:sz w:val="21"/>
          <w:szCs w:val="21"/>
        </w:rPr>
      </w:pPr>
      <w:r w:rsidRPr="00B72DE2">
        <w:rPr>
          <w:rFonts w:ascii="Aptos" w:hAnsi="Aptos" w:cs="Arial"/>
          <w:sz w:val="21"/>
          <w:szCs w:val="21"/>
        </w:rPr>
        <w:t>PICO characteristics of primary studies contributing data for each result</w:t>
      </w:r>
    </w:p>
    <w:p w14:paraId="66BEDD01" w14:textId="4DC65E08" w:rsidR="00B72DE2" w:rsidRDefault="00B72DE2" w:rsidP="00A4650A">
      <w:pPr>
        <w:pStyle w:val="ListParagraph"/>
        <w:numPr>
          <w:ilvl w:val="0"/>
          <w:numId w:val="28"/>
        </w:numPr>
        <w:spacing w:before="120" w:after="120"/>
        <w:rPr>
          <w:rFonts w:ascii="Aptos" w:hAnsi="Aptos" w:cs="Arial"/>
          <w:sz w:val="21"/>
          <w:szCs w:val="21"/>
        </w:rPr>
      </w:pPr>
      <w:r w:rsidRPr="00B72DE2">
        <w:rPr>
          <w:rFonts w:ascii="Aptos" w:hAnsi="Aptos" w:cs="Arial"/>
          <w:sz w:val="21"/>
          <w:szCs w:val="21"/>
        </w:rPr>
        <w:t xml:space="preserve">Risk of bias of primary studies contributing data </w:t>
      </w:r>
      <w:r w:rsidR="00461FF7">
        <w:rPr>
          <w:rFonts w:ascii="Aptos" w:hAnsi="Aptos" w:cs="Arial"/>
          <w:sz w:val="21"/>
          <w:szCs w:val="21"/>
        </w:rPr>
        <w:t>(only for “preferred reviews”)</w:t>
      </w:r>
    </w:p>
    <w:p w14:paraId="08F8CE06" w14:textId="129B4407" w:rsidR="00F726B5" w:rsidRPr="00D518FF" w:rsidRDefault="00F726B5"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Funding sources</w:t>
      </w:r>
    </w:p>
    <w:p w14:paraId="4C047892" w14:textId="77777777" w:rsidR="00F726B5" w:rsidRDefault="00F726B5" w:rsidP="00A4650A">
      <w:pPr>
        <w:pStyle w:val="ListParagraph"/>
        <w:numPr>
          <w:ilvl w:val="0"/>
          <w:numId w:val="28"/>
        </w:numPr>
        <w:spacing w:before="120" w:after="120"/>
        <w:rPr>
          <w:rFonts w:ascii="Aptos" w:hAnsi="Aptos" w:cs="Arial"/>
          <w:sz w:val="21"/>
          <w:szCs w:val="21"/>
        </w:rPr>
      </w:pPr>
      <w:r w:rsidRPr="00D518FF">
        <w:rPr>
          <w:rFonts w:ascii="Aptos" w:hAnsi="Aptos" w:cs="Arial"/>
          <w:sz w:val="21"/>
          <w:szCs w:val="21"/>
        </w:rPr>
        <w:t>Ethics information</w:t>
      </w:r>
    </w:p>
    <w:p w14:paraId="62D5866D" w14:textId="2761B461" w:rsidR="00B72DE2" w:rsidRPr="00CC0345" w:rsidRDefault="0020591F" w:rsidP="00E77295">
      <w:pPr>
        <w:spacing w:before="120" w:after="120"/>
        <w:rPr>
          <w:rFonts w:ascii="Aptos" w:hAnsi="Aptos" w:cs="Arial"/>
          <w:sz w:val="21"/>
          <w:szCs w:val="21"/>
        </w:rPr>
      </w:pPr>
      <w:r>
        <w:rPr>
          <w:rFonts w:ascii="Aptos" w:hAnsi="Aptos" w:cs="Arial"/>
          <w:sz w:val="21"/>
          <w:szCs w:val="21"/>
        </w:rPr>
        <w:t>Study c</w:t>
      </w:r>
      <w:r w:rsidR="005C5B7F">
        <w:rPr>
          <w:rFonts w:ascii="Aptos" w:hAnsi="Aptos" w:cs="Arial"/>
          <w:sz w:val="21"/>
          <w:szCs w:val="21"/>
        </w:rPr>
        <w:t>haracteristics and results are presented in Appendix D and E.</w:t>
      </w:r>
    </w:p>
    <w:p w14:paraId="18632D6F" w14:textId="58756A5C" w:rsidR="00B72DE2" w:rsidRDefault="00B72DE2" w:rsidP="00F726B5">
      <w:pPr>
        <w:spacing w:before="120" w:after="120"/>
        <w:rPr>
          <w:rFonts w:ascii="Aptos" w:hAnsi="Aptos" w:cs="Arial"/>
          <w:sz w:val="21"/>
          <w:szCs w:val="21"/>
        </w:rPr>
      </w:pPr>
      <w:r w:rsidRPr="00D518FF">
        <w:rPr>
          <w:rFonts w:ascii="Aptos" w:hAnsi="Aptos" w:cs="Arial"/>
          <w:sz w:val="21"/>
          <w:szCs w:val="21"/>
        </w:rPr>
        <w:t xml:space="preserve">If only a subset of the data within the included systematic reviews </w:t>
      </w:r>
      <w:r>
        <w:rPr>
          <w:rFonts w:ascii="Aptos" w:hAnsi="Aptos" w:cs="Arial"/>
          <w:sz w:val="21"/>
          <w:szCs w:val="21"/>
        </w:rPr>
        <w:t>was relevant</w:t>
      </w:r>
      <w:r w:rsidRPr="00D518FF">
        <w:rPr>
          <w:rFonts w:ascii="Aptos" w:hAnsi="Aptos" w:cs="Arial"/>
          <w:sz w:val="21"/>
          <w:szCs w:val="21"/>
        </w:rPr>
        <w:t xml:space="preserve"> (i.e. if a systematic review report</w:t>
      </w:r>
      <w:r w:rsidR="005C5B7F">
        <w:rPr>
          <w:rFonts w:ascii="Aptos" w:hAnsi="Aptos" w:cs="Arial"/>
          <w:sz w:val="21"/>
          <w:szCs w:val="21"/>
        </w:rPr>
        <w:t>ed</w:t>
      </w:r>
      <w:r w:rsidRPr="00D518FF">
        <w:rPr>
          <w:rFonts w:ascii="Aptos" w:hAnsi="Aptos" w:cs="Arial"/>
          <w:sz w:val="21"/>
          <w:szCs w:val="21"/>
        </w:rPr>
        <w:t xml:space="preserve"> multiple PICOs</w:t>
      </w:r>
      <w:r>
        <w:rPr>
          <w:rFonts w:ascii="Aptos" w:hAnsi="Aptos" w:cs="Arial"/>
          <w:sz w:val="21"/>
          <w:szCs w:val="21"/>
        </w:rPr>
        <w:t xml:space="preserve"> but only one is of interest for the overview</w:t>
      </w:r>
      <w:r w:rsidRPr="00D518FF">
        <w:rPr>
          <w:rFonts w:ascii="Aptos" w:hAnsi="Aptos" w:cs="Arial"/>
          <w:sz w:val="21"/>
          <w:szCs w:val="21"/>
        </w:rPr>
        <w:t xml:space="preserve">), results for the relevant PICO only </w:t>
      </w:r>
      <w:r>
        <w:rPr>
          <w:rFonts w:ascii="Aptos" w:hAnsi="Aptos" w:cs="Arial"/>
          <w:sz w:val="21"/>
          <w:szCs w:val="21"/>
        </w:rPr>
        <w:t>were</w:t>
      </w:r>
      <w:r w:rsidRPr="00D518FF">
        <w:rPr>
          <w:rFonts w:ascii="Aptos" w:hAnsi="Aptos" w:cs="Arial"/>
          <w:sz w:val="21"/>
          <w:szCs w:val="21"/>
        </w:rPr>
        <w:t xml:space="preserve"> extracted. </w:t>
      </w:r>
    </w:p>
    <w:p w14:paraId="24D278C5" w14:textId="77777777" w:rsidR="00F726B5" w:rsidRPr="00D518FF" w:rsidRDefault="00F726B5" w:rsidP="00885F39">
      <w:pPr>
        <w:pStyle w:val="heading2numbers"/>
      </w:pPr>
      <w:bookmarkStart w:id="74" w:name="_Toc100711498"/>
      <w:bookmarkStart w:id="75" w:name="_Toc126835794"/>
      <w:bookmarkStart w:id="76" w:name="_Toc185254626"/>
      <w:r w:rsidRPr="00D518FF">
        <w:lastRenderedPageBreak/>
        <w:t>Data analysis</w:t>
      </w:r>
      <w:bookmarkEnd w:id="74"/>
      <w:r w:rsidRPr="00D518FF">
        <w:t xml:space="preserve"> and synthesis</w:t>
      </w:r>
      <w:bookmarkEnd w:id="75"/>
      <w:bookmarkEnd w:id="76"/>
    </w:p>
    <w:p w14:paraId="396FF203" w14:textId="046680D7" w:rsidR="00F726B5" w:rsidRPr="00D518FF" w:rsidRDefault="00F726B5" w:rsidP="00885F39">
      <w:pPr>
        <w:pStyle w:val="heading3numbers"/>
      </w:pPr>
      <w:bookmarkStart w:id="77" w:name="_Toc100711503"/>
      <w:bookmarkStart w:id="78" w:name="_Toc126835795"/>
      <w:bookmarkStart w:id="79" w:name="_Toc185254627"/>
      <w:r w:rsidRPr="00D518FF">
        <w:t>Data synthesis</w:t>
      </w:r>
      <w:bookmarkEnd w:id="77"/>
      <w:bookmarkEnd w:id="78"/>
      <w:bookmarkEnd w:id="79"/>
    </w:p>
    <w:p w14:paraId="16A42BC4" w14:textId="29C7AA01"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‘Summary of Findings’ tables </w:t>
      </w:r>
      <w:r w:rsidR="0057574B">
        <w:rPr>
          <w:rFonts w:ascii="Aptos" w:hAnsi="Aptos" w:cs="Arial"/>
          <w:sz w:val="21"/>
          <w:szCs w:val="21"/>
        </w:rPr>
        <w:t>were</w:t>
      </w:r>
      <w:r w:rsidRPr="00D518FF">
        <w:rPr>
          <w:rFonts w:ascii="Aptos" w:hAnsi="Aptos" w:cs="Arial"/>
          <w:sz w:val="21"/>
          <w:szCs w:val="21"/>
        </w:rPr>
        <w:t xml:space="preserve"> used to report and present data for up to 7 critical and important outcome</w:t>
      </w:r>
      <w:r w:rsidR="000015BA">
        <w:rPr>
          <w:rFonts w:ascii="Aptos" w:hAnsi="Aptos" w:cs="Arial"/>
          <w:sz w:val="21"/>
          <w:szCs w:val="21"/>
        </w:rPr>
        <w:t xml:space="preserve"> domain</w:t>
      </w:r>
      <w:r w:rsidRPr="00D518FF">
        <w:rPr>
          <w:rFonts w:ascii="Aptos" w:hAnsi="Aptos" w:cs="Arial"/>
          <w:sz w:val="21"/>
          <w:szCs w:val="21"/>
        </w:rPr>
        <w:t xml:space="preserve">s </w:t>
      </w:r>
      <w:r w:rsidR="0057574B">
        <w:rPr>
          <w:rFonts w:ascii="Aptos" w:hAnsi="Aptos" w:cs="Arial"/>
          <w:sz w:val="21"/>
          <w:szCs w:val="21"/>
        </w:rPr>
        <w:t xml:space="preserve">prioritised </w:t>
      </w:r>
      <w:r w:rsidRPr="00D518FF">
        <w:rPr>
          <w:rFonts w:ascii="Aptos" w:hAnsi="Aptos" w:cs="Arial"/>
          <w:sz w:val="21"/>
          <w:szCs w:val="21"/>
        </w:rPr>
        <w:t xml:space="preserve">for each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 guided by the GRADE framework.</w:t>
      </w:r>
      <w:r w:rsidRPr="00D518FF" w:rsidDel="00CC4F7E">
        <w:rPr>
          <w:rFonts w:ascii="Aptos" w:hAnsi="Aptos" w:cs="Arial"/>
          <w:sz w:val="21"/>
          <w:szCs w:val="21"/>
        </w:rPr>
        <w:t xml:space="preserve"> </w:t>
      </w:r>
      <w:r w:rsidRPr="00D518FF">
        <w:rPr>
          <w:rFonts w:ascii="Aptos" w:hAnsi="Aptos" w:cs="Arial"/>
          <w:sz w:val="21"/>
          <w:szCs w:val="21"/>
        </w:rPr>
        <w:t xml:space="preserve">In reporting results, the PRIOR checklist </w:t>
      </w:r>
      <w:r w:rsidR="0057574B">
        <w:rPr>
          <w:rFonts w:ascii="Aptos" w:hAnsi="Aptos" w:cs="Arial"/>
          <w:sz w:val="21"/>
          <w:szCs w:val="21"/>
        </w:rPr>
        <w:t>was</w:t>
      </w:r>
      <w:r w:rsidRPr="00D518FF">
        <w:rPr>
          <w:rFonts w:ascii="Aptos" w:hAnsi="Aptos" w:cs="Arial"/>
          <w:sz w:val="21"/>
          <w:szCs w:val="21"/>
        </w:rPr>
        <w:t xml:space="preserve"> used as a guide </w:t>
      </w:r>
      <w:r w:rsidR="000935F9">
        <w:rPr>
          <w:rFonts w:ascii="Aptos" w:hAnsi="Aptos" w:cs="Arial"/>
          <w:noProof/>
          <w:sz w:val="21"/>
          <w:szCs w:val="21"/>
        </w:rPr>
        <w:t>(3)</w:t>
      </w:r>
      <w:r w:rsidRPr="00D518FF">
        <w:rPr>
          <w:rFonts w:ascii="Aptos" w:hAnsi="Aptos" w:cs="Arial"/>
          <w:sz w:val="21"/>
          <w:szCs w:val="21"/>
        </w:rPr>
        <w:t>.</w:t>
      </w:r>
    </w:p>
    <w:p w14:paraId="150B900A" w14:textId="282B9517" w:rsidR="00F726B5" w:rsidRPr="00D518FF" w:rsidRDefault="00F573EF" w:rsidP="00F726B5">
      <w:pPr>
        <w:spacing w:before="120" w:after="120"/>
        <w:rPr>
          <w:rFonts w:ascii="Aptos" w:hAnsi="Aptos" w:cs="Arial"/>
          <w:sz w:val="21"/>
          <w:szCs w:val="21"/>
        </w:rPr>
      </w:pPr>
      <w:r>
        <w:rPr>
          <w:rFonts w:ascii="Aptos" w:hAnsi="Aptos" w:cs="Arial"/>
          <w:sz w:val="21"/>
          <w:szCs w:val="21"/>
        </w:rPr>
        <w:t>Results from preferred reviews were reported without reanalysis. Quantitative results were presented where available, and r</w:t>
      </w:r>
      <w:r w:rsidR="00F726B5" w:rsidRPr="00D518FF">
        <w:rPr>
          <w:rFonts w:ascii="Aptos" w:hAnsi="Aptos" w:cs="Arial"/>
          <w:sz w:val="21"/>
          <w:szCs w:val="21"/>
        </w:rPr>
        <w:t xml:space="preserve">esults </w:t>
      </w:r>
      <w:r w:rsidR="00B72DE2">
        <w:rPr>
          <w:rFonts w:ascii="Aptos" w:hAnsi="Aptos" w:cs="Arial"/>
          <w:sz w:val="21"/>
          <w:szCs w:val="21"/>
        </w:rPr>
        <w:t xml:space="preserve">were summarised narratively for each PICO as part of each </w:t>
      </w:r>
      <w:r w:rsidR="00B72DE2" w:rsidDel="008B625F">
        <w:rPr>
          <w:rFonts w:ascii="Aptos" w:hAnsi="Aptos" w:cs="Arial"/>
          <w:sz w:val="21"/>
          <w:szCs w:val="21"/>
        </w:rPr>
        <w:t>population-</w:t>
      </w:r>
      <w:r w:rsidR="008B625F">
        <w:rPr>
          <w:rFonts w:ascii="Aptos" w:hAnsi="Aptos" w:cs="Arial"/>
          <w:sz w:val="21"/>
          <w:szCs w:val="21"/>
        </w:rPr>
        <w:t>supplement pair</w:t>
      </w:r>
      <w:r w:rsidR="00B72DE2">
        <w:rPr>
          <w:rFonts w:ascii="Aptos" w:hAnsi="Aptos" w:cs="Arial"/>
          <w:sz w:val="21"/>
          <w:szCs w:val="21"/>
        </w:rPr>
        <w:t xml:space="preserve"> in the </w:t>
      </w:r>
      <w:r w:rsidR="00B72DE2" w:rsidRPr="00D518FF">
        <w:rPr>
          <w:rFonts w:ascii="Aptos" w:hAnsi="Aptos" w:cs="Arial"/>
          <w:sz w:val="21"/>
          <w:szCs w:val="21"/>
        </w:rPr>
        <w:t>‘Summary of Findings’ tables</w:t>
      </w:r>
      <w:r w:rsidR="00B72DE2">
        <w:rPr>
          <w:rFonts w:ascii="Aptos" w:hAnsi="Aptos" w:cs="Arial"/>
          <w:sz w:val="21"/>
          <w:szCs w:val="21"/>
        </w:rPr>
        <w:t xml:space="preserve"> in the main report. Detailed results as extracted from all eligible reviews were </w:t>
      </w:r>
      <w:r w:rsidR="00F726B5" w:rsidRPr="00D518FF">
        <w:rPr>
          <w:rFonts w:ascii="Aptos" w:hAnsi="Aptos" w:cs="Arial"/>
          <w:sz w:val="21"/>
          <w:szCs w:val="21"/>
        </w:rPr>
        <w:t xml:space="preserve">reported in </w:t>
      </w:r>
      <w:r w:rsidR="00B72DE2">
        <w:rPr>
          <w:rFonts w:ascii="Aptos" w:hAnsi="Aptos" w:cs="Arial"/>
          <w:sz w:val="21"/>
          <w:szCs w:val="21"/>
        </w:rPr>
        <w:t>Appendix</w:t>
      </w:r>
      <w:r w:rsidR="00D43A0F">
        <w:rPr>
          <w:rFonts w:ascii="Aptos" w:hAnsi="Aptos" w:cs="Arial"/>
          <w:sz w:val="21"/>
          <w:szCs w:val="21"/>
        </w:rPr>
        <w:t xml:space="preserve"> D and E</w:t>
      </w:r>
      <w:r w:rsidR="00F726B5" w:rsidRPr="00D518FF">
        <w:rPr>
          <w:rFonts w:ascii="Aptos" w:hAnsi="Aptos" w:cs="Arial"/>
          <w:sz w:val="21"/>
          <w:szCs w:val="21"/>
        </w:rPr>
        <w:t xml:space="preserve">. Data </w:t>
      </w:r>
      <w:r w:rsidR="002B2E01">
        <w:rPr>
          <w:rFonts w:ascii="Aptos" w:hAnsi="Aptos" w:cs="Arial"/>
          <w:sz w:val="21"/>
          <w:szCs w:val="21"/>
        </w:rPr>
        <w:t>was</w:t>
      </w:r>
      <w:r w:rsidR="00F726B5" w:rsidRPr="00D518FF">
        <w:rPr>
          <w:rFonts w:ascii="Aptos" w:hAnsi="Aptos" w:cs="Arial"/>
          <w:sz w:val="21"/>
          <w:szCs w:val="21"/>
        </w:rPr>
        <w:t xml:space="preserve"> extracted in the format </w:t>
      </w:r>
      <w:r w:rsidR="00D43A0F">
        <w:rPr>
          <w:rFonts w:ascii="Aptos" w:hAnsi="Aptos" w:cs="Arial"/>
          <w:sz w:val="21"/>
          <w:szCs w:val="21"/>
        </w:rPr>
        <w:t xml:space="preserve">and language as </w:t>
      </w:r>
      <w:r w:rsidR="00F726B5" w:rsidRPr="00D518FF">
        <w:rPr>
          <w:rFonts w:ascii="Aptos" w:hAnsi="Aptos" w:cs="Arial"/>
          <w:sz w:val="21"/>
          <w:szCs w:val="21"/>
        </w:rPr>
        <w:t xml:space="preserve">provided </w:t>
      </w:r>
      <w:r w:rsidR="002B2E01">
        <w:rPr>
          <w:rFonts w:ascii="Aptos" w:hAnsi="Aptos" w:cs="Arial"/>
          <w:sz w:val="21"/>
          <w:szCs w:val="21"/>
        </w:rPr>
        <w:t>in</w:t>
      </w:r>
      <w:r w:rsidR="002B2E01" w:rsidRPr="00D518FF">
        <w:rPr>
          <w:rFonts w:ascii="Aptos" w:hAnsi="Aptos" w:cs="Arial"/>
          <w:sz w:val="21"/>
          <w:szCs w:val="21"/>
        </w:rPr>
        <w:t xml:space="preserve"> </w:t>
      </w:r>
      <w:r w:rsidR="00F726B5" w:rsidRPr="00D518FF">
        <w:rPr>
          <w:rFonts w:ascii="Aptos" w:hAnsi="Aptos" w:cs="Arial"/>
          <w:sz w:val="21"/>
          <w:szCs w:val="21"/>
        </w:rPr>
        <w:t>each systematic review</w:t>
      </w:r>
      <w:r w:rsidR="00D43A0F">
        <w:rPr>
          <w:rFonts w:ascii="Aptos" w:hAnsi="Aptos" w:cs="Arial"/>
          <w:sz w:val="21"/>
          <w:szCs w:val="21"/>
        </w:rPr>
        <w:t>. Data was transformed minimally</w:t>
      </w:r>
      <w:r w:rsidR="00B76254">
        <w:rPr>
          <w:rFonts w:ascii="Aptos" w:hAnsi="Aptos" w:cs="Arial"/>
          <w:sz w:val="21"/>
          <w:szCs w:val="21"/>
        </w:rPr>
        <w:t xml:space="preserve"> </w:t>
      </w:r>
      <w:r w:rsidR="00D43A0F">
        <w:rPr>
          <w:rFonts w:ascii="Aptos" w:hAnsi="Aptos" w:cs="Arial"/>
          <w:sz w:val="21"/>
          <w:szCs w:val="21"/>
        </w:rPr>
        <w:t xml:space="preserve">for presentation and </w:t>
      </w:r>
      <w:r w:rsidR="00F726B5" w:rsidRPr="00D518FF">
        <w:rPr>
          <w:rFonts w:ascii="Aptos" w:hAnsi="Aptos" w:cs="Arial"/>
          <w:sz w:val="21"/>
          <w:szCs w:val="21"/>
        </w:rPr>
        <w:t xml:space="preserve">summary in the </w:t>
      </w:r>
      <w:r w:rsidR="00B76254">
        <w:rPr>
          <w:rFonts w:ascii="Aptos" w:hAnsi="Aptos" w:cs="Arial"/>
          <w:sz w:val="21"/>
          <w:szCs w:val="21"/>
        </w:rPr>
        <w:t>o</w:t>
      </w:r>
      <w:r w:rsidR="00F726B5" w:rsidRPr="00D518FF">
        <w:rPr>
          <w:rFonts w:ascii="Aptos" w:hAnsi="Aptos" w:cs="Arial"/>
          <w:sz w:val="21"/>
          <w:szCs w:val="21"/>
        </w:rPr>
        <w:t>verview.</w:t>
      </w:r>
    </w:p>
    <w:p w14:paraId="77A18F05" w14:textId="3F3BD978"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procedure for dealing with missing data is described in </w:t>
      </w:r>
      <w:r w:rsidR="00B72DE2" w:rsidRPr="00B72DE2">
        <w:rPr>
          <w:rFonts w:ascii="Aptos" w:hAnsi="Aptos" w:cs="Arial"/>
          <w:sz w:val="21"/>
          <w:szCs w:val="21"/>
        </w:rPr>
        <w:t>Appendix B1.1</w:t>
      </w:r>
      <w:r w:rsidRPr="00D518FF">
        <w:rPr>
          <w:rFonts w:ascii="Aptos" w:hAnsi="Aptos" w:cs="Arial"/>
          <w:sz w:val="21"/>
          <w:szCs w:val="21"/>
        </w:rPr>
        <w:t>. If insufficient summary statistics</w:t>
      </w:r>
      <w:r w:rsidR="00B72DE2">
        <w:rPr>
          <w:rFonts w:ascii="Aptos" w:hAnsi="Aptos" w:cs="Arial"/>
          <w:sz w:val="21"/>
          <w:szCs w:val="21"/>
        </w:rPr>
        <w:t xml:space="preserve"> were provided in selected systematic reviews</w:t>
      </w:r>
      <w:r w:rsidRPr="00D518FF">
        <w:rPr>
          <w:rFonts w:ascii="Aptos" w:hAnsi="Aptos" w:cs="Arial"/>
          <w:sz w:val="21"/>
          <w:szCs w:val="21"/>
        </w:rPr>
        <w:t xml:space="preserve">, this </w:t>
      </w:r>
      <w:r w:rsidR="00B72DE2">
        <w:rPr>
          <w:rFonts w:ascii="Aptos" w:hAnsi="Aptos" w:cs="Arial"/>
          <w:sz w:val="21"/>
          <w:szCs w:val="21"/>
        </w:rPr>
        <w:t>was</w:t>
      </w:r>
      <w:r w:rsidRPr="00D518FF">
        <w:rPr>
          <w:rFonts w:ascii="Aptos" w:hAnsi="Aptos" w:cs="Arial"/>
          <w:sz w:val="21"/>
          <w:szCs w:val="21"/>
        </w:rPr>
        <w:t xml:space="preserve"> noted and </w:t>
      </w:r>
      <w:r w:rsidR="00B72DE2">
        <w:rPr>
          <w:rFonts w:ascii="Aptos" w:hAnsi="Aptos" w:cs="Arial"/>
          <w:sz w:val="21"/>
          <w:szCs w:val="21"/>
        </w:rPr>
        <w:t xml:space="preserve">considered in </w:t>
      </w:r>
      <w:r w:rsidR="00DC139F">
        <w:rPr>
          <w:rFonts w:ascii="Aptos" w:hAnsi="Aptos" w:cs="Arial"/>
          <w:sz w:val="21"/>
          <w:szCs w:val="21"/>
        </w:rPr>
        <w:t>ROBIS</w:t>
      </w:r>
      <w:r w:rsidR="00B72DE2">
        <w:rPr>
          <w:rFonts w:ascii="Aptos" w:hAnsi="Aptos" w:cs="Arial"/>
          <w:sz w:val="21"/>
          <w:szCs w:val="21"/>
        </w:rPr>
        <w:t xml:space="preserve"> assessments and GRADE evaluations</w:t>
      </w:r>
      <w:r w:rsidRPr="00D518FF">
        <w:rPr>
          <w:rFonts w:ascii="Aptos" w:hAnsi="Aptos" w:cs="Arial"/>
          <w:sz w:val="21"/>
          <w:szCs w:val="21"/>
        </w:rPr>
        <w:t xml:space="preserve">. Implications for </w:t>
      </w:r>
      <w:r w:rsidR="006720F9">
        <w:rPr>
          <w:rFonts w:ascii="Aptos" w:hAnsi="Aptos" w:cs="Arial"/>
          <w:sz w:val="21"/>
          <w:szCs w:val="21"/>
        </w:rPr>
        <w:t xml:space="preserve">the potential for </w:t>
      </w:r>
      <w:r w:rsidRPr="00D518FF">
        <w:rPr>
          <w:rFonts w:ascii="Aptos" w:hAnsi="Aptos" w:cs="Arial"/>
          <w:sz w:val="21"/>
          <w:szCs w:val="21"/>
        </w:rPr>
        <w:t xml:space="preserve">missing data </w:t>
      </w:r>
      <w:r w:rsidR="00F2556A">
        <w:rPr>
          <w:rFonts w:ascii="Aptos" w:hAnsi="Aptos" w:cs="Arial"/>
          <w:sz w:val="21"/>
          <w:szCs w:val="21"/>
        </w:rPr>
        <w:t>were</w:t>
      </w:r>
      <w:r w:rsidRPr="00D518FF">
        <w:rPr>
          <w:rFonts w:ascii="Aptos" w:hAnsi="Aptos" w:cs="Arial"/>
          <w:sz w:val="21"/>
          <w:szCs w:val="21"/>
        </w:rPr>
        <w:t xml:space="preserve"> </w:t>
      </w:r>
      <w:r w:rsidR="00B72DE2">
        <w:rPr>
          <w:rFonts w:ascii="Aptos" w:hAnsi="Aptos" w:cs="Arial"/>
          <w:sz w:val="21"/>
          <w:szCs w:val="21"/>
        </w:rPr>
        <w:t xml:space="preserve">also </w:t>
      </w:r>
      <w:r w:rsidRPr="00D518FF">
        <w:rPr>
          <w:rFonts w:ascii="Aptos" w:hAnsi="Aptos" w:cs="Arial"/>
          <w:sz w:val="21"/>
          <w:szCs w:val="21"/>
        </w:rPr>
        <w:t xml:space="preserve">considered when interpreting the evidence and </w:t>
      </w:r>
      <w:r w:rsidR="00F25FEF">
        <w:rPr>
          <w:rFonts w:ascii="Aptos" w:hAnsi="Aptos" w:cs="Arial"/>
          <w:sz w:val="21"/>
          <w:szCs w:val="21"/>
        </w:rPr>
        <w:t xml:space="preserve">limitations are </w:t>
      </w:r>
      <w:r w:rsidRPr="00D518FF">
        <w:rPr>
          <w:rFonts w:ascii="Aptos" w:hAnsi="Aptos" w:cs="Arial"/>
          <w:sz w:val="21"/>
          <w:szCs w:val="21"/>
        </w:rPr>
        <w:t xml:space="preserve">discussed </w:t>
      </w:r>
      <w:r w:rsidR="00F25FEF">
        <w:rPr>
          <w:rFonts w:ascii="Aptos" w:hAnsi="Aptos" w:cs="Arial"/>
          <w:sz w:val="21"/>
          <w:szCs w:val="21"/>
        </w:rPr>
        <w:t>in Section 5.6</w:t>
      </w:r>
      <w:r w:rsidRPr="00D518FF">
        <w:rPr>
          <w:rFonts w:ascii="Aptos" w:hAnsi="Aptos" w:cs="Arial"/>
          <w:sz w:val="21"/>
          <w:szCs w:val="21"/>
        </w:rPr>
        <w:t xml:space="preserve">. Where there </w:t>
      </w:r>
      <w:r w:rsidR="00F25FEF">
        <w:rPr>
          <w:rFonts w:ascii="Aptos" w:hAnsi="Aptos" w:cs="Arial"/>
          <w:sz w:val="21"/>
          <w:szCs w:val="21"/>
        </w:rPr>
        <w:t>wa</w:t>
      </w:r>
      <w:r w:rsidRPr="00D518FF">
        <w:rPr>
          <w:rFonts w:ascii="Aptos" w:hAnsi="Aptos" w:cs="Arial"/>
          <w:sz w:val="21"/>
          <w:szCs w:val="21"/>
        </w:rPr>
        <w:t>s no quantitative synthesis</w:t>
      </w:r>
      <w:r w:rsidR="0003298B">
        <w:rPr>
          <w:rFonts w:ascii="Aptos" w:hAnsi="Aptos" w:cs="Arial"/>
          <w:sz w:val="21"/>
          <w:szCs w:val="21"/>
        </w:rPr>
        <w:t xml:space="preserve"> or summary statistics/effect sizes</w:t>
      </w:r>
      <w:r w:rsidRPr="00D518FF">
        <w:rPr>
          <w:rFonts w:ascii="Aptos" w:hAnsi="Aptos" w:cs="Arial"/>
          <w:sz w:val="21"/>
          <w:szCs w:val="21"/>
        </w:rPr>
        <w:t xml:space="preserve">, but results </w:t>
      </w:r>
      <w:r w:rsidR="0003298B">
        <w:rPr>
          <w:rFonts w:ascii="Aptos" w:hAnsi="Aptos" w:cs="Arial"/>
          <w:sz w:val="21"/>
          <w:szCs w:val="21"/>
        </w:rPr>
        <w:t>were</w:t>
      </w:r>
      <w:r w:rsidR="0003298B" w:rsidRPr="00D518FF">
        <w:rPr>
          <w:rFonts w:ascii="Aptos" w:hAnsi="Aptos" w:cs="Arial"/>
          <w:sz w:val="21"/>
          <w:szCs w:val="21"/>
        </w:rPr>
        <w:t xml:space="preserve"> </w:t>
      </w:r>
      <w:r w:rsidRPr="00D518FF">
        <w:rPr>
          <w:rFonts w:ascii="Aptos" w:hAnsi="Aptos" w:cs="Arial"/>
          <w:sz w:val="21"/>
          <w:szCs w:val="21"/>
        </w:rPr>
        <w:t xml:space="preserve">still relevant to the outcome, these </w:t>
      </w:r>
      <w:r w:rsidR="0003298B">
        <w:rPr>
          <w:rFonts w:ascii="Aptos" w:hAnsi="Aptos" w:cs="Arial"/>
          <w:sz w:val="21"/>
          <w:szCs w:val="21"/>
        </w:rPr>
        <w:t>were</w:t>
      </w:r>
      <w:r w:rsidRPr="00D518FF">
        <w:rPr>
          <w:rFonts w:ascii="Aptos" w:hAnsi="Aptos" w:cs="Arial"/>
          <w:sz w:val="21"/>
          <w:szCs w:val="21"/>
        </w:rPr>
        <w:t xml:space="preserve"> recorded </w:t>
      </w:r>
      <w:r w:rsidR="0003298B">
        <w:rPr>
          <w:rFonts w:ascii="Aptos" w:hAnsi="Aptos" w:cs="Arial"/>
          <w:sz w:val="21"/>
          <w:szCs w:val="21"/>
        </w:rPr>
        <w:t>and presented narratively</w:t>
      </w:r>
      <w:r w:rsidRPr="00D518FF">
        <w:rPr>
          <w:rFonts w:ascii="Aptos" w:hAnsi="Aptos" w:cs="Arial"/>
          <w:sz w:val="21"/>
          <w:szCs w:val="21"/>
        </w:rPr>
        <w:t>.</w:t>
      </w:r>
    </w:p>
    <w:p w14:paraId="0BF8A649" w14:textId="527B0DDC" w:rsidR="00F726B5" w:rsidRPr="00D518FF" w:rsidRDefault="00F726B5" w:rsidP="00F726B5">
      <w:pPr>
        <w:spacing w:before="120" w:after="120"/>
        <w:rPr>
          <w:rFonts w:ascii="Aptos" w:hAnsi="Aptos" w:cs="Arial"/>
          <w:sz w:val="21"/>
          <w:szCs w:val="21"/>
        </w:rPr>
      </w:pPr>
      <w:bookmarkStart w:id="80" w:name="_Hlk166668184"/>
      <w:r w:rsidRPr="00D518FF">
        <w:rPr>
          <w:rFonts w:ascii="Aptos" w:hAnsi="Aptos" w:cs="Arial"/>
          <w:sz w:val="21"/>
          <w:szCs w:val="21"/>
        </w:rPr>
        <w:t xml:space="preserve">Thresholds for interpretation of effect estimates and confidence intervals </w:t>
      </w:r>
      <w:r w:rsidR="005022F9">
        <w:rPr>
          <w:rFonts w:ascii="Aptos" w:hAnsi="Aptos" w:cs="Arial"/>
          <w:sz w:val="21"/>
          <w:szCs w:val="21"/>
        </w:rPr>
        <w:t>were</w:t>
      </w:r>
      <w:r w:rsidRPr="00D518FF">
        <w:rPr>
          <w:rFonts w:ascii="Aptos" w:hAnsi="Aptos" w:cs="Arial"/>
          <w:sz w:val="21"/>
          <w:szCs w:val="21"/>
        </w:rPr>
        <w:t xml:space="preserve"> determined </w:t>
      </w:r>
      <w:r w:rsidR="00641D1A">
        <w:rPr>
          <w:rFonts w:ascii="Aptos" w:hAnsi="Aptos" w:cs="Arial"/>
          <w:sz w:val="21"/>
          <w:szCs w:val="21"/>
        </w:rPr>
        <w:t>for</w:t>
      </w:r>
      <w:r w:rsidRPr="00D518FF">
        <w:rPr>
          <w:rFonts w:ascii="Aptos" w:hAnsi="Aptos" w:cs="Arial"/>
          <w:sz w:val="21"/>
          <w:szCs w:val="21"/>
        </w:rPr>
        <w:t xml:space="preserve"> </w:t>
      </w:r>
      <w:r w:rsidR="00F25FEF">
        <w:rPr>
          <w:rFonts w:ascii="Aptos" w:hAnsi="Aptos" w:cs="Arial"/>
          <w:sz w:val="21"/>
          <w:szCs w:val="21"/>
        </w:rPr>
        <w:t>e</w:t>
      </w:r>
      <w:r w:rsidRPr="00D518FF">
        <w:rPr>
          <w:rFonts w:ascii="Aptos" w:hAnsi="Aptos" w:cs="Arial"/>
          <w:sz w:val="21"/>
          <w:szCs w:val="21"/>
        </w:rPr>
        <w:t>ach outcome based on a minimal clinically important difference (MCID).</w:t>
      </w:r>
      <w:r w:rsidR="00BF3F1C">
        <w:rPr>
          <w:rFonts w:ascii="Aptos" w:hAnsi="Aptos" w:cs="Arial"/>
          <w:sz w:val="21"/>
          <w:szCs w:val="21"/>
        </w:rPr>
        <w:t xml:space="preserve"> While it was originally reported in the protocol that statistical significance would also be considered, this was not done as </w:t>
      </w:r>
      <w:r w:rsidR="001F6E9F" w:rsidRPr="00E77295">
        <w:rPr>
          <w:rFonts w:ascii="Aptos" w:hAnsi="Aptos" w:cs="Arial"/>
          <w:sz w:val="21"/>
          <w:szCs w:val="21"/>
        </w:rPr>
        <w:t>Cochrane guidance strongly recommends against interpretation based on statistical significance</w:t>
      </w:r>
      <w:r w:rsidR="001F6E9F" w:rsidRPr="00D518FF">
        <w:rPr>
          <w:rFonts w:ascii="Aptos" w:hAnsi="Aptos" w:cs="Arial"/>
          <w:sz w:val="21"/>
          <w:szCs w:val="21"/>
        </w:rPr>
        <w:t xml:space="preserve"> </w:t>
      </w:r>
      <w:r w:rsidR="001F6E9F">
        <w:rPr>
          <w:rFonts w:ascii="Aptos" w:hAnsi="Aptos" w:cs="Arial"/>
          <w:sz w:val="21"/>
          <w:szCs w:val="21"/>
        </w:rPr>
        <w:t xml:space="preserve">and it is incompatible with GRADE. </w:t>
      </w:r>
      <w:r w:rsidRPr="00D518FF">
        <w:rPr>
          <w:rFonts w:ascii="Aptos" w:hAnsi="Aptos" w:cs="Arial"/>
          <w:sz w:val="21"/>
          <w:szCs w:val="21"/>
        </w:rPr>
        <w:t xml:space="preserve">As MCIDs </w:t>
      </w:r>
      <w:r w:rsidR="005022F9">
        <w:rPr>
          <w:rFonts w:ascii="Aptos" w:hAnsi="Aptos" w:cs="Arial"/>
          <w:sz w:val="21"/>
          <w:szCs w:val="21"/>
        </w:rPr>
        <w:t>are</w:t>
      </w:r>
      <w:r w:rsidRPr="00D518FF">
        <w:rPr>
          <w:rFonts w:ascii="Aptos" w:hAnsi="Aptos" w:cs="Arial"/>
          <w:sz w:val="21"/>
          <w:szCs w:val="21"/>
        </w:rPr>
        <w:t xml:space="preserve"> different for different outcomes, the interpretation of effect estimates </w:t>
      </w:r>
      <w:r w:rsidR="00F25FEF">
        <w:rPr>
          <w:rFonts w:ascii="Aptos" w:hAnsi="Aptos" w:cs="Arial"/>
          <w:sz w:val="21"/>
          <w:szCs w:val="21"/>
        </w:rPr>
        <w:t>were</w:t>
      </w:r>
      <w:r w:rsidRPr="00D518FF">
        <w:rPr>
          <w:rFonts w:ascii="Aptos" w:hAnsi="Aptos" w:cs="Arial"/>
          <w:sz w:val="21"/>
          <w:szCs w:val="21"/>
        </w:rPr>
        <w:t xml:space="preserve"> based on what </w:t>
      </w:r>
      <w:r w:rsidR="00F25FEF">
        <w:rPr>
          <w:rFonts w:ascii="Aptos" w:hAnsi="Aptos" w:cs="Arial"/>
          <w:sz w:val="21"/>
          <w:szCs w:val="21"/>
        </w:rPr>
        <w:t>wa</w:t>
      </w:r>
      <w:r w:rsidRPr="00D518FF">
        <w:rPr>
          <w:rFonts w:ascii="Aptos" w:hAnsi="Aptos" w:cs="Arial"/>
          <w:sz w:val="21"/>
          <w:szCs w:val="21"/>
        </w:rPr>
        <w:t xml:space="preserve">s included </w:t>
      </w:r>
      <w:r w:rsidR="00F25FEF">
        <w:rPr>
          <w:rFonts w:ascii="Aptos" w:hAnsi="Aptos" w:cs="Arial"/>
          <w:sz w:val="21"/>
          <w:szCs w:val="21"/>
        </w:rPr>
        <w:t>in</w:t>
      </w:r>
      <w:r w:rsidR="00F25FEF" w:rsidRPr="00D518FF">
        <w:rPr>
          <w:rFonts w:ascii="Aptos" w:hAnsi="Aptos" w:cs="Arial"/>
          <w:sz w:val="21"/>
          <w:szCs w:val="21"/>
        </w:rPr>
        <w:t xml:space="preserve"> </w:t>
      </w:r>
      <w:r w:rsidRPr="00D518FF">
        <w:rPr>
          <w:rFonts w:ascii="Aptos" w:hAnsi="Aptos" w:cs="Arial"/>
          <w:sz w:val="21"/>
          <w:szCs w:val="21"/>
        </w:rPr>
        <w:t>the outcome prioritisation exercise.</w:t>
      </w:r>
      <w:r w:rsidR="00860C91">
        <w:rPr>
          <w:rFonts w:ascii="Aptos" w:hAnsi="Aptos" w:cs="Arial"/>
          <w:sz w:val="21"/>
          <w:szCs w:val="21"/>
        </w:rPr>
        <w:t xml:space="preserve"> MCIDs were </w:t>
      </w:r>
      <w:r w:rsidR="00080751">
        <w:rPr>
          <w:rFonts w:ascii="Aptos" w:hAnsi="Aptos" w:cs="Arial"/>
          <w:sz w:val="21"/>
          <w:szCs w:val="21"/>
        </w:rPr>
        <w:t>derived</w:t>
      </w:r>
      <w:r w:rsidR="00B9228B">
        <w:rPr>
          <w:rFonts w:ascii="Aptos" w:hAnsi="Aptos" w:cs="Arial"/>
          <w:sz w:val="21"/>
          <w:szCs w:val="21"/>
        </w:rPr>
        <w:t xml:space="preserve"> </w:t>
      </w:r>
      <w:r w:rsidR="00F25FEF">
        <w:rPr>
          <w:rFonts w:ascii="Aptos" w:hAnsi="Aptos" w:cs="Arial"/>
          <w:sz w:val="21"/>
          <w:szCs w:val="21"/>
        </w:rPr>
        <w:t xml:space="preserve">firstly from what was used in the review, and if not specified, then </w:t>
      </w:r>
      <w:r w:rsidR="00B9228B">
        <w:rPr>
          <w:rFonts w:ascii="Aptos" w:hAnsi="Aptos" w:cs="Arial"/>
          <w:sz w:val="21"/>
          <w:szCs w:val="21"/>
        </w:rPr>
        <w:t>from published estimates in the literature</w:t>
      </w:r>
      <w:r w:rsidR="00F25FEF">
        <w:rPr>
          <w:rFonts w:ascii="Aptos" w:hAnsi="Aptos" w:cs="Arial"/>
          <w:sz w:val="21"/>
          <w:szCs w:val="21"/>
        </w:rPr>
        <w:t>.</w:t>
      </w:r>
      <w:bookmarkEnd w:id="80"/>
      <w:r w:rsidR="00F25FEF">
        <w:rPr>
          <w:rFonts w:ascii="Aptos" w:hAnsi="Aptos" w:cs="Arial"/>
          <w:sz w:val="21"/>
          <w:szCs w:val="21"/>
        </w:rPr>
        <w:t xml:space="preserve"> References and explanations are included in footnotes Summary of Findings tables.</w:t>
      </w:r>
    </w:p>
    <w:p w14:paraId="5D0FEE8C" w14:textId="77777777" w:rsidR="00F726B5" w:rsidRPr="00D518FF" w:rsidRDefault="00F726B5" w:rsidP="00885F39">
      <w:pPr>
        <w:pStyle w:val="heading3numbers"/>
      </w:pPr>
      <w:bookmarkStart w:id="81" w:name="_Toc100711505"/>
      <w:bookmarkStart w:id="82" w:name="_Toc126835796"/>
      <w:bookmarkStart w:id="83" w:name="_Toc185254628"/>
      <w:r w:rsidRPr="00D518FF">
        <w:t>Investigations of heterogeneity</w:t>
      </w:r>
      <w:bookmarkEnd w:id="81"/>
      <w:bookmarkEnd w:id="82"/>
      <w:bookmarkEnd w:id="83"/>
    </w:p>
    <w:p w14:paraId="40E085F1" w14:textId="602D6299" w:rsidR="00B6323E" w:rsidRPr="00D518FF" w:rsidRDefault="00CB13E9" w:rsidP="00B6323E">
      <w:pPr>
        <w:spacing w:before="240" w:after="120"/>
        <w:outlineLvl w:val="3"/>
        <w:rPr>
          <w:rFonts w:ascii="Aptos" w:eastAsia="Calibri" w:hAnsi="Aptos" w:cs="Arial"/>
          <w:b/>
          <w:bCs/>
          <w:i/>
          <w:iCs/>
          <w:color w:val="C00000"/>
          <w:sz w:val="21"/>
          <w:szCs w:val="21"/>
          <w:lang w:eastAsia="en-US"/>
        </w:rPr>
      </w:pPr>
      <w:r>
        <w:rPr>
          <w:rFonts w:ascii="Aptos" w:eastAsia="Calibri" w:hAnsi="Aptos" w:cs="Arial"/>
          <w:b/>
          <w:bCs/>
          <w:i/>
          <w:iCs/>
          <w:color w:val="C00000"/>
          <w:sz w:val="21"/>
          <w:szCs w:val="21"/>
          <w:lang w:eastAsia="en-US"/>
        </w:rPr>
        <w:t>Clinical</w:t>
      </w:r>
      <w:r w:rsidR="00B6323E" w:rsidRPr="00D518FF">
        <w:rPr>
          <w:rFonts w:ascii="Aptos" w:eastAsia="Calibri" w:hAnsi="Aptos" w:cs="Arial"/>
          <w:b/>
          <w:bCs/>
          <w:i/>
          <w:iCs/>
          <w:color w:val="C00000"/>
          <w:sz w:val="21"/>
          <w:szCs w:val="21"/>
          <w:lang w:eastAsia="en-US"/>
        </w:rPr>
        <w:t xml:space="preserve"> heterogeneity</w:t>
      </w:r>
    </w:p>
    <w:p w14:paraId="649CCA1E" w14:textId="268C1A59"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Clinical heterogeneity </w:t>
      </w:r>
      <w:r w:rsidR="00CB13E9">
        <w:rPr>
          <w:rFonts w:ascii="Aptos" w:hAnsi="Aptos" w:cs="Arial"/>
          <w:sz w:val="21"/>
          <w:szCs w:val="21"/>
        </w:rPr>
        <w:t xml:space="preserve">(termed non-statistical heterogeneity in the protocol) </w:t>
      </w:r>
      <w:r w:rsidRPr="00D518FF">
        <w:rPr>
          <w:rFonts w:ascii="Aptos" w:hAnsi="Aptos" w:cs="Arial"/>
          <w:sz w:val="21"/>
          <w:szCs w:val="21"/>
        </w:rPr>
        <w:t xml:space="preserve">between systematic reviews (i.e. differences in PICO) </w:t>
      </w:r>
      <w:r w:rsidR="00547D86">
        <w:rPr>
          <w:rFonts w:ascii="Aptos" w:hAnsi="Aptos" w:cs="Arial"/>
          <w:sz w:val="21"/>
          <w:szCs w:val="21"/>
        </w:rPr>
        <w:t>was</w:t>
      </w:r>
      <w:r w:rsidRPr="00D518FF">
        <w:rPr>
          <w:rFonts w:ascii="Aptos" w:hAnsi="Aptos" w:cs="Arial"/>
          <w:sz w:val="21"/>
          <w:szCs w:val="21"/>
        </w:rPr>
        <w:t xml:space="preserve"> assessed by evaluating the inclusion criteria of each systematic review. </w:t>
      </w:r>
      <w:r w:rsidR="00375600">
        <w:rPr>
          <w:rFonts w:ascii="Aptos" w:hAnsi="Aptos" w:cs="Arial"/>
          <w:sz w:val="21"/>
          <w:szCs w:val="21"/>
        </w:rPr>
        <w:t>This was completed to understand directness of the evidence to the PICO of interest, and hence was incorporated in GRADE assessments of the indirectness domain</w:t>
      </w:r>
      <w:r w:rsidRPr="00D518FF">
        <w:rPr>
          <w:rFonts w:ascii="Aptos" w:hAnsi="Aptos" w:cs="Arial"/>
          <w:sz w:val="21"/>
          <w:szCs w:val="21"/>
        </w:rPr>
        <w:t>.</w:t>
      </w:r>
    </w:p>
    <w:p w14:paraId="6E02C440"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Statistical heterogeneity</w:t>
      </w:r>
    </w:p>
    <w:p w14:paraId="7B2FC5E8" w14:textId="3C3C9F9C" w:rsidR="00F726B5" w:rsidRPr="00D518FF" w:rsidRDefault="00375600" w:rsidP="00F726B5">
      <w:pPr>
        <w:spacing w:before="120" w:after="120"/>
        <w:rPr>
          <w:rFonts w:ascii="Aptos" w:hAnsi="Aptos" w:cs="Arial"/>
          <w:sz w:val="21"/>
          <w:szCs w:val="21"/>
        </w:rPr>
      </w:pPr>
      <w:r>
        <w:rPr>
          <w:rFonts w:ascii="Aptos" w:hAnsi="Aptos" w:cs="Arial"/>
          <w:sz w:val="21"/>
          <w:szCs w:val="21"/>
        </w:rPr>
        <w:t xml:space="preserve">Statistical heterogeneity </w:t>
      </w:r>
      <w:r w:rsidR="00AA40F8">
        <w:rPr>
          <w:rFonts w:ascii="Aptos" w:hAnsi="Aptos" w:cs="Arial"/>
          <w:sz w:val="21"/>
          <w:szCs w:val="21"/>
        </w:rPr>
        <w:t xml:space="preserve">for each outcome </w:t>
      </w:r>
      <w:r>
        <w:rPr>
          <w:rFonts w:ascii="Aptos" w:hAnsi="Aptos" w:cs="Arial"/>
          <w:sz w:val="21"/>
          <w:szCs w:val="21"/>
        </w:rPr>
        <w:t xml:space="preserve">was </w:t>
      </w:r>
      <w:r w:rsidR="00AA40F8">
        <w:rPr>
          <w:rFonts w:ascii="Aptos" w:hAnsi="Aptos" w:cs="Arial"/>
          <w:sz w:val="21"/>
          <w:szCs w:val="21"/>
        </w:rPr>
        <w:t xml:space="preserve">extracted </w:t>
      </w:r>
      <w:r w:rsidR="00D15AE6">
        <w:rPr>
          <w:rFonts w:ascii="Aptos" w:hAnsi="Aptos" w:cs="Arial"/>
          <w:sz w:val="21"/>
          <w:szCs w:val="21"/>
        </w:rPr>
        <w:t xml:space="preserve">where available </w:t>
      </w:r>
      <w:r w:rsidR="00AA40F8">
        <w:rPr>
          <w:rFonts w:ascii="Aptos" w:hAnsi="Aptos" w:cs="Arial"/>
          <w:sz w:val="21"/>
          <w:szCs w:val="21"/>
        </w:rPr>
        <w:t>and incorporated into interpretation of GRADE. P</w:t>
      </w:r>
      <w:r w:rsidR="00F726B5" w:rsidRPr="00D518FF">
        <w:rPr>
          <w:rFonts w:ascii="Aptos" w:hAnsi="Aptos" w:cs="Arial"/>
          <w:sz w:val="21"/>
          <w:szCs w:val="21"/>
        </w:rPr>
        <w:t xml:space="preserve">resence of subgroup analysis for each systematic review </w:t>
      </w:r>
      <w:r w:rsidR="00F864D3">
        <w:rPr>
          <w:rFonts w:ascii="Aptos" w:hAnsi="Aptos" w:cs="Arial"/>
          <w:sz w:val="21"/>
          <w:szCs w:val="21"/>
        </w:rPr>
        <w:t>was</w:t>
      </w:r>
      <w:r w:rsidR="00F726B5" w:rsidRPr="00D518FF">
        <w:rPr>
          <w:rFonts w:ascii="Aptos" w:hAnsi="Aptos" w:cs="Arial"/>
          <w:sz w:val="21"/>
          <w:szCs w:val="21"/>
        </w:rPr>
        <w:t xml:space="preserve"> assessed</w:t>
      </w:r>
      <w:r w:rsidR="00AA40F8">
        <w:rPr>
          <w:rFonts w:ascii="Aptos" w:hAnsi="Aptos" w:cs="Arial"/>
          <w:sz w:val="21"/>
          <w:szCs w:val="21"/>
        </w:rPr>
        <w:t>, and</w:t>
      </w:r>
      <w:r w:rsidR="00F726B5" w:rsidRPr="00D518FF">
        <w:rPr>
          <w:rFonts w:ascii="Aptos" w:hAnsi="Aptos" w:cs="Arial"/>
          <w:sz w:val="21"/>
          <w:szCs w:val="21"/>
        </w:rPr>
        <w:t xml:space="preserve"> whether planned </w:t>
      </w:r>
      <w:r w:rsidR="00F726B5" w:rsidRPr="00D5021F">
        <w:rPr>
          <w:rFonts w:ascii="Aptos" w:hAnsi="Aptos" w:cs="Arial"/>
          <w:i/>
          <w:sz w:val="21"/>
          <w:szCs w:val="21"/>
        </w:rPr>
        <w:t>a</w:t>
      </w:r>
      <w:r w:rsidR="00F864D3">
        <w:rPr>
          <w:rFonts w:ascii="Aptos" w:hAnsi="Aptos" w:cs="Arial"/>
          <w:i/>
          <w:iCs/>
          <w:sz w:val="21"/>
          <w:szCs w:val="21"/>
        </w:rPr>
        <w:t xml:space="preserve"> </w:t>
      </w:r>
      <w:r w:rsidR="00F726B5" w:rsidRPr="00D5021F">
        <w:rPr>
          <w:rFonts w:ascii="Aptos" w:hAnsi="Aptos" w:cs="Arial"/>
          <w:i/>
          <w:sz w:val="21"/>
          <w:szCs w:val="21"/>
        </w:rPr>
        <w:t>priori</w:t>
      </w:r>
      <w:r w:rsidR="00F726B5" w:rsidRPr="00D518FF">
        <w:rPr>
          <w:rFonts w:ascii="Aptos" w:hAnsi="Aptos" w:cs="Arial"/>
          <w:sz w:val="21"/>
          <w:szCs w:val="21"/>
        </w:rPr>
        <w:t xml:space="preserve">. Reanalysis of subgroups </w:t>
      </w:r>
      <w:r w:rsidR="00F37344">
        <w:rPr>
          <w:rFonts w:ascii="Aptos" w:hAnsi="Aptos" w:cs="Arial"/>
          <w:sz w:val="21"/>
          <w:szCs w:val="21"/>
        </w:rPr>
        <w:t>was</w:t>
      </w:r>
      <w:r w:rsidR="00F37344" w:rsidRPr="00D518FF">
        <w:rPr>
          <w:rFonts w:ascii="Aptos" w:hAnsi="Aptos" w:cs="Arial"/>
          <w:sz w:val="21"/>
          <w:szCs w:val="21"/>
        </w:rPr>
        <w:t xml:space="preserve"> </w:t>
      </w:r>
      <w:r w:rsidR="00F726B5" w:rsidRPr="00D518FF">
        <w:rPr>
          <w:rFonts w:ascii="Aptos" w:hAnsi="Aptos" w:cs="Arial"/>
          <w:sz w:val="21"/>
          <w:szCs w:val="21"/>
        </w:rPr>
        <w:t>not undertaken</w:t>
      </w:r>
      <w:r w:rsidR="002E22FF">
        <w:rPr>
          <w:rFonts w:ascii="Aptos" w:hAnsi="Aptos" w:cs="Arial"/>
          <w:sz w:val="21"/>
          <w:szCs w:val="21"/>
        </w:rPr>
        <w:t xml:space="preserve"> per overview procedures</w:t>
      </w:r>
      <w:r w:rsidR="00F726B5" w:rsidRPr="00D518FF">
        <w:rPr>
          <w:rFonts w:ascii="Aptos" w:hAnsi="Aptos" w:cs="Arial"/>
          <w:sz w:val="21"/>
          <w:szCs w:val="21"/>
        </w:rPr>
        <w:t xml:space="preserve">. </w:t>
      </w:r>
    </w:p>
    <w:p w14:paraId="72C83C74" w14:textId="77777777" w:rsidR="00F726B5" w:rsidRPr="003E4AF2" w:rsidRDefault="00F726B5" w:rsidP="003E4AF2">
      <w:pPr>
        <w:spacing w:before="240" w:after="120"/>
        <w:outlineLvl w:val="3"/>
        <w:rPr>
          <w:rFonts w:ascii="Aptos" w:eastAsia="Calibri" w:hAnsi="Aptos" w:cs="Arial"/>
          <w:b/>
          <w:bCs/>
          <w:i/>
          <w:iCs/>
          <w:color w:val="C00000"/>
          <w:sz w:val="21"/>
          <w:szCs w:val="21"/>
          <w:lang w:eastAsia="en-US"/>
        </w:rPr>
      </w:pPr>
      <w:bookmarkStart w:id="84" w:name="_Toc100711506"/>
      <w:bookmarkStart w:id="85" w:name="_Toc126835797"/>
      <w:r w:rsidRPr="003E4AF2">
        <w:rPr>
          <w:rFonts w:ascii="Aptos" w:eastAsia="Calibri" w:hAnsi="Aptos" w:cs="Arial"/>
          <w:b/>
          <w:bCs/>
          <w:i/>
          <w:iCs/>
          <w:color w:val="C00000"/>
          <w:sz w:val="21"/>
          <w:szCs w:val="21"/>
          <w:lang w:eastAsia="en-US"/>
        </w:rPr>
        <w:t>Sensitivity analysis</w:t>
      </w:r>
      <w:bookmarkEnd w:id="84"/>
      <w:bookmarkEnd w:id="85"/>
    </w:p>
    <w:p w14:paraId="06C432FE" w14:textId="7C7BE46B"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Given reanalysis of data </w:t>
      </w:r>
      <w:r w:rsidR="00F37344">
        <w:rPr>
          <w:rFonts w:ascii="Aptos" w:hAnsi="Aptos" w:cs="Arial"/>
          <w:sz w:val="21"/>
          <w:szCs w:val="21"/>
        </w:rPr>
        <w:t>was</w:t>
      </w:r>
      <w:r w:rsidR="00F37344" w:rsidRPr="00D518FF">
        <w:rPr>
          <w:rFonts w:ascii="Aptos" w:hAnsi="Aptos" w:cs="Arial"/>
          <w:sz w:val="21"/>
          <w:szCs w:val="21"/>
        </w:rPr>
        <w:t xml:space="preserve"> </w:t>
      </w:r>
      <w:r w:rsidRPr="00D518FF">
        <w:rPr>
          <w:rFonts w:ascii="Aptos" w:hAnsi="Aptos" w:cs="Arial"/>
          <w:sz w:val="21"/>
          <w:szCs w:val="21"/>
        </w:rPr>
        <w:t xml:space="preserve">not undertaken, the robustness of </w:t>
      </w:r>
      <w:r w:rsidR="003E4AF2">
        <w:rPr>
          <w:rFonts w:ascii="Aptos" w:hAnsi="Aptos" w:cs="Arial"/>
          <w:sz w:val="21"/>
          <w:szCs w:val="21"/>
        </w:rPr>
        <w:t>results for each PICO</w:t>
      </w:r>
      <w:r w:rsidRPr="00D518FF">
        <w:rPr>
          <w:rFonts w:ascii="Aptos" w:hAnsi="Aptos" w:cs="Arial"/>
          <w:sz w:val="21"/>
          <w:szCs w:val="21"/>
        </w:rPr>
        <w:t xml:space="preserve"> </w:t>
      </w:r>
      <w:r w:rsidR="00F37344">
        <w:rPr>
          <w:rFonts w:ascii="Aptos" w:hAnsi="Aptos" w:cs="Arial"/>
          <w:sz w:val="21"/>
          <w:szCs w:val="21"/>
        </w:rPr>
        <w:t>was</w:t>
      </w:r>
      <w:r w:rsidRPr="00D518FF">
        <w:rPr>
          <w:rFonts w:ascii="Aptos" w:hAnsi="Aptos" w:cs="Arial"/>
          <w:sz w:val="21"/>
          <w:szCs w:val="21"/>
        </w:rPr>
        <w:t xml:space="preserve"> considered by inclusion and presentation of any relevant sensitivity analyses </w:t>
      </w:r>
      <w:r w:rsidR="00F37344">
        <w:rPr>
          <w:rFonts w:ascii="Aptos" w:hAnsi="Aptos" w:cs="Arial"/>
          <w:sz w:val="21"/>
          <w:szCs w:val="21"/>
        </w:rPr>
        <w:t>within the original review</w:t>
      </w:r>
      <w:r w:rsidRPr="00D518FF">
        <w:rPr>
          <w:rFonts w:ascii="Aptos" w:hAnsi="Aptos" w:cs="Arial"/>
          <w:sz w:val="21"/>
          <w:szCs w:val="21"/>
        </w:rPr>
        <w:t>.</w:t>
      </w:r>
    </w:p>
    <w:p w14:paraId="2FE4EFB3" w14:textId="34A07115" w:rsidR="00F726B5" w:rsidRPr="00D518FF" w:rsidRDefault="00F726B5" w:rsidP="00885F39">
      <w:pPr>
        <w:pStyle w:val="heading2numbers"/>
      </w:pPr>
      <w:bookmarkStart w:id="86" w:name="_Toc126835798"/>
      <w:bookmarkStart w:id="87" w:name="_Toc185254629"/>
      <w:r w:rsidRPr="00D518FF">
        <w:t>Risk of bias of evidence in included reviews</w:t>
      </w:r>
      <w:bookmarkEnd w:id="86"/>
      <w:bookmarkEnd w:id="87"/>
    </w:p>
    <w:p w14:paraId="7CCC6D0E" w14:textId="77777777" w:rsidR="00F726B5" w:rsidRPr="00D518FF" w:rsidRDefault="00F726B5" w:rsidP="00885F39">
      <w:pPr>
        <w:pStyle w:val="heading3numbers"/>
      </w:pPr>
      <w:bookmarkStart w:id="88" w:name="_Toc126835799"/>
      <w:bookmarkStart w:id="89" w:name="_Toc185254630"/>
      <w:r w:rsidRPr="00D518FF">
        <w:t>Assessment of risk of bias of systematic reviews</w:t>
      </w:r>
      <w:bookmarkEnd w:id="88"/>
      <w:bookmarkEnd w:id="89"/>
    </w:p>
    <w:p w14:paraId="4980B9C8" w14:textId="3EDD5D11"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Risk of Bias in Systematic Reviews (ROBIS) tool </w:t>
      </w:r>
      <w:r w:rsidR="00D10055">
        <w:rPr>
          <w:rFonts w:ascii="Aptos" w:hAnsi="Aptos" w:cs="Arial"/>
          <w:sz w:val="21"/>
          <w:szCs w:val="21"/>
        </w:rPr>
        <w:t>was</w:t>
      </w:r>
      <w:r w:rsidRPr="00D518FF">
        <w:rPr>
          <w:rFonts w:ascii="Aptos" w:hAnsi="Aptos" w:cs="Arial"/>
          <w:sz w:val="21"/>
          <w:szCs w:val="21"/>
        </w:rPr>
        <w:t xml:space="preserve"> used to assess the risk of bias of included systematic reviews </w:t>
      </w:r>
      <w:r w:rsidR="000935F9">
        <w:rPr>
          <w:rFonts w:ascii="Aptos" w:hAnsi="Aptos" w:cs="Arial"/>
          <w:noProof/>
          <w:sz w:val="21"/>
          <w:szCs w:val="21"/>
        </w:rPr>
        <w:t>(</w:t>
      </w:r>
      <w:r w:rsidR="00613452">
        <w:rPr>
          <w:rFonts w:ascii="Aptos" w:hAnsi="Aptos" w:cs="Arial"/>
          <w:noProof/>
          <w:sz w:val="21"/>
          <w:szCs w:val="21"/>
        </w:rPr>
        <w:t>6</w:t>
      </w:r>
      <w:r w:rsidR="000935F9">
        <w:rPr>
          <w:rFonts w:ascii="Aptos" w:hAnsi="Aptos" w:cs="Arial"/>
          <w:noProof/>
          <w:sz w:val="21"/>
          <w:szCs w:val="21"/>
        </w:rPr>
        <w:t>)</w:t>
      </w:r>
      <w:r w:rsidRPr="00D518FF">
        <w:rPr>
          <w:rFonts w:ascii="Aptos" w:hAnsi="Aptos" w:cs="Arial"/>
          <w:sz w:val="21"/>
          <w:szCs w:val="21"/>
        </w:rPr>
        <w:t xml:space="preserve">. </w:t>
      </w:r>
      <w:r w:rsidR="00FC3691">
        <w:rPr>
          <w:rFonts w:ascii="Aptos" w:hAnsi="Aptos" w:cs="Arial"/>
          <w:sz w:val="21"/>
          <w:szCs w:val="21"/>
        </w:rPr>
        <w:t xml:space="preserve">This was done by </w:t>
      </w:r>
      <w:r w:rsidR="00E854AA">
        <w:rPr>
          <w:rFonts w:ascii="Aptos" w:hAnsi="Aptos" w:cs="Arial"/>
          <w:sz w:val="21"/>
          <w:szCs w:val="21"/>
        </w:rPr>
        <w:t xml:space="preserve">reading and considering the entire article as published, </w:t>
      </w:r>
      <w:r w:rsidR="00E854AA">
        <w:rPr>
          <w:rFonts w:ascii="Aptos" w:hAnsi="Aptos" w:cs="Arial"/>
          <w:sz w:val="21"/>
          <w:szCs w:val="21"/>
        </w:rPr>
        <w:lastRenderedPageBreak/>
        <w:t xml:space="preserve">rather than referring only to extracted information. </w:t>
      </w:r>
      <w:r w:rsidRPr="00D518FF">
        <w:rPr>
          <w:rFonts w:ascii="Aptos" w:hAnsi="Aptos" w:cs="Arial"/>
          <w:sz w:val="21"/>
          <w:szCs w:val="21"/>
        </w:rPr>
        <w:t xml:space="preserve">A ROBIS template form </w:t>
      </w:r>
      <w:r w:rsidR="00D10055">
        <w:rPr>
          <w:rFonts w:ascii="Aptos" w:hAnsi="Aptos" w:cs="Arial"/>
          <w:sz w:val="21"/>
          <w:szCs w:val="21"/>
        </w:rPr>
        <w:t>was</w:t>
      </w:r>
      <w:r w:rsidRPr="00D518FF">
        <w:rPr>
          <w:rFonts w:ascii="Aptos" w:hAnsi="Aptos" w:cs="Arial"/>
          <w:sz w:val="21"/>
          <w:szCs w:val="21"/>
        </w:rPr>
        <w:t xml:space="preserve"> used for assessments, with all signalling questions completed, and rationale and evidence to support judgements for items for which there are concerns. The three questions described in ROBIS </w:t>
      </w:r>
      <w:r w:rsidR="00D10055">
        <w:rPr>
          <w:rFonts w:ascii="Aptos" w:hAnsi="Aptos" w:cs="Arial"/>
          <w:sz w:val="21"/>
          <w:szCs w:val="21"/>
        </w:rPr>
        <w:t>were</w:t>
      </w:r>
      <w:r w:rsidRPr="00D518FF">
        <w:rPr>
          <w:rFonts w:ascii="Aptos" w:hAnsi="Aptos" w:cs="Arial"/>
          <w:sz w:val="21"/>
          <w:szCs w:val="21"/>
        </w:rPr>
        <w:t xml:space="preserve"> used to arrive at a final risk of bias judgement. </w:t>
      </w:r>
      <w:r w:rsidR="003922BB">
        <w:rPr>
          <w:rFonts w:ascii="Aptos" w:hAnsi="Aptos" w:cs="Arial"/>
          <w:sz w:val="21"/>
          <w:szCs w:val="21"/>
        </w:rPr>
        <w:t xml:space="preserve">ROBIS assessments </w:t>
      </w:r>
      <w:r w:rsidR="006B7B2B">
        <w:rPr>
          <w:rFonts w:ascii="Aptos" w:hAnsi="Aptos" w:cs="Arial"/>
          <w:sz w:val="21"/>
          <w:szCs w:val="21"/>
        </w:rPr>
        <w:t xml:space="preserve">(including responses </w:t>
      </w:r>
      <w:r w:rsidR="00A900C1">
        <w:rPr>
          <w:rFonts w:ascii="Aptos" w:hAnsi="Aptos" w:cs="Arial"/>
          <w:sz w:val="21"/>
          <w:szCs w:val="21"/>
        </w:rPr>
        <w:t>to</w:t>
      </w:r>
      <w:r w:rsidR="006B7B2B">
        <w:rPr>
          <w:rFonts w:ascii="Aptos" w:hAnsi="Aptos" w:cs="Arial"/>
          <w:sz w:val="21"/>
          <w:szCs w:val="21"/>
        </w:rPr>
        <w:t xml:space="preserve"> signalling questions) </w:t>
      </w:r>
      <w:r w:rsidR="003922BB">
        <w:rPr>
          <w:rFonts w:ascii="Aptos" w:hAnsi="Aptos" w:cs="Arial"/>
          <w:sz w:val="21"/>
          <w:szCs w:val="21"/>
        </w:rPr>
        <w:t xml:space="preserve">are provided in </w:t>
      </w:r>
      <w:r w:rsidR="003922BB" w:rsidRPr="00602922">
        <w:rPr>
          <w:rFonts w:ascii="Aptos" w:hAnsi="Aptos" w:cs="Arial"/>
          <w:sz w:val="21"/>
          <w:szCs w:val="21"/>
        </w:rPr>
        <w:t xml:space="preserve">Appendix </w:t>
      </w:r>
      <w:r w:rsidR="00602922" w:rsidRPr="00602922">
        <w:rPr>
          <w:rFonts w:ascii="Aptos" w:hAnsi="Aptos" w:cs="Arial"/>
          <w:sz w:val="21"/>
          <w:szCs w:val="21"/>
        </w:rPr>
        <w:t>F</w:t>
      </w:r>
      <w:r w:rsidR="006B7B2B" w:rsidRPr="00602922">
        <w:rPr>
          <w:rFonts w:ascii="Aptos" w:hAnsi="Aptos" w:cs="Arial"/>
          <w:sz w:val="21"/>
          <w:szCs w:val="21"/>
        </w:rPr>
        <w:t>.</w:t>
      </w:r>
      <w:r w:rsidR="006B7B2B">
        <w:rPr>
          <w:rFonts w:ascii="Aptos" w:hAnsi="Aptos" w:cs="Arial"/>
          <w:sz w:val="21"/>
          <w:szCs w:val="21"/>
        </w:rPr>
        <w:t xml:space="preserve"> We did not provide narrative domain or overall summary judgements for systematic reviews</w:t>
      </w:r>
      <w:r w:rsidR="00FC3691">
        <w:rPr>
          <w:rFonts w:ascii="Aptos" w:hAnsi="Aptos" w:cs="Arial"/>
          <w:sz w:val="21"/>
          <w:szCs w:val="21"/>
        </w:rPr>
        <w:t xml:space="preserve"> as intended</w:t>
      </w:r>
      <w:r w:rsidR="006B7B2B">
        <w:rPr>
          <w:rFonts w:ascii="Aptos" w:hAnsi="Aptos" w:cs="Arial"/>
          <w:sz w:val="21"/>
          <w:szCs w:val="21"/>
        </w:rPr>
        <w:t xml:space="preserve"> due to the volume</w:t>
      </w:r>
      <w:r w:rsidR="00FC3691">
        <w:rPr>
          <w:rFonts w:ascii="Aptos" w:hAnsi="Aptos" w:cs="Arial"/>
          <w:sz w:val="21"/>
          <w:szCs w:val="21"/>
        </w:rPr>
        <w:t xml:space="preserve"> of work</w:t>
      </w:r>
      <w:r w:rsidR="006B7B2B">
        <w:rPr>
          <w:rFonts w:ascii="Aptos" w:hAnsi="Aptos" w:cs="Arial"/>
          <w:sz w:val="21"/>
          <w:szCs w:val="21"/>
        </w:rPr>
        <w:t>.</w:t>
      </w:r>
    </w:p>
    <w:p w14:paraId="6A6405B2" w14:textId="4768E1E2"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An assessment of systematic review quality </w:t>
      </w:r>
      <w:r w:rsidR="00D10055">
        <w:rPr>
          <w:rFonts w:ascii="Aptos" w:hAnsi="Aptos" w:cs="Arial"/>
          <w:sz w:val="21"/>
          <w:szCs w:val="21"/>
        </w:rPr>
        <w:t>was</w:t>
      </w:r>
      <w:r w:rsidRPr="00D518FF">
        <w:rPr>
          <w:rFonts w:ascii="Aptos" w:hAnsi="Aptos" w:cs="Arial"/>
          <w:sz w:val="21"/>
          <w:szCs w:val="21"/>
        </w:rPr>
        <w:t xml:space="preserve"> completed by one reviewer, </w:t>
      </w:r>
      <w:r w:rsidR="00FC3691">
        <w:rPr>
          <w:rFonts w:ascii="Aptos" w:hAnsi="Aptos" w:cs="Arial"/>
          <w:sz w:val="21"/>
          <w:szCs w:val="21"/>
        </w:rPr>
        <w:t>with another</w:t>
      </w:r>
      <w:r w:rsidRPr="00D518FF">
        <w:rPr>
          <w:rFonts w:ascii="Aptos" w:hAnsi="Aptos" w:cs="Arial"/>
          <w:sz w:val="21"/>
          <w:szCs w:val="21"/>
        </w:rPr>
        <w:t xml:space="preserve"> reviewer independently check</w:t>
      </w:r>
      <w:r w:rsidR="00FC3691">
        <w:rPr>
          <w:rFonts w:ascii="Aptos" w:hAnsi="Aptos" w:cs="Arial"/>
          <w:sz w:val="21"/>
          <w:szCs w:val="21"/>
        </w:rPr>
        <w:t>ing</w:t>
      </w:r>
      <w:r w:rsidRPr="00D518FF">
        <w:rPr>
          <w:rFonts w:ascii="Aptos" w:hAnsi="Aptos" w:cs="Arial"/>
          <w:sz w:val="21"/>
          <w:szCs w:val="21"/>
        </w:rPr>
        <w:t xml:space="preserve"> and confirm</w:t>
      </w:r>
      <w:r w:rsidR="00FC3691">
        <w:rPr>
          <w:rFonts w:ascii="Aptos" w:hAnsi="Aptos" w:cs="Arial"/>
          <w:sz w:val="21"/>
          <w:szCs w:val="21"/>
        </w:rPr>
        <w:t>ing</w:t>
      </w:r>
      <w:r w:rsidRPr="00D518FF">
        <w:rPr>
          <w:rFonts w:ascii="Aptos" w:hAnsi="Aptos" w:cs="Arial"/>
          <w:sz w:val="21"/>
          <w:szCs w:val="21"/>
        </w:rPr>
        <w:t xml:space="preserve"> assessments made </w:t>
      </w:r>
      <w:r w:rsidR="000935F9">
        <w:rPr>
          <w:rFonts w:ascii="Aptos" w:hAnsi="Aptos" w:cs="Arial"/>
          <w:noProof/>
          <w:sz w:val="21"/>
          <w:szCs w:val="21"/>
        </w:rPr>
        <w:t>(</w:t>
      </w:r>
      <w:r w:rsidR="00A93965">
        <w:rPr>
          <w:rFonts w:ascii="Aptos" w:hAnsi="Aptos" w:cs="Arial"/>
          <w:noProof/>
          <w:sz w:val="21"/>
          <w:szCs w:val="21"/>
        </w:rPr>
        <w:t>7</w:t>
      </w:r>
      <w:r w:rsidR="000935F9">
        <w:rPr>
          <w:rFonts w:ascii="Aptos" w:hAnsi="Aptos" w:cs="Arial"/>
          <w:noProof/>
          <w:sz w:val="21"/>
          <w:szCs w:val="21"/>
        </w:rPr>
        <w:t>)</w:t>
      </w:r>
      <w:r w:rsidRPr="00D518FF">
        <w:rPr>
          <w:rFonts w:ascii="Aptos" w:hAnsi="Aptos" w:cs="Arial"/>
          <w:sz w:val="21"/>
          <w:szCs w:val="21"/>
        </w:rPr>
        <w:t xml:space="preserve">. Disagreements </w:t>
      </w:r>
      <w:r w:rsidR="005F6CA0">
        <w:rPr>
          <w:rFonts w:ascii="Aptos" w:hAnsi="Aptos" w:cs="Arial"/>
          <w:sz w:val="21"/>
          <w:szCs w:val="21"/>
        </w:rPr>
        <w:t>were</w:t>
      </w:r>
      <w:r w:rsidRPr="00D518FF">
        <w:rPr>
          <w:rFonts w:ascii="Aptos" w:hAnsi="Aptos" w:cs="Arial"/>
          <w:sz w:val="21"/>
          <w:szCs w:val="21"/>
        </w:rPr>
        <w:t xml:space="preserve"> resolved by discussion, with reference to a third reviewer if necessary. An overall risk of bias judgement for each systematic review</w:t>
      </w:r>
      <w:r w:rsidR="0088117D">
        <w:rPr>
          <w:rFonts w:ascii="Aptos" w:hAnsi="Aptos" w:cs="Arial"/>
          <w:sz w:val="21"/>
          <w:szCs w:val="21"/>
        </w:rPr>
        <w:t xml:space="preserve"> </w:t>
      </w:r>
      <w:r w:rsidR="006134AA">
        <w:rPr>
          <w:rFonts w:ascii="Aptos" w:hAnsi="Aptos" w:cs="Arial"/>
          <w:sz w:val="21"/>
          <w:szCs w:val="21"/>
        </w:rPr>
        <w:t>is</w:t>
      </w:r>
      <w:r w:rsidRPr="00D518FF">
        <w:rPr>
          <w:rFonts w:ascii="Aptos" w:hAnsi="Aptos" w:cs="Arial"/>
          <w:sz w:val="21"/>
          <w:szCs w:val="21"/>
        </w:rPr>
        <w:t xml:space="preserve"> presented in the main </w:t>
      </w:r>
      <w:r w:rsidR="00FC3691">
        <w:rPr>
          <w:rFonts w:ascii="Aptos" w:hAnsi="Aptos" w:cs="Arial"/>
          <w:sz w:val="21"/>
          <w:szCs w:val="21"/>
        </w:rPr>
        <w:t>report</w:t>
      </w:r>
      <w:r w:rsidR="0088117D">
        <w:rPr>
          <w:rFonts w:ascii="Aptos" w:hAnsi="Aptos" w:cs="Arial"/>
          <w:sz w:val="21"/>
          <w:szCs w:val="21"/>
        </w:rPr>
        <w:t xml:space="preserve"> </w:t>
      </w:r>
      <w:r w:rsidR="0088117D" w:rsidRPr="00602922">
        <w:rPr>
          <w:rFonts w:ascii="Aptos" w:hAnsi="Aptos" w:cs="Arial"/>
          <w:sz w:val="21"/>
          <w:szCs w:val="21"/>
        </w:rPr>
        <w:t xml:space="preserve">and Appendix </w:t>
      </w:r>
      <w:r w:rsidR="00602922" w:rsidRPr="00602922">
        <w:rPr>
          <w:rFonts w:ascii="Aptos" w:hAnsi="Aptos" w:cs="Arial"/>
          <w:sz w:val="21"/>
          <w:szCs w:val="21"/>
        </w:rPr>
        <w:t>F</w:t>
      </w:r>
      <w:r w:rsidRPr="00602922">
        <w:rPr>
          <w:rFonts w:ascii="Aptos" w:hAnsi="Aptos" w:cs="Arial"/>
          <w:sz w:val="21"/>
          <w:szCs w:val="21"/>
        </w:rPr>
        <w:t>.</w:t>
      </w:r>
      <w:r w:rsidRPr="00D518FF">
        <w:rPr>
          <w:rFonts w:ascii="Aptos" w:hAnsi="Aptos" w:cs="Arial"/>
          <w:sz w:val="21"/>
          <w:szCs w:val="21"/>
        </w:rPr>
        <w:t xml:space="preserve"> </w:t>
      </w:r>
    </w:p>
    <w:p w14:paraId="62821436" w14:textId="77777777" w:rsidR="00F726B5" w:rsidRPr="00D518FF" w:rsidRDefault="00F726B5" w:rsidP="00885F39">
      <w:pPr>
        <w:pStyle w:val="heading3numbers"/>
      </w:pPr>
      <w:bookmarkStart w:id="90" w:name="_Toc172842708"/>
      <w:bookmarkStart w:id="91" w:name="_Toc172842709"/>
      <w:bookmarkStart w:id="92" w:name="_Toc126835800"/>
      <w:bookmarkStart w:id="93" w:name="_Toc185254631"/>
      <w:bookmarkEnd w:id="90"/>
      <w:bookmarkEnd w:id="91"/>
      <w:r w:rsidRPr="00D518FF">
        <w:t>Assessment of risk of bias of primary studies included in systematic reviews</w:t>
      </w:r>
      <w:bookmarkEnd w:id="92"/>
      <w:bookmarkEnd w:id="93"/>
    </w:p>
    <w:p w14:paraId="6D9B1560" w14:textId="46843F81" w:rsidR="00253B70" w:rsidRDefault="00253B70" w:rsidP="00F726B5">
      <w:pPr>
        <w:spacing w:before="120" w:after="120"/>
        <w:rPr>
          <w:rFonts w:ascii="Aptos" w:hAnsi="Aptos" w:cs="Arial"/>
          <w:sz w:val="21"/>
          <w:szCs w:val="21"/>
        </w:rPr>
      </w:pPr>
      <w:r>
        <w:rPr>
          <w:rFonts w:ascii="Aptos" w:hAnsi="Aptos" w:cs="Arial"/>
          <w:sz w:val="21"/>
          <w:szCs w:val="21"/>
        </w:rPr>
        <w:t>For all included reviews, t</w:t>
      </w:r>
      <w:r w:rsidR="00F726B5" w:rsidRPr="00D518FF">
        <w:rPr>
          <w:rFonts w:ascii="Aptos" w:hAnsi="Aptos" w:cs="Arial"/>
          <w:sz w:val="21"/>
          <w:szCs w:val="21"/>
        </w:rPr>
        <w:t xml:space="preserve">he tool used to assess </w:t>
      </w:r>
      <w:r>
        <w:rPr>
          <w:rFonts w:ascii="Aptos" w:hAnsi="Aptos" w:cs="Arial"/>
          <w:sz w:val="21"/>
          <w:szCs w:val="21"/>
        </w:rPr>
        <w:t>risk of</w:t>
      </w:r>
      <w:r w:rsidRPr="00D518FF">
        <w:rPr>
          <w:rFonts w:ascii="Aptos" w:hAnsi="Aptos" w:cs="Arial"/>
          <w:sz w:val="21"/>
          <w:szCs w:val="21"/>
        </w:rPr>
        <w:t xml:space="preserve"> </w:t>
      </w:r>
      <w:r w:rsidR="00F726B5" w:rsidRPr="00D518FF">
        <w:rPr>
          <w:rFonts w:ascii="Aptos" w:hAnsi="Aptos" w:cs="Arial"/>
          <w:sz w:val="21"/>
          <w:szCs w:val="21"/>
        </w:rPr>
        <w:t xml:space="preserve">bias of the included studies </w:t>
      </w:r>
      <w:r>
        <w:rPr>
          <w:rFonts w:ascii="Aptos" w:hAnsi="Aptos" w:cs="Arial"/>
          <w:sz w:val="21"/>
          <w:szCs w:val="21"/>
        </w:rPr>
        <w:t>extracted and reported in Characteristics of Included Reviews</w:t>
      </w:r>
      <w:r w:rsidR="007C0510">
        <w:rPr>
          <w:rFonts w:ascii="Aptos" w:hAnsi="Aptos" w:cs="Arial"/>
          <w:sz w:val="21"/>
          <w:szCs w:val="21"/>
        </w:rPr>
        <w:t xml:space="preserve"> (Appendix D)</w:t>
      </w:r>
      <w:r w:rsidR="00710E5D">
        <w:rPr>
          <w:rFonts w:ascii="Aptos" w:hAnsi="Aptos" w:cs="Arial"/>
          <w:sz w:val="21"/>
          <w:szCs w:val="21"/>
        </w:rPr>
        <w:t xml:space="preserve">. </w:t>
      </w:r>
    </w:p>
    <w:p w14:paraId="69BD18EA" w14:textId="295C1893" w:rsidR="00710E5D" w:rsidRDefault="00FC3691" w:rsidP="00F726B5">
      <w:pPr>
        <w:spacing w:before="120" w:after="120"/>
        <w:rPr>
          <w:rFonts w:ascii="Aptos" w:hAnsi="Aptos" w:cs="Arial"/>
          <w:sz w:val="21"/>
          <w:szCs w:val="21"/>
        </w:rPr>
      </w:pPr>
      <w:r>
        <w:rPr>
          <w:rFonts w:ascii="Aptos" w:hAnsi="Aptos" w:cs="Arial"/>
          <w:sz w:val="21"/>
          <w:szCs w:val="21"/>
        </w:rPr>
        <w:t>For preferred reviews, a</w:t>
      </w:r>
      <w:r w:rsidR="00710E5D">
        <w:rPr>
          <w:rFonts w:ascii="Aptos" w:hAnsi="Aptos" w:cs="Arial"/>
          <w:sz w:val="21"/>
          <w:szCs w:val="21"/>
        </w:rPr>
        <w:t xml:space="preserve"> summary of the </w:t>
      </w:r>
      <w:r w:rsidR="00F726B5" w:rsidRPr="00D518FF">
        <w:rPr>
          <w:rFonts w:ascii="Aptos" w:hAnsi="Aptos" w:cs="Arial"/>
          <w:sz w:val="21"/>
          <w:szCs w:val="21"/>
        </w:rPr>
        <w:t>quality or risk of bias</w:t>
      </w:r>
      <w:r w:rsidR="00806B10">
        <w:rPr>
          <w:rFonts w:ascii="Aptos" w:hAnsi="Aptos" w:cs="Arial"/>
          <w:sz w:val="21"/>
          <w:szCs w:val="21"/>
        </w:rPr>
        <w:t xml:space="preserve"> </w:t>
      </w:r>
      <w:r w:rsidR="00710E5D">
        <w:rPr>
          <w:rFonts w:ascii="Aptos" w:hAnsi="Aptos" w:cs="Arial"/>
          <w:sz w:val="21"/>
          <w:szCs w:val="21"/>
        </w:rPr>
        <w:t xml:space="preserve">assessment for each outcome is presented </w:t>
      </w:r>
      <w:r>
        <w:rPr>
          <w:rFonts w:ascii="Aptos" w:hAnsi="Aptos" w:cs="Arial"/>
          <w:sz w:val="21"/>
          <w:szCs w:val="21"/>
        </w:rPr>
        <w:t>in</w:t>
      </w:r>
      <w:r w:rsidR="00710E5D">
        <w:rPr>
          <w:rFonts w:ascii="Aptos" w:hAnsi="Aptos" w:cs="Arial"/>
          <w:sz w:val="21"/>
          <w:szCs w:val="21"/>
        </w:rPr>
        <w:t xml:space="preserve"> Appendix E</w:t>
      </w:r>
      <w:r w:rsidR="00F726B5" w:rsidRPr="00D518FF">
        <w:rPr>
          <w:rFonts w:ascii="Aptos" w:hAnsi="Aptos" w:cs="Arial"/>
          <w:sz w:val="21"/>
          <w:szCs w:val="21"/>
        </w:rPr>
        <w:t xml:space="preserve">. </w:t>
      </w:r>
      <w:r w:rsidR="00710E5D">
        <w:rPr>
          <w:rFonts w:ascii="Aptos" w:hAnsi="Aptos" w:cs="Arial"/>
          <w:sz w:val="21"/>
          <w:szCs w:val="21"/>
        </w:rPr>
        <w:t>It was intended that all included reviews would have risk of bias information extracted</w:t>
      </w:r>
      <w:r>
        <w:rPr>
          <w:rFonts w:ascii="Aptos" w:hAnsi="Aptos" w:cs="Arial"/>
          <w:sz w:val="21"/>
          <w:szCs w:val="21"/>
        </w:rPr>
        <w:t xml:space="preserve"> and reported</w:t>
      </w:r>
      <w:r w:rsidR="00710E5D">
        <w:rPr>
          <w:rFonts w:ascii="Aptos" w:hAnsi="Aptos" w:cs="Arial"/>
          <w:sz w:val="21"/>
          <w:szCs w:val="21"/>
        </w:rPr>
        <w:t>, however this was not completed for pragmatism with the size of the overview</w:t>
      </w:r>
      <w:r>
        <w:rPr>
          <w:rFonts w:ascii="Aptos" w:hAnsi="Aptos" w:cs="Arial"/>
          <w:sz w:val="21"/>
          <w:szCs w:val="21"/>
        </w:rPr>
        <w:t xml:space="preserve"> and given that the information would not contribute to evidence evaluation</w:t>
      </w:r>
      <w:r w:rsidR="00710E5D">
        <w:rPr>
          <w:rFonts w:ascii="Aptos" w:hAnsi="Aptos" w:cs="Arial"/>
          <w:sz w:val="21"/>
          <w:szCs w:val="21"/>
        </w:rPr>
        <w:t>.</w:t>
      </w:r>
      <w:r w:rsidR="00C3713F">
        <w:rPr>
          <w:rFonts w:ascii="Aptos" w:hAnsi="Aptos" w:cs="Arial"/>
          <w:sz w:val="21"/>
          <w:szCs w:val="21"/>
        </w:rPr>
        <w:t xml:space="preserve"> Risk of bias </w:t>
      </w:r>
      <w:r w:rsidR="00323603">
        <w:rPr>
          <w:rFonts w:ascii="Aptos" w:hAnsi="Aptos" w:cs="Arial"/>
          <w:sz w:val="21"/>
          <w:szCs w:val="21"/>
        </w:rPr>
        <w:t xml:space="preserve">of primary studies </w:t>
      </w:r>
      <w:r w:rsidR="00C3713F">
        <w:rPr>
          <w:rFonts w:ascii="Aptos" w:hAnsi="Aptos" w:cs="Arial"/>
          <w:sz w:val="21"/>
          <w:szCs w:val="21"/>
        </w:rPr>
        <w:t xml:space="preserve">was, however, considered </w:t>
      </w:r>
      <w:r w:rsidR="00323603">
        <w:rPr>
          <w:rFonts w:ascii="Aptos" w:hAnsi="Aptos" w:cs="Arial"/>
          <w:sz w:val="21"/>
          <w:szCs w:val="21"/>
        </w:rPr>
        <w:t xml:space="preserve">in ROBIS assessments </w:t>
      </w:r>
      <w:r w:rsidR="00CF2ACC">
        <w:rPr>
          <w:rFonts w:ascii="Aptos" w:hAnsi="Aptos" w:cs="Arial"/>
          <w:sz w:val="21"/>
          <w:szCs w:val="21"/>
        </w:rPr>
        <w:t>by reading and considering the full paper</w:t>
      </w:r>
      <w:r>
        <w:rPr>
          <w:rFonts w:ascii="Aptos" w:hAnsi="Aptos" w:cs="Arial"/>
          <w:sz w:val="21"/>
          <w:szCs w:val="21"/>
        </w:rPr>
        <w:t xml:space="preserve"> for all included reviews</w:t>
      </w:r>
      <w:r w:rsidR="00323603">
        <w:rPr>
          <w:rFonts w:ascii="Aptos" w:hAnsi="Aptos" w:cs="Arial"/>
          <w:sz w:val="21"/>
          <w:szCs w:val="21"/>
        </w:rPr>
        <w:t>.</w:t>
      </w:r>
    </w:p>
    <w:p w14:paraId="4D186CD3" w14:textId="056E125B" w:rsidR="00FC2E31" w:rsidRDefault="00F726B5" w:rsidP="00F726B5">
      <w:pPr>
        <w:spacing w:before="120" w:after="120"/>
        <w:rPr>
          <w:rFonts w:ascii="Aptos" w:hAnsi="Aptos" w:cs="Arial"/>
          <w:sz w:val="21"/>
          <w:szCs w:val="21"/>
        </w:rPr>
      </w:pPr>
      <w:r w:rsidRPr="00D518FF">
        <w:rPr>
          <w:rFonts w:ascii="Aptos" w:hAnsi="Aptos" w:cs="Arial"/>
          <w:sz w:val="21"/>
          <w:szCs w:val="21"/>
        </w:rPr>
        <w:t xml:space="preserve">We note that the ability to report </w:t>
      </w:r>
      <w:r w:rsidR="00E854AA">
        <w:rPr>
          <w:rFonts w:ascii="Aptos" w:hAnsi="Aptos" w:cs="Arial"/>
          <w:sz w:val="21"/>
          <w:szCs w:val="21"/>
        </w:rPr>
        <w:t xml:space="preserve">risk of bias information for each outcome </w:t>
      </w:r>
      <w:r w:rsidRPr="00D518FF">
        <w:rPr>
          <w:rFonts w:ascii="Aptos" w:hAnsi="Aptos" w:cs="Arial"/>
          <w:sz w:val="21"/>
          <w:szCs w:val="21"/>
        </w:rPr>
        <w:t xml:space="preserve">is limited by the information availability in the included reviews, as is the weight of studies at high risk of bias in the analysis and results of any sensitivity analyses. </w:t>
      </w:r>
    </w:p>
    <w:p w14:paraId="2F8FB149" w14:textId="4C27BE47" w:rsidR="00F112E8" w:rsidRDefault="00F112E8" w:rsidP="00F726B5">
      <w:pPr>
        <w:spacing w:before="120" w:after="120"/>
        <w:rPr>
          <w:rFonts w:ascii="Aptos" w:hAnsi="Aptos" w:cs="Arial"/>
          <w:sz w:val="21"/>
          <w:szCs w:val="21"/>
        </w:rPr>
      </w:pPr>
      <w:r>
        <w:rPr>
          <w:rFonts w:ascii="Aptos" w:hAnsi="Aptos" w:cs="Arial"/>
          <w:sz w:val="21"/>
          <w:szCs w:val="21"/>
        </w:rPr>
        <w:t>It was intended that w</w:t>
      </w:r>
      <w:r w:rsidRPr="00D518FF">
        <w:rPr>
          <w:rFonts w:ascii="Aptos" w:hAnsi="Aptos" w:cs="Arial"/>
          <w:sz w:val="21"/>
          <w:szCs w:val="21"/>
        </w:rPr>
        <w:t xml:space="preserve">here </w:t>
      </w:r>
      <w:r w:rsidR="00F726B5" w:rsidRPr="00D518FF">
        <w:rPr>
          <w:rFonts w:ascii="Aptos" w:hAnsi="Aptos" w:cs="Arial"/>
          <w:sz w:val="21"/>
          <w:szCs w:val="21"/>
        </w:rPr>
        <w:t xml:space="preserve">risk of bias </w:t>
      </w:r>
      <w:r w:rsidR="007C0510">
        <w:rPr>
          <w:rFonts w:ascii="Aptos" w:hAnsi="Aptos" w:cs="Arial"/>
          <w:sz w:val="21"/>
          <w:szCs w:val="21"/>
        </w:rPr>
        <w:t>was</w:t>
      </w:r>
      <w:r w:rsidR="007C0510" w:rsidRPr="00D518FF">
        <w:rPr>
          <w:rFonts w:ascii="Aptos" w:hAnsi="Aptos" w:cs="Arial"/>
          <w:sz w:val="21"/>
          <w:szCs w:val="21"/>
        </w:rPr>
        <w:t xml:space="preserve"> </w:t>
      </w:r>
      <w:r w:rsidR="00F726B5" w:rsidRPr="00D518FF">
        <w:rPr>
          <w:rFonts w:ascii="Aptos" w:hAnsi="Aptos" w:cs="Arial"/>
          <w:sz w:val="21"/>
          <w:szCs w:val="21"/>
        </w:rPr>
        <w:t xml:space="preserve">not reported </w:t>
      </w:r>
      <w:r w:rsidR="00FC2E31">
        <w:rPr>
          <w:rFonts w:ascii="Aptos" w:hAnsi="Aptos" w:cs="Arial"/>
          <w:sz w:val="21"/>
          <w:szCs w:val="21"/>
        </w:rPr>
        <w:t xml:space="preserve">in </w:t>
      </w:r>
      <w:r w:rsidR="00F726B5" w:rsidRPr="00D518FF">
        <w:rPr>
          <w:rFonts w:ascii="Aptos" w:hAnsi="Aptos" w:cs="Arial"/>
          <w:sz w:val="21"/>
          <w:szCs w:val="21"/>
        </w:rPr>
        <w:t xml:space="preserve">primary </w:t>
      </w:r>
      <w:r w:rsidRPr="00D518FF">
        <w:rPr>
          <w:rFonts w:ascii="Aptos" w:hAnsi="Aptos" w:cs="Arial"/>
          <w:sz w:val="21"/>
          <w:szCs w:val="21"/>
        </w:rPr>
        <w:t>stud</w:t>
      </w:r>
      <w:r>
        <w:rPr>
          <w:rFonts w:ascii="Aptos" w:hAnsi="Aptos" w:cs="Arial"/>
          <w:sz w:val="21"/>
          <w:szCs w:val="21"/>
        </w:rPr>
        <w:t>ies</w:t>
      </w:r>
      <w:r w:rsidR="00F726B5" w:rsidRPr="00D518FF">
        <w:rPr>
          <w:rFonts w:ascii="Aptos" w:hAnsi="Aptos" w:cs="Arial"/>
          <w:sz w:val="21"/>
          <w:szCs w:val="21"/>
        </w:rPr>
        <w:t xml:space="preserve">, an independent assessment of the risk of bias </w:t>
      </w:r>
      <w:r>
        <w:rPr>
          <w:rFonts w:ascii="Aptos" w:hAnsi="Aptos" w:cs="Arial"/>
          <w:sz w:val="21"/>
          <w:szCs w:val="21"/>
        </w:rPr>
        <w:t>would</w:t>
      </w:r>
      <w:r w:rsidRPr="00D518FF">
        <w:rPr>
          <w:rFonts w:ascii="Aptos" w:hAnsi="Aptos" w:cs="Arial"/>
          <w:sz w:val="21"/>
          <w:szCs w:val="21"/>
        </w:rPr>
        <w:t xml:space="preserve"> </w:t>
      </w:r>
      <w:r w:rsidR="00F726B5" w:rsidRPr="00D518FF">
        <w:rPr>
          <w:rFonts w:ascii="Aptos" w:hAnsi="Aptos" w:cs="Arial"/>
          <w:sz w:val="21"/>
          <w:szCs w:val="21"/>
        </w:rPr>
        <w:t>be conducted</w:t>
      </w:r>
      <w:r>
        <w:rPr>
          <w:rFonts w:ascii="Aptos" w:hAnsi="Aptos" w:cs="Arial"/>
          <w:sz w:val="21"/>
          <w:szCs w:val="21"/>
        </w:rPr>
        <w:t>.</w:t>
      </w:r>
      <w:r w:rsidR="00F726B5" w:rsidRPr="00D518FF">
        <w:rPr>
          <w:rFonts w:ascii="Aptos" w:hAnsi="Aptos" w:cs="Arial"/>
          <w:sz w:val="21"/>
          <w:szCs w:val="21"/>
        </w:rPr>
        <w:t xml:space="preserve"> </w:t>
      </w:r>
      <w:r w:rsidR="006B4627">
        <w:rPr>
          <w:rFonts w:ascii="Aptos" w:hAnsi="Aptos" w:cs="Arial"/>
          <w:sz w:val="21"/>
          <w:szCs w:val="21"/>
        </w:rPr>
        <w:t xml:space="preserve">However, this was not necessary given the minimum quality criteria </w:t>
      </w:r>
      <w:r w:rsidR="007974C4">
        <w:rPr>
          <w:rFonts w:ascii="Aptos" w:hAnsi="Aptos" w:cs="Arial"/>
          <w:sz w:val="21"/>
          <w:szCs w:val="21"/>
        </w:rPr>
        <w:t>specified</w:t>
      </w:r>
      <w:r w:rsidR="006B4627">
        <w:rPr>
          <w:rFonts w:ascii="Aptos" w:hAnsi="Aptos" w:cs="Arial"/>
          <w:sz w:val="21"/>
          <w:szCs w:val="21"/>
        </w:rPr>
        <w:t xml:space="preserve"> risk </w:t>
      </w:r>
      <w:r w:rsidR="007974C4">
        <w:rPr>
          <w:rFonts w:ascii="Aptos" w:hAnsi="Aptos" w:cs="Arial"/>
          <w:sz w:val="21"/>
          <w:szCs w:val="21"/>
        </w:rPr>
        <w:t>of</w:t>
      </w:r>
      <w:r w:rsidR="006B4627">
        <w:rPr>
          <w:rFonts w:ascii="Aptos" w:hAnsi="Aptos" w:cs="Arial"/>
          <w:sz w:val="21"/>
          <w:szCs w:val="21"/>
        </w:rPr>
        <w:t xml:space="preserve"> bias assessment as required for inclusion of a review</w:t>
      </w:r>
      <w:r>
        <w:rPr>
          <w:rFonts w:ascii="Aptos" w:hAnsi="Aptos" w:cs="Arial"/>
          <w:sz w:val="21"/>
          <w:szCs w:val="21"/>
        </w:rPr>
        <w:t xml:space="preserve"> (</w:t>
      </w:r>
      <w:r w:rsidR="006B4627">
        <w:rPr>
          <w:rFonts w:ascii="Aptos" w:hAnsi="Aptos" w:cs="Arial"/>
          <w:sz w:val="21"/>
          <w:szCs w:val="21"/>
        </w:rPr>
        <w:t xml:space="preserve">noted in </w:t>
      </w:r>
      <w:r>
        <w:rPr>
          <w:rFonts w:ascii="Aptos" w:hAnsi="Aptos" w:cs="Arial"/>
          <w:sz w:val="21"/>
          <w:szCs w:val="21"/>
        </w:rPr>
        <w:t xml:space="preserve">Appendix G). </w:t>
      </w:r>
    </w:p>
    <w:p w14:paraId="64B7EFF0" w14:textId="44CEA397" w:rsidR="00F726B5" w:rsidRDefault="00F726B5" w:rsidP="00F726B5">
      <w:pPr>
        <w:spacing w:before="120" w:after="120"/>
        <w:rPr>
          <w:rFonts w:ascii="Aptos" w:hAnsi="Aptos" w:cs="Arial"/>
          <w:sz w:val="21"/>
          <w:szCs w:val="21"/>
        </w:rPr>
      </w:pPr>
      <w:r w:rsidRPr="00D518FF">
        <w:rPr>
          <w:rFonts w:ascii="Aptos" w:hAnsi="Aptos" w:cs="Arial"/>
          <w:sz w:val="21"/>
          <w:szCs w:val="21"/>
        </w:rPr>
        <w:t xml:space="preserve">Any concerns about risk of bias in the primary studies </w:t>
      </w:r>
      <w:r w:rsidR="00ED1A5F">
        <w:rPr>
          <w:rFonts w:ascii="Aptos" w:hAnsi="Aptos" w:cs="Arial"/>
          <w:sz w:val="21"/>
          <w:szCs w:val="21"/>
        </w:rPr>
        <w:t>are</w:t>
      </w:r>
      <w:r w:rsidRPr="00D518FF">
        <w:rPr>
          <w:rFonts w:ascii="Aptos" w:hAnsi="Aptos" w:cs="Arial"/>
          <w:sz w:val="21"/>
          <w:szCs w:val="21"/>
        </w:rPr>
        <w:t xml:space="preserve"> addressed in the GRADE assessment. As noted above, collecting data about the weight of studies at high risk of bias contribute to the analysis and/or results of sensitivity analysis can be important inputs to the GRADE assessments.</w:t>
      </w:r>
    </w:p>
    <w:p w14:paraId="7F7CC5AA" w14:textId="77777777" w:rsidR="00F726B5" w:rsidRPr="00D518FF" w:rsidRDefault="00F726B5" w:rsidP="00885F39">
      <w:pPr>
        <w:pStyle w:val="heading3numbers"/>
      </w:pPr>
      <w:bookmarkStart w:id="94" w:name="_Toc172842711"/>
      <w:bookmarkStart w:id="95" w:name="_Toc126835801"/>
      <w:bookmarkStart w:id="96" w:name="_Toc185254632"/>
      <w:bookmarkEnd w:id="94"/>
      <w:r w:rsidRPr="00D518FF">
        <w:t>Risk of reporting bias</w:t>
      </w:r>
      <w:bookmarkEnd w:id="95"/>
      <w:bookmarkEnd w:id="96"/>
      <w:r w:rsidRPr="00D518FF">
        <w:t xml:space="preserve"> </w:t>
      </w:r>
    </w:p>
    <w:p w14:paraId="70B81825" w14:textId="6430C5D1"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Risk of reporting bias for each outcome in each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 xml:space="preserve"> </w:t>
      </w:r>
      <w:r w:rsidR="007621DE">
        <w:rPr>
          <w:rFonts w:ascii="Aptos" w:hAnsi="Aptos" w:cs="Arial"/>
          <w:sz w:val="21"/>
          <w:szCs w:val="21"/>
        </w:rPr>
        <w:t>was</w:t>
      </w:r>
      <w:r w:rsidRPr="00D518FF">
        <w:rPr>
          <w:rFonts w:ascii="Aptos" w:hAnsi="Aptos" w:cs="Arial"/>
          <w:sz w:val="21"/>
          <w:szCs w:val="21"/>
        </w:rPr>
        <w:t xml:space="preserve"> assessed as part of GRADE assessments.</w:t>
      </w:r>
    </w:p>
    <w:p w14:paraId="61833A5A"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Systematic reviews</w:t>
      </w:r>
    </w:p>
    <w:p w14:paraId="220CD5EF" w14:textId="77777777" w:rsidR="00185E48" w:rsidRPr="00D518FF" w:rsidRDefault="00185E48" w:rsidP="00185E48">
      <w:pPr>
        <w:spacing w:before="120" w:after="120"/>
        <w:rPr>
          <w:rFonts w:ascii="Aptos" w:hAnsi="Aptos" w:cs="Arial"/>
          <w:sz w:val="21"/>
          <w:szCs w:val="21"/>
        </w:rPr>
      </w:pPr>
      <w:r w:rsidRPr="00D518FF">
        <w:rPr>
          <w:rFonts w:ascii="Aptos" w:hAnsi="Aptos" w:cs="Arial"/>
          <w:sz w:val="21"/>
          <w:szCs w:val="21"/>
        </w:rPr>
        <w:t xml:space="preserve">For each outcome in each priority </w:t>
      </w:r>
      <w:r w:rsidRPr="00D518FF" w:rsidDel="008B625F">
        <w:rPr>
          <w:rFonts w:ascii="Aptos" w:hAnsi="Aptos" w:cs="Arial"/>
          <w:sz w:val="21"/>
          <w:szCs w:val="21"/>
        </w:rPr>
        <w:t>population-</w:t>
      </w:r>
      <w:r>
        <w:rPr>
          <w:rFonts w:ascii="Aptos" w:hAnsi="Aptos" w:cs="Arial"/>
          <w:sz w:val="21"/>
          <w:szCs w:val="21"/>
        </w:rPr>
        <w:t>supplement pair</w:t>
      </w:r>
      <w:r w:rsidRPr="00D518FF">
        <w:rPr>
          <w:rFonts w:ascii="Aptos" w:hAnsi="Aptos" w:cs="Arial"/>
          <w:sz w:val="21"/>
          <w:szCs w:val="21"/>
        </w:rPr>
        <w:t xml:space="preserve">, the assessments for publication and reporting biases completed by systematic review authors </w:t>
      </w:r>
      <w:r>
        <w:rPr>
          <w:rFonts w:ascii="Aptos" w:hAnsi="Aptos" w:cs="Arial"/>
          <w:sz w:val="21"/>
          <w:szCs w:val="21"/>
        </w:rPr>
        <w:t>were considered.</w:t>
      </w:r>
      <w:r w:rsidRPr="00D518FF">
        <w:rPr>
          <w:rFonts w:ascii="Aptos" w:hAnsi="Aptos" w:cs="Arial"/>
          <w:sz w:val="21"/>
          <w:szCs w:val="21"/>
        </w:rPr>
        <w:t xml:space="preserve"> If systematic review authors did not assess for publication or reporting biases, this </w:t>
      </w:r>
      <w:r>
        <w:rPr>
          <w:rFonts w:ascii="Aptos" w:hAnsi="Aptos" w:cs="Arial"/>
          <w:sz w:val="21"/>
          <w:szCs w:val="21"/>
        </w:rPr>
        <w:t>was</w:t>
      </w:r>
      <w:r w:rsidRPr="00D518FF">
        <w:rPr>
          <w:rFonts w:ascii="Aptos" w:hAnsi="Aptos" w:cs="Arial"/>
          <w:sz w:val="21"/>
          <w:szCs w:val="21"/>
        </w:rPr>
        <w:t xml:space="preserve"> noted in the GRADE assessment</w:t>
      </w:r>
      <w:r>
        <w:rPr>
          <w:rFonts w:ascii="Aptos" w:hAnsi="Aptos" w:cs="Arial"/>
          <w:sz w:val="21"/>
          <w:szCs w:val="21"/>
        </w:rPr>
        <w:t xml:space="preserve"> in footnotes of ‘Summary of Findings’ tables</w:t>
      </w:r>
      <w:r w:rsidRPr="00D518FF">
        <w:rPr>
          <w:rFonts w:ascii="Aptos" w:hAnsi="Aptos" w:cs="Arial"/>
          <w:sz w:val="21"/>
          <w:szCs w:val="21"/>
        </w:rPr>
        <w:t xml:space="preserve">. As well, it </w:t>
      </w:r>
      <w:r>
        <w:rPr>
          <w:rFonts w:ascii="Aptos" w:hAnsi="Aptos" w:cs="Arial"/>
          <w:sz w:val="21"/>
          <w:szCs w:val="21"/>
        </w:rPr>
        <w:t>was</w:t>
      </w:r>
      <w:r w:rsidRPr="00D518FF">
        <w:rPr>
          <w:rFonts w:ascii="Aptos" w:hAnsi="Aptos" w:cs="Arial"/>
          <w:sz w:val="21"/>
          <w:szCs w:val="21"/>
        </w:rPr>
        <w:t xml:space="preserve"> considered whether systematic review authors reported on pre-specified outcomes (from protocols or registers) along with rationale for any changes, and whether these may impact selective reporting.</w:t>
      </w:r>
      <w:r>
        <w:rPr>
          <w:rFonts w:ascii="Aptos" w:hAnsi="Aptos" w:cs="Arial"/>
          <w:sz w:val="21"/>
          <w:szCs w:val="21"/>
        </w:rPr>
        <w:t xml:space="preserve"> </w:t>
      </w:r>
    </w:p>
    <w:p w14:paraId="15D80FDB"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t>Primary studies</w:t>
      </w:r>
    </w:p>
    <w:p w14:paraId="1CE50693" w14:textId="4666A688"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Reporting bias may arise from missing results in a summary of synthesis</w:t>
      </w:r>
      <w:r w:rsidR="000F360A">
        <w:rPr>
          <w:rFonts w:ascii="Aptos" w:hAnsi="Aptos" w:cs="Arial"/>
          <w:sz w:val="21"/>
          <w:szCs w:val="21"/>
        </w:rPr>
        <w:t>.</w:t>
      </w:r>
      <w:r w:rsidRPr="00D518FF">
        <w:rPr>
          <w:rFonts w:ascii="Aptos" w:hAnsi="Aptos" w:cs="Arial"/>
          <w:sz w:val="21"/>
          <w:szCs w:val="21"/>
        </w:rPr>
        <w:t xml:space="preserve"> Due to the scope of this </w:t>
      </w:r>
      <w:r w:rsidR="000F360A">
        <w:rPr>
          <w:rFonts w:ascii="Aptos" w:hAnsi="Aptos" w:cs="Arial"/>
          <w:sz w:val="21"/>
          <w:szCs w:val="21"/>
        </w:rPr>
        <w:t>o</w:t>
      </w:r>
      <w:r w:rsidRPr="00D518FF">
        <w:rPr>
          <w:rFonts w:ascii="Aptos" w:hAnsi="Aptos" w:cs="Arial"/>
          <w:sz w:val="21"/>
          <w:szCs w:val="21"/>
        </w:rPr>
        <w:t xml:space="preserve">verview (i.e. the number of priority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 xml:space="preserve">s and outcomes, and therefore the number of primary studies), missing data from primary studies </w:t>
      </w:r>
      <w:r w:rsidR="0056506B">
        <w:rPr>
          <w:rFonts w:ascii="Aptos" w:hAnsi="Aptos" w:cs="Arial"/>
          <w:sz w:val="21"/>
          <w:szCs w:val="21"/>
        </w:rPr>
        <w:t>was</w:t>
      </w:r>
      <w:r w:rsidR="0056506B" w:rsidRPr="00D518FF">
        <w:rPr>
          <w:rFonts w:ascii="Aptos" w:hAnsi="Aptos" w:cs="Arial"/>
          <w:sz w:val="21"/>
          <w:szCs w:val="21"/>
        </w:rPr>
        <w:t xml:space="preserve"> </w:t>
      </w:r>
      <w:r w:rsidRPr="00D518FF">
        <w:rPr>
          <w:rFonts w:ascii="Aptos" w:hAnsi="Aptos" w:cs="Arial"/>
          <w:sz w:val="21"/>
          <w:szCs w:val="21"/>
        </w:rPr>
        <w:t>not</w:t>
      </w:r>
      <w:r w:rsidRPr="00D518FF" w:rsidDel="0056506B">
        <w:rPr>
          <w:rFonts w:ascii="Aptos" w:hAnsi="Aptos" w:cs="Arial"/>
          <w:sz w:val="21"/>
          <w:szCs w:val="21"/>
        </w:rPr>
        <w:t xml:space="preserve"> </w:t>
      </w:r>
      <w:r w:rsidRPr="00D518FF">
        <w:rPr>
          <w:rFonts w:ascii="Aptos" w:hAnsi="Aptos" w:cs="Arial"/>
          <w:sz w:val="21"/>
          <w:szCs w:val="21"/>
        </w:rPr>
        <w:t xml:space="preserve">sought (either by reviewing corresponding primary studies or by contacting systematic review authors for missing information or clarification). However, </w:t>
      </w:r>
      <w:r w:rsidR="000F360A">
        <w:rPr>
          <w:rFonts w:ascii="Aptos" w:hAnsi="Aptos" w:cs="Arial"/>
          <w:sz w:val="21"/>
          <w:szCs w:val="21"/>
        </w:rPr>
        <w:t xml:space="preserve">potential </w:t>
      </w:r>
      <w:r w:rsidRPr="00D518FF">
        <w:rPr>
          <w:rFonts w:ascii="Aptos" w:hAnsi="Aptos" w:cs="Arial"/>
          <w:sz w:val="21"/>
          <w:szCs w:val="21"/>
        </w:rPr>
        <w:t xml:space="preserve">missing information from primary studies </w:t>
      </w:r>
      <w:r w:rsidR="0056506B">
        <w:rPr>
          <w:rFonts w:ascii="Aptos" w:hAnsi="Aptos" w:cs="Arial"/>
          <w:sz w:val="21"/>
          <w:szCs w:val="21"/>
        </w:rPr>
        <w:t>was</w:t>
      </w:r>
      <w:r w:rsidRPr="00D518FF">
        <w:rPr>
          <w:rFonts w:ascii="Aptos" w:hAnsi="Aptos" w:cs="Arial"/>
          <w:sz w:val="21"/>
          <w:szCs w:val="21"/>
        </w:rPr>
        <w:t xml:space="preserve"> considered in the GRADE assessment and reported in ‘Summary of Findings’ tables. </w:t>
      </w:r>
    </w:p>
    <w:p w14:paraId="18DD8819" w14:textId="77777777" w:rsidR="00F726B5" w:rsidRPr="00D518FF" w:rsidRDefault="00F726B5" w:rsidP="00D518FF">
      <w:pPr>
        <w:spacing w:before="240" w:after="120"/>
        <w:outlineLvl w:val="3"/>
        <w:rPr>
          <w:rFonts w:ascii="Aptos" w:eastAsia="Calibri" w:hAnsi="Aptos" w:cs="Arial"/>
          <w:b/>
          <w:bCs/>
          <w:i/>
          <w:iCs/>
          <w:color w:val="C00000"/>
          <w:sz w:val="21"/>
          <w:szCs w:val="21"/>
          <w:lang w:eastAsia="en-US"/>
        </w:rPr>
      </w:pPr>
      <w:r w:rsidRPr="00D518FF">
        <w:rPr>
          <w:rFonts w:ascii="Aptos" w:eastAsia="Calibri" w:hAnsi="Aptos" w:cs="Arial"/>
          <w:b/>
          <w:bCs/>
          <w:i/>
          <w:iCs/>
          <w:color w:val="C00000"/>
          <w:sz w:val="21"/>
          <w:szCs w:val="21"/>
          <w:lang w:eastAsia="en-US"/>
        </w:rPr>
        <w:lastRenderedPageBreak/>
        <w:t>Supplemental primary studies</w:t>
      </w:r>
    </w:p>
    <w:p w14:paraId="05BAED85" w14:textId="0BEECCCA" w:rsidR="00F726B5" w:rsidRPr="00D518FF" w:rsidRDefault="006B3375" w:rsidP="00F726B5">
      <w:pPr>
        <w:spacing w:before="120" w:after="120"/>
        <w:rPr>
          <w:rFonts w:ascii="Aptos" w:hAnsi="Aptos" w:cs="Arial"/>
          <w:sz w:val="21"/>
          <w:szCs w:val="21"/>
        </w:rPr>
      </w:pPr>
      <w:r>
        <w:rPr>
          <w:rFonts w:ascii="Aptos" w:hAnsi="Aptos" w:cs="Arial"/>
          <w:sz w:val="21"/>
          <w:szCs w:val="21"/>
        </w:rPr>
        <w:t>As noted above and in Appendix G</w:t>
      </w:r>
      <w:r w:rsidR="000F360A">
        <w:rPr>
          <w:rFonts w:ascii="Aptos" w:hAnsi="Aptos" w:cs="Arial"/>
          <w:sz w:val="21"/>
          <w:szCs w:val="21"/>
        </w:rPr>
        <w:t>,</w:t>
      </w:r>
      <w:r>
        <w:rPr>
          <w:rFonts w:ascii="Aptos" w:hAnsi="Aptos" w:cs="Arial"/>
          <w:sz w:val="21"/>
          <w:szCs w:val="21"/>
        </w:rPr>
        <w:t xml:space="preserve"> supplementary primary studies were not sought or assessed. </w:t>
      </w:r>
    </w:p>
    <w:p w14:paraId="621DDF8B" w14:textId="77777777" w:rsidR="00F726B5" w:rsidRPr="00D518FF" w:rsidRDefault="00F726B5" w:rsidP="00885F39">
      <w:pPr>
        <w:pStyle w:val="heading3numbers"/>
      </w:pPr>
      <w:bookmarkStart w:id="97" w:name="_Toc126835802"/>
      <w:bookmarkStart w:id="98" w:name="_Toc185254633"/>
      <w:r w:rsidRPr="00D518FF">
        <w:t>Addressing risk of bias</w:t>
      </w:r>
      <w:bookmarkEnd w:id="97"/>
      <w:bookmarkEnd w:id="98"/>
    </w:p>
    <w:p w14:paraId="2A9BBB04" w14:textId="77777777" w:rsidR="0003298B" w:rsidRPr="0003298B" w:rsidRDefault="0003298B" w:rsidP="0003298B">
      <w:pPr>
        <w:spacing w:before="240" w:after="120"/>
        <w:outlineLvl w:val="3"/>
        <w:rPr>
          <w:rFonts w:ascii="Aptos" w:eastAsia="Calibri" w:hAnsi="Aptos" w:cs="Arial"/>
          <w:b/>
          <w:bCs/>
          <w:i/>
          <w:iCs/>
          <w:color w:val="C00000"/>
          <w:sz w:val="21"/>
          <w:szCs w:val="21"/>
          <w:lang w:eastAsia="en-US"/>
        </w:rPr>
      </w:pPr>
      <w:r w:rsidRPr="0003298B">
        <w:rPr>
          <w:rFonts w:ascii="Aptos" w:eastAsia="Calibri" w:hAnsi="Aptos" w:cs="Arial"/>
          <w:b/>
          <w:bCs/>
          <w:i/>
          <w:iCs/>
          <w:color w:val="C00000"/>
          <w:sz w:val="21"/>
          <w:szCs w:val="21"/>
          <w:lang w:eastAsia="en-US"/>
        </w:rPr>
        <w:t>At the systematic review level</w:t>
      </w:r>
    </w:p>
    <w:p w14:paraId="16DA975B" w14:textId="150A9AC3" w:rsidR="004B7262" w:rsidRDefault="0003298B" w:rsidP="004B7262">
      <w:pPr>
        <w:spacing w:before="120" w:after="120"/>
        <w:rPr>
          <w:rFonts w:ascii="Aptos" w:hAnsi="Aptos" w:cs="Arial"/>
          <w:sz w:val="21"/>
          <w:szCs w:val="21"/>
        </w:rPr>
      </w:pPr>
      <w:r>
        <w:rPr>
          <w:rFonts w:ascii="Aptos" w:hAnsi="Aptos" w:cs="Arial"/>
          <w:sz w:val="21"/>
          <w:szCs w:val="21"/>
        </w:rPr>
        <w:t>Risk of bias of the systematic review was a key criterion in choosing contributing evidence</w:t>
      </w:r>
      <w:r w:rsidR="00271ACD">
        <w:rPr>
          <w:rFonts w:ascii="Aptos" w:hAnsi="Aptos" w:cs="Arial"/>
          <w:sz w:val="21"/>
          <w:szCs w:val="21"/>
        </w:rPr>
        <w:t xml:space="preserve"> (preferred review)</w:t>
      </w:r>
      <w:r>
        <w:rPr>
          <w:rFonts w:ascii="Aptos" w:hAnsi="Aptos" w:cs="Arial"/>
          <w:sz w:val="21"/>
          <w:szCs w:val="21"/>
        </w:rPr>
        <w:t xml:space="preserve"> for each PICO. </w:t>
      </w:r>
      <w:r w:rsidR="004B7262" w:rsidRPr="00D518FF">
        <w:rPr>
          <w:rFonts w:ascii="Aptos" w:hAnsi="Aptos" w:cs="Arial"/>
          <w:sz w:val="21"/>
          <w:szCs w:val="21"/>
        </w:rPr>
        <w:t xml:space="preserve">Where there </w:t>
      </w:r>
      <w:r w:rsidR="00271ACD">
        <w:rPr>
          <w:rFonts w:ascii="Aptos" w:hAnsi="Aptos" w:cs="Arial"/>
          <w:sz w:val="21"/>
          <w:szCs w:val="21"/>
        </w:rPr>
        <w:t>were</w:t>
      </w:r>
      <w:r w:rsidR="00271ACD" w:rsidRPr="00D518FF">
        <w:rPr>
          <w:rFonts w:ascii="Aptos" w:hAnsi="Aptos" w:cs="Arial"/>
          <w:sz w:val="21"/>
          <w:szCs w:val="21"/>
        </w:rPr>
        <w:t xml:space="preserve"> </w:t>
      </w:r>
      <w:r w:rsidR="004B7262" w:rsidRPr="00D518FF">
        <w:rPr>
          <w:rFonts w:ascii="Aptos" w:hAnsi="Aptos" w:cs="Arial"/>
          <w:sz w:val="21"/>
          <w:szCs w:val="21"/>
        </w:rPr>
        <w:t>concerns related to the risk of bias of a systematic review</w:t>
      </w:r>
      <w:r>
        <w:rPr>
          <w:rFonts w:ascii="Aptos" w:hAnsi="Aptos" w:cs="Arial"/>
          <w:sz w:val="21"/>
          <w:szCs w:val="21"/>
        </w:rPr>
        <w:t xml:space="preserve"> contributing data to the synthesis</w:t>
      </w:r>
      <w:r w:rsidR="004B7262" w:rsidRPr="00D518FF">
        <w:rPr>
          <w:rFonts w:ascii="Aptos" w:hAnsi="Aptos" w:cs="Arial"/>
          <w:sz w:val="21"/>
          <w:szCs w:val="21"/>
        </w:rPr>
        <w:t xml:space="preserve">, this </w:t>
      </w:r>
      <w:r>
        <w:rPr>
          <w:rFonts w:ascii="Aptos" w:hAnsi="Aptos" w:cs="Arial"/>
          <w:sz w:val="21"/>
          <w:szCs w:val="21"/>
        </w:rPr>
        <w:t>was</w:t>
      </w:r>
      <w:r w:rsidR="004B7262" w:rsidRPr="00D518FF">
        <w:rPr>
          <w:rFonts w:ascii="Aptos" w:hAnsi="Aptos" w:cs="Arial"/>
          <w:sz w:val="21"/>
          <w:szCs w:val="21"/>
        </w:rPr>
        <w:t xml:space="preserve"> noted</w:t>
      </w:r>
      <w:r>
        <w:rPr>
          <w:rFonts w:ascii="Aptos" w:hAnsi="Aptos" w:cs="Arial"/>
          <w:sz w:val="21"/>
          <w:szCs w:val="21"/>
        </w:rPr>
        <w:t xml:space="preserve"> and considered in synthesis of findings in the main report</w:t>
      </w:r>
      <w:r w:rsidR="000F360A">
        <w:rPr>
          <w:rFonts w:ascii="Aptos" w:hAnsi="Aptos" w:cs="Arial"/>
          <w:sz w:val="21"/>
          <w:szCs w:val="21"/>
        </w:rPr>
        <w:t>.</w:t>
      </w:r>
      <w:r>
        <w:rPr>
          <w:rFonts w:ascii="Aptos" w:hAnsi="Aptos" w:cs="Arial"/>
          <w:sz w:val="21"/>
          <w:szCs w:val="21"/>
        </w:rPr>
        <w:t xml:space="preserve"> </w:t>
      </w:r>
      <w:r w:rsidR="000F360A">
        <w:rPr>
          <w:rFonts w:ascii="Aptos" w:hAnsi="Aptos" w:cs="Arial"/>
          <w:sz w:val="21"/>
          <w:szCs w:val="21"/>
        </w:rPr>
        <w:t xml:space="preserve">If there were concerns, it was planned that </w:t>
      </w:r>
      <w:r w:rsidR="004B7262" w:rsidRPr="00D518FF">
        <w:rPr>
          <w:rFonts w:ascii="Aptos" w:hAnsi="Aptos" w:cs="Arial"/>
          <w:sz w:val="21"/>
          <w:szCs w:val="21"/>
        </w:rPr>
        <w:t xml:space="preserve">data across systematic reviews </w:t>
      </w:r>
      <w:r w:rsidR="000F360A">
        <w:rPr>
          <w:rFonts w:ascii="Aptos" w:hAnsi="Aptos" w:cs="Arial"/>
          <w:sz w:val="21"/>
          <w:szCs w:val="21"/>
        </w:rPr>
        <w:t>would be cross-checked, however this was not required.</w:t>
      </w:r>
    </w:p>
    <w:p w14:paraId="6C0CEEE4" w14:textId="1682A965" w:rsidR="0003298B" w:rsidRPr="0003298B" w:rsidRDefault="0003298B" w:rsidP="0003298B">
      <w:pPr>
        <w:spacing w:before="240" w:after="120"/>
        <w:outlineLvl w:val="3"/>
        <w:rPr>
          <w:rFonts w:ascii="Aptos" w:eastAsia="Calibri" w:hAnsi="Aptos" w:cs="Arial"/>
          <w:b/>
          <w:bCs/>
          <w:i/>
          <w:iCs/>
          <w:color w:val="C00000"/>
          <w:sz w:val="21"/>
          <w:szCs w:val="21"/>
          <w:lang w:eastAsia="en-US"/>
        </w:rPr>
      </w:pPr>
      <w:r w:rsidRPr="0003298B">
        <w:rPr>
          <w:rFonts w:ascii="Aptos" w:eastAsia="Calibri" w:hAnsi="Aptos" w:cs="Arial"/>
          <w:b/>
          <w:bCs/>
          <w:i/>
          <w:iCs/>
          <w:color w:val="C00000"/>
          <w:sz w:val="21"/>
          <w:szCs w:val="21"/>
          <w:lang w:eastAsia="en-US"/>
        </w:rPr>
        <w:t xml:space="preserve">At the </w:t>
      </w:r>
      <w:r>
        <w:rPr>
          <w:rFonts w:ascii="Aptos" w:eastAsia="Calibri" w:hAnsi="Aptos" w:cs="Arial"/>
          <w:b/>
          <w:bCs/>
          <w:i/>
          <w:iCs/>
          <w:color w:val="C00000"/>
          <w:sz w:val="21"/>
          <w:szCs w:val="21"/>
          <w:lang w:eastAsia="en-US"/>
        </w:rPr>
        <w:t>primary study</w:t>
      </w:r>
      <w:r w:rsidRPr="0003298B">
        <w:rPr>
          <w:rFonts w:ascii="Aptos" w:eastAsia="Calibri" w:hAnsi="Aptos" w:cs="Arial"/>
          <w:b/>
          <w:bCs/>
          <w:i/>
          <w:iCs/>
          <w:color w:val="C00000"/>
          <w:sz w:val="21"/>
          <w:szCs w:val="21"/>
          <w:lang w:eastAsia="en-US"/>
        </w:rPr>
        <w:t xml:space="preserve"> level</w:t>
      </w:r>
    </w:p>
    <w:p w14:paraId="679F79B4" w14:textId="286DA073" w:rsidR="0003298B" w:rsidRPr="00D518FF" w:rsidRDefault="00132907" w:rsidP="004B7262">
      <w:pPr>
        <w:spacing w:before="120" w:after="120"/>
        <w:rPr>
          <w:rFonts w:ascii="Aptos" w:hAnsi="Aptos" w:cs="Arial"/>
          <w:sz w:val="21"/>
          <w:szCs w:val="21"/>
        </w:rPr>
      </w:pPr>
      <w:r>
        <w:rPr>
          <w:rFonts w:ascii="Aptos" w:hAnsi="Aptos" w:cs="Arial"/>
          <w:sz w:val="21"/>
          <w:szCs w:val="21"/>
        </w:rPr>
        <w:t>Risk of bias at the primary study level was extracted from systematic reviews</w:t>
      </w:r>
      <w:r w:rsidR="000F360A">
        <w:rPr>
          <w:rFonts w:ascii="Aptos" w:hAnsi="Aptos" w:cs="Arial"/>
          <w:sz w:val="21"/>
          <w:szCs w:val="21"/>
        </w:rPr>
        <w:t xml:space="preserve"> at a summary level for outcomes</w:t>
      </w:r>
      <w:r w:rsidR="00271ACD">
        <w:rPr>
          <w:rFonts w:ascii="Aptos" w:hAnsi="Aptos" w:cs="Arial"/>
          <w:sz w:val="21"/>
          <w:szCs w:val="21"/>
        </w:rPr>
        <w:t xml:space="preserve"> for preferred reviews</w:t>
      </w:r>
      <w:r>
        <w:rPr>
          <w:rFonts w:ascii="Aptos" w:hAnsi="Aptos" w:cs="Arial"/>
          <w:sz w:val="21"/>
          <w:szCs w:val="21"/>
        </w:rPr>
        <w:t>. Independent risk of bias assessments for primary studies were not undertaken due to the volume of evidence. Risk of bias of the contributing evidence was considered in GRADE assessments.</w:t>
      </w:r>
    </w:p>
    <w:p w14:paraId="28BF6B5E" w14:textId="558493F6" w:rsidR="00F726B5" w:rsidRPr="00D518FF" w:rsidRDefault="00F726B5" w:rsidP="00885F39">
      <w:pPr>
        <w:pStyle w:val="heading3numbers"/>
      </w:pPr>
      <w:bookmarkStart w:id="99" w:name="_Toc126835803"/>
      <w:bookmarkStart w:id="100" w:name="_Toc185254634"/>
      <w:r w:rsidRPr="00D518FF">
        <w:t>Subgroup analyses</w:t>
      </w:r>
      <w:bookmarkEnd w:id="99"/>
      <w:bookmarkEnd w:id="100"/>
    </w:p>
    <w:p w14:paraId="467B1627" w14:textId="5FF64DC7" w:rsidR="0003298B" w:rsidRPr="0003298B" w:rsidRDefault="0003298B" w:rsidP="0003298B">
      <w:pPr>
        <w:spacing w:before="120" w:after="120"/>
        <w:rPr>
          <w:rFonts w:ascii="Aptos" w:hAnsi="Aptos" w:cs="Arial"/>
          <w:sz w:val="21"/>
          <w:szCs w:val="21"/>
        </w:rPr>
      </w:pPr>
      <w:r w:rsidRPr="0003298B">
        <w:rPr>
          <w:rFonts w:ascii="Aptos" w:hAnsi="Aptos" w:cs="Arial"/>
          <w:sz w:val="21"/>
          <w:szCs w:val="21"/>
        </w:rPr>
        <w:t>Relevant subgroup analyses conducted as pa</w:t>
      </w:r>
      <w:r>
        <w:rPr>
          <w:rFonts w:ascii="Aptos" w:hAnsi="Aptos" w:cs="Arial"/>
          <w:sz w:val="21"/>
          <w:szCs w:val="21"/>
        </w:rPr>
        <w:t>r</w:t>
      </w:r>
      <w:r w:rsidRPr="0003298B">
        <w:rPr>
          <w:rFonts w:ascii="Aptos" w:hAnsi="Aptos" w:cs="Arial"/>
          <w:sz w:val="21"/>
          <w:szCs w:val="21"/>
        </w:rPr>
        <w:t xml:space="preserve">t of the included systematic reviews </w:t>
      </w:r>
      <w:r>
        <w:rPr>
          <w:rFonts w:ascii="Aptos" w:hAnsi="Aptos" w:cs="Arial"/>
          <w:sz w:val="21"/>
          <w:szCs w:val="21"/>
        </w:rPr>
        <w:t>were</w:t>
      </w:r>
      <w:r w:rsidRPr="0003298B">
        <w:rPr>
          <w:rFonts w:ascii="Aptos" w:hAnsi="Aptos" w:cs="Arial"/>
          <w:sz w:val="21"/>
          <w:szCs w:val="21"/>
        </w:rPr>
        <w:t xml:space="preserve"> </w:t>
      </w:r>
      <w:r w:rsidR="000F360A">
        <w:rPr>
          <w:rFonts w:ascii="Aptos" w:hAnsi="Aptos" w:cs="Arial"/>
          <w:sz w:val="21"/>
          <w:szCs w:val="21"/>
        </w:rPr>
        <w:t>extracted and reported in</w:t>
      </w:r>
      <w:r>
        <w:rPr>
          <w:rFonts w:ascii="Aptos" w:hAnsi="Aptos" w:cs="Arial"/>
          <w:sz w:val="21"/>
          <w:szCs w:val="21"/>
        </w:rPr>
        <w:t xml:space="preserve"> Appendix </w:t>
      </w:r>
      <w:r w:rsidR="002F37E3">
        <w:rPr>
          <w:rFonts w:ascii="Aptos" w:hAnsi="Aptos" w:cs="Arial"/>
          <w:sz w:val="21"/>
          <w:szCs w:val="21"/>
        </w:rPr>
        <w:t>E</w:t>
      </w:r>
      <w:r>
        <w:rPr>
          <w:rFonts w:ascii="Aptos" w:hAnsi="Aptos" w:cs="Arial"/>
          <w:sz w:val="21"/>
          <w:szCs w:val="21"/>
        </w:rPr>
        <w:t>.</w:t>
      </w:r>
      <w:r w:rsidRPr="0003298B">
        <w:rPr>
          <w:rFonts w:ascii="Aptos" w:hAnsi="Aptos" w:cs="Arial"/>
          <w:sz w:val="21"/>
          <w:szCs w:val="21"/>
        </w:rPr>
        <w:t xml:space="preserve"> </w:t>
      </w:r>
      <w:r w:rsidR="002F37E3">
        <w:rPr>
          <w:rFonts w:ascii="Aptos" w:hAnsi="Aptos" w:cs="Arial"/>
          <w:sz w:val="21"/>
          <w:szCs w:val="21"/>
        </w:rPr>
        <w:t>These were considered in GRADE assessments.</w:t>
      </w:r>
    </w:p>
    <w:p w14:paraId="0946F20B" w14:textId="02DD3071" w:rsidR="0003298B" w:rsidRPr="00D518FF" w:rsidRDefault="002F37E3" w:rsidP="0003298B">
      <w:pPr>
        <w:pStyle w:val="ListParagraph"/>
        <w:spacing w:before="120" w:after="120"/>
        <w:ind w:left="0"/>
        <w:rPr>
          <w:rFonts w:ascii="Aptos" w:hAnsi="Aptos" w:cs="Arial"/>
          <w:sz w:val="21"/>
          <w:szCs w:val="21"/>
        </w:rPr>
      </w:pPr>
      <w:r>
        <w:rPr>
          <w:rFonts w:ascii="Aptos" w:hAnsi="Aptos" w:cs="Arial"/>
          <w:sz w:val="21"/>
          <w:szCs w:val="21"/>
        </w:rPr>
        <w:t xml:space="preserve">No </w:t>
      </w:r>
      <w:r w:rsidR="0003298B">
        <w:rPr>
          <w:rFonts w:ascii="Aptos" w:hAnsi="Aptos" w:cs="Arial"/>
          <w:sz w:val="21"/>
          <w:szCs w:val="21"/>
        </w:rPr>
        <w:t xml:space="preserve">reanalysis was undertaken </w:t>
      </w:r>
      <w:r>
        <w:rPr>
          <w:rFonts w:ascii="Aptos" w:hAnsi="Aptos" w:cs="Arial"/>
          <w:sz w:val="21"/>
          <w:szCs w:val="21"/>
        </w:rPr>
        <w:t>to explore potential sources of inconsistency. This was a deviation from the protocol and is noted in</w:t>
      </w:r>
      <w:r w:rsidR="0003298B">
        <w:rPr>
          <w:rFonts w:ascii="Aptos" w:hAnsi="Aptos" w:cs="Arial"/>
          <w:sz w:val="21"/>
          <w:szCs w:val="21"/>
        </w:rPr>
        <w:t xml:space="preserve"> Appendix G. </w:t>
      </w:r>
    </w:p>
    <w:p w14:paraId="68BBCF9A" w14:textId="7BFD3689" w:rsidR="00A80A74" w:rsidRPr="00A80A74" w:rsidRDefault="00A80A74" w:rsidP="00A80A74">
      <w:pPr>
        <w:pStyle w:val="heading2numbers"/>
      </w:pPr>
      <w:bookmarkStart w:id="101" w:name="_Toc185254635"/>
      <w:r w:rsidRPr="00A80A74">
        <w:rPr>
          <w:rFonts w:cs="Arial"/>
          <w:bCs/>
        </w:rPr>
        <w:t>Certainty of the evidence</w:t>
      </w:r>
      <w:bookmarkEnd w:id="101"/>
    </w:p>
    <w:p w14:paraId="514C513C" w14:textId="4BC5B0D2"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GRADE (Grading of Recommendations Assessment, Development and Evaluation) approach </w:t>
      </w:r>
      <w:r w:rsidR="001E1310">
        <w:rPr>
          <w:rFonts w:ascii="Aptos" w:hAnsi="Aptos" w:cs="Arial"/>
          <w:sz w:val="21"/>
          <w:szCs w:val="21"/>
        </w:rPr>
        <w:t>was</w:t>
      </w:r>
      <w:r w:rsidR="001E1310" w:rsidRPr="00D518FF">
        <w:rPr>
          <w:rFonts w:ascii="Aptos" w:hAnsi="Aptos" w:cs="Arial"/>
          <w:sz w:val="21"/>
          <w:szCs w:val="21"/>
        </w:rPr>
        <w:t xml:space="preserve"> </w:t>
      </w:r>
      <w:r w:rsidRPr="00D518FF">
        <w:rPr>
          <w:rFonts w:ascii="Aptos" w:hAnsi="Aptos" w:cs="Arial"/>
          <w:sz w:val="21"/>
          <w:szCs w:val="21"/>
        </w:rPr>
        <w:t xml:space="preserve">used to assess the certainty of the body of evidence for each outcome </w:t>
      </w:r>
      <w:r w:rsidR="000935F9">
        <w:rPr>
          <w:rFonts w:ascii="Aptos" w:hAnsi="Aptos" w:cs="Arial"/>
          <w:noProof/>
          <w:sz w:val="21"/>
          <w:szCs w:val="21"/>
        </w:rPr>
        <w:t>(</w:t>
      </w:r>
      <w:r w:rsidR="00A93965">
        <w:rPr>
          <w:rFonts w:ascii="Aptos" w:hAnsi="Aptos" w:cs="Arial"/>
          <w:noProof/>
          <w:sz w:val="21"/>
          <w:szCs w:val="21"/>
        </w:rPr>
        <w:t>8</w:t>
      </w:r>
      <w:r w:rsidR="000935F9">
        <w:rPr>
          <w:rFonts w:ascii="Aptos" w:hAnsi="Aptos" w:cs="Arial"/>
          <w:noProof/>
          <w:sz w:val="21"/>
          <w:szCs w:val="21"/>
        </w:rPr>
        <w:t>)</w:t>
      </w:r>
      <w:r w:rsidRPr="00D518FF">
        <w:rPr>
          <w:rFonts w:ascii="Aptos" w:hAnsi="Aptos" w:cs="Arial"/>
          <w:sz w:val="21"/>
          <w:szCs w:val="21"/>
        </w:rPr>
        <w:t>. For consistency</w:t>
      </w:r>
      <w:r w:rsidR="00D1212E">
        <w:rPr>
          <w:rFonts w:ascii="Aptos" w:hAnsi="Aptos" w:cs="Arial"/>
          <w:sz w:val="21"/>
          <w:szCs w:val="21"/>
        </w:rPr>
        <w:t xml:space="preserve"> and to provide an independent interpretation of the information</w:t>
      </w:r>
      <w:r w:rsidRPr="00D518FF">
        <w:rPr>
          <w:rFonts w:ascii="Aptos" w:hAnsi="Aptos" w:cs="Arial"/>
          <w:sz w:val="21"/>
          <w:szCs w:val="21"/>
        </w:rPr>
        <w:t xml:space="preserve">, GRADE assessments </w:t>
      </w:r>
      <w:r w:rsidR="002119B3">
        <w:rPr>
          <w:rFonts w:ascii="Aptos" w:hAnsi="Aptos" w:cs="Arial"/>
          <w:sz w:val="21"/>
          <w:szCs w:val="21"/>
        </w:rPr>
        <w:t>were</w:t>
      </w:r>
      <w:r w:rsidRPr="00D518FF">
        <w:rPr>
          <w:rFonts w:ascii="Aptos" w:hAnsi="Aptos" w:cs="Arial"/>
          <w:sz w:val="21"/>
          <w:szCs w:val="21"/>
        </w:rPr>
        <w:t xml:space="preserve"> completed </w:t>
      </w:r>
      <w:r w:rsidR="00CF25BB">
        <w:rPr>
          <w:rFonts w:ascii="Aptos" w:hAnsi="Aptos" w:cs="Arial"/>
          <w:sz w:val="21"/>
          <w:szCs w:val="21"/>
        </w:rPr>
        <w:t xml:space="preserve">for </w:t>
      </w:r>
      <w:r w:rsidR="00CF25BB" w:rsidRPr="00D518FF">
        <w:rPr>
          <w:rFonts w:ascii="Aptos" w:hAnsi="Aptos" w:cs="Arial"/>
          <w:sz w:val="21"/>
          <w:szCs w:val="21"/>
        </w:rPr>
        <w:t>all</w:t>
      </w:r>
      <w:r w:rsidR="00CF25BB">
        <w:rPr>
          <w:rFonts w:ascii="Aptos" w:hAnsi="Aptos" w:cs="Arial"/>
          <w:sz w:val="21"/>
          <w:szCs w:val="21"/>
        </w:rPr>
        <w:t xml:space="preserve"> outcomes included in the Summary of Findings tables</w:t>
      </w:r>
      <w:r w:rsidR="00CF25BB" w:rsidRPr="00D518FF">
        <w:rPr>
          <w:rFonts w:ascii="Aptos" w:hAnsi="Aptos" w:cs="Arial"/>
          <w:sz w:val="21"/>
          <w:szCs w:val="21"/>
        </w:rPr>
        <w:t xml:space="preserve"> </w:t>
      </w:r>
      <w:r w:rsidRPr="00D518FF">
        <w:rPr>
          <w:rFonts w:ascii="Aptos" w:hAnsi="Aptos" w:cs="Arial"/>
          <w:sz w:val="21"/>
          <w:szCs w:val="21"/>
        </w:rPr>
        <w:t xml:space="preserve">as part of this </w:t>
      </w:r>
      <w:r w:rsidR="004A5BAF">
        <w:rPr>
          <w:rFonts w:ascii="Aptos" w:hAnsi="Aptos" w:cs="Arial"/>
          <w:sz w:val="21"/>
          <w:szCs w:val="21"/>
        </w:rPr>
        <w:t>o</w:t>
      </w:r>
      <w:r w:rsidR="004A5BAF" w:rsidRPr="00D518FF">
        <w:rPr>
          <w:rFonts w:ascii="Aptos" w:hAnsi="Aptos" w:cs="Arial"/>
          <w:sz w:val="21"/>
          <w:szCs w:val="21"/>
        </w:rPr>
        <w:t xml:space="preserve">verview </w:t>
      </w:r>
      <w:r w:rsidRPr="00D518FF">
        <w:rPr>
          <w:rFonts w:ascii="Aptos" w:hAnsi="Aptos" w:cs="Arial"/>
          <w:sz w:val="21"/>
          <w:szCs w:val="21"/>
        </w:rPr>
        <w:t>regardless of whether they were completed as part of included systematic reviews.</w:t>
      </w:r>
    </w:p>
    <w:p w14:paraId="77D53AAB" w14:textId="29D11001"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GRADE assessments presented in the included systematic reviews </w:t>
      </w:r>
      <w:r w:rsidR="002119B3">
        <w:rPr>
          <w:rFonts w:ascii="Aptos" w:hAnsi="Aptos" w:cs="Arial"/>
          <w:sz w:val="21"/>
          <w:szCs w:val="21"/>
        </w:rPr>
        <w:t>were</w:t>
      </w:r>
      <w:r w:rsidR="006E2384">
        <w:rPr>
          <w:rFonts w:ascii="Aptos" w:hAnsi="Aptos" w:cs="Arial"/>
          <w:sz w:val="21"/>
          <w:szCs w:val="21"/>
        </w:rPr>
        <w:t xml:space="preserve"> not</w:t>
      </w:r>
      <w:r w:rsidRPr="00D518FF">
        <w:rPr>
          <w:rFonts w:ascii="Aptos" w:hAnsi="Aptos" w:cs="Arial"/>
          <w:sz w:val="21"/>
          <w:szCs w:val="21"/>
        </w:rPr>
        <w:t xml:space="preserve"> extracted</w:t>
      </w:r>
      <w:r w:rsidR="006E2384">
        <w:rPr>
          <w:rFonts w:ascii="Aptos" w:hAnsi="Aptos" w:cs="Arial"/>
          <w:sz w:val="21"/>
          <w:szCs w:val="21"/>
        </w:rPr>
        <w:t xml:space="preserve"> given reassessments were completed, though if GRADE was conducted </w:t>
      </w:r>
      <w:r w:rsidR="00C257A8">
        <w:rPr>
          <w:rFonts w:ascii="Aptos" w:hAnsi="Aptos" w:cs="Arial"/>
          <w:sz w:val="21"/>
          <w:szCs w:val="21"/>
        </w:rPr>
        <w:t>this was noted in data extraction</w:t>
      </w:r>
      <w:r w:rsidR="00C51BDD" w:rsidRPr="00D518FF">
        <w:rPr>
          <w:rFonts w:ascii="Aptos" w:hAnsi="Aptos" w:cs="Arial"/>
          <w:sz w:val="21"/>
          <w:szCs w:val="21"/>
        </w:rPr>
        <w:t>.</w:t>
      </w:r>
      <w:r w:rsidRPr="00D518FF">
        <w:rPr>
          <w:rFonts w:ascii="Aptos" w:hAnsi="Aptos" w:cs="Arial"/>
          <w:sz w:val="21"/>
          <w:szCs w:val="21"/>
        </w:rPr>
        <w:t xml:space="preserve"> </w:t>
      </w:r>
    </w:p>
    <w:p w14:paraId="4A38A416" w14:textId="29AA5AEA"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The GRADE framework is used to determine the certainty of the evidence based on consideration of five factors </w:t>
      </w:r>
      <w:r w:rsidR="000935F9">
        <w:rPr>
          <w:rFonts w:ascii="Aptos" w:hAnsi="Aptos" w:cs="Arial"/>
          <w:noProof/>
          <w:sz w:val="21"/>
          <w:szCs w:val="21"/>
        </w:rPr>
        <w:t>(</w:t>
      </w:r>
      <w:r w:rsidR="003E3EEA">
        <w:rPr>
          <w:rFonts w:ascii="Aptos" w:hAnsi="Aptos" w:cs="Arial"/>
          <w:noProof/>
          <w:sz w:val="21"/>
          <w:szCs w:val="21"/>
        </w:rPr>
        <w:t>9</w:t>
      </w:r>
      <w:r w:rsidR="000935F9">
        <w:rPr>
          <w:rFonts w:ascii="Aptos" w:hAnsi="Aptos" w:cs="Arial"/>
          <w:noProof/>
          <w:sz w:val="21"/>
          <w:szCs w:val="21"/>
        </w:rPr>
        <w:t>)</w:t>
      </w:r>
      <w:r w:rsidRPr="00D518FF">
        <w:rPr>
          <w:rFonts w:ascii="Aptos" w:hAnsi="Aptos" w:cs="Arial"/>
          <w:sz w:val="21"/>
          <w:szCs w:val="21"/>
        </w:rPr>
        <w:t xml:space="preserve">. An explanation </w:t>
      </w:r>
      <w:r w:rsidR="007F77BD">
        <w:rPr>
          <w:rFonts w:ascii="Aptos" w:hAnsi="Aptos" w:cs="Arial"/>
          <w:sz w:val="21"/>
          <w:szCs w:val="21"/>
        </w:rPr>
        <w:t>is</w:t>
      </w:r>
      <w:r w:rsidRPr="00D518FF">
        <w:rPr>
          <w:rFonts w:ascii="Aptos" w:hAnsi="Aptos" w:cs="Arial"/>
          <w:sz w:val="21"/>
          <w:szCs w:val="21"/>
        </w:rPr>
        <w:t xml:space="preserve"> provided as footnotes in the ‘Summary of Findings’ table to support each GRADE assessment. Specifically, decisions and explanations reflect:</w:t>
      </w:r>
    </w:p>
    <w:p w14:paraId="24DE3198" w14:textId="150106B6" w:rsidR="00FB3E60" w:rsidRPr="00D518FF" w:rsidRDefault="00FB3E60" w:rsidP="00FB3E60">
      <w:pPr>
        <w:pStyle w:val="Dotpoints"/>
        <w:numPr>
          <w:ilvl w:val="0"/>
          <w:numId w:val="0"/>
        </w:numPr>
        <w:ind w:left="720" w:hanging="360"/>
        <w:rPr>
          <w:color w:val="C00200"/>
        </w:rPr>
      </w:pPr>
      <w:r w:rsidRPr="00D518FF">
        <w:rPr>
          <w:color w:val="C00200"/>
        </w:rPr>
        <w:t xml:space="preserve">Risk </w:t>
      </w:r>
      <w:r w:rsidRPr="00D518FF">
        <w:rPr>
          <w:color w:val="C00000"/>
        </w:rPr>
        <w:t>of</w:t>
      </w:r>
      <w:r w:rsidRPr="00D518FF">
        <w:rPr>
          <w:color w:val="C00200"/>
        </w:rPr>
        <w:t xml:space="preserve"> bias</w:t>
      </w:r>
      <w:r w:rsidRPr="00D518FF">
        <w:t>, considering:</w:t>
      </w:r>
    </w:p>
    <w:p w14:paraId="6EA57295" w14:textId="55CFBB72" w:rsidR="00F726B5" w:rsidRPr="00D518FF" w:rsidRDefault="000F360A" w:rsidP="003F5774">
      <w:pPr>
        <w:numPr>
          <w:ilvl w:val="1"/>
          <w:numId w:val="18"/>
        </w:numPr>
        <w:spacing w:before="120" w:after="120"/>
        <w:contextualSpacing/>
        <w:rPr>
          <w:rFonts w:ascii="Aptos" w:hAnsi="Aptos" w:cs="Arial"/>
          <w:sz w:val="21"/>
          <w:szCs w:val="21"/>
        </w:rPr>
      </w:pPr>
      <w:r>
        <w:rPr>
          <w:rFonts w:ascii="Aptos" w:hAnsi="Aptos" w:cs="Arial"/>
          <w:sz w:val="21"/>
          <w:szCs w:val="21"/>
        </w:rPr>
        <w:t xml:space="preserve">Risk of bias of </w:t>
      </w:r>
      <w:r w:rsidR="00F726B5" w:rsidRPr="00D518FF">
        <w:rPr>
          <w:rFonts w:ascii="Aptos" w:hAnsi="Aptos" w:cs="Arial"/>
          <w:sz w:val="21"/>
          <w:szCs w:val="21"/>
        </w:rPr>
        <w:t xml:space="preserve">contributing primary studies </w:t>
      </w:r>
      <w:r>
        <w:rPr>
          <w:rFonts w:ascii="Aptos" w:hAnsi="Aptos" w:cs="Arial"/>
          <w:sz w:val="21"/>
          <w:szCs w:val="21"/>
        </w:rPr>
        <w:t>per assessment by review authors</w:t>
      </w:r>
      <w:r w:rsidR="00F1736D" w:rsidRPr="00D518FF">
        <w:rPr>
          <w:rFonts w:ascii="Aptos" w:hAnsi="Aptos" w:cs="Arial"/>
          <w:sz w:val="21"/>
          <w:szCs w:val="21"/>
        </w:rPr>
        <w:t>.</w:t>
      </w:r>
      <w:r w:rsidR="00A668D4">
        <w:rPr>
          <w:rFonts w:ascii="Aptos" w:hAnsi="Aptos" w:cs="Arial"/>
          <w:sz w:val="21"/>
          <w:szCs w:val="21"/>
        </w:rPr>
        <w:t xml:space="preserve"> Generally, </w:t>
      </w:r>
      <w:r w:rsidR="001725AA">
        <w:rPr>
          <w:rFonts w:ascii="Aptos" w:hAnsi="Aptos" w:cs="Arial"/>
          <w:sz w:val="21"/>
          <w:szCs w:val="21"/>
        </w:rPr>
        <w:t xml:space="preserve">“some” or “low” risk of bias concerns for most primary studies </w:t>
      </w:r>
      <w:r w:rsidR="00F214D4">
        <w:rPr>
          <w:rFonts w:ascii="Aptos" w:hAnsi="Aptos" w:cs="Arial"/>
          <w:sz w:val="21"/>
          <w:szCs w:val="21"/>
        </w:rPr>
        <w:t>did not warrant downgrading, however this was assessed on a case-by-case basis.</w:t>
      </w:r>
    </w:p>
    <w:p w14:paraId="48F32EFD" w14:textId="77777777" w:rsidR="00F726B5" w:rsidRPr="00D518FF" w:rsidRDefault="00F726B5" w:rsidP="00F726B5">
      <w:pPr>
        <w:spacing w:before="120" w:after="120"/>
        <w:ind w:left="720" w:hanging="360"/>
        <w:contextualSpacing/>
        <w:rPr>
          <w:rFonts w:ascii="Aptos" w:hAnsi="Aptos" w:cs="Arial"/>
          <w:sz w:val="21"/>
          <w:szCs w:val="21"/>
        </w:rPr>
      </w:pPr>
      <w:r w:rsidRPr="00D518FF">
        <w:rPr>
          <w:rFonts w:ascii="Aptos" w:hAnsi="Aptos" w:cs="Arial"/>
          <w:color w:val="C00200"/>
          <w:sz w:val="21"/>
          <w:szCs w:val="21"/>
        </w:rPr>
        <w:t>Inconsistency</w:t>
      </w:r>
      <w:r w:rsidRPr="00D518FF">
        <w:rPr>
          <w:rFonts w:ascii="Aptos" w:hAnsi="Aptos" w:cs="Arial"/>
          <w:color w:val="000000"/>
          <w:sz w:val="21"/>
          <w:szCs w:val="21"/>
        </w:rPr>
        <w:t>,</w:t>
      </w:r>
      <w:r w:rsidRPr="00D518FF">
        <w:rPr>
          <w:rFonts w:ascii="Aptos" w:hAnsi="Aptos" w:cs="Arial"/>
          <w:sz w:val="21"/>
          <w:szCs w:val="21"/>
        </w:rPr>
        <w:t xml:space="preserve"> considering</w:t>
      </w:r>
      <w:r w:rsidRPr="00D518FF">
        <w:rPr>
          <w:rFonts w:ascii="Aptos" w:hAnsi="Aptos" w:cs="Arial"/>
          <w:color w:val="000000"/>
          <w:sz w:val="21"/>
          <w:szCs w:val="21"/>
        </w:rPr>
        <w:t>:</w:t>
      </w:r>
    </w:p>
    <w:p w14:paraId="345E87E9" w14:textId="3C1D5152" w:rsidR="00F726B5" w:rsidRPr="00D518FF" w:rsidRDefault="00F726B5" w:rsidP="003F5774">
      <w:pPr>
        <w:numPr>
          <w:ilvl w:val="1"/>
          <w:numId w:val="18"/>
        </w:numPr>
        <w:spacing w:before="120" w:after="120"/>
        <w:contextualSpacing/>
        <w:rPr>
          <w:rFonts w:ascii="Aptos" w:hAnsi="Aptos" w:cs="Arial"/>
          <w:sz w:val="21"/>
          <w:szCs w:val="21"/>
        </w:rPr>
      </w:pPr>
      <w:r w:rsidRPr="00D518FF">
        <w:rPr>
          <w:rFonts w:ascii="Aptos" w:hAnsi="Aptos" w:cs="Arial"/>
          <w:sz w:val="21"/>
          <w:szCs w:val="21"/>
        </w:rPr>
        <w:t>The measures used to judge inconsistency (</w:t>
      </w:r>
      <w:r w:rsidR="00E60541">
        <w:rPr>
          <w:rFonts w:ascii="Aptos" w:hAnsi="Aptos" w:cs="Arial"/>
          <w:sz w:val="21"/>
          <w:szCs w:val="21"/>
        </w:rPr>
        <w:t>I²</w:t>
      </w:r>
      <w:r w:rsidRPr="00D518FF">
        <w:rPr>
          <w:rFonts w:ascii="Aptos" w:hAnsi="Aptos" w:cs="Arial"/>
          <w:sz w:val="21"/>
          <w:szCs w:val="21"/>
        </w:rPr>
        <w:t>, Ch</w:t>
      </w:r>
      <w:r w:rsidR="00E60541">
        <w:rPr>
          <w:rFonts w:ascii="Aptos" w:hAnsi="Aptos" w:cs="Arial"/>
          <w:sz w:val="21"/>
          <w:szCs w:val="21"/>
        </w:rPr>
        <w:t>I²</w:t>
      </w:r>
      <w:r w:rsidRPr="00D518FF">
        <w:rPr>
          <w:rFonts w:ascii="Aptos" w:hAnsi="Aptos" w:cs="Arial"/>
          <w:sz w:val="21"/>
          <w:szCs w:val="21"/>
        </w:rPr>
        <w:t>, Tau).</w:t>
      </w:r>
    </w:p>
    <w:p w14:paraId="2990D3FB" w14:textId="6324BC80" w:rsidR="00F726B5" w:rsidRPr="006C14EC" w:rsidRDefault="00F726B5" w:rsidP="003F5774">
      <w:pPr>
        <w:numPr>
          <w:ilvl w:val="1"/>
          <w:numId w:val="18"/>
        </w:numPr>
        <w:spacing w:before="120" w:after="120"/>
        <w:contextualSpacing/>
        <w:rPr>
          <w:rFonts w:ascii="Aptos" w:hAnsi="Aptos" w:cs="Arial"/>
          <w:sz w:val="21"/>
          <w:szCs w:val="21"/>
        </w:rPr>
      </w:pPr>
      <w:r w:rsidRPr="006C14EC">
        <w:rPr>
          <w:rFonts w:ascii="Aptos" w:hAnsi="Aptos" w:cs="Arial"/>
          <w:sz w:val="21"/>
          <w:szCs w:val="21"/>
        </w:rPr>
        <w:t xml:space="preserve">The overlap of confidence intervals, </w:t>
      </w:r>
      <w:r w:rsidR="000309E7" w:rsidRPr="006C14EC">
        <w:rPr>
          <w:rFonts w:ascii="Aptos" w:hAnsi="Aptos" w:cs="Arial"/>
          <w:sz w:val="21"/>
          <w:szCs w:val="21"/>
        </w:rPr>
        <w:t xml:space="preserve">and </w:t>
      </w:r>
      <w:r w:rsidRPr="006C14EC">
        <w:rPr>
          <w:rFonts w:ascii="Aptos" w:hAnsi="Aptos" w:cs="Arial"/>
          <w:sz w:val="21"/>
          <w:szCs w:val="21"/>
        </w:rPr>
        <w:t>similarity of point estimates across included primary studies.</w:t>
      </w:r>
      <w:r w:rsidR="00191FA8" w:rsidRPr="006C14EC">
        <w:rPr>
          <w:rFonts w:ascii="Aptos" w:hAnsi="Aptos" w:cs="Arial"/>
          <w:sz w:val="21"/>
          <w:szCs w:val="21"/>
        </w:rPr>
        <w:t xml:space="preserve"> In reference to the MCID, whether the upper and lower CI bounds would </w:t>
      </w:r>
      <w:r w:rsidR="00B630B8" w:rsidRPr="006C14EC">
        <w:rPr>
          <w:rFonts w:ascii="Aptos" w:hAnsi="Aptos" w:cs="Arial"/>
          <w:sz w:val="21"/>
          <w:szCs w:val="21"/>
        </w:rPr>
        <w:t>have similar or different inferences of effect.</w:t>
      </w:r>
    </w:p>
    <w:p w14:paraId="342111F6" w14:textId="4A643DBC" w:rsidR="00F726B5" w:rsidRPr="006C14EC" w:rsidRDefault="00F726B5" w:rsidP="003F5774">
      <w:pPr>
        <w:numPr>
          <w:ilvl w:val="1"/>
          <w:numId w:val="18"/>
        </w:numPr>
        <w:spacing w:before="120" w:after="120"/>
        <w:contextualSpacing/>
        <w:rPr>
          <w:rFonts w:ascii="Aptos" w:hAnsi="Aptos" w:cs="Arial"/>
          <w:sz w:val="21"/>
          <w:szCs w:val="21"/>
        </w:rPr>
      </w:pPr>
      <w:r w:rsidRPr="006C14EC">
        <w:rPr>
          <w:rFonts w:ascii="Aptos" w:hAnsi="Aptos" w:cs="Arial"/>
          <w:sz w:val="21"/>
          <w:szCs w:val="21"/>
        </w:rPr>
        <w:t xml:space="preserve">Whether heterogeneity was </w:t>
      </w:r>
      <w:r w:rsidR="0023089F" w:rsidRPr="006C14EC">
        <w:rPr>
          <w:rFonts w:ascii="Aptos" w:hAnsi="Aptos" w:cs="Arial"/>
          <w:sz w:val="21"/>
          <w:szCs w:val="21"/>
        </w:rPr>
        <w:t xml:space="preserve">explained by </w:t>
      </w:r>
      <w:r w:rsidRPr="006C14EC">
        <w:rPr>
          <w:rFonts w:ascii="Aptos" w:hAnsi="Aptos" w:cs="Arial"/>
          <w:sz w:val="21"/>
          <w:szCs w:val="21"/>
        </w:rPr>
        <w:t>subgroup analyses by PICO, and reasons for potential heterogeneity.</w:t>
      </w:r>
    </w:p>
    <w:p w14:paraId="73BAD2AC" w14:textId="77777777" w:rsidR="00F726B5" w:rsidRPr="00D518FF" w:rsidRDefault="00F726B5" w:rsidP="00F726B5">
      <w:pPr>
        <w:spacing w:before="120" w:after="120"/>
        <w:ind w:left="720" w:hanging="360"/>
        <w:contextualSpacing/>
        <w:rPr>
          <w:rFonts w:ascii="Aptos" w:hAnsi="Aptos" w:cs="Arial"/>
          <w:color w:val="C00200"/>
          <w:sz w:val="21"/>
          <w:szCs w:val="21"/>
        </w:rPr>
      </w:pPr>
      <w:r w:rsidRPr="00D518FF">
        <w:rPr>
          <w:rFonts w:ascii="Aptos" w:hAnsi="Aptos" w:cs="Arial"/>
          <w:color w:val="C00000"/>
          <w:sz w:val="21"/>
          <w:szCs w:val="21"/>
        </w:rPr>
        <w:t>Imprecision</w:t>
      </w:r>
      <w:r w:rsidRPr="00D518FF">
        <w:rPr>
          <w:rFonts w:ascii="Aptos" w:hAnsi="Aptos" w:cs="Arial"/>
          <w:sz w:val="21"/>
          <w:szCs w:val="21"/>
        </w:rPr>
        <w:t>, considering:</w:t>
      </w:r>
    </w:p>
    <w:p w14:paraId="3E646449" w14:textId="77777777" w:rsidR="00650CC9" w:rsidRDefault="00F726B5" w:rsidP="003F5774">
      <w:pPr>
        <w:numPr>
          <w:ilvl w:val="1"/>
          <w:numId w:val="18"/>
        </w:numPr>
        <w:spacing w:before="120" w:after="120"/>
        <w:contextualSpacing/>
        <w:rPr>
          <w:rFonts w:ascii="Aptos" w:hAnsi="Aptos" w:cs="Arial"/>
          <w:sz w:val="21"/>
          <w:szCs w:val="21"/>
        </w:rPr>
      </w:pPr>
      <w:r w:rsidRPr="00D518FF">
        <w:rPr>
          <w:rFonts w:ascii="Aptos" w:hAnsi="Aptos" w:cs="Arial"/>
          <w:sz w:val="21"/>
          <w:szCs w:val="21"/>
        </w:rPr>
        <w:t>Whether the confidence interval crosse</w:t>
      </w:r>
      <w:r w:rsidR="000F360A">
        <w:rPr>
          <w:rFonts w:ascii="Aptos" w:hAnsi="Aptos" w:cs="Arial"/>
          <w:sz w:val="21"/>
          <w:szCs w:val="21"/>
        </w:rPr>
        <w:t>d</w:t>
      </w:r>
      <w:r w:rsidRPr="00D518FF">
        <w:rPr>
          <w:rFonts w:ascii="Aptos" w:hAnsi="Aptos" w:cs="Arial"/>
          <w:sz w:val="21"/>
          <w:szCs w:val="21"/>
        </w:rPr>
        <w:t xml:space="preserve"> the </w:t>
      </w:r>
      <w:r w:rsidR="000F360A" w:rsidRPr="00D518FF">
        <w:rPr>
          <w:rFonts w:ascii="Aptos" w:hAnsi="Aptos" w:cs="Arial"/>
          <w:sz w:val="21"/>
          <w:szCs w:val="21"/>
        </w:rPr>
        <w:t>threshol</w:t>
      </w:r>
      <w:r w:rsidR="000F360A">
        <w:rPr>
          <w:rFonts w:ascii="Aptos" w:hAnsi="Aptos" w:cs="Arial"/>
          <w:sz w:val="21"/>
          <w:szCs w:val="21"/>
        </w:rPr>
        <w:t>d</w:t>
      </w:r>
      <w:r w:rsidR="000F360A" w:rsidRPr="00D518FF">
        <w:rPr>
          <w:rFonts w:ascii="Aptos" w:hAnsi="Aptos" w:cs="Arial"/>
          <w:sz w:val="21"/>
          <w:szCs w:val="21"/>
        </w:rPr>
        <w:t>s</w:t>
      </w:r>
      <w:r w:rsidRPr="00D518FF">
        <w:rPr>
          <w:rFonts w:ascii="Aptos" w:hAnsi="Aptos" w:cs="Arial"/>
          <w:sz w:val="21"/>
          <w:szCs w:val="21"/>
        </w:rPr>
        <w:t xml:space="preserve"> for an important difference </w:t>
      </w:r>
      <w:r w:rsidR="00C172B6" w:rsidRPr="00C172B6">
        <w:rPr>
          <w:rFonts w:ascii="Aptos" w:hAnsi="Aptos" w:cs="Arial"/>
          <w:sz w:val="21"/>
          <w:szCs w:val="21"/>
          <w:lang w:val="en-GB"/>
        </w:rPr>
        <w:t xml:space="preserve">in relation to a minimal clinically important threshold </w:t>
      </w:r>
      <w:r w:rsidRPr="00D518FF">
        <w:rPr>
          <w:rFonts w:ascii="Aptos" w:hAnsi="Aptos" w:cs="Arial"/>
          <w:sz w:val="21"/>
          <w:szCs w:val="21"/>
        </w:rPr>
        <w:t xml:space="preserve">(i.e. if CI is compatible with </w:t>
      </w:r>
      <w:r w:rsidRPr="00D518FF">
        <w:rPr>
          <w:rFonts w:ascii="Aptos" w:hAnsi="Aptos" w:cs="Arial"/>
          <w:sz w:val="21"/>
          <w:szCs w:val="21"/>
        </w:rPr>
        <w:lastRenderedPageBreak/>
        <w:t>appreciable benefit and little or no difference suggesting serious imprecision, appreciable benefit and appreciable harm suggesting very serious imprecision).</w:t>
      </w:r>
    </w:p>
    <w:p w14:paraId="2E3B1113" w14:textId="5F9B0586" w:rsidR="00F726B5" w:rsidRPr="00D518FF" w:rsidRDefault="00DE2180" w:rsidP="003F5774">
      <w:pPr>
        <w:numPr>
          <w:ilvl w:val="1"/>
          <w:numId w:val="18"/>
        </w:numPr>
        <w:spacing w:before="120" w:after="120"/>
        <w:contextualSpacing/>
        <w:rPr>
          <w:rFonts w:ascii="Aptos" w:hAnsi="Aptos" w:cs="Arial"/>
          <w:sz w:val="21"/>
          <w:szCs w:val="21"/>
        </w:rPr>
      </w:pPr>
      <w:r>
        <w:rPr>
          <w:rFonts w:ascii="Aptos" w:hAnsi="Aptos" w:cs="Arial"/>
          <w:sz w:val="21"/>
          <w:szCs w:val="21"/>
          <w:lang w:val="en-GB"/>
        </w:rPr>
        <w:t>Based on updated GRADE guidance, o</w:t>
      </w:r>
      <w:r w:rsidR="00650CC9" w:rsidRPr="00650CC9">
        <w:rPr>
          <w:rFonts w:ascii="Aptos" w:hAnsi="Aptos" w:cs="Arial"/>
          <w:sz w:val="21"/>
          <w:szCs w:val="21"/>
          <w:lang w:val="en-GB"/>
        </w:rPr>
        <w:t xml:space="preserve">ptimal information size (OIS) </w:t>
      </w:r>
      <w:r w:rsidR="00650CC9">
        <w:rPr>
          <w:rFonts w:ascii="Aptos" w:hAnsi="Aptos" w:cs="Arial"/>
          <w:sz w:val="21"/>
          <w:szCs w:val="21"/>
          <w:lang w:val="en-GB"/>
        </w:rPr>
        <w:t>was considered</w:t>
      </w:r>
      <w:r w:rsidR="00650CC9" w:rsidRPr="00650CC9">
        <w:rPr>
          <w:rFonts w:ascii="Aptos" w:hAnsi="Aptos" w:cs="Arial"/>
          <w:sz w:val="21"/>
          <w:szCs w:val="21"/>
          <w:lang w:val="en-GB"/>
        </w:rPr>
        <w:t xml:space="preserve"> if thresholds were not available, </w:t>
      </w:r>
      <w:r w:rsidR="009822D0">
        <w:rPr>
          <w:rFonts w:ascii="Aptos" w:hAnsi="Aptos" w:cs="Arial"/>
          <w:sz w:val="21"/>
          <w:szCs w:val="21"/>
        </w:rPr>
        <w:t xml:space="preserve">or the effect is large, the </w:t>
      </w:r>
      <w:r w:rsidR="009822D0" w:rsidRPr="009822D0">
        <w:rPr>
          <w:rFonts w:ascii="Aptos" w:hAnsi="Aptos" w:cs="Arial"/>
          <w:sz w:val="21"/>
          <w:szCs w:val="21"/>
        </w:rPr>
        <w:t xml:space="preserve">CI does not overlap with the threshold(s) of interest and </w:t>
      </w:r>
      <w:r w:rsidR="009822D0">
        <w:rPr>
          <w:rFonts w:ascii="Aptos" w:hAnsi="Aptos" w:cs="Arial"/>
          <w:sz w:val="21"/>
          <w:szCs w:val="21"/>
        </w:rPr>
        <w:t>the results may be considered by</w:t>
      </w:r>
      <w:r w:rsidR="009822D0" w:rsidRPr="009822D0">
        <w:rPr>
          <w:rFonts w:ascii="Aptos" w:hAnsi="Aptos" w:cs="Arial"/>
          <w:sz w:val="21"/>
          <w:szCs w:val="21"/>
        </w:rPr>
        <w:t xml:space="preserve"> the</w:t>
      </w:r>
      <w:r w:rsidR="009822D0">
        <w:rPr>
          <w:rFonts w:ascii="Aptos" w:hAnsi="Aptos" w:cs="Arial"/>
          <w:sz w:val="21"/>
          <w:szCs w:val="21"/>
        </w:rPr>
        <w:t xml:space="preserve"> overview</w:t>
      </w:r>
      <w:r w:rsidR="009822D0" w:rsidRPr="009822D0">
        <w:rPr>
          <w:rFonts w:ascii="Aptos" w:hAnsi="Aptos" w:cs="Arial"/>
          <w:sz w:val="21"/>
          <w:szCs w:val="21"/>
        </w:rPr>
        <w:t xml:space="preserve"> authors </w:t>
      </w:r>
      <w:r w:rsidR="009822D0">
        <w:rPr>
          <w:rFonts w:ascii="Aptos" w:hAnsi="Aptos" w:cs="Arial"/>
          <w:sz w:val="21"/>
          <w:szCs w:val="21"/>
        </w:rPr>
        <w:t xml:space="preserve">as </w:t>
      </w:r>
      <w:r w:rsidR="009822D0" w:rsidRPr="009822D0">
        <w:rPr>
          <w:rFonts w:ascii="Aptos" w:hAnsi="Aptos" w:cs="Arial"/>
          <w:sz w:val="21"/>
          <w:szCs w:val="21"/>
        </w:rPr>
        <w:t>implausible</w:t>
      </w:r>
      <w:r>
        <w:rPr>
          <w:rFonts w:ascii="Aptos" w:hAnsi="Aptos" w:cs="Arial"/>
          <w:sz w:val="21"/>
          <w:szCs w:val="21"/>
        </w:rPr>
        <w:t xml:space="preserve"> </w:t>
      </w:r>
      <w:r w:rsidR="00397A8C">
        <w:rPr>
          <w:rFonts w:ascii="Aptos" w:hAnsi="Aptos" w:cs="Arial"/>
          <w:sz w:val="21"/>
          <w:szCs w:val="21"/>
        </w:rPr>
        <w:t>(1</w:t>
      </w:r>
      <w:r w:rsidR="00D42170">
        <w:rPr>
          <w:rFonts w:ascii="Aptos" w:hAnsi="Aptos" w:cs="Arial"/>
          <w:sz w:val="21"/>
          <w:szCs w:val="21"/>
        </w:rPr>
        <w:t>0</w:t>
      </w:r>
      <w:r w:rsidR="00397A8C">
        <w:rPr>
          <w:rFonts w:ascii="Aptos" w:hAnsi="Aptos" w:cs="Arial"/>
          <w:sz w:val="21"/>
          <w:szCs w:val="21"/>
        </w:rPr>
        <w:t>)</w:t>
      </w:r>
      <w:r w:rsidR="009822D0">
        <w:rPr>
          <w:rFonts w:ascii="Aptos" w:hAnsi="Aptos" w:cs="Arial"/>
          <w:sz w:val="21"/>
          <w:szCs w:val="21"/>
        </w:rPr>
        <w:t xml:space="preserve">. </w:t>
      </w:r>
    </w:p>
    <w:p w14:paraId="2B0AC931" w14:textId="4A69D6D6" w:rsidR="00F726B5" w:rsidRPr="00D518FF" w:rsidRDefault="00F726B5" w:rsidP="00F726B5">
      <w:pPr>
        <w:spacing w:before="120" w:after="120"/>
        <w:ind w:left="720" w:hanging="360"/>
        <w:contextualSpacing/>
        <w:rPr>
          <w:rFonts w:ascii="Aptos" w:hAnsi="Aptos" w:cs="Arial"/>
          <w:sz w:val="21"/>
          <w:szCs w:val="21"/>
        </w:rPr>
      </w:pPr>
      <w:r w:rsidRPr="00D518FF">
        <w:rPr>
          <w:rFonts w:ascii="Aptos" w:hAnsi="Aptos" w:cs="Arial"/>
          <w:color w:val="C00200"/>
          <w:sz w:val="21"/>
          <w:szCs w:val="21"/>
        </w:rPr>
        <w:t>Indirectness</w:t>
      </w:r>
      <w:r w:rsidR="009B04FB">
        <w:rPr>
          <w:rFonts w:ascii="Aptos" w:hAnsi="Aptos" w:cs="Arial"/>
          <w:color w:val="C00200"/>
          <w:sz w:val="21"/>
          <w:szCs w:val="21"/>
        </w:rPr>
        <w:t>, considering:</w:t>
      </w:r>
    </w:p>
    <w:p w14:paraId="15D7397B" w14:textId="20D81D99" w:rsidR="00C5121B" w:rsidRPr="000E4101" w:rsidRDefault="00F726B5" w:rsidP="000E4101">
      <w:pPr>
        <w:numPr>
          <w:ilvl w:val="1"/>
          <w:numId w:val="18"/>
        </w:numPr>
        <w:spacing w:before="120" w:after="120"/>
        <w:contextualSpacing/>
        <w:rPr>
          <w:rFonts w:ascii="Aptos" w:hAnsi="Aptos" w:cs="Arial"/>
          <w:sz w:val="21"/>
          <w:szCs w:val="21"/>
        </w:rPr>
      </w:pPr>
      <w:r w:rsidRPr="00D518FF">
        <w:rPr>
          <w:rFonts w:ascii="Aptos" w:hAnsi="Aptos" w:cs="Arial"/>
          <w:sz w:val="21"/>
          <w:szCs w:val="21"/>
        </w:rPr>
        <w:t>How closely the research questions of the primary studies address the overview PICO.</w:t>
      </w:r>
    </w:p>
    <w:p w14:paraId="2484FDF7" w14:textId="6975CD26" w:rsidR="00F726B5" w:rsidRPr="00D518FF" w:rsidRDefault="00F726B5" w:rsidP="00F726B5">
      <w:pPr>
        <w:spacing w:before="120" w:after="120"/>
        <w:ind w:left="720" w:hanging="360"/>
        <w:contextualSpacing/>
        <w:rPr>
          <w:rFonts w:ascii="Aptos" w:hAnsi="Aptos" w:cs="Arial"/>
          <w:sz w:val="21"/>
          <w:szCs w:val="21"/>
        </w:rPr>
      </w:pPr>
      <w:r w:rsidRPr="00D518FF">
        <w:rPr>
          <w:rFonts w:ascii="Aptos" w:hAnsi="Aptos" w:cs="Arial"/>
          <w:color w:val="C00000"/>
          <w:sz w:val="21"/>
          <w:szCs w:val="21"/>
        </w:rPr>
        <w:t>Publication</w:t>
      </w:r>
      <w:r w:rsidRPr="00D518FF">
        <w:rPr>
          <w:rFonts w:ascii="Aptos" w:hAnsi="Aptos" w:cs="Arial"/>
          <w:color w:val="C00200"/>
          <w:sz w:val="21"/>
          <w:szCs w:val="21"/>
        </w:rPr>
        <w:t xml:space="preserve"> bias</w:t>
      </w:r>
      <w:r w:rsidRPr="00D518FF">
        <w:rPr>
          <w:rFonts w:ascii="Aptos" w:hAnsi="Aptos" w:cs="Arial"/>
          <w:sz w:val="21"/>
          <w:szCs w:val="21"/>
        </w:rPr>
        <w:t xml:space="preserve">, considering (see </w:t>
      </w:r>
      <w:r w:rsidR="005F6BEF">
        <w:rPr>
          <w:rFonts w:ascii="Aptos" w:hAnsi="Aptos" w:cs="Arial"/>
          <w:sz w:val="21"/>
          <w:szCs w:val="21"/>
        </w:rPr>
        <w:t>Appendix B3.3</w:t>
      </w:r>
      <w:r w:rsidRPr="00D518FF">
        <w:rPr>
          <w:rFonts w:ascii="Aptos" w:hAnsi="Aptos" w:cs="Arial"/>
          <w:sz w:val="21"/>
          <w:szCs w:val="21"/>
        </w:rPr>
        <w:t>):</w:t>
      </w:r>
    </w:p>
    <w:p w14:paraId="1D0FBD48" w14:textId="0F7C3BAD" w:rsidR="00F726B5" w:rsidRPr="00D518FF" w:rsidRDefault="00F726B5" w:rsidP="003F5774">
      <w:pPr>
        <w:numPr>
          <w:ilvl w:val="1"/>
          <w:numId w:val="18"/>
        </w:numPr>
        <w:spacing w:before="120" w:after="120"/>
        <w:contextualSpacing/>
        <w:rPr>
          <w:rFonts w:ascii="Aptos" w:hAnsi="Aptos" w:cs="Arial"/>
          <w:sz w:val="21"/>
          <w:szCs w:val="21"/>
        </w:rPr>
      </w:pPr>
      <w:r w:rsidRPr="00D518FF">
        <w:rPr>
          <w:rFonts w:ascii="Aptos" w:hAnsi="Aptos" w:cs="Arial"/>
          <w:sz w:val="21"/>
          <w:szCs w:val="21"/>
        </w:rPr>
        <w:t xml:space="preserve">Whether </w:t>
      </w:r>
      <w:r w:rsidR="004A0F57">
        <w:rPr>
          <w:rFonts w:ascii="Aptos" w:hAnsi="Aptos" w:cs="Arial"/>
          <w:sz w:val="21"/>
          <w:szCs w:val="21"/>
        </w:rPr>
        <w:t xml:space="preserve">there is evidence of </w:t>
      </w:r>
      <w:r w:rsidRPr="00D518FF">
        <w:rPr>
          <w:rFonts w:ascii="Aptos" w:hAnsi="Aptos" w:cs="Arial"/>
          <w:sz w:val="21"/>
          <w:szCs w:val="21"/>
        </w:rPr>
        <w:t>publication and reporting bias</w:t>
      </w:r>
      <w:r w:rsidR="004A0F57">
        <w:rPr>
          <w:rFonts w:ascii="Aptos" w:hAnsi="Aptos" w:cs="Arial"/>
          <w:sz w:val="21"/>
          <w:szCs w:val="21"/>
        </w:rPr>
        <w:t>.</w:t>
      </w:r>
    </w:p>
    <w:p w14:paraId="40DC9179" w14:textId="6CFE0200" w:rsidR="00D518FF" w:rsidRPr="007B4923" w:rsidRDefault="00F726B5" w:rsidP="00E77295">
      <w:pPr>
        <w:numPr>
          <w:ilvl w:val="1"/>
          <w:numId w:val="18"/>
        </w:numPr>
        <w:spacing w:before="120" w:after="120"/>
        <w:contextualSpacing/>
        <w:rPr>
          <w:rFonts w:ascii="Aptos" w:hAnsi="Aptos" w:cs="Arial"/>
          <w:sz w:val="21"/>
          <w:szCs w:val="21"/>
        </w:rPr>
      </w:pPr>
      <w:r w:rsidRPr="00D518FF">
        <w:rPr>
          <w:rFonts w:ascii="Aptos" w:hAnsi="Aptos" w:cs="Arial"/>
          <w:sz w:val="21"/>
          <w:szCs w:val="21"/>
        </w:rPr>
        <w:t>Whether systematic review authors reported on pre-specified outcomes (from protocols or registers) along with rationale for any changes, and whether these may impact selective reporting.</w:t>
      </w:r>
      <w:r w:rsidR="00C5121B">
        <w:rPr>
          <w:rFonts w:ascii="Aptos" w:hAnsi="Aptos" w:cs="Arial"/>
          <w:sz w:val="21"/>
          <w:szCs w:val="21"/>
        </w:rPr>
        <w:br/>
      </w:r>
    </w:p>
    <w:p w14:paraId="4C79F5BD" w14:textId="08C75535" w:rsidR="00585304" w:rsidRPr="00585304" w:rsidRDefault="00220D5E" w:rsidP="00585304">
      <w:pPr>
        <w:spacing w:before="120" w:after="120"/>
        <w:rPr>
          <w:rFonts w:ascii="Aptos" w:hAnsi="Aptos" w:cs="Arial"/>
          <w:sz w:val="21"/>
          <w:szCs w:val="21"/>
        </w:rPr>
      </w:pPr>
      <w:r>
        <w:rPr>
          <w:rFonts w:ascii="Aptos" w:hAnsi="Aptos" w:cs="Arial"/>
          <w:sz w:val="21"/>
          <w:szCs w:val="21"/>
        </w:rPr>
        <w:t xml:space="preserve">Given that </w:t>
      </w:r>
      <w:r w:rsidR="00585304">
        <w:rPr>
          <w:rFonts w:ascii="Aptos" w:hAnsi="Aptos" w:cs="Arial"/>
          <w:sz w:val="21"/>
          <w:szCs w:val="21"/>
        </w:rPr>
        <w:t>some</w:t>
      </w:r>
      <w:r>
        <w:rPr>
          <w:rFonts w:ascii="Aptos" w:hAnsi="Aptos" w:cs="Arial"/>
          <w:sz w:val="21"/>
          <w:szCs w:val="21"/>
        </w:rPr>
        <w:t xml:space="preserve"> of the included and preferred reviews </w:t>
      </w:r>
      <w:r w:rsidR="00585304">
        <w:rPr>
          <w:rFonts w:ascii="Aptos" w:hAnsi="Aptos" w:cs="Arial"/>
          <w:sz w:val="21"/>
          <w:szCs w:val="21"/>
        </w:rPr>
        <w:t>did not present effect sizes</w:t>
      </w:r>
      <w:r w:rsidR="009509CC">
        <w:rPr>
          <w:rFonts w:ascii="Aptos" w:hAnsi="Aptos" w:cs="Arial"/>
          <w:sz w:val="21"/>
          <w:szCs w:val="21"/>
        </w:rPr>
        <w:t xml:space="preserve"> (i.e. did not use meta-analysis or used narrative synthesis), </w:t>
      </w:r>
      <w:r w:rsidR="00585304">
        <w:rPr>
          <w:rFonts w:ascii="Aptos" w:hAnsi="Aptos" w:cs="Arial"/>
          <w:sz w:val="21"/>
          <w:szCs w:val="21"/>
        </w:rPr>
        <w:t>guidance for r</w:t>
      </w:r>
      <w:r w:rsidR="00585304" w:rsidRPr="00585304">
        <w:rPr>
          <w:rFonts w:ascii="Aptos" w:hAnsi="Aptos" w:cs="Arial"/>
          <w:sz w:val="21"/>
          <w:szCs w:val="21"/>
        </w:rPr>
        <w:t xml:space="preserve">ating the certainty </w:t>
      </w:r>
      <w:r w:rsidR="00585304">
        <w:rPr>
          <w:rFonts w:ascii="Aptos" w:hAnsi="Aptos" w:cs="Arial"/>
          <w:sz w:val="21"/>
          <w:szCs w:val="21"/>
        </w:rPr>
        <w:t>of</w:t>
      </w:r>
      <w:r w:rsidR="00585304" w:rsidRPr="00585304">
        <w:rPr>
          <w:rFonts w:ascii="Aptos" w:hAnsi="Aptos" w:cs="Arial"/>
          <w:sz w:val="21"/>
          <w:szCs w:val="21"/>
        </w:rPr>
        <w:t xml:space="preserve"> evidence in the absence of a single estimate of effect</w:t>
      </w:r>
      <w:r w:rsidR="00585304">
        <w:rPr>
          <w:rFonts w:ascii="Aptos" w:hAnsi="Aptos" w:cs="Arial"/>
          <w:sz w:val="21"/>
          <w:szCs w:val="21"/>
        </w:rPr>
        <w:t xml:space="preserve"> was used</w:t>
      </w:r>
      <w:r w:rsidR="009509CC">
        <w:rPr>
          <w:rFonts w:ascii="Aptos" w:hAnsi="Aptos" w:cs="Arial"/>
          <w:sz w:val="21"/>
          <w:szCs w:val="21"/>
        </w:rPr>
        <w:t xml:space="preserve"> </w:t>
      </w:r>
      <w:r w:rsidR="00397A8C">
        <w:rPr>
          <w:rFonts w:ascii="Aptos" w:hAnsi="Aptos" w:cs="Arial"/>
          <w:sz w:val="21"/>
          <w:szCs w:val="21"/>
        </w:rPr>
        <w:t>(1</w:t>
      </w:r>
      <w:r w:rsidR="00D42170">
        <w:rPr>
          <w:rFonts w:ascii="Aptos" w:hAnsi="Aptos" w:cs="Arial"/>
          <w:sz w:val="21"/>
          <w:szCs w:val="21"/>
        </w:rPr>
        <w:t>1</w:t>
      </w:r>
      <w:r w:rsidR="00397A8C">
        <w:rPr>
          <w:rFonts w:ascii="Aptos" w:hAnsi="Aptos" w:cs="Arial"/>
          <w:sz w:val="21"/>
          <w:szCs w:val="21"/>
        </w:rPr>
        <w:t>)</w:t>
      </w:r>
      <w:r w:rsidR="00585304">
        <w:rPr>
          <w:rFonts w:ascii="Aptos" w:hAnsi="Aptos" w:cs="Arial"/>
          <w:sz w:val="21"/>
          <w:szCs w:val="21"/>
        </w:rPr>
        <w:t>.</w:t>
      </w:r>
    </w:p>
    <w:p w14:paraId="63A3F510" w14:textId="3166B6A7" w:rsidR="00F726B5" w:rsidRPr="00D518FF" w:rsidRDefault="00F726B5" w:rsidP="00F726B5">
      <w:pPr>
        <w:spacing w:before="120" w:after="120"/>
        <w:rPr>
          <w:rFonts w:ascii="Aptos" w:hAnsi="Aptos" w:cs="Arial"/>
          <w:sz w:val="21"/>
          <w:szCs w:val="21"/>
        </w:rPr>
      </w:pPr>
      <w:r w:rsidRPr="00D518FF">
        <w:rPr>
          <w:rFonts w:ascii="Aptos" w:hAnsi="Aptos" w:cs="Arial"/>
          <w:sz w:val="21"/>
          <w:szCs w:val="21"/>
        </w:rPr>
        <w:t xml:space="preserve">Using the GRADE assessment approach, certainty </w:t>
      </w:r>
      <w:r w:rsidR="00E15460">
        <w:rPr>
          <w:rFonts w:ascii="Aptos" w:hAnsi="Aptos" w:cs="Arial"/>
          <w:sz w:val="21"/>
          <w:szCs w:val="21"/>
        </w:rPr>
        <w:t>is</w:t>
      </w:r>
      <w:r w:rsidRPr="00D518FF">
        <w:rPr>
          <w:rFonts w:ascii="Aptos" w:hAnsi="Aptos" w:cs="Arial"/>
          <w:sz w:val="21"/>
          <w:szCs w:val="21"/>
        </w:rPr>
        <w:t xml:space="preserve"> rated as:</w:t>
      </w:r>
    </w:p>
    <w:p w14:paraId="0F16F2A8" w14:textId="13D18BF6" w:rsidR="00733850" w:rsidRPr="00AF309C" w:rsidRDefault="00733850" w:rsidP="00733850">
      <w:pPr>
        <w:spacing w:before="120" w:after="120"/>
        <w:ind w:left="720" w:hanging="360"/>
        <w:contextualSpacing/>
        <w:rPr>
          <w:rFonts w:ascii="Aptos" w:hAnsi="Aptos" w:cs="Arial"/>
          <w:sz w:val="22"/>
          <w:szCs w:val="22"/>
        </w:rPr>
      </w:pPr>
      <w:r w:rsidRPr="00D518FF">
        <w:rPr>
          <w:rFonts w:ascii="Aptos" w:hAnsi="Aptos" w:cs="Arial"/>
          <w:sz w:val="21"/>
          <w:szCs w:val="21"/>
        </w:rPr>
        <w:t xml:space="preserve">High </w:t>
      </w:r>
      <w:r w:rsidRPr="00AF309C">
        <w:rPr>
          <w:rFonts w:ascii="Aptos" w:hAnsi="Aptos" w:cs="Arial"/>
          <w:sz w:val="22"/>
          <w:szCs w:val="22"/>
        </w:rPr>
        <w:t>(</w:t>
      </w:r>
      <w:r w:rsidRPr="00AF309C">
        <w:rPr>
          <w:rFonts w:ascii="Cambria Math" w:hAnsi="Cambria Math" w:cs="Cambria Math"/>
          <w:sz w:val="22"/>
          <w:szCs w:val="22"/>
        </w:rPr>
        <w:t>⊕⊕⊕⊕</w:t>
      </w:r>
      <w:r w:rsidRPr="00AF309C">
        <w:rPr>
          <w:rFonts w:ascii="Aptos" w:hAnsi="Aptos" w:cs="Arial"/>
          <w:sz w:val="22"/>
          <w:szCs w:val="22"/>
        </w:rPr>
        <w:t xml:space="preserve">): </w:t>
      </w:r>
      <w:r w:rsidR="005D740F" w:rsidRPr="00AF309C">
        <w:rPr>
          <w:rStyle w:val="cf01"/>
          <w:rFonts w:ascii="Aptos" w:hAnsi="Aptos"/>
          <w:sz w:val="22"/>
          <w:szCs w:val="22"/>
        </w:rPr>
        <w:t>the authors have a lot of confidence that the true effect is similar to the estimated effect</w:t>
      </w:r>
      <w:r w:rsidRPr="00AF309C">
        <w:rPr>
          <w:rFonts w:ascii="Aptos" w:hAnsi="Aptos" w:cs="Arial"/>
          <w:sz w:val="22"/>
          <w:szCs w:val="22"/>
        </w:rPr>
        <w:t>.</w:t>
      </w:r>
    </w:p>
    <w:p w14:paraId="6590DDCC" w14:textId="5A839CAF" w:rsidR="00733850" w:rsidRPr="005F6BEF" w:rsidRDefault="00733850" w:rsidP="00733850">
      <w:pPr>
        <w:spacing w:before="120" w:after="120"/>
        <w:ind w:left="720" w:hanging="360"/>
        <w:contextualSpacing/>
        <w:rPr>
          <w:rFonts w:ascii="Aptos" w:hAnsi="Aptos" w:cs="Arial"/>
          <w:sz w:val="22"/>
          <w:szCs w:val="22"/>
        </w:rPr>
      </w:pPr>
      <w:r w:rsidRPr="00AF309C">
        <w:rPr>
          <w:rFonts w:ascii="Aptos" w:hAnsi="Aptos" w:cs="Arial"/>
          <w:sz w:val="22"/>
          <w:szCs w:val="22"/>
        </w:rPr>
        <w:t>Moderate (</w:t>
      </w:r>
      <w:r w:rsidRPr="00AF309C">
        <w:rPr>
          <w:rFonts w:ascii="Cambria Math" w:hAnsi="Cambria Math" w:cs="Cambria Math"/>
          <w:sz w:val="22"/>
          <w:szCs w:val="22"/>
        </w:rPr>
        <w:t>⊕⊕⊕⊝</w:t>
      </w:r>
      <w:r w:rsidRPr="00AF309C">
        <w:rPr>
          <w:rFonts w:ascii="Aptos" w:hAnsi="Aptos" w:cs="Arial"/>
          <w:sz w:val="22"/>
          <w:szCs w:val="22"/>
        </w:rPr>
        <w:t xml:space="preserve">): </w:t>
      </w:r>
      <w:r w:rsidR="005D740F" w:rsidRPr="00AF309C">
        <w:rPr>
          <w:rStyle w:val="cf01"/>
          <w:rFonts w:ascii="Aptos" w:hAnsi="Aptos"/>
          <w:sz w:val="22"/>
          <w:szCs w:val="22"/>
        </w:rPr>
        <w:t>the true effect is probably close to the estimated effect</w:t>
      </w:r>
      <w:r w:rsidRPr="005F6BEF">
        <w:rPr>
          <w:rFonts w:ascii="Aptos" w:hAnsi="Aptos" w:cs="Arial"/>
          <w:sz w:val="22"/>
          <w:szCs w:val="22"/>
        </w:rPr>
        <w:t>.</w:t>
      </w:r>
    </w:p>
    <w:p w14:paraId="39FED9F9" w14:textId="7966AC5B" w:rsidR="00733850" w:rsidRPr="00D518FF" w:rsidRDefault="00733850" w:rsidP="00733850">
      <w:pPr>
        <w:spacing w:before="120" w:after="120"/>
        <w:ind w:left="720" w:hanging="360"/>
        <w:contextualSpacing/>
        <w:rPr>
          <w:rFonts w:ascii="Aptos" w:hAnsi="Aptos" w:cs="Arial"/>
          <w:sz w:val="21"/>
          <w:szCs w:val="21"/>
        </w:rPr>
      </w:pPr>
      <w:r w:rsidRPr="00D518FF">
        <w:rPr>
          <w:rFonts w:ascii="Aptos" w:hAnsi="Aptos" w:cs="Arial"/>
          <w:sz w:val="21"/>
          <w:szCs w:val="21"/>
        </w:rPr>
        <w:t>Low (</w:t>
      </w:r>
      <w:r w:rsidRPr="00D518FF">
        <w:rPr>
          <w:rFonts w:ascii="Cambria Math" w:hAnsi="Cambria Math" w:cs="Cambria Math"/>
          <w:sz w:val="21"/>
          <w:szCs w:val="21"/>
        </w:rPr>
        <w:t>⊕⊕⊝⊝</w:t>
      </w:r>
      <w:r w:rsidRPr="00D518FF">
        <w:rPr>
          <w:rFonts w:ascii="Aptos" w:hAnsi="Aptos" w:cs="Arial"/>
          <w:sz w:val="21"/>
          <w:szCs w:val="21"/>
        </w:rPr>
        <w:t xml:space="preserve">): the true effect </w:t>
      </w:r>
      <w:r w:rsidR="00C42BA0">
        <w:rPr>
          <w:rFonts w:ascii="Aptos" w:hAnsi="Aptos" w:cs="Arial"/>
          <w:sz w:val="21"/>
          <w:szCs w:val="21"/>
        </w:rPr>
        <w:t>may</w:t>
      </w:r>
      <w:r w:rsidRPr="00D518FF">
        <w:rPr>
          <w:rFonts w:ascii="Aptos" w:hAnsi="Aptos" w:cs="Arial"/>
          <w:sz w:val="21"/>
          <w:szCs w:val="21"/>
        </w:rPr>
        <w:t xml:space="preserve"> be </w:t>
      </w:r>
      <w:r w:rsidR="00C42BA0">
        <w:rPr>
          <w:rFonts w:ascii="Aptos" w:hAnsi="Aptos" w:cs="Arial"/>
          <w:sz w:val="21"/>
          <w:szCs w:val="21"/>
        </w:rPr>
        <w:t>very</w:t>
      </w:r>
      <w:r w:rsidRPr="00D518FF">
        <w:rPr>
          <w:rFonts w:ascii="Aptos" w:hAnsi="Aptos" w:cs="Arial"/>
          <w:sz w:val="21"/>
          <w:szCs w:val="21"/>
        </w:rPr>
        <w:t xml:space="preserve"> different from the estimated effect.</w:t>
      </w:r>
    </w:p>
    <w:p w14:paraId="23FD5363" w14:textId="77777777" w:rsidR="00F726B5" w:rsidRDefault="00F726B5" w:rsidP="00F726B5">
      <w:pPr>
        <w:spacing w:before="120" w:after="120"/>
        <w:ind w:left="720" w:hanging="360"/>
        <w:contextualSpacing/>
        <w:rPr>
          <w:rFonts w:ascii="Aptos" w:hAnsi="Aptos" w:cs="Arial"/>
          <w:sz w:val="21"/>
          <w:szCs w:val="21"/>
        </w:rPr>
      </w:pPr>
      <w:r w:rsidRPr="00D518FF">
        <w:rPr>
          <w:rFonts w:ascii="Aptos" w:hAnsi="Aptos" w:cs="Arial"/>
          <w:sz w:val="21"/>
          <w:szCs w:val="21"/>
        </w:rPr>
        <w:t>Very low (</w:t>
      </w:r>
      <w:r w:rsidRPr="00D518FF">
        <w:rPr>
          <w:rFonts w:ascii="Cambria Math" w:hAnsi="Cambria Math" w:cs="Cambria Math"/>
          <w:sz w:val="21"/>
          <w:szCs w:val="21"/>
        </w:rPr>
        <w:t>⊕⊝⊝⊝</w:t>
      </w:r>
      <w:r w:rsidRPr="00D518FF">
        <w:rPr>
          <w:rFonts w:ascii="Aptos" w:hAnsi="Aptos" w:cs="Arial"/>
          <w:sz w:val="21"/>
          <w:szCs w:val="21"/>
        </w:rPr>
        <w:t>): the true effect is probably markedly different from the estimated effect.</w:t>
      </w:r>
    </w:p>
    <w:p w14:paraId="07A66DF5" w14:textId="77777777" w:rsidR="005F6BEF" w:rsidRPr="00D518FF" w:rsidRDefault="005F6BEF" w:rsidP="00F726B5">
      <w:pPr>
        <w:spacing w:before="120" w:after="120"/>
        <w:ind w:left="720" w:hanging="360"/>
        <w:contextualSpacing/>
        <w:rPr>
          <w:rFonts w:ascii="Aptos" w:hAnsi="Aptos" w:cs="Arial"/>
          <w:sz w:val="21"/>
          <w:szCs w:val="21"/>
        </w:rPr>
      </w:pPr>
    </w:p>
    <w:p w14:paraId="1081D21E" w14:textId="4A351E3C" w:rsidR="007B4923" w:rsidRDefault="005F6BEF" w:rsidP="00F726B5">
      <w:pPr>
        <w:spacing w:before="120" w:after="120"/>
        <w:rPr>
          <w:rFonts w:ascii="Aptos" w:hAnsi="Aptos" w:cs="Arial"/>
          <w:sz w:val="21"/>
          <w:szCs w:val="21"/>
        </w:rPr>
      </w:pPr>
      <w:bookmarkStart w:id="102" w:name="_Hlk112147549"/>
      <w:r>
        <w:rPr>
          <w:rFonts w:ascii="Aptos" w:hAnsi="Aptos" w:cs="Arial"/>
          <w:sz w:val="21"/>
          <w:szCs w:val="21"/>
        </w:rPr>
        <w:t>Results</w:t>
      </w:r>
      <w:r w:rsidRPr="00D518FF">
        <w:rPr>
          <w:rFonts w:ascii="Aptos" w:hAnsi="Aptos" w:cs="Arial"/>
          <w:sz w:val="21"/>
          <w:szCs w:val="21"/>
        </w:rPr>
        <w:t xml:space="preserve"> </w:t>
      </w:r>
      <w:r w:rsidR="00F726B5" w:rsidRPr="00D518FF">
        <w:rPr>
          <w:rFonts w:ascii="Aptos" w:hAnsi="Aptos" w:cs="Arial"/>
          <w:sz w:val="21"/>
          <w:szCs w:val="21"/>
        </w:rPr>
        <w:t xml:space="preserve">will be downgraded based on whether they meet certain criteria, to reach a final assessment of the certainty of the body of evidence (high, moderate, low, or very low). </w:t>
      </w:r>
    </w:p>
    <w:p w14:paraId="708B9A49" w14:textId="141AB448" w:rsidR="00F726B5" w:rsidRPr="00D518FF" w:rsidRDefault="007B4923" w:rsidP="00F726B5">
      <w:pPr>
        <w:spacing w:before="120" w:after="120"/>
        <w:rPr>
          <w:rFonts w:ascii="Aptos" w:hAnsi="Aptos" w:cs="Arial"/>
          <w:sz w:val="21"/>
          <w:szCs w:val="21"/>
        </w:rPr>
      </w:pPr>
      <w:r>
        <w:rPr>
          <w:rFonts w:ascii="Aptos" w:hAnsi="Aptos" w:cs="Arial"/>
          <w:sz w:val="21"/>
          <w:szCs w:val="21"/>
        </w:rPr>
        <w:t xml:space="preserve">Information </w:t>
      </w:r>
      <w:r w:rsidR="00DD77FB">
        <w:rPr>
          <w:rFonts w:ascii="Aptos" w:hAnsi="Aptos" w:cs="Arial"/>
          <w:sz w:val="21"/>
          <w:szCs w:val="21"/>
        </w:rPr>
        <w:t xml:space="preserve">required </w:t>
      </w:r>
      <w:r>
        <w:rPr>
          <w:rFonts w:ascii="Aptos" w:hAnsi="Aptos" w:cs="Arial"/>
          <w:sz w:val="21"/>
          <w:szCs w:val="21"/>
        </w:rPr>
        <w:t xml:space="preserve">for </w:t>
      </w:r>
      <w:r w:rsidR="00DD77FB">
        <w:rPr>
          <w:rFonts w:ascii="Aptos" w:hAnsi="Aptos" w:cs="Arial"/>
          <w:sz w:val="21"/>
          <w:szCs w:val="21"/>
        </w:rPr>
        <w:t xml:space="preserve">full </w:t>
      </w:r>
      <w:r>
        <w:rPr>
          <w:rFonts w:ascii="Aptos" w:hAnsi="Aptos" w:cs="Arial"/>
          <w:sz w:val="21"/>
          <w:szCs w:val="21"/>
        </w:rPr>
        <w:t xml:space="preserve">GRADE </w:t>
      </w:r>
      <w:r w:rsidR="00DD77FB">
        <w:rPr>
          <w:rFonts w:ascii="Aptos" w:hAnsi="Aptos" w:cs="Arial"/>
          <w:sz w:val="21"/>
          <w:szCs w:val="21"/>
        </w:rPr>
        <w:t xml:space="preserve">assessment </w:t>
      </w:r>
      <w:r>
        <w:rPr>
          <w:rFonts w:ascii="Aptos" w:hAnsi="Aptos" w:cs="Arial"/>
          <w:sz w:val="21"/>
          <w:szCs w:val="21"/>
        </w:rPr>
        <w:t>was</w:t>
      </w:r>
      <w:r w:rsidR="00DD77FB">
        <w:rPr>
          <w:rFonts w:ascii="Aptos" w:hAnsi="Aptos" w:cs="Arial"/>
          <w:sz w:val="21"/>
          <w:szCs w:val="21"/>
        </w:rPr>
        <w:t xml:space="preserve"> only</w:t>
      </w:r>
      <w:r>
        <w:rPr>
          <w:rFonts w:ascii="Aptos" w:hAnsi="Aptos" w:cs="Arial"/>
          <w:sz w:val="21"/>
          <w:szCs w:val="21"/>
        </w:rPr>
        <w:t xml:space="preserve"> extracted from preferred reviews</w:t>
      </w:r>
      <w:r w:rsidR="00DD77FB">
        <w:rPr>
          <w:rFonts w:ascii="Aptos" w:hAnsi="Aptos" w:cs="Arial"/>
          <w:sz w:val="21"/>
          <w:szCs w:val="21"/>
        </w:rPr>
        <w:t>, and not all included reviews both for pragmatism and because the information would not have contributed to the evidence review for non-preferred reviews.</w:t>
      </w:r>
      <w:bookmarkEnd w:id="102"/>
    </w:p>
    <w:p w14:paraId="36AACA39" w14:textId="77777777" w:rsidR="00F726B5" w:rsidRPr="00D518FF" w:rsidRDefault="00F726B5" w:rsidP="00885F39">
      <w:pPr>
        <w:pStyle w:val="heading3numbers"/>
      </w:pPr>
      <w:bookmarkStart w:id="103" w:name="_Toc100711511"/>
      <w:bookmarkStart w:id="104" w:name="_Toc126835805"/>
      <w:bookmarkStart w:id="105" w:name="_Toc185254636"/>
      <w:r w:rsidRPr="00D518FF">
        <w:t>‘Summary of Findings’ tables and evidence statements</w:t>
      </w:r>
      <w:bookmarkEnd w:id="103"/>
      <w:bookmarkEnd w:id="104"/>
      <w:bookmarkEnd w:id="105"/>
    </w:p>
    <w:p w14:paraId="65DFD4D6" w14:textId="77777777" w:rsidR="00AB2AB5" w:rsidRDefault="00F726B5" w:rsidP="00F726B5">
      <w:pPr>
        <w:spacing w:before="120" w:after="120"/>
        <w:rPr>
          <w:rFonts w:ascii="Aptos" w:hAnsi="Aptos" w:cs="Arial"/>
          <w:sz w:val="21"/>
          <w:szCs w:val="21"/>
        </w:rPr>
      </w:pPr>
      <w:r w:rsidRPr="00D518FF">
        <w:rPr>
          <w:rFonts w:ascii="Aptos" w:hAnsi="Aptos" w:cs="Arial"/>
          <w:sz w:val="21"/>
          <w:szCs w:val="21"/>
        </w:rPr>
        <w:t>Findings</w:t>
      </w:r>
      <w:r w:rsidRPr="00D518FF" w:rsidDel="000F360A">
        <w:rPr>
          <w:rFonts w:ascii="Aptos" w:hAnsi="Aptos" w:cs="Arial"/>
          <w:sz w:val="21"/>
          <w:szCs w:val="21"/>
        </w:rPr>
        <w:t xml:space="preserve"> </w:t>
      </w:r>
      <w:r w:rsidR="000F360A">
        <w:rPr>
          <w:rFonts w:ascii="Aptos" w:hAnsi="Aptos" w:cs="Arial"/>
          <w:sz w:val="21"/>
          <w:szCs w:val="21"/>
        </w:rPr>
        <w:t>were</w:t>
      </w:r>
      <w:r w:rsidR="000F360A" w:rsidRPr="00D518FF">
        <w:rPr>
          <w:rFonts w:ascii="Aptos" w:hAnsi="Aptos" w:cs="Arial"/>
          <w:sz w:val="21"/>
          <w:szCs w:val="21"/>
        </w:rPr>
        <w:t xml:space="preserve"> </w:t>
      </w:r>
      <w:r w:rsidRPr="00D518FF">
        <w:rPr>
          <w:rFonts w:ascii="Aptos" w:hAnsi="Aptos" w:cs="Arial"/>
          <w:sz w:val="21"/>
          <w:szCs w:val="21"/>
        </w:rPr>
        <w:t xml:space="preserve">reported in Summary of Findings tables in the Evidence Evaluation Report. </w:t>
      </w:r>
      <w:r w:rsidR="002A70D4">
        <w:rPr>
          <w:rFonts w:ascii="Aptos" w:hAnsi="Aptos" w:cs="Arial"/>
          <w:sz w:val="21"/>
          <w:szCs w:val="21"/>
        </w:rPr>
        <w:t>These</w:t>
      </w:r>
      <w:r w:rsidR="002A70D4" w:rsidRPr="00D518FF">
        <w:rPr>
          <w:rFonts w:ascii="Aptos" w:hAnsi="Aptos" w:cs="Arial"/>
          <w:sz w:val="21"/>
          <w:szCs w:val="21"/>
        </w:rPr>
        <w:t xml:space="preserve"> </w:t>
      </w:r>
      <w:r w:rsidRPr="00D518FF">
        <w:rPr>
          <w:rFonts w:ascii="Aptos" w:hAnsi="Aptos" w:cs="Arial"/>
          <w:sz w:val="21"/>
          <w:szCs w:val="21"/>
        </w:rPr>
        <w:t>include</w:t>
      </w:r>
      <w:r w:rsidR="000F360A">
        <w:rPr>
          <w:rFonts w:ascii="Aptos" w:hAnsi="Aptos" w:cs="Arial"/>
          <w:sz w:val="21"/>
          <w:szCs w:val="21"/>
        </w:rPr>
        <w:t>d</w:t>
      </w:r>
      <w:r w:rsidRPr="00D518FF">
        <w:rPr>
          <w:rFonts w:ascii="Aptos" w:hAnsi="Aptos" w:cs="Arial"/>
          <w:sz w:val="21"/>
          <w:szCs w:val="21"/>
        </w:rPr>
        <w:t xml:space="preserve"> all reported results on clinical effectiveness, grouped by condition of interest and/or comparator. The Summary of Findings tables provide</w:t>
      </w:r>
      <w:r w:rsidR="000F360A">
        <w:rPr>
          <w:rFonts w:ascii="Aptos" w:hAnsi="Aptos" w:cs="Arial"/>
          <w:sz w:val="21"/>
          <w:szCs w:val="21"/>
        </w:rPr>
        <w:t xml:space="preserve"> </w:t>
      </w:r>
      <w:r w:rsidRPr="00D518FF">
        <w:rPr>
          <w:rFonts w:ascii="Aptos" w:hAnsi="Aptos" w:cs="Arial"/>
          <w:sz w:val="21"/>
          <w:szCs w:val="21"/>
        </w:rPr>
        <w:t>a synthesis of the body of evidence, key results, and a summary judgment about the certainty of the underlying evidence for each outcome.</w:t>
      </w:r>
      <w:r w:rsidR="00730359">
        <w:rPr>
          <w:rFonts w:ascii="Aptos" w:hAnsi="Aptos" w:cs="Arial"/>
          <w:sz w:val="21"/>
          <w:szCs w:val="21"/>
        </w:rPr>
        <w:t xml:space="preserve"> </w:t>
      </w:r>
      <w:r w:rsidR="00676B9B">
        <w:rPr>
          <w:rFonts w:ascii="Aptos" w:hAnsi="Aptos" w:cs="Arial"/>
          <w:sz w:val="21"/>
          <w:szCs w:val="21"/>
        </w:rPr>
        <w:t xml:space="preserve">Absolute effects and relative effects were extracted if available; in GRADE assessments, absolute effects were preferred for interpretation of dichotomous outcomes. </w:t>
      </w:r>
    </w:p>
    <w:p w14:paraId="01E49F97" w14:textId="0AB919F0" w:rsidR="008F3151" w:rsidRDefault="00F726B5">
      <w:pPr>
        <w:rPr>
          <w:rFonts w:ascii="Aptos" w:hAnsi="Aptos" w:cs="Arial"/>
          <w:sz w:val="21"/>
          <w:szCs w:val="21"/>
        </w:rPr>
      </w:pPr>
      <w:r w:rsidRPr="00D518FF">
        <w:rPr>
          <w:rFonts w:ascii="Aptos" w:hAnsi="Aptos" w:cs="Arial"/>
          <w:sz w:val="21"/>
          <w:szCs w:val="21"/>
        </w:rPr>
        <w:t xml:space="preserve">As part of the Summary of Findings table, an evidence statement pertaining to each outcome </w:t>
      </w:r>
      <w:r w:rsidR="002A70D4">
        <w:rPr>
          <w:rFonts w:ascii="Aptos" w:hAnsi="Aptos" w:cs="Arial"/>
          <w:sz w:val="21"/>
          <w:szCs w:val="21"/>
        </w:rPr>
        <w:t>is</w:t>
      </w:r>
      <w:r w:rsidRPr="00D518FF">
        <w:rPr>
          <w:rFonts w:ascii="Aptos" w:hAnsi="Aptos" w:cs="Arial"/>
          <w:sz w:val="21"/>
          <w:szCs w:val="21"/>
        </w:rPr>
        <w:t xml:space="preserve"> included, guided by GRADE information on writing informative statements </w:t>
      </w:r>
      <w:r w:rsidR="000935F9">
        <w:rPr>
          <w:rFonts w:ascii="Aptos" w:hAnsi="Aptos" w:cs="Arial"/>
          <w:noProof/>
          <w:sz w:val="21"/>
          <w:szCs w:val="21"/>
        </w:rPr>
        <w:t>(1</w:t>
      </w:r>
      <w:r w:rsidR="00D42170">
        <w:rPr>
          <w:rFonts w:ascii="Aptos" w:hAnsi="Aptos" w:cs="Arial"/>
          <w:noProof/>
          <w:sz w:val="21"/>
          <w:szCs w:val="21"/>
        </w:rPr>
        <w:t>2</w:t>
      </w:r>
      <w:r w:rsidR="000935F9">
        <w:rPr>
          <w:rFonts w:ascii="Aptos" w:hAnsi="Aptos" w:cs="Arial"/>
          <w:noProof/>
          <w:sz w:val="21"/>
          <w:szCs w:val="21"/>
        </w:rPr>
        <w:t>)</w:t>
      </w:r>
      <w:r w:rsidRPr="00D518FF">
        <w:rPr>
          <w:rFonts w:ascii="Aptos" w:hAnsi="Aptos" w:cs="Arial"/>
          <w:sz w:val="21"/>
          <w:szCs w:val="21"/>
        </w:rPr>
        <w:t xml:space="preserve">. Evidence statements </w:t>
      </w:r>
      <w:r w:rsidR="002A70D4">
        <w:rPr>
          <w:rFonts w:ascii="Aptos" w:hAnsi="Aptos" w:cs="Arial"/>
          <w:sz w:val="21"/>
          <w:szCs w:val="21"/>
        </w:rPr>
        <w:t>are</w:t>
      </w:r>
      <w:r w:rsidR="002A70D4" w:rsidRPr="00D518FF">
        <w:rPr>
          <w:rFonts w:ascii="Aptos" w:hAnsi="Aptos" w:cs="Arial"/>
          <w:sz w:val="21"/>
          <w:szCs w:val="21"/>
        </w:rPr>
        <w:t xml:space="preserve"> </w:t>
      </w:r>
      <w:r w:rsidRPr="00D518FF">
        <w:rPr>
          <w:rFonts w:ascii="Aptos" w:hAnsi="Aptos" w:cs="Arial"/>
          <w:sz w:val="21"/>
          <w:szCs w:val="21"/>
        </w:rPr>
        <w:t>guided by the following format: The use of [nutritional supplement] in [population] [</w:t>
      </w:r>
      <w:r w:rsidR="00D370E3">
        <w:rPr>
          <w:rFonts w:ascii="Aptos" w:hAnsi="Aptos" w:cs="Arial"/>
          <w:sz w:val="21"/>
          <w:szCs w:val="21"/>
        </w:rPr>
        <w:t>probably</w:t>
      </w:r>
      <w:r w:rsidRPr="00D518FF">
        <w:rPr>
          <w:rFonts w:ascii="Aptos" w:hAnsi="Aptos" w:cs="Arial"/>
          <w:sz w:val="21"/>
          <w:szCs w:val="21"/>
        </w:rPr>
        <w:t>, may, results] in [little to no effect, reduce, increase, promote etc.] on [outcome] compared with [placebo or no intervention].</w:t>
      </w:r>
      <w:r w:rsidR="00172BB6">
        <w:rPr>
          <w:rFonts w:ascii="Aptos" w:hAnsi="Aptos" w:cs="Arial"/>
          <w:sz w:val="21"/>
          <w:szCs w:val="21"/>
        </w:rPr>
        <w:t>A table of selected statements based on the size of effect and certainty in evidence used to guide evidence statements in the Evidence Evaluation Report are listed below.</w:t>
      </w:r>
      <w:r w:rsidR="00B9760A">
        <w:rPr>
          <w:rFonts w:ascii="Aptos" w:hAnsi="Aptos" w:cs="Arial"/>
          <w:sz w:val="21"/>
          <w:szCs w:val="21"/>
        </w:rPr>
        <w:br/>
      </w:r>
    </w:p>
    <w:tbl>
      <w:tblPr>
        <w:tblStyle w:val="TableGridLight"/>
        <w:tblW w:w="9585" w:type="dxa"/>
        <w:tblLook w:val="0620" w:firstRow="1" w:lastRow="0" w:firstColumn="0" w:lastColumn="0" w:noHBand="1" w:noVBand="1"/>
      </w:tblPr>
      <w:tblGrid>
        <w:gridCol w:w="3681"/>
        <w:gridCol w:w="5904"/>
      </w:tblGrid>
      <w:tr w:rsidR="00E70FF9" w:rsidRPr="001D592D" w14:paraId="650CE333" w14:textId="77777777">
        <w:trPr>
          <w:tblHeader/>
        </w:trPr>
        <w:tc>
          <w:tcPr>
            <w:tcW w:w="3681" w:type="dxa"/>
            <w:hideMark/>
          </w:tcPr>
          <w:p w14:paraId="3D05B197" w14:textId="77777777" w:rsidR="00E70FF9" w:rsidRPr="00AB2AB5" w:rsidRDefault="00E70FF9">
            <w:pPr>
              <w:pStyle w:val="Tabletext8pt"/>
              <w:rPr>
                <w:rFonts w:ascii="Aptos" w:hAnsi="Aptos"/>
                <w:b/>
                <w:bCs/>
                <w:sz w:val="20"/>
                <w:szCs w:val="20"/>
                <w:lang w:eastAsia="en-AU"/>
              </w:rPr>
            </w:pPr>
            <w:r w:rsidRPr="00AB2AB5">
              <w:rPr>
                <w:rFonts w:ascii="Aptos" w:hAnsi="Aptos"/>
                <w:b/>
                <w:bCs/>
                <w:sz w:val="20"/>
                <w:szCs w:val="20"/>
                <w:lang w:eastAsia="en-AU"/>
              </w:rPr>
              <w:t>Size of the effect estimate</w:t>
            </w:r>
          </w:p>
        </w:tc>
        <w:tc>
          <w:tcPr>
            <w:tcW w:w="5904" w:type="dxa"/>
            <w:hideMark/>
          </w:tcPr>
          <w:p w14:paraId="1E7AB8B6" w14:textId="77777777" w:rsidR="00E70FF9" w:rsidRPr="00AB2AB5" w:rsidRDefault="00E70FF9">
            <w:pPr>
              <w:pStyle w:val="Tabletext8pt"/>
              <w:rPr>
                <w:rFonts w:ascii="Aptos" w:hAnsi="Aptos"/>
                <w:b/>
                <w:bCs/>
                <w:sz w:val="20"/>
                <w:szCs w:val="20"/>
                <w:lang w:eastAsia="en-AU"/>
              </w:rPr>
            </w:pPr>
            <w:r w:rsidRPr="00AB2AB5">
              <w:rPr>
                <w:rFonts w:ascii="Aptos" w:hAnsi="Aptos"/>
                <w:b/>
                <w:bCs/>
                <w:sz w:val="20"/>
                <w:szCs w:val="20"/>
                <w:lang w:eastAsia="en-AU"/>
              </w:rPr>
              <w:t>Suggested statements *</w:t>
            </w:r>
          </w:p>
        </w:tc>
      </w:tr>
      <w:tr w:rsidR="00E70FF9" w:rsidRPr="001D592D" w14:paraId="36AD8986" w14:textId="77777777">
        <w:tc>
          <w:tcPr>
            <w:tcW w:w="9585" w:type="dxa"/>
            <w:gridSpan w:val="2"/>
          </w:tcPr>
          <w:p w14:paraId="3A750780" w14:textId="77777777" w:rsidR="00E70FF9" w:rsidRPr="001D592D" w:rsidRDefault="00E70FF9">
            <w:pPr>
              <w:pStyle w:val="Tabletext8pt"/>
              <w:rPr>
                <w:rFonts w:ascii="Aptos" w:hAnsi="Aptos"/>
                <w:sz w:val="20"/>
                <w:szCs w:val="20"/>
                <w:lang w:eastAsia="en-AU"/>
              </w:rPr>
            </w:pPr>
            <w:r w:rsidRPr="001D592D">
              <w:rPr>
                <w:rStyle w:val="Strong"/>
                <w:rFonts w:ascii="Aptos" w:hAnsi="Aptos"/>
                <w:sz w:val="20"/>
                <w:szCs w:val="20"/>
              </w:rPr>
              <w:t>HIGH Certainty of the evidence</w:t>
            </w:r>
          </w:p>
        </w:tc>
      </w:tr>
      <w:tr w:rsidR="00E70FF9" w:rsidRPr="001D592D" w14:paraId="575509BC" w14:textId="77777777">
        <w:tc>
          <w:tcPr>
            <w:tcW w:w="3681" w:type="dxa"/>
            <w:hideMark/>
          </w:tcPr>
          <w:p w14:paraId="3A81B338"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Large effect</w:t>
            </w:r>
          </w:p>
        </w:tc>
        <w:tc>
          <w:tcPr>
            <w:tcW w:w="5904" w:type="dxa"/>
            <w:hideMark/>
          </w:tcPr>
          <w:p w14:paraId="1CC54782"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results in a large reduction/increase in outcome</w:t>
            </w:r>
          </w:p>
        </w:tc>
      </w:tr>
      <w:tr w:rsidR="00E70FF9" w:rsidRPr="001D592D" w14:paraId="6F11C795" w14:textId="77777777">
        <w:tc>
          <w:tcPr>
            <w:tcW w:w="3681" w:type="dxa"/>
            <w:hideMark/>
          </w:tcPr>
          <w:p w14:paraId="74636462"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Moderate effect</w:t>
            </w:r>
          </w:p>
        </w:tc>
        <w:tc>
          <w:tcPr>
            <w:tcW w:w="5904" w:type="dxa"/>
            <w:hideMark/>
          </w:tcPr>
          <w:p w14:paraId="240F03CE"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reduces/increases outcome</w:t>
            </w:r>
          </w:p>
        </w:tc>
      </w:tr>
      <w:tr w:rsidR="00E70FF9" w:rsidRPr="001D592D" w14:paraId="4F305BD2" w14:textId="77777777">
        <w:tc>
          <w:tcPr>
            <w:tcW w:w="3681" w:type="dxa"/>
            <w:hideMark/>
          </w:tcPr>
          <w:p w14:paraId="18227F7D"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Small important effect</w:t>
            </w:r>
          </w:p>
        </w:tc>
        <w:tc>
          <w:tcPr>
            <w:tcW w:w="5904" w:type="dxa"/>
            <w:hideMark/>
          </w:tcPr>
          <w:p w14:paraId="7E81A8A9"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reduces/increases outcome slightly</w:t>
            </w:r>
          </w:p>
        </w:tc>
      </w:tr>
      <w:tr w:rsidR="00E70FF9" w:rsidRPr="001D592D" w14:paraId="3B3B51FB" w14:textId="77777777">
        <w:tc>
          <w:tcPr>
            <w:tcW w:w="3681" w:type="dxa"/>
            <w:hideMark/>
          </w:tcPr>
          <w:p w14:paraId="0D3F6E05"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lastRenderedPageBreak/>
              <w:t> Trivial, small unimportant effect or no effect</w:t>
            </w:r>
          </w:p>
        </w:tc>
        <w:tc>
          <w:tcPr>
            <w:tcW w:w="5904" w:type="dxa"/>
            <w:hideMark/>
          </w:tcPr>
          <w:p w14:paraId="556C6A6A"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results in little to no difference in outcome</w:t>
            </w:r>
          </w:p>
        </w:tc>
      </w:tr>
      <w:tr w:rsidR="00E70FF9" w:rsidRPr="001D592D" w14:paraId="31D7951C" w14:textId="77777777">
        <w:tc>
          <w:tcPr>
            <w:tcW w:w="9585" w:type="dxa"/>
            <w:gridSpan w:val="2"/>
          </w:tcPr>
          <w:p w14:paraId="6DC4CC1E" w14:textId="77777777" w:rsidR="00E70FF9" w:rsidRPr="001D592D" w:rsidRDefault="00E70FF9">
            <w:pPr>
              <w:pStyle w:val="Tabletext8pt"/>
              <w:rPr>
                <w:rFonts w:ascii="Aptos" w:hAnsi="Aptos"/>
                <w:sz w:val="20"/>
                <w:szCs w:val="20"/>
                <w:lang w:eastAsia="en-AU"/>
              </w:rPr>
            </w:pPr>
            <w:r w:rsidRPr="001D592D">
              <w:rPr>
                <w:rStyle w:val="Strong"/>
                <w:rFonts w:ascii="Aptos" w:hAnsi="Aptos"/>
                <w:sz w:val="20"/>
                <w:szCs w:val="20"/>
              </w:rPr>
              <w:t>MODERATE</w:t>
            </w:r>
            <w:r w:rsidRPr="001D592D">
              <w:rPr>
                <w:rFonts w:ascii="Aptos" w:hAnsi="Aptos"/>
                <w:sz w:val="20"/>
                <w:szCs w:val="20"/>
                <w:lang w:eastAsia="en-AU"/>
              </w:rPr>
              <w:t xml:space="preserve"> </w:t>
            </w:r>
            <w:r w:rsidRPr="001D592D">
              <w:rPr>
                <w:rStyle w:val="Strong"/>
                <w:rFonts w:ascii="Aptos" w:hAnsi="Aptos"/>
                <w:sz w:val="20"/>
                <w:szCs w:val="20"/>
              </w:rPr>
              <w:t>Certainty of the evidence</w:t>
            </w:r>
          </w:p>
        </w:tc>
      </w:tr>
      <w:tr w:rsidR="00E70FF9" w:rsidRPr="001D592D" w14:paraId="356AECC7" w14:textId="77777777">
        <w:tc>
          <w:tcPr>
            <w:tcW w:w="3681" w:type="dxa"/>
            <w:hideMark/>
          </w:tcPr>
          <w:p w14:paraId="3680108A"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Large effect</w:t>
            </w:r>
          </w:p>
        </w:tc>
        <w:tc>
          <w:tcPr>
            <w:tcW w:w="5904" w:type="dxa"/>
            <w:hideMark/>
          </w:tcPr>
          <w:p w14:paraId="6A074EE7"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probably results in a large reduction/increase in outcome</w:t>
            </w:r>
          </w:p>
        </w:tc>
      </w:tr>
      <w:tr w:rsidR="00E70FF9" w:rsidRPr="001D592D" w14:paraId="56528455" w14:textId="77777777">
        <w:tc>
          <w:tcPr>
            <w:tcW w:w="3681" w:type="dxa"/>
            <w:hideMark/>
          </w:tcPr>
          <w:p w14:paraId="620A679B"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Moderate effect</w:t>
            </w:r>
          </w:p>
        </w:tc>
        <w:tc>
          <w:tcPr>
            <w:tcW w:w="5904" w:type="dxa"/>
            <w:hideMark/>
          </w:tcPr>
          <w:p w14:paraId="443592EE"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probably reduces/increases outcome</w:t>
            </w:r>
          </w:p>
        </w:tc>
      </w:tr>
      <w:tr w:rsidR="00E70FF9" w:rsidRPr="001D592D" w14:paraId="33C78023" w14:textId="77777777">
        <w:tc>
          <w:tcPr>
            <w:tcW w:w="3681" w:type="dxa"/>
            <w:hideMark/>
          </w:tcPr>
          <w:p w14:paraId="36ABA2D9"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Small important effect</w:t>
            </w:r>
          </w:p>
        </w:tc>
        <w:tc>
          <w:tcPr>
            <w:tcW w:w="5904" w:type="dxa"/>
            <w:hideMark/>
          </w:tcPr>
          <w:p w14:paraId="71931CDF"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probably results in a slight reduction/increase in outcome</w:t>
            </w:r>
          </w:p>
        </w:tc>
      </w:tr>
      <w:tr w:rsidR="00E70FF9" w:rsidRPr="001D592D" w14:paraId="7401131C" w14:textId="77777777">
        <w:tc>
          <w:tcPr>
            <w:tcW w:w="3681" w:type="dxa"/>
            <w:hideMark/>
          </w:tcPr>
          <w:p w14:paraId="078B9290"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Trivial, small unimportant effect or no effect</w:t>
            </w:r>
          </w:p>
        </w:tc>
        <w:tc>
          <w:tcPr>
            <w:tcW w:w="5904" w:type="dxa"/>
            <w:hideMark/>
          </w:tcPr>
          <w:p w14:paraId="10825B9B"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probably results in little to no difference in outcome</w:t>
            </w:r>
          </w:p>
        </w:tc>
      </w:tr>
      <w:tr w:rsidR="00E70FF9" w:rsidRPr="001D592D" w14:paraId="0A29AF1D" w14:textId="77777777">
        <w:tc>
          <w:tcPr>
            <w:tcW w:w="9585" w:type="dxa"/>
            <w:gridSpan w:val="2"/>
          </w:tcPr>
          <w:p w14:paraId="68471626" w14:textId="77777777" w:rsidR="00E70FF9" w:rsidRPr="001D592D" w:rsidRDefault="00E70FF9">
            <w:pPr>
              <w:pStyle w:val="Tabletext8pt"/>
              <w:rPr>
                <w:rStyle w:val="Strong"/>
                <w:rFonts w:ascii="Aptos" w:hAnsi="Aptos"/>
                <w:sz w:val="20"/>
                <w:szCs w:val="20"/>
              </w:rPr>
            </w:pPr>
            <w:r w:rsidRPr="001D592D">
              <w:rPr>
                <w:rStyle w:val="Strong"/>
                <w:rFonts w:ascii="Aptos" w:hAnsi="Aptos"/>
                <w:sz w:val="20"/>
                <w:szCs w:val="20"/>
              </w:rPr>
              <w:t>LOW Certainty of the evidence</w:t>
            </w:r>
          </w:p>
        </w:tc>
      </w:tr>
      <w:tr w:rsidR="00E70FF9" w:rsidRPr="001D592D" w14:paraId="1C917949" w14:textId="77777777">
        <w:tc>
          <w:tcPr>
            <w:tcW w:w="3681" w:type="dxa"/>
            <w:hideMark/>
          </w:tcPr>
          <w:p w14:paraId="7C2F8FF2"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Large effect</w:t>
            </w:r>
          </w:p>
        </w:tc>
        <w:tc>
          <w:tcPr>
            <w:tcW w:w="5904" w:type="dxa"/>
            <w:hideMark/>
          </w:tcPr>
          <w:p w14:paraId="47B241C2"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may result in a large reduction/increase in outcome</w:t>
            </w:r>
          </w:p>
        </w:tc>
      </w:tr>
      <w:tr w:rsidR="00E70FF9" w:rsidRPr="001D592D" w14:paraId="504426CA" w14:textId="77777777">
        <w:tc>
          <w:tcPr>
            <w:tcW w:w="3681" w:type="dxa"/>
            <w:hideMark/>
          </w:tcPr>
          <w:p w14:paraId="13E695C7"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Moderate effect</w:t>
            </w:r>
          </w:p>
        </w:tc>
        <w:tc>
          <w:tcPr>
            <w:tcW w:w="5904" w:type="dxa"/>
            <w:hideMark/>
          </w:tcPr>
          <w:p w14:paraId="100CA5DF"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may result in a reduction/increase in outcome</w:t>
            </w:r>
          </w:p>
        </w:tc>
      </w:tr>
      <w:tr w:rsidR="00E70FF9" w:rsidRPr="001D592D" w14:paraId="3557A01A" w14:textId="77777777">
        <w:tc>
          <w:tcPr>
            <w:tcW w:w="3681" w:type="dxa"/>
            <w:hideMark/>
          </w:tcPr>
          <w:p w14:paraId="6190F7DC"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Small important effect</w:t>
            </w:r>
          </w:p>
        </w:tc>
        <w:tc>
          <w:tcPr>
            <w:tcW w:w="5904" w:type="dxa"/>
            <w:hideMark/>
          </w:tcPr>
          <w:p w14:paraId="1181A305"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may result in a slight reduction/increase in outcome</w:t>
            </w:r>
          </w:p>
        </w:tc>
      </w:tr>
      <w:tr w:rsidR="00E70FF9" w:rsidRPr="001D592D" w14:paraId="7D348B8F" w14:textId="77777777">
        <w:tc>
          <w:tcPr>
            <w:tcW w:w="3681" w:type="dxa"/>
            <w:hideMark/>
          </w:tcPr>
          <w:p w14:paraId="7DA5E281"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Trivial, small unimportant effect or no effect</w:t>
            </w:r>
          </w:p>
        </w:tc>
        <w:tc>
          <w:tcPr>
            <w:tcW w:w="5904" w:type="dxa"/>
            <w:hideMark/>
          </w:tcPr>
          <w:p w14:paraId="5FEF5FA1"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X may result in little to no difference in outcome</w:t>
            </w:r>
          </w:p>
        </w:tc>
      </w:tr>
      <w:tr w:rsidR="00E70FF9" w:rsidRPr="001D592D" w14:paraId="62808F0D" w14:textId="77777777">
        <w:tc>
          <w:tcPr>
            <w:tcW w:w="9585" w:type="dxa"/>
            <w:gridSpan w:val="2"/>
          </w:tcPr>
          <w:p w14:paraId="63DAF89D" w14:textId="77777777" w:rsidR="00E70FF9" w:rsidRPr="001D592D" w:rsidRDefault="00E70FF9">
            <w:pPr>
              <w:pStyle w:val="Tabletext8pt"/>
              <w:rPr>
                <w:rStyle w:val="Strong"/>
                <w:rFonts w:ascii="Aptos" w:hAnsi="Aptos"/>
                <w:sz w:val="20"/>
                <w:szCs w:val="20"/>
              </w:rPr>
            </w:pPr>
            <w:r w:rsidRPr="001D592D">
              <w:rPr>
                <w:rStyle w:val="Strong"/>
                <w:rFonts w:ascii="Aptos" w:hAnsi="Aptos"/>
                <w:sz w:val="20"/>
                <w:szCs w:val="20"/>
              </w:rPr>
              <w:t>VERY LOW Certainty of the evidence</w:t>
            </w:r>
          </w:p>
        </w:tc>
      </w:tr>
      <w:tr w:rsidR="00E70FF9" w:rsidRPr="001D592D" w14:paraId="11FB5412" w14:textId="77777777">
        <w:tc>
          <w:tcPr>
            <w:tcW w:w="3681" w:type="dxa"/>
            <w:hideMark/>
          </w:tcPr>
          <w:p w14:paraId="78FCD4C3"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 Any effect</w:t>
            </w:r>
          </w:p>
        </w:tc>
        <w:tc>
          <w:tcPr>
            <w:tcW w:w="5904" w:type="dxa"/>
            <w:hideMark/>
          </w:tcPr>
          <w:p w14:paraId="167B4463" w14:textId="77777777" w:rsidR="00E70FF9" w:rsidRPr="001D592D" w:rsidRDefault="00E70FF9">
            <w:pPr>
              <w:pStyle w:val="Tabletext8pt"/>
              <w:rPr>
                <w:rFonts w:ascii="Aptos" w:hAnsi="Aptos"/>
                <w:sz w:val="20"/>
                <w:szCs w:val="20"/>
                <w:lang w:eastAsia="en-AU"/>
              </w:rPr>
            </w:pPr>
            <w:r w:rsidRPr="001D592D">
              <w:rPr>
                <w:rFonts w:ascii="Aptos" w:hAnsi="Aptos"/>
                <w:sz w:val="20"/>
                <w:szCs w:val="20"/>
                <w:lang w:eastAsia="en-AU"/>
              </w:rPr>
              <w:t>The evidence is very uncertain about the effect of X on outcome</w:t>
            </w:r>
          </w:p>
        </w:tc>
      </w:tr>
    </w:tbl>
    <w:p w14:paraId="71D502AA" w14:textId="6065C3DF" w:rsidR="00E70FF9" w:rsidRPr="001D592D" w:rsidRDefault="00E70FF9" w:rsidP="00E70FF9">
      <w:pPr>
        <w:pStyle w:val="TableFigNotes18"/>
        <w:rPr>
          <w:rFonts w:ascii="Aptos" w:hAnsi="Aptos"/>
          <w:sz w:val="18"/>
          <w:szCs w:val="24"/>
        </w:rPr>
      </w:pPr>
      <w:r w:rsidRPr="001D592D">
        <w:rPr>
          <w:rFonts w:ascii="Aptos" w:hAnsi="Aptos"/>
          <w:sz w:val="18"/>
          <w:szCs w:val="24"/>
        </w:rPr>
        <w:t xml:space="preserve">Source: selected statements from Santesso et al. (2020) </w:t>
      </w:r>
      <w:r w:rsidR="004A0135">
        <w:rPr>
          <w:rFonts w:ascii="Aptos" w:hAnsi="Aptos"/>
          <w:sz w:val="18"/>
          <w:szCs w:val="24"/>
        </w:rPr>
        <w:t>(1</w:t>
      </w:r>
      <w:r w:rsidR="003A7CC8">
        <w:rPr>
          <w:rFonts w:ascii="Aptos" w:hAnsi="Aptos"/>
          <w:sz w:val="18"/>
          <w:szCs w:val="24"/>
        </w:rPr>
        <w:t>2</w:t>
      </w:r>
      <w:r w:rsidR="004A0135">
        <w:rPr>
          <w:rFonts w:ascii="Aptos" w:hAnsi="Aptos"/>
          <w:sz w:val="18"/>
          <w:szCs w:val="24"/>
        </w:rPr>
        <w:t>).</w:t>
      </w:r>
    </w:p>
    <w:p w14:paraId="13D42294" w14:textId="77777777" w:rsidR="00E70FF9" w:rsidRPr="001D592D" w:rsidRDefault="00E70FF9" w:rsidP="00E70FF9">
      <w:pPr>
        <w:pStyle w:val="TableFigNotes18"/>
        <w:rPr>
          <w:rFonts w:ascii="Aptos" w:hAnsi="Aptos"/>
          <w:sz w:val="18"/>
          <w:szCs w:val="24"/>
        </w:rPr>
      </w:pPr>
      <w:r w:rsidRPr="001D592D">
        <w:rPr>
          <w:rFonts w:ascii="Aptos" w:hAnsi="Aptos"/>
          <w:sz w:val="18"/>
          <w:szCs w:val="24"/>
        </w:rPr>
        <w:t>* Replace X with intervention, replace ‘reduce/increase’ with direction of effect, replace ‘outcome’ with name of outcome, include ‘when compared with Y’ when needed)</w:t>
      </w:r>
    </w:p>
    <w:p w14:paraId="6A0795CC" w14:textId="77777777" w:rsidR="00E70FF9" w:rsidRDefault="00E70FF9">
      <w:pPr>
        <w:rPr>
          <w:rFonts w:ascii="Aptos" w:hAnsi="Aptos" w:cs="Arial"/>
          <w:sz w:val="21"/>
          <w:szCs w:val="21"/>
        </w:rPr>
        <w:sectPr w:rsidR="00E70FF9" w:rsidSect="0046678E">
          <w:headerReference w:type="even" r:id="rId23"/>
          <w:headerReference w:type="default" r:id="rId24"/>
          <w:footerReference w:type="default" r:id="rId25"/>
          <w:headerReference w:type="first" r:id="rId26"/>
          <w:pgSz w:w="11906" w:h="16838"/>
          <w:pgMar w:top="1210" w:right="1314" w:bottom="1373" w:left="1378" w:header="708" w:footer="708" w:gutter="0"/>
          <w:cols w:space="708"/>
          <w:docGrid w:linePitch="360"/>
        </w:sectPr>
      </w:pPr>
    </w:p>
    <w:p w14:paraId="428EAD90" w14:textId="7606D923" w:rsidR="008F3151" w:rsidRDefault="008F3151" w:rsidP="008F3151">
      <w:pPr>
        <w:pStyle w:val="Heading1"/>
        <w:spacing w:line="240" w:lineRule="auto"/>
        <w:rPr>
          <w:rStyle w:val="Heading1Char"/>
          <w:rFonts w:ascii="Aptos" w:hAnsi="Aptos"/>
          <w:b/>
          <w:bCs/>
          <w:color w:val="C00000"/>
          <w:szCs w:val="32"/>
        </w:rPr>
      </w:pPr>
      <w:bookmarkStart w:id="106" w:name="_Toc185254637"/>
      <w:r w:rsidRPr="00A740A6">
        <w:rPr>
          <w:rStyle w:val="Heading1Char"/>
          <w:rFonts w:ascii="Aptos" w:hAnsi="Aptos"/>
          <w:b/>
          <w:bCs/>
          <w:color w:val="C00000"/>
          <w:szCs w:val="32"/>
        </w:rPr>
        <w:lastRenderedPageBreak/>
        <w:t>Citation details of reviews assessed at full text but not included</w:t>
      </w:r>
      <w:bookmarkEnd w:id="106"/>
      <w:r w:rsidRPr="00A740A6">
        <w:rPr>
          <w:rStyle w:val="Heading1Char"/>
          <w:rFonts w:ascii="Aptos" w:hAnsi="Aptos"/>
          <w:b/>
          <w:bCs/>
          <w:color w:val="C00000"/>
          <w:szCs w:val="32"/>
        </w:rPr>
        <w:t xml:space="preserve"> </w:t>
      </w:r>
      <w:bookmarkStart w:id="107" w:name="_Toc111119308"/>
      <w:bookmarkStart w:id="108" w:name="_Toc111119464"/>
      <w:bookmarkStart w:id="109" w:name="_Toc111126816"/>
      <w:bookmarkStart w:id="110" w:name="_Toc131609533"/>
    </w:p>
    <w:p w14:paraId="441DEDD5" w14:textId="45B95C01" w:rsidR="0025615A" w:rsidRPr="00495591" w:rsidRDefault="00495591" w:rsidP="00495591">
      <w:pPr>
        <w:spacing w:before="120" w:after="120"/>
        <w:rPr>
          <w:rFonts w:ascii="Aptos" w:hAnsi="Aptos" w:cs="Arial"/>
          <w:sz w:val="21"/>
          <w:szCs w:val="21"/>
        </w:rPr>
      </w:pPr>
      <w:r w:rsidRPr="00495591">
        <w:rPr>
          <w:rFonts w:ascii="Aptos" w:hAnsi="Aptos" w:cs="Arial"/>
          <w:sz w:val="21"/>
          <w:szCs w:val="21"/>
        </w:rPr>
        <w:t xml:space="preserve">Reports </w:t>
      </w:r>
      <w:r w:rsidR="003911D3">
        <w:rPr>
          <w:rFonts w:ascii="Aptos" w:hAnsi="Aptos" w:cs="Arial"/>
          <w:sz w:val="21"/>
          <w:szCs w:val="21"/>
        </w:rPr>
        <w:t>may have been</w:t>
      </w:r>
      <w:r w:rsidRPr="00495591">
        <w:rPr>
          <w:rFonts w:ascii="Aptos" w:hAnsi="Aptos" w:cs="Arial"/>
          <w:sz w:val="21"/>
          <w:szCs w:val="21"/>
        </w:rPr>
        <w:t xml:space="preserve"> excluded for </w:t>
      </w:r>
      <w:r w:rsidR="003911D3">
        <w:rPr>
          <w:rFonts w:ascii="Aptos" w:hAnsi="Aptos" w:cs="Arial"/>
          <w:sz w:val="21"/>
          <w:szCs w:val="21"/>
        </w:rPr>
        <w:t>more than one reason</w:t>
      </w:r>
      <w:r w:rsidR="003F3B0E">
        <w:rPr>
          <w:rFonts w:ascii="Aptos" w:hAnsi="Aptos" w:cs="Arial"/>
          <w:sz w:val="21"/>
          <w:szCs w:val="21"/>
        </w:rPr>
        <w:t xml:space="preserve">. The reported exclusion reason </w:t>
      </w:r>
      <w:r w:rsidR="004A75DE">
        <w:rPr>
          <w:rFonts w:ascii="Aptos" w:hAnsi="Aptos" w:cs="Arial"/>
          <w:sz w:val="21"/>
          <w:szCs w:val="21"/>
        </w:rPr>
        <w:t xml:space="preserve">in tables is </w:t>
      </w:r>
      <w:r w:rsidR="003F3B0E">
        <w:rPr>
          <w:rFonts w:ascii="Aptos" w:hAnsi="Aptos" w:cs="Arial"/>
          <w:sz w:val="21"/>
          <w:szCs w:val="21"/>
        </w:rPr>
        <w:t xml:space="preserve">the first one identified by </w:t>
      </w:r>
      <w:r w:rsidR="009C33C3">
        <w:rPr>
          <w:rFonts w:ascii="Aptos" w:hAnsi="Aptos" w:cs="Arial"/>
          <w:sz w:val="21"/>
          <w:szCs w:val="21"/>
        </w:rPr>
        <w:t>one review author during screening.</w:t>
      </w:r>
    </w:p>
    <w:p w14:paraId="3E904A5D" w14:textId="77777777" w:rsidR="008F3151" w:rsidRPr="00A740A6" w:rsidRDefault="008F3151" w:rsidP="00A740A6">
      <w:pPr>
        <w:pStyle w:val="heading2numbers"/>
        <w:rPr>
          <w:rStyle w:val="Heading1Char"/>
          <w:rFonts w:ascii="Aptos" w:eastAsia="Calibri" w:hAnsi="Aptos"/>
          <w:color w:val="C00000"/>
          <w:sz w:val="24"/>
          <w:szCs w:val="24"/>
        </w:rPr>
      </w:pPr>
      <w:bookmarkStart w:id="111" w:name="_Toc185254638"/>
      <w:r w:rsidRPr="00A740A6">
        <w:rPr>
          <w:rStyle w:val="Heading1Char"/>
          <w:rFonts w:ascii="Aptos" w:eastAsia="Calibri" w:hAnsi="Aptos"/>
          <w:color w:val="C00000"/>
          <w:sz w:val="24"/>
          <w:szCs w:val="24"/>
        </w:rPr>
        <w:t>Citation details of reviews from search results excluded (not eligible)</w:t>
      </w:r>
      <w:bookmarkEnd w:id="107"/>
      <w:bookmarkEnd w:id="108"/>
      <w:bookmarkEnd w:id="109"/>
      <w:bookmarkEnd w:id="110"/>
      <w:bookmarkEnd w:id="111"/>
    </w:p>
    <w:p w14:paraId="3D6008AD" w14:textId="7CF1525B" w:rsidR="00816364" w:rsidRPr="004C6AA1" w:rsidRDefault="00816364" w:rsidP="004C6AA1">
      <w:pPr>
        <w:pStyle w:val="Caption"/>
        <w:spacing w:before="240"/>
        <w:rPr>
          <w:rFonts w:ascii="Aptos" w:hAnsi="Aptos"/>
        </w:rPr>
      </w:pPr>
      <w:bookmarkStart w:id="112" w:name="_Toc185254528"/>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w:t>
      </w:r>
      <w:r w:rsidR="00DC4767" w:rsidRPr="004C6AA1">
        <w:rPr>
          <w:rFonts w:ascii="Aptos" w:hAnsi="Aptos"/>
        </w:rPr>
        <w:fldChar w:fldCharType="end"/>
      </w:r>
      <w:r w:rsidR="00A01743" w:rsidRPr="004C6AA1">
        <w:rPr>
          <w:rFonts w:ascii="Aptos" w:hAnsi="Aptos"/>
        </w:rPr>
        <w:t>. Excluded reviews, reason for exclusion – anxiety (including post-natal), magnesium (n=6).</w:t>
      </w:r>
      <w:bookmarkEnd w:id="112"/>
    </w:p>
    <w:tbl>
      <w:tblPr>
        <w:tblW w:w="14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134"/>
        <w:gridCol w:w="3232"/>
        <w:gridCol w:w="567"/>
        <w:gridCol w:w="2127"/>
        <w:gridCol w:w="769"/>
        <w:gridCol w:w="511"/>
        <w:gridCol w:w="749"/>
        <w:gridCol w:w="2156"/>
      </w:tblGrid>
      <w:tr w:rsidR="00B1597A" w:rsidRPr="00D518FF" w14:paraId="0C8EC20E" w14:textId="77777777" w:rsidTr="00B1597A">
        <w:trPr>
          <w:trHeight w:val="71"/>
        </w:trPr>
        <w:tc>
          <w:tcPr>
            <w:tcW w:w="4134" w:type="dxa"/>
            <w:shd w:val="clear" w:color="auto" w:fill="D9D9D9" w:themeFill="background1" w:themeFillShade="D9"/>
            <w:noWrap/>
            <w:hideMark/>
          </w:tcPr>
          <w:p w14:paraId="4B4B57A8" w14:textId="77777777" w:rsidR="008F3151" w:rsidRPr="00D518FF" w:rsidRDefault="008F3151">
            <w:pPr>
              <w:rPr>
                <w:rFonts w:ascii="Aptos" w:hAnsi="Aptos" w:cs="Arial"/>
                <w:b/>
                <w:bCs/>
                <w:sz w:val="16"/>
                <w:szCs w:val="16"/>
              </w:rPr>
            </w:pPr>
            <w:bookmarkStart w:id="113" w:name="_Toc131609566"/>
            <w:r w:rsidRPr="00D518FF">
              <w:rPr>
                <w:rFonts w:ascii="Aptos" w:hAnsi="Aptos" w:cs="Arial"/>
                <w:b/>
                <w:bCs/>
                <w:sz w:val="16"/>
                <w:szCs w:val="16"/>
              </w:rPr>
              <w:t>Title</w:t>
            </w:r>
          </w:p>
        </w:tc>
        <w:tc>
          <w:tcPr>
            <w:tcW w:w="3232" w:type="dxa"/>
            <w:shd w:val="clear" w:color="auto" w:fill="D9D9D9" w:themeFill="background1" w:themeFillShade="D9"/>
            <w:noWrap/>
            <w:hideMark/>
          </w:tcPr>
          <w:p w14:paraId="246EA552" w14:textId="77777777" w:rsidR="008F3151" w:rsidRPr="00D518FF" w:rsidRDefault="008F3151">
            <w:pPr>
              <w:rPr>
                <w:rFonts w:ascii="Aptos" w:hAnsi="Aptos" w:cs="Arial"/>
                <w:b/>
                <w:bCs/>
                <w:sz w:val="16"/>
                <w:szCs w:val="16"/>
              </w:rPr>
            </w:pPr>
            <w:r w:rsidRPr="00D518FF">
              <w:rPr>
                <w:rFonts w:ascii="Aptos" w:hAnsi="Aptos" w:cs="Arial"/>
                <w:b/>
                <w:bCs/>
                <w:sz w:val="16"/>
                <w:szCs w:val="16"/>
              </w:rPr>
              <w:t>Authors</w:t>
            </w:r>
          </w:p>
        </w:tc>
        <w:tc>
          <w:tcPr>
            <w:tcW w:w="567" w:type="dxa"/>
            <w:shd w:val="clear" w:color="auto" w:fill="D9D9D9" w:themeFill="background1" w:themeFillShade="D9"/>
            <w:noWrap/>
            <w:hideMark/>
          </w:tcPr>
          <w:p w14:paraId="43C8F3BC" w14:textId="77777777" w:rsidR="008F3151" w:rsidRPr="00D518FF" w:rsidRDefault="008F3151">
            <w:pPr>
              <w:rPr>
                <w:rFonts w:ascii="Aptos" w:hAnsi="Aptos" w:cs="Arial"/>
                <w:b/>
                <w:bCs/>
                <w:sz w:val="16"/>
                <w:szCs w:val="16"/>
              </w:rPr>
            </w:pPr>
            <w:r w:rsidRPr="00D518FF">
              <w:rPr>
                <w:rFonts w:ascii="Aptos" w:hAnsi="Aptos" w:cs="Arial"/>
                <w:b/>
                <w:bCs/>
                <w:sz w:val="16"/>
                <w:szCs w:val="16"/>
              </w:rPr>
              <w:t>Year</w:t>
            </w:r>
          </w:p>
        </w:tc>
        <w:tc>
          <w:tcPr>
            <w:tcW w:w="2127" w:type="dxa"/>
            <w:shd w:val="clear" w:color="auto" w:fill="D9D9D9" w:themeFill="background1" w:themeFillShade="D9"/>
            <w:noWrap/>
            <w:hideMark/>
          </w:tcPr>
          <w:p w14:paraId="0F3B4EF0" w14:textId="77777777" w:rsidR="008F3151" w:rsidRPr="00D518FF" w:rsidRDefault="008F3151">
            <w:pPr>
              <w:rPr>
                <w:rFonts w:ascii="Aptos" w:hAnsi="Aptos" w:cs="Arial"/>
                <w:b/>
                <w:bCs/>
                <w:sz w:val="16"/>
                <w:szCs w:val="16"/>
              </w:rPr>
            </w:pPr>
            <w:r w:rsidRPr="00D518FF">
              <w:rPr>
                <w:rFonts w:ascii="Aptos" w:hAnsi="Aptos" w:cs="Arial"/>
                <w:b/>
                <w:bCs/>
                <w:sz w:val="16"/>
                <w:szCs w:val="16"/>
              </w:rPr>
              <w:t>Journal</w:t>
            </w:r>
          </w:p>
        </w:tc>
        <w:tc>
          <w:tcPr>
            <w:tcW w:w="769" w:type="dxa"/>
            <w:shd w:val="clear" w:color="auto" w:fill="D9D9D9" w:themeFill="background1" w:themeFillShade="D9"/>
            <w:noWrap/>
            <w:hideMark/>
          </w:tcPr>
          <w:p w14:paraId="71500648" w14:textId="77777777" w:rsidR="008F3151" w:rsidRPr="00D518FF" w:rsidRDefault="008F3151">
            <w:pPr>
              <w:rPr>
                <w:rFonts w:ascii="Aptos" w:hAnsi="Aptos" w:cs="Arial"/>
                <w:b/>
                <w:bCs/>
                <w:sz w:val="16"/>
                <w:szCs w:val="16"/>
              </w:rPr>
            </w:pPr>
            <w:r w:rsidRPr="00D518FF">
              <w:rPr>
                <w:rFonts w:ascii="Aptos" w:hAnsi="Aptos" w:cs="Arial"/>
                <w:b/>
                <w:bCs/>
                <w:sz w:val="16"/>
                <w:szCs w:val="16"/>
              </w:rPr>
              <w:t>Volume</w:t>
            </w:r>
          </w:p>
        </w:tc>
        <w:tc>
          <w:tcPr>
            <w:tcW w:w="511" w:type="dxa"/>
            <w:shd w:val="clear" w:color="auto" w:fill="D9D9D9" w:themeFill="background1" w:themeFillShade="D9"/>
            <w:noWrap/>
            <w:hideMark/>
          </w:tcPr>
          <w:p w14:paraId="260DE1BB" w14:textId="77777777" w:rsidR="008F3151" w:rsidRPr="00D518FF" w:rsidRDefault="008F3151">
            <w:pPr>
              <w:rPr>
                <w:rFonts w:ascii="Aptos" w:hAnsi="Aptos" w:cs="Arial"/>
                <w:b/>
                <w:bCs/>
                <w:sz w:val="16"/>
                <w:szCs w:val="16"/>
              </w:rPr>
            </w:pPr>
            <w:r w:rsidRPr="00D518FF">
              <w:rPr>
                <w:rFonts w:ascii="Aptos" w:hAnsi="Aptos" w:cs="Arial"/>
                <w:b/>
                <w:bCs/>
                <w:sz w:val="16"/>
                <w:szCs w:val="16"/>
              </w:rPr>
              <w:t>Issue</w:t>
            </w:r>
          </w:p>
        </w:tc>
        <w:tc>
          <w:tcPr>
            <w:tcW w:w="749" w:type="dxa"/>
            <w:shd w:val="clear" w:color="auto" w:fill="D9D9D9" w:themeFill="background1" w:themeFillShade="D9"/>
            <w:noWrap/>
            <w:hideMark/>
          </w:tcPr>
          <w:p w14:paraId="7D999A39" w14:textId="77777777" w:rsidR="008F3151" w:rsidRPr="00D518FF" w:rsidRDefault="008F3151">
            <w:pPr>
              <w:rPr>
                <w:rFonts w:ascii="Aptos" w:hAnsi="Aptos" w:cs="Arial"/>
                <w:b/>
                <w:bCs/>
                <w:sz w:val="16"/>
                <w:szCs w:val="16"/>
              </w:rPr>
            </w:pPr>
            <w:r w:rsidRPr="00D518FF">
              <w:rPr>
                <w:rFonts w:ascii="Aptos" w:hAnsi="Aptos" w:cs="Arial"/>
                <w:b/>
                <w:bCs/>
                <w:sz w:val="16"/>
                <w:szCs w:val="16"/>
              </w:rPr>
              <w:t>Pages</w:t>
            </w:r>
          </w:p>
        </w:tc>
        <w:tc>
          <w:tcPr>
            <w:tcW w:w="2156" w:type="dxa"/>
            <w:shd w:val="clear" w:color="auto" w:fill="D9D9D9" w:themeFill="background1" w:themeFillShade="D9"/>
            <w:noWrap/>
            <w:hideMark/>
          </w:tcPr>
          <w:p w14:paraId="08BE6E01" w14:textId="77777777" w:rsidR="008F3151" w:rsidRPr="00D518FF" w:rsidRDefault="008F3151">
            <w:pPr>
              <w:rPr>
                <w:rFonts w:ascii="Aptos" w:hAnsi="Aptos" w:cs="Arial"/>
                <w:b/>
                <w:bCs/>
                <w:sz w:val="16"/>
                <w:szCs w:val="16"/>
              </w:rPr>
            </w:pPr>
            <w:r w:rsidRPr="00D518FF">
              <w:rPr>
                <w:rFonts w:ascii="Aptos" w:hAnsi="Aptos" w:cs="Arial"/>
                <w:b/>
                <w:bCs/>
                <w:sz w:val="16"/>
                <w:szCs w:val="16"/>
              </w:rPr>
              <w:t>Exclusion reason</w:t>
            </w:r>
          </w:p>
        </w:tc>
      </w:tr>
      <w:tr w:rsidR="00B1597A" w:rsidRPr="00D518FF" w14:paraId="03C3812F" w14:textId="77777777" w:rsidTr="00B1597A">
        <w:trPr>
          <w:trHeight w:val="320"/>
        </w:trPr>
        <w:tc>
          <w:tcPr>
            <w:tcW w:w="4134" w:type="dxa"/>
            <w:shd w:val="clear" w:color="auto" w:fill="auto"/>
            <w:noWrap/>
            <w:hideMark/>
          </w:tcPr>
          <w:p w14:paraId="5BB75492" w14:textId="77777777" w:rsidR="008F3151" w:rsidRPr="00D518FF" w:rsidRDefault="008F3151">
            <w:pPr>
              <w:rPr>
                <w:rFonts w:ascii="Aptos" w:hAnsi="Aptos" w:cs="Arial"/>
                <w:sz w:val="16"/>
                <w:szCs w:val="16"/>
              </w:rPr>
            </w:pPr>
            <w:r w:rsidRPr="00D518FF">
              <w:rPr>
                <w:rFonts w:ascii="Aptos" w:hAnsi="Aptos" w:cs="Arial"/>
                <w:sz w:val="16"/>
                <w:szCs w:val="16"/>
              </w:rPr>
              <w:t>Nutritional and herbal supplements for anxiety and anxiety-related disorders: Systematic review</w:t>
            </w:r>
          </w:p>
        </w:tc>
        <w:tc>
          <w:tcPr>
            <w:tcW w:w="3232" w:type="dxa"/>
            <w:shd w:val="clear" w:color="auto" w:fill="auto"/>
            <w:noWrap/>
            <w:hideMark/>
          </w:tcPr>
          <w:p w14:paraId="23345BCD" w14:textId="77777777" w:rsidR="008F3151" w:rsidRPr="00D518FF" w:rsidRDefault="008F3151">
            <w:pPr>
              <w:rPr>
                <w:rFonts w:ascii="Aptos" w:hAnsi="Aptos" w:cs="Arial"/>
                <w:sz w:val="16"/>
                <w:szCs w:val="16"/>
              </w:rPr>
            </w:pPr>
            <w:r w:rsidRPr="00D518FF">
              <w:rPr>
                <w:rFonts w:ascii="Aptos" w:hAnsi="Aptos" w:cs="Arial"/>
                <w:sz w:val="16"/>
                <w:szCs w:val="16"/>
              </w:rPr>
              <w:t>Lakhan, S. E.; Vieira, K. F.</w:t>
            </w:r>
          </w:p>
        </w:tc>
        <w:tc>
          <w:tcPr>
            <w:tcW w:w="567" w:type="dxa"/>
            <w:shd w:val="clear" w:color="auto" w:fill="auto"/>
            <w:noWrap/>
            <w:hideMark/>
          </w:tcPr>
          <w:p w14:paraId="2AB29D7E" w14:textId="77777777" w:rsidR="008F3151" w:rsidRPr="00D518FF" w:rsidRDefault="008F3151">
            <w:pPr>
              <w:rPr>
                <w:rFonts w:ascii="Aptos" w:hAnsi="Aptos" w:cs="Arial"/>
                <w:sz w:val="16"/>
                <w:szCs w:val="16"/>
              </w:rPr>
            </w:pPr>
            <w:r w:rsidRPr="00D518FF">
              <w:rPr>
                <w:rFonts w:ascii="Aptos" w:hAnsi="Aptos" w:cs="Arial"/>
                <w:sz w:val="16"/>
                <w:szCs w:val="16"/>
              </w:rPr>
              <w:t>2010</w:t>
            </w:r>
          </w:p>
        </w:tc>
        <w:tc>
          <w:tcPr>
            <w:tcW w:w="2127" w:type="dxa"/>
            <w:shd w:val="clear" w:color="auto" w:fill="auto"/>
            <w:noWrap/>
            <w:hideMark/>
          </w:tcPr>
          <w:p w14:paraId="2150B255" w14:textId="77777777" w:rsidR="008F3151" w:rsidRPr="00D518FF" w:rsidRDefault="008F3151">
            <w:pPr>
              <w:rPr>
                <w:rFonts w:ascii="Aptos" w:hAnsi="Aptos" w:cs="Arial"/>
                <w:sz w:val="16"/>
                <w:szCs w:val="16"/>
              </w:rPr>
            </w:pPr>
            <w:r w:rsidRPr="00D518FF">
              <w:rPr>
                <w:rFonts w:ascii="Aptos" w:hAnsi="Aptos" w:cs="Arial"/>
                <w:sz w:val="16"/>
                <w:szCs w:val="16"/>
              </w:rPr>
              <w:t>Nutrition journal</w:t>
            </w:r>
          </w:p>
        </w:tc>
        <w:tc>
          <w:tcPr>
            <w:tcW w:w="769" w:type="dxa"/>
            <w:shd w:val="clear" w:color="auto" w:fill="auto"/>
            <w:noWrap/>
            <w:hideMark/>
          </w:tcPr>
          <w:p w14:paraId="2FD62C44" w14:textId="77777777" w:rsidR="008F3151" w:rsidRPr="00D518FF" w:rsidRDefault="008F3151">
            <w:pPr>
              <w:rPr>
                <w:rFonts w:ascii="Aptos" w:hAnsi="Aptos" w:cs="Arial"/>
                <w:sz w:val="16"/>
                <w:szCs w:val="16"/>
              </w:rPr>
            </w:pPr>
            <w:r w:rsidRPr="00D518FF">
              <w:rPr>
                <w:rFonts w:ascii="Aptos" w:hAnsi="Aptos" w:cs="Arial"/>
                <w:sz w:val="16"/>
                <w:szCs w:val="16"/>
              </w:rPr>
              <w:t>9</w:t>
            </w:r>
          </w:p>
        </w:tc>
        <w:tc>
          <w:tcPr>
            <w:tcW w:w="511" w:type="dxa"/>
            <w:shd w:val="clear" w:color="auto" w:fill="auto"/>
            <w:noWrap/>
            <w:hideMark/>
          </w:tcPr>
          <w:p w14:paraId="466CE7D2" w14:textId="77777777" w:rsidR="008F3151" w:rsidRPr="00D518FF" w:rsidRDefault="008F3151">
            <w:pPr>
              <w:rPr>
                <w:rFonts w:ascii="Aptos" w:hAnsi="Aptos" w:cs="Arial"/>
                <w:sz w:val="16"/>
                <w:szCs w:val="16"/>
              </w:rPr>
            </w:pPr>
            <w:r w:rsidRPr="00D518FF">
              <w:rPr>
                <w:rFonts w:ascii="Aptos" w:hAnsi="Aptos" w:cs="Arial"/>
                <w:sz w:val="16"/>
                <w:szCs w:val="16"/>
              </w:rPr>
              <w:t>1</w:t>
            </w:r>
          </w:p>
        </w:tc>
        <w:tc>
          <w:tcPr>
            <w:tcW w:w="749" w:type="dxa"/>
            <w:shd w:val="clear" w:color="auto" w:fill="auto"/>
            <w:noWrap/>
            <w:hideMark/>
          </w:tcPr>
          <w:p w14:paraId="5B064931" w14:textId="77777777" w:rsidR="008F3151" w:rsidRPr="00D518FF" w:rsidRDefault="008F3151">
            <w:pPr>
              <w:rPr>
                <w:rFonts w:ascii="Aptos" w:hAnsi="Aptos" w:cs="Arial"/>
                <w:sz w:val="16"/>
                <w:szCs w:val="16"/>
              </w:rPr>
            </w:pPr>
            <w:r w:rsidRPr="00D518FF">
              <w:rPr>
                <w:rFonts w:ascii="Aptos" w:hAnsi="Aptos" w:cs="Arial"/>
                <w:sz w:val="16"/>
                <w:szCs w:val="16"/>
              </w:rPr>
              <w:t>42</w:t>
            </w:r>
          </w:p>
        </w:tc>
        <w:tc>
          <w:tcPr>
            <w:tcW w:w="2156" w:type="dxa"/>
            <w:shd w:val="clear" w:color="auto" w:fill="auto"/>
            <w:noWrap/>
            <w:hideMark/>
          </w:tcPr>
          <w:p w14:paraId="1B32B7D7"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B1597A" w:rsidRPr="00D518FF" w14:paraId="10C9B31C" w14:textId="77777777" w:rsidTr="00B1597A">
        <w:trPr>
          <w:trHeight w:val="320"/>
        </w:trPr>
        <w:tc>
          <w:tcPr>
            <w:tcW w:w="4134" w:type="dxa"/>
            <w:shd w:val="clear" w:color="auto" w:fill="auto"/>
            <w:noWrap/>
            <w:hideMark/>
          </w:tcPr>
          <w:p w14:paraId="7E3FA5E3" w14:textId="77777777" w:rsidR="008F3151" w:rsidRPr="00D518FF" w:rsidRDefault="008F3151">
            <w:pPr>
              <w:rPr>
                <w:rFonts w:ascii="Aptos" w:hAnsi="Aptos"/>
                <w:color w:val="000000"/>
                <w:sz w:val="16"/>
                <w:szCs w:val="16"/>
              </w:rPr>
            </w:pPr>
            <w:r w:rsidRPr="00D518FF">
              <w:rPr>
                <w:rFonts w:ascii="Aptos" w:hAnsi="Aptos"/>
                <w:color w:val="000000"/>
                <w:sz w:val="16"/>
                <w:szCs w:val="16"/>
              </w:rPr>
              <w:t>Complementary medicine, exercise, meditation, diet, and lifestyle modification for anxiety disorders: A review of current evidence</w:t>
            </w:r>
          </w:p>
        </w:tc>
        <w:tc>
          <w:tcPr>
            <w:tcW w:w="3232" w:type="dxa"/>
            <w:shd w:val="clear" w:color="auto" w:fill="auto"/>
            <w:noWrap/>
            <w:hideMark/>
          </w:tcPr>
          <w:p w14:paraId="6ACBF00C" w14:textId="77777777" w:rsidR="008F3151" w:rsidRPr="00D518FF" w:rsidRDefault="008F3151">
            <w:pPr>
              <w:rPr>
                <w:rFonts w:ascii="Aptos" w:hAnsi="Aptos"/>
                <w:color w:val="000000"/>
                <w:sz w:val="16"/>
                <w:szCs w:val="16"/>
              </w:rPr>
            </w:pPr>
            <w:r w:rsidRPr="00D518FF">
              <w:rPr>
                <w:rFonts w:ascii="Aptos" w:hAnsi="Aptos"/>
                <w:color w:val="000000"/>
                <w:sz w:val="16"/>
                <w:szCs w:val="16"/>
              </w:rPr>
              <w:t>Sarris, J.; Moylan, S.; Camfield, D. A.; Pase, M. P.; Mischoulon, D.; Berk, M.; Jacka, F. N.; Schweitzer, I.</w:t>
            </w:r>
          </w:p>
        </w:tc>
        <w:tc>
          <w:tcPr>
            <w:tcW w:w="567" w:type="dxa"/>
            <w:shd w:val="clear" w:color="auto" w:fill="auto"/>
            <w:noWrap/>
            <w:hideMark/>
          </w:tcPr>
          <w:p w14:paraId="2CC4DC7E" w14:textId="77777777" w:rsidR="008F3151" w:rsidRPr="00D518FF" w:rsidRDefault="008F3151">
            <w:pPr>
              <w:rPr>
                <w:rFonts w:ascii="Aptos" w:hAnsi="Aptos"/>
                <w:color w:val="000000"/>
                <w:sz w:val="16"/>
                <w:szCs w:val="16"/>
              </w:rPr>
            </w:pPr>
            <w:r w:rsidRPr="00D518FF">
              <w:rPr>
                <w:rFonts w:ascii="Aptos" w:hAnsi="Aptos"/>
                <w:color w:val="000000"/>
                <w:sz w:val="16"/>
                <w:szCs w:val="16"/>
              </w:rPr>
              <w:t>2012</w:t>
            </w:r>
          </w:p>
        </w:tc>
        <w:tc>
          <w:tcPr>
            <w:tcW w:w="2127" w:type="dxa"/>
            <w:shd w:val="clear" w:color="auto" w:fill="auto"/>
            <w:noWrap/>
            <w:hideMark/>
          </w:tcPr>
          <w:p w14:paraId="174BA96A" w14:textId="77777777" w:rsidR="008F3151" w:rsidRPr="00D518FF" w:rsidRDefault="008F3151">
            <w:pPr>
              <w:rPr>
                <w:rFonts w:ascii="Aptos" w:hAnsi="Aptos"/>
                <w:color w:val="000000"/>
                <w:sz w:val="16"/>
                <w:szCs w:val="16"/>
              </w:rPr>
            </w:pPr>
            <w:r w:rsidRPr="00D518FF">
              <w:rPr>
                <w:rFonts w:ascii="Aptos" w:hAnsi="Aptos"/>
                <w:color w:val="000000"/>
                <w:sz w:val="16"/>
                <w:szCs w:val="16"/>
              </w:rPr>
              <w:t>Evidence-based Complementary and Alternative Medicine</w:t>
            </w:r>
          </w:p>
        </w:tc>
        <w:tc>
          <w:tcPr>
            <w:tcW w:w="769" w:type="dxa"/>
            <w:shd w:val="clear" w:color="auto" w:fill="auto"/>
            <w:noWrap/>
            <w:hideMark/>
          </w:tcPr>
          <w:p w14:paraId="4CAF009A" w14:textId="77777777" w:rsidR="008F3151" w:rsidRPr="00D518FF" w:rsidRDefault="008F3151">
            <w:pPr>
              <w:rPr>
                <w:rFonts w:ascii="Aptos" w:hAnsi="Aptos"/>
                <w:color w:val="000000"/>
                <w:sz w:val="16"/>
                <w:szCs w:val="16"/>
              </w:rPr>
            </w:pPr>
            <w:r w:rsidRPr="00D518FF">
              <w:rPr>
                <w:rFonts w:ascii="Aptos" w:hAnsi="Aptos"/>
                <w:color w:val="000000"/>
                <w:sz w:val="16"/>
                <w:szCs w:val="16"/>
              </w:rPr>
              <w:t>2012</w:t>
            </w:r>
          </w:p>
        </w:tc>
        <w:tc>
          <w:tcPr>
            <w:tcW w:w="511" w:type="dxa"/>
            <w:shd w:val="clear" w:color="auto" w:fill="auto"/>
            <w:noWrap/>
            <w:hideMark/>
          </w:tcPr>
          <w:p w14:paraId="70B6FD84" w14:textId="7147B0FE" w:rsidR="008F3151" w:rsidRPr="00D518FF" w:rsidRDefault="00387EF3">
            <w:pPr>
              <w:rPr>
                <w:rFonts w:ascii="Aptos" w:hAnsi="Aptos"/>
                <w:color w:val="000000"/>
                <w:sz w:val="16"/>
                <w:szCs w:val="16"/>
              </w:rPr>
            </w:pPr>
            <w:r>
              <w:rPr>
                <w:rFonts w:ascii="Aptos" w:hAnsi="Aptos"/>
                <w:color w:val="000000"/>
                <w:sz w:val="16"/>
                <w:szCs w:val="16"/>
              </w:rPr>
              <w:t>-</w:t>
            </w:r>
          </w:p>
        </w:tc>
        <w:tc>
          <w:tcPr>
            <w:tcW w:w="749" w:type="dxa"/>
            <w:shd w:val="clear" w:color="auto" w:fill="auto"/>
            <w:noWrap/>
            <w:hideMark/>
          </w:tcPr>
          <w:p w14:paraId="3728AE89" w14:textId="77777777" w:rsidR="008F3151" w:rsidRPr="00D518FF" w:rsidRDefault="008F3151">
            <w:pPr>
              <w:rPr>
                <w:rFonts w:ascii="Aptos" w:hAnsi="Aptos"/>
                <w:color w:val="000000"/>
                <w:sz w:val="16"/>
                <w:szCs w:val="16"/>
              </w:rPr>
            </w:pPr>
            <w:r w:rsidRPr="00D518FF">
              <w:rPr>
                <w:rFonts w:ascii="Aptos" w:hAnsi="Aptos"/>
                <w:color w:val="000000"/>
                <w:sz w:val="16"/>
                <w:szCs w:val="16"/>
              </w:rPr>
              <w:t>809653</w:t>
            </w:r>
          </w:p>
        </w:tc>
        <w:tc>
          <w:tcPr>
            <w:tcW w:w="2156" w:type="dxa"/>
            <w:shd w:val="clear" w:color="auto" w:fill="auto"/>
            <w:noWrap/>
            <w:hideMark/>
          </w:tcPr>
          <w:p w14:paraId="2EBC81BB"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B1597A" w:rsidRPr="00D518FF" w14:paraId="6B36B6C3" w14:textId="77777777" w:rsidTr="00B1597A">
        <w:trPr>
          <w:trHeight w:val="320"/>
        </w:trPr>
        <w:tc>
          <w:tcPr>
            <w:tcW w:w="4134" w:type="dxa"/>
            <w:shd w:val="clear" w:color="auto" w:fill="auto"/>
            <w:noWrap/>
            <w:hideMark/>
          </w:tcPr>
          <w:p w14:paraId="24E8FA49" w14:textId="77777777" w:rsidR="008F3151" w:rsidRPr="00D518FF" w:rsidRDefault="008F3151">
            <w:pPr>
              <w:rPr>
                <w:rFonts w:ascii="Aptos" w:hAnsi="Aptos"/>
                <w:color w:val="000000"/>
                <w:sz w:val="16"/>
                <w:szCs w:val="16"/>
              </w:rPr>
            </w:pPr>
            <w:r w:rsidRPr="00D518FF">
              <w:rPr>
                <w:rFonts w:ascii="Aptos" w:hAnsi="Aptos"/>
                <w:color w:val="000000"/>
                <w:sz w:val="16"/>
                <w:szCs w:val="16"/>
              </w:rPr>
              <w:t>The Role and the Effect of Magnesium in Mental Disorders: A Systematic Review</w:t>
            </w:r>
          </w:p>
        </w:tc>
        <w:tc>
          <w:tcPr>
            <w:tcW w:w="3232" w:type="dxa"/>
            <w:shd w:val="clear" w:color="auto" w:fill="auto"/>
            <w:noWrap/>
            <w:hideMark/>
          </w:tcPr>
          <w:p w14:paraId="18D69671" w14:textId="77777777" w:rsidR="008F3151" w:rsidRPr="00D518FF" w:rsidRDefault="008F3151">
            <w:pPr>
              <w:rPr>
                <w:rFonts w:ascii="Aptos" w:hAnsi="Aptos"/>
                <w:color w:val="000000"/>
                <w:sz w:val="16"/>
                <w:szCs w:val="16"/>
              </w:rPr>
            </w:pPr>
            <w:r w:rsidRPr="00D518FF">
              <w:rPr>
                <w:rFonts w:ascii="Aptos" w:hAnsi="Aptos"/>
                <w:color w:val="000000"/>
                <w:sz w:val="16"/>
                <w:szCs w:val="16"/>
              </w:rPr>
              <w:t>Botturi, A.; Ciappolino, V.; Delvecchio, G.; Boscutti, A.; Viscardi, B.; Brambilla, P.</w:t>
            </w:r>
          </w:p>
        </w:tc>
        <w:tc>
          <w:tcPr>
            <w:tcW w:w="567" w:type="dxa"/>
            <w:shd w:val="clear" w:color="auto" w:fill="auto"/>
            <w:noWrap/>
            <w:hideMark/>
          </w:tcPr>
          <w:p w14:paraId="7B56314F"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2127" w:type="dxa"/>
            <w:shd w:val="clear" w:color="auto" w:fill="auto"/>
            <w:noWrap/>
            <w:hideMark/>
          </w:tcPr>
          <w:p w14:paraId="34AE8FBF"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769" w:type="dxa"/>
            <w:shd w:val="clear" w:color="auto" w:fill="auto"/>
            <w:noWrap/>
            <w:hideMark/>
          </w:tcPr>
          <w:p w14:paraId="27CD6988"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511" w:type="dxa"/>
            <w:shd w:val="clear" w:color="auto" w:fill="auto"/>
            <w:noWrap/>
            <w:hideMark/>
          </w:tcPr>
          <w:p w14:paraId="0E564367"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749" w:type="dxa"/>
            <w:shd w:val="clear" w:color="auto" w:fill="auto"/>
            <w:noWrap/>
            <w:hideMark/>
          </w:tcPr>
          <w:p w14:paraId="1E64745A" w14:textId="08290CC6" w:rsidR="008F3151" w:rsidRPr="00D518FF" w:rsidRDefault="00387EF3">
            <w:pPr>
              <w:rPr>
                <w:rFonts w:ascii="Aptos" w:hAnsi="Aptos"/>
                <w:color w:val="000000"/>
                <w:sz w:val="16"/>
                <w:szCs w:val="16"/>
              </w:rPr>
            </w:pPr>
            <w:r>
              <w:rPr>
                <w:rFonts w:ascii="Aptos" w:hAnsi="Aptos"/>
                <w:color w:val="000000"/>
                <w:sz w:val="16"/>
                <w:szCs w:val="16"/>
              </w:rPr>
              <w:t>1661</w:t>
            </w:r>
          </w:p>
        </w:tc>
        <w:tc>
          <w:tcPr>
            <w:tcW w:w="2156" w:type="dxa"/>
            <w:shd w:val="clear" w:color="auto" w:fill="auto"/>
            <w:noWrap/>
            <w:hideMark/>
          </w:tcPr>
          <w:p w14:paraId="0ED06170"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B1597A" w:rsidRPr="00D518FF" w14:paraId="4EC1388F" w14:textId="77777777" w:rsidTr="00B1597A">
        <w:trPr>
          <w:trHeight w:val="320"/>
        </w:trPr>
        <w:tc>
          <w:tcPr>
            <w:tcW w:w="4134" w:type="dxa"/>
            <w:shd w:val="clear" w:color="auto" w:fill="auto"/>
            <w:noWrap/>
            <w:hideMark/>
          </w:tcPr>
          <w:p w14:paraId="2D0E5612"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effects of magnesium supplementation on subjective stress and anxiety: A systematic review</w:t>
            </w:r>
          </w:p>
        </w:tc>
        <w:tc>
          <w:tcPr>
            <w:tcW w:w="3232" w:type="dxa"/>
            <w:shd w:val="clear" w:color="auto" w:fill="auto"/>
            <w:noWrap/>
            <w:hideMark/>
          </w:tcPr>
          <w:p w14:paraId="1A08B480" w14:textId="3A48B3DB" w:rsidR="008F3151" w:rsidRPr="00D518FF" w:rsidRDefault="008F3151">
            <w:pPr>
              <w:rPr>
                <w:rFonts w:ascii="Aptos" w:hAnsi="Aptos"/>
                <w:color w:val="000000"/>
                <w:sz w:val="16"/>
                <w:szCs w:val="16"/>
              </w:rPr>
            </w:pPr>
            <w:r w:rsidRPr="00D518FF">
              <w:rPr>
                <w:rFonts w:ascii="Aptos" w:hAnsi="Aptos"/>
                <w:color w:val="000000"/>
                <w:sz w:val="16"/>
                <w:szCs w:val="16"/>
              </w:rPr>
              <w:t>Boyle, N.; Lawton, C.; Dye, L.</w:t>
            </w:r>
          </w:p>
        </w:tc>
        <w:tc>
          <w:tcPr>
            <w:tcW w:w="567" w:type="dxa"/>
            <w:shd w:val="clear" w:color="auto" w:fill="auto"/>
            <w:noWrap/>
            <w:hideMark/>
          </w:tcPr>
          <w:p w14:paraId="5B0162AC" w14:textId="767FFBC8" w:rsidR="008F3151" w:rsidRPr="00D518FF" w:rsidRDefault="008F3151">
            <w:pPr>
              <w:rPr>
                <w:rFonts w:ascii="Aptos" w:hAnsi="Aptos"/>
                <w:color w:val="000000"/>
                <w:sz w:val="16"/>
                <w:szCs w:val="16"/>
              </w:rPr>
            </w:pPr>
            <w:r w:rsidRPr="00D518FF">
              <w:rPr>
                <w:rFonts w:ascii="Aptos" w:hAnsi="Aptos"/>
                <w:color w:val="000000"/>
                <w:sz w:val="16"/>
                <w:szCs w:val="16"/>
              </w:rPr>
              <w:t>201</w:t>
            </w:r>
            <w:r w:rsidR="002A4370">
              <w:rPr>
                <w:rFonts w:ascii="Aptos" w:hAnsi="Aptos"/>
                <w:color w:val="000000"/>
                <w:sz w:val="16"/>
                <w:szCs w:val="16"/>
              </w:rPr>
              <w:t>7</w:t>
            </w:r>
          </w:p>
        </w:tc>
        <w:tc>
          <w:tcPr>
            <w:tcW w:w="2127" w:type="dxa"/>
            <w:shd w:val="clear" w:color="auto" w:fill="auto"/>
            <w:noWrap/>
            <w:hideMark/>
          </w:tcPr>
          <w:p w14:paraId="5F3347F5" w14:textId="37B502EF" w:rsidR="008F3151" w:rsidRPr="00D518FF" w:rsidRDefault="00387EF3">
            <w:pPr>
              <w:rPr>
                <w:rFonts w:ascii="Aptos" w:hAnsi="Aptos"/>
                <w:color w:val="000000"/>
                <w:sz w:val="16"/>
                <w:szCs w:val="16"/>
              </w:rPr>
            </w:pPr>
            <w:r>
              <w:rPr>
                <w:rFonts w:ascii="Aptos" w:hAnsi="Aptos"/>
                <w:color w:val="000000"/>
                <w:sz w:val="16"/>
                <w:szCs w:val="16"/>
              </w:rPr>
              <w:t>Nutrients</w:t>
            </w:r>
          </w:p>
        </w:tc>
        <w:tc>
          <w:tcPr>
            <w:tcW w:w="769" w:type="dxa"/>
            <w:shd w:val="clear" w:color="auto" w:fill="FFF2CC" w:themeFill="accent4" w:themeFillTint="33"/>
          </w:tcPr>
          <w:p w14:paraId="4D5C7C49" w14:textId="322CFC71" w:rsidR="008F3151" w:rsidRPr="00D518FF" w:rsidRDefault="002A4370">
            <w:pPr>
              <w:rPr>
                <w:rFonts w:ascii="Aptos" w:hAnsi="Aptos"/>
                <w:color w:val="000000"/>
                <w:sz w:val="16"/>
                <w:szCs w:val="16"/>
              </w:rPr>
            </w:pPr>
            <w:r>
              <w:rPr>
                <w:rFonts w:ascii="Aptos" w:hAnsi="Aptos"/>
                <w:color w:val="000000"/>
                <w:sz w:val="16"/>
                <w:szCs w:val="16"/>
              </w:rPr>
              <w:t>9</w:t>
            </w:r>
          </w:p>
        </w:tc>
        <w:tc>
          <w:tcPr>
            <w:tcW w:w="511" w:type="dxa"/>
            <w:shd w:val="clear" w:color="auto" w:fill="FFF2CC" w:themeFill="accent4" w:themeFillTint="33"/>
            <w:noWrap/>
            <w:hideMark/>
          </w:tcPr>
          <w:p w14:paraId="7018E724" w14:textId="1B8F03BC" w:rsidR="008F3151" w:rsidRPr="00D518FF" w:rsidRDefault="002A4370">
            <w:pPr>
              <w:rPr>
                <w:rFonts w:ascii="Aptos" w:hAnsi="Aptos"/>
                <w:color w:val="000000"/>
                <w:sz w:val="16"/>
                <w:szCs w:val="16"/>
              </w:rPr>
            </w:pPr>
            <w:r>
              <w:rPr>
                <w:rFonts w:ascii="Aptos" w:hAnsi="Aptos"/>
                <w:color w:val="000000"/>
                <w:sz w:val="16"/>
                <w:szCs w:val="16"/>
              </w:rPr>
              <w:t>5</w:t>
            </w:r>
          </w:p>
        </w:tc>
        <w:tc>
          <w:tcPr>
            <w:tcW w:w="749" w:type="dxa"/>
            <w:shd w:val="clear" w:color="auto" w:fill="auto"/>
            <w:noWrap/>
            <w:hideMark/>
          </w:tcPr>
          <w:p w14:paraId="06683C21" w14:textId="04D2ECB8" w:rsidR="008F3151" w:rsidRPr="00D518FF" w:rsidRDefault="002A4370">
            <w:pPr>
              <w:rPr>
                <w:rFonts w:ascii="Aptos" w:hAnsi="Aptos"/>
                <w:color w:val="000000"/>
                <w:sz w:val="16"/>
                <w:szCs w:val="16"/>
              </w:rPr>
            </w:pPr>
            <w:r>
              <w:rPr>
                <w:rFonts w:ascii="Aptos" w:hAnsi="Aptos"/>
                <w:color w:val="000000"/>
                <w:sz w:val="16"/>
                <w:szCs w:val="16"/>
              </w:rPr>
              <w:t>429</w:t>
            </w:r>
          </w:p>
        </w:tc>
        <w:tc>
          <w:tcPr>
            <w:tcW w:w="2156" w:type="dxa"/>
            <w:shd w:val="clear" w:color="auto" w:fill="auto"/>
            <w:noWrap/>
            <w:hideMark/>
          </w:tcPr>
          <w:p w14:paraId="67D76EC4"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B1597A" w:rsidRPr="00D518FF" w14:paraId="61244592" w14:textId="77777777" w:rsidTr="00B1597A">
        <w:trPr>
          <w:trHeight w:val="320"/>
        </w:trPr>
        <w:tc>
          <w:tcPr>
            <w:tcW w:w="4134" w:type="dxa"/>
            <w:shd w:val="clear" w:color="auto" w:fill="auto"/>
            <w:noWrap/>
            <w:hideMark/>
          </w:tcPr>
          <w:p w14:paraId="65A39A3E" w14:textId="77777777" w:rsidR="008F3151" w:rsidRPr="00D518FF" w:rsidRDefault="008F3151">
            <w:pPr>
              <w:rPr>
                <w:rFonts w:ascii="Aptos" w:hAnsi="Aptos"/>
                <w:color w:val="000000"/>
                <w:sz w:val="16"/>
                <w:szCs w:val="16"/>
              </w:rPr>
            </w:pPr>
            <w:r w:rsidRPr="00D518FF">
              <w:rPr>
                <w:rFonts w:ascii="Aptos" w:hAnsi="Aptos"/>
                <w:color w:val="000000"/>
                <w:sz w:val="16"/>
                <w:szCs w:val="16"/>
              </w:rPr>
              <w:t>The impact of essential fatty acid, B vitamins, vitamin C, magnesium and zinc supplementation on stress levels in women: a systematic review</w:t>
            </w:r>
          </w:p>
        </w:tc>
        <w:tc>
          <w:tcPr>
            <w:tcW w:w="3232" w:type="dxa"/>
            <w:shd w:val="clear" w:color="auto" w:fill="auto"/>
            <w:noWrap/>
            <w:hideMark/>
          </w:tcPr>
          <w:p w14:paraId="506123A0" w14:textId="77777777" w:rsidR="008F3151" w:rsidRPr="00D518FF" w:rsidRDefault="008F3151">
            <w:pPr>
              <w:rPr>
                <w:rFonts w:ascii="Aptos" w:hAnsi="Aptos"/>
                <w:color w:val="000000"/>
                <w:sz w:val="16"/>
                <w:szCs w:val="16"/>
              </w:rPr>
            </w:pPr>
            <w:r w:rsidRPr="00D518FF">
              <w:rPr>
                <w:rFonts w:ascii="Aptos" w:hAnsi="Aptos"/>
                <w:color w:val="000000"/>
                <w:sz w:val="16"/>
                <w:szCs w:val="16"/>
              </w:rPr>
              <w:t>McCabe, D.; Lisy, K.; Lockwood, C.; Colbeck, M.</w:t>
            </w:r>
          </w:p>
        </w:tc>
        <w:tc>
          <w:tcPr>
            <w:tcW w:w="567" w:type="dxa"/>
            <w:shd w:val="clear" w:color="auto" w:fill="auto"/>
            <w:noWrap/>
            <w:hideMark/>
          </w:tcPr>
          <w:p w14:paraId="39A08891"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2127" w:type="dxa"/>
            <w:shd w:val="clear" w:color="auto" w:fill="auto"/>
            <w:noWrap/>
            <w:hideMark/>
          </w:tcPr>
          <w:p w14:paraId="5EA3FB8A" w14:textId="77777777" w:rsidR="008F3151" w:rsidRPr="00D518FF" w:rsidRDefault="008F3151">
            <w:pPr>
              <w:rPr>
                <w:rFonts w:ascii="Aptos" w:hAnsi="Aptos"/>
                <w:color w:val="000000"/>
                <w:sz w:val="16"/>
                <w:szCs w:val="16"/>
              </w:rPr>
            </w:pPr>
            <w:r w:rsidRPr="00D518FF">
              <w:rPr>
                <w:rFonts w:ascii="Aptos" w:hAnsi="Aptos"/>
                <w:color w:val="000000"/>
                <w:sz w:val="16"/>
                <w:szCs w:val="16"/>
              </w:rPr>
              <w:t>JBI database of systematic reviews and implementation reports</w:t>
            </w:r>
          </w:p>
        </w:tc>
        <w:tc>
          <w:tcPr>
            <w:tcW w:w="769" w:type="dxa"/>
            <w:shd w:val="clear" w:color="auto" w:fill="auto"/>
            <w:noWrap/>
            <w:hideMark/>
          </w:tcPr>
          <w:p w14:paraId="53F5C74E" w14:textId="77777777" w:rsidR="008F3151" w:rsidRPr="00D518FF" w:rsidRDefault="008F3151">
            <w:pPr>
              <w:rPr>
                <w:rFonts w:ascii="Aptos" w:hAnsi="Aptos"/>
                <w:color w:val="000000"/>
                <w:sz w:val="16"/>
                <w:szCs w:val="16"/>
              </w:rPr>
            </w:pPr>
            <w:r w:rsidRPr="00D518FF">
              <w:rPr>
                <w:rFonts w:ascii="Aptos" w:hAnsi="Aptos"/>
                <w:color w:val="000000"/>
                <w:sz w:val="16"/>
                <w:szCs w:val="16"/>
              </w:rPr>
              <w:t>15</w:t>
            </w:r>
          </w:p>
        </w:tc>
        <w:tc>
          <w:tcPr>
            <w:tcW w:w="511" w:type="dxa"/>
            <w:shd w:val="clear" w:color="auto" w:fill="auto"/>
            <w:noWrap/>
            <w:hideMark/>
          </w:tcPr>
          <w:p w14:paraId="16EBE3F0"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49" w:type="dxa"/>
            <w:shd w:val="clear" w:color="auto" w:fill="auto"/>
            <w:noWrap/>
            <w:hideMark/>
          </w:tcPr>
          <w:p w14:paraId="7294378A" w14:textId="77777777" w:rsidR="008F3151" w:rsidRPr="00D518FF" w:rsidRDefault="008F3151">
            <w:pPr>
              <w:rPr>
                <w:rFonts w:ascii="Aptos" w:hAnsi="Aptos"/>
                <w:color w:val="000000"/>
                <w:sz w:val="16"/>
                <w:szCs w:val="16"/>
              </w:rPr>
            </w:pPr>
            <w:r w:rsidRPr="00D518FF">
              <w:rPr>
                <w:rFonts w:ascii="Aptos" w:hAnsi="Aptos"/>
                <w:color w:val="000000"/>
                <w:sz w:val="16"/>
                <w:szCs w:val="16"/>
              </w:rPr>
              <w:t>402-453</w:t>
            </w:r>
          </w:p>
        </w:tc>
        <w:tc>
          <w:tcPr>
            <w:tcW w:w="2156" w:type="dxa"/>
            <w:shd w:val="clear" w:color="auto" w:fill="auto"/>
            <w:hideMark/>
          </w:tcPr>
          <w:p w14:paraId="3B23A2AB"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p>
        </w:tc>
      </w:tr>
      <w:tr w:rsidR="00B1597A" w:rsidRPr="00D518FF" w14:paraId="23EE0884" w14:textId="77777777" w:rsidTr="00B1597A">
        <w:trPr>
          <w:trHeight w:val="320"/>
        </w:trPr>
        <w:tc>
          <w:tcPr>
            <w:tcW w:w="4134" w:type="dxa"/>
            <w:shd w:val="clear" w:color="auto" w:fill="auto"/>
            <w:noWrap/>
            <w:hideMark/>
          </w:tcPr>
          <w:p w14:paraId="478DEEDF" w14:textId="77777777" w:rsidR="008F3151" w:rsidRPr="00D518FF" w:rsidRDefault="008F3151">
            <w:pPr>
              <w:rPr>
                <w:rFonts w:ascii="Aptos" w:hAnsi="Aptos"/>
                <w:color w:val="000000"/>
                <w:sz w:val="16"/>
                <w:szCs w:val="16"/>
              </w:rPr>
            </w:pPr>
            <w:r w:rsidRPr="00D518FF">
              <w:rPr>
                <w:rFonts w:ascii="Aptos" w:hAnsi="Aptos"/>
                <w:color w:val="000000"/>
                <w:sz w:val="16"/>
                <w:szCs w:val="16"/>
              </w:rPr>
              <w:t>Protective role of antioxidant supplementation for depression and anxiety: A meta-analysis of randomized clinical trials</w:t>
            </w:r>
          </w:p>
        </w:tc>
        <w:tc>
          <w:tcPr>
            <w:tcW w:w="3232" w:type="dxa"/>
            <w:shd w:val="clear" w:color="auto" w:fill="auto"/>
            <w:noWrap/>
            <w:hideMark/>
          </w:tcPr>
          <w:p w14:paraId="2B11AC04" w14:textId="77777777" w:rsidR="008F3151" w:rsidRPr="00D518FF" w:rsidRDefault="008F3151">
            <w:pPr>
              <w:rPr>
                <w:rFonts w:ascii="Aptos" w:hAnsi="Aptos"/>
                <w:color w:val="000000"/>
                <w:sz w:val="16"/>
                <w:szCs w:val="16"/>
              </w:rPr>
            </w:pPr>
            <w:r w:rsidRPr="00D518FF">
              <w:rPr>
                <w:rFonts w:ascii="Aptos" w:hAnsi="Aptos"/>
                <w:color w:val="000000"/>
                <w:sz w:val="16"/>
                <w:szCs w:val="16"/>
              </w:rPr>
              <w:t>Wang, H.; Jin, M.; Xie, M.; Yang, Y.; Xue, F.; Li, W.; Zhang, M.; Li, Z.; Li, X.; Jia, N.; Liu, Y.; Cui, X.; Hu, G.; Dong, L.; Wang, G.; Yu, Q.</w:t>
            </w:r>
          </w:p>
        </w:tc>
        <w:tc>
          <w:tcPr>
            <w:tcW w:w="567" w:type="dxa"/>
            <w:shd w:val="clear" w:color="auto" w:fill="auto"/>
            <w:noWrap/>
            <w:hideMark/>
          </w:tcPr>
          <w:p w14:paraId="6000E879"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2127" w:type="dxa"/>
            <w:shd w:val="clear" w:color="auto" w:fill="auto"/>
            <w:noWrap/>
            <w:hideMark/>
          </w:tcPr>
          <w:p w14:paraId="1DE34DB0"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769" w:type="dxa"/>
            <w:shd w:val="clear" w:color="auto" w:fill="auto"/>
            <w:noWrap/>
            <w:hideMark/>
          </w:tcPr>
          <w:p w14:paraId="342829B6" w14:textId="77777777" w:rsidR="008F3151" w:rsidRPr="00D518FF" w:rsidRDefault="008F3151">
            <w:pPr>
              <w:rPr>
                <w:rFonts w:ascii="Aptos" w:hAnsi="Aptos"/>
                <w:color w:val="000000"/>
                <w:sz w:val="16"/>
                <w:szCs w:val="16"/>
              </w:rPr>
            </w:pPr>
            <w:r w:rsidRPr="00D518FF">
              <w:rPr>
                <w:rFonts w:ascii="Aptos" w:hAnsi="Aptos"/>
                <w:color w:val="000000"/>
                <w:sz w:val="16"/>
                <w:szCs w:val="16"/>
              </w:rPr>
              <w:t>323</w:t>
            </w:r>
          </w:p>
        </w:tc>
        <w:tc>
          <w:tcPr>
            <w:tcW w:w="511" w:type="dxa"/>
            <w:shd w:val="clear" w:color="auto" w:fill="auto"/>
            <w:noWrap/>
            <w:hideMark/>
          </w:tcPr>
          <w:p w14:paraId="03D4FD9E" w14:textId="190D57CA" w:rsidR="008F3151" w:rsidRPr="00D518FF" w:rsidRDefault="00D467A2">
            <w:pPr>
              <w:rPr>
                <w:rFonts w:ascii="Aptos" w:hAnsi="Aptos"/>
                <w:color w:val="000000"/>
                <w:sz w:val="16"/>
                <w:szCs w:val="16"/>
              </w:rPr>
            </w:pPr>
            <w:r>
              <w:rPr>
                <w:rFonts w:ascii="Aptos" w:hAnsi="Aptos"/>
                <w:color w:val="000000"/>
                <w:sz w:val="16"/>
                <w:szCs w:val="16"/>
              </w:rPr>
              <w:t>-</w:t>
            </w:r>
          </w:p>
        </w:tc>
        <w:tc>
          <w:tcPr>
            <w:tcW w:w="749" w:type="dxa"/>
            <w:shd w:val="clear" w:color="auto" w:fill="auto"/>
            <w:noWrap/>
            <w:hideMark/>
          </w:tcPr>
          <w:p w14:paraId="1D12495A" w14:textId="72086EA7" w:rsidR="008F3151" w:rsidRPr="00D518FF" w:rsidRDefault="00D467A2">
            <w:pPr>
              <w:rPr>
                <w:rFonts w:ascii="Aptos" w:hAnsi="Aptos"/>
                <w:sz w:val="16"/>
                <w:szCs w:val="16"/>
              </w:rPr>
            </w:pPr>
            <w:r w:rsidRPr="00D467A2">
              <w:rPr>
                <w:rFonts w:ascii="Aptos" w:hAnsi="Aptos"/>
                <w:sz w:val="16"/>
                <w:szCs w:val="16"/>
              </w:rPr>
              <w:t>264-279</w:t>
            </w:r>
          </w:p>
        </w:tc>
        <w:tc>
          <w:tcPr>
            <w:tcW w:w="2156" w:type="dxa"/>
            <w:shd w:val="clear" w:color="auto" w:fill="auto"/>
            <w:noWrap/>
            <w:hideMark/>
          </w:tcPr>
          <w:p w14:paraId="6194C8F3" w14:textId="0FC7964D"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bl>
    <w:p w14:paraId="7DC97B8D" w14:textId="77777777" w:rsidR="008F3151" w:rsidRPr="00D518FF" w:rsidRDefault="008F3151" w:rsidP="008F3151">
      <w:pPr>
        <w:pStyle w:val="BodyText"/>
        <w:rPr>
          <w:rFonts w:ascii="Aptos" w:hAnsi="Aptos"/>
        </w:rPr>
      </w:pPr>
    </w:p>
    <w:p w14:paraId="2A4A3F3B" w14:textId="5E6D9526" w:rsidR="003C390F" w:rsidRPr="004C6AA1" w:rsidRDefault="003C390F" w:rsidP="004C6AA1">
      <w:pPr>
        <w:pStyle w:val="Caption"/>
        <w:spacing w:before="240"/>
        <w:rPr>
          <w:rFonts w:ascii="Aptos" w:hAnsi="Aptos"/>
        </w:rPr>
      </w:pPr>
      <w:bookmarkStart w:id="114" w:name="_Toc185254529"/>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2</w:t>
      </w:r>
      <w:r w:rsidR="00DC4767" w:rsidRPr="004C6AA1">
        <w:rPr>
          <w:rFonts w:ascii="Aptos" w:hAnsi="Aptos"/>
        </w:rPr>
        <w:fldChar w:fldCharType="end"/>
      </w:r>
      <w:r w:rsidRPr="004C6AA1">
        <w:rPr>
          <w:rFonts w:ascii="Aptos" w:hAnsi="Aptos"/>
        </w:rPr>
        <w:t>. Excluded reviews, reason for exclusion – stress (perceived, occupational), magnesium (n=3).</w:t>
      </w:r>
      <w:bookmarkEnd w:id="114"/>
    </w:p>
    <w:tbl>
      <w:tblPr>
        <w:tblW w:w="14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029"/>
        <w:gridCol w:w="3337"/>
        <w:gridCol w:w="567"/>
        <w:gridCol w:w="2065"/>
        <w:gridCol w:w="770"/>
        <w:gridCol w:w="567"/>
        <w:gridCol w:w="768"/>
        <w:gridCol w:w="2142"/>
      </w:tblGrid>
      <w:tr w:rsidR="0095325C" w:rsidRPr="00D518FF" w14:paraId="178470EF" w14:textId="77777777" w:rsidTr="0095325C">
        <w:trPr>
          <w:trHeight w:val="67"/>
        </w:trPr>
        <w:tc>
          <w:tcPr>
            <w:tcW w:w="4029" w:type="dxa"/>
            <w:shd w:val="clear" w:color="auto" w:fill="D9D9D9" w:themeFill="background1" w:themeFillShade="D9"/>
            <w:noWrap/>
            <w:hideMark/>
          </w:tcPr>
          <w:p w14:paraId="50FF0509" w14:textId="77777777" w:rsidR="008F3151" w:rsidRPr="00D518FF" w:rsidRDefault="008F3151">
            <w:pPr>
              <w:rPr>
                <w:rFonts w:ascii="Aptos" w:hAnsi="Aptos" w:cs="Arial"/>
                <w:b/>
                <w:bCs/>
                <w:sz w:val="16"/>
                <w:szCs w:val="16"/>
              </w:rPr>
            </w:pPr>
            <w:r w:rsidRPr="00D518FF">
              <w:rPr>
                <w:rFonts w:ascii="Aptos" w:hAnsi="Aptos" w:cs="Arial"/>
                <w:b/>
                <w:bCs/>
                <w:sz w:val="16"/>
                <w:szCs w:val="16"/>
              </w:rPr>
              <w:t>Title</w:t>
            </w:r>
          </w:p>
        </w:tc>
        <w:tc>
          <w:tcPr>
            <w:tcW w:w="3337" w:type="dxa"/>
            <w:shd w:val="clear" w:color="auto" w:fill="D9D9D9" w:themeFill="background1" w:themeFillShade="D9"/>
            <w:noWrap/>
            <w:hideMark/>
          </w:tcPr>
          <w:p w14:paraId="6270FE0A" w14:textId="77777777" w:rsidR="008F3151" w:rsidRPr="00D518FF" w:rsidRDefault="008F3151">
            <w:pPr>
              <w:rPr>
                <w:rFonts w:ascii="Aptos" w:hAnsi="Aptos" w:cs="Arial"/>
                <w:b/>
                <w:bCs/>
                <w:sz w:val="16"/>
                <w:szCs w:val="16"/>
              </w:rPr>
            </w:pPr>
            <w:r w:rsidRPr="00D518FF">
              <w:rPr>
                <w:rFonts w:ascii="Aptos" w:hAnsi="Aptos" w:cs="Arial"/>
                <w:b/>
                <w:bCs/>
                <w:sz w:val="16"/>
                <w:szCs w:val="16"/>
              </w:rPr>
              <w:t>Authors</w:t>
            </w:r>
          </w:p>
        </w:tc>
        <w:tc>
          <w:tcPr>
            <w:tcW w:w="567" w:type="dxa"/>
            <w:shd w:val="clear" w:color="auto" w:fill="D9D9D9" w:themeFill="background1" w:themeFillShade="D9"/>
            <w:noWrap/>
            <w:hideMark/>
          </w:tcPr>
          <w:p w14:paraId="23CEA252" w14:textId="77777777" w:rsidR="008F3151" w:rsidRPr="00D518FF" w:rsidRDefault="008F3151">
            <w:pPr>
              <w:rPr>
                <w:rFonts w:ascii="Aptos" w:hAnsi="Aptos" w:cs="Arial"/>
                <w:b/>
                <w:bCs/>
                <w:sz w:val="16"/>
                <w:szCs w:val="16"/>
              </w:rPr>
            </w:pPr>
            <w:r w:rsidRPr="00D518FF">
              <w:rPr>
                <w:rFonts w:ascii="Aptos" w:hAnsi="Aptos" w:cs="Arial"/>
                <w:b/>
                <w:bCs/>
                <w:sz w:val="16"/>
                <w:szCs w:val="16"/>
              </w:rPr>
              <w:t>Year</w:t>
            </w:r>
          </w:p>
        </w:tc>
        <w:tc>
          <w:tcPr>
            <w:tcW w:w="2065" w:type="dxa"/>
            <w:shd w:val="clear" w:color="auto" w:fill="D9D9D9" w:themeFill="background1" w:themeFillShade="D9"/>
            <w:noWrap/>
            <w:hideMark/>
          </w:tcPr>
          <w:p w14:paraId="4935F1B7" w14:textId="77777777" w:rsidR="008F3151" w:rsidRPr="00D518FF" w:rsidRDefault="008F3151">
            <w:pPr>
              <w:rPr>
                <w:rFonts w:ascii="Aptos" w:hAnsi="Aptos" w:cs="Arial"/>
                <w:b/>
                <w:bCs/>
                <w:sz w:val="16"/>
                <w:szCs w:val="16"/>
              </w:rPr>
            </w:pPr>
            <w:r w:rsidRPr="00D518FF">
              <w:rPr>
                <w:rFonts w:ascii="Aptos" w:hAnsi="Aptos" w:cs="Arial"/>
                <w:b/>
                <w:bCs/>
                <w:sz w:val="16"/>
                <w:szCs w:val="16"/>
              </w:rPr>
              <w:t>Journal</w:t>
            </w:r>
          </w:p>
        </w:tc>
        <w:tc>
          <w:tcPr>
            <w:tcW w:w="770" w:type="dxa"/>
            <w:shd w:val="clear" w:color="auto" w:fill="D9D9D9" w:themeFill="background1" w:themeFillShade="D9"/>
            <w:noWrap/>
            <w:hideMark/>
          </w:tcPr>
          <w:p w14:paraId="3586CFB9" w14:textId="77777777" w:rsidR="008F3151" w:rsidRPr="00D518FF" w:rsidRDefault="008F3151">
            <w:pPr>
              <w:rPr>
                <w:rFonts w:ascii="Aptos" w:hAnsi="Aptos" w:cs="Arial"/>
                <w:b/>
                <w:bCs/>
                <w:sz w:val="16"/>
                <w:szCs w:val="16"/>
              </w:rPr>
            </w:pPr>
            <w:r w:rsidRPr="00D518FF">
              <w:rPr>
                <w:rFonts w:ascii="Aptos" w:hAnsi="Aptos" w:cs="Arial"/>
                <w:b/>
                <w:bCs/>
                <w:sz w:val="16"/>
                <w:szCs w:val="16"/>
              </w:rPr>
              <w:t>Volume</w:t>
            </w:r>
          </w:p>
        </w:tc>
        <w:tc>
          <w:tcPr>
            <w:tcW w:w="567" w:type="dxa"/>
            <w:shd w:val="clear" w:color="auto" w:fill="D9D9D9" w:themeFill="background1" w:themeFillShade="D9"/>
            <w:noWrap/>
            <w:hideMark/>
          </w:tcPr>
          <w:p w14:paraId="0FDBC8AC" w14:textId="77777777" w:rsidR="008F3151" w:rsidRPr="00D518FF" w:rsidRDefault="008F3151">
            <w:pPr>
              <w:rPr>
                <w:rFonts w:ascii="Aptos" w:hAnsi="Aptos" w:cs="Arial"/>
                <w:b/>
                <w:bCs/>
                <w:sz w:val="16"/>
                <w:szCs w:val="16"/>
              </w:rPr>
            </w:pPr>
            <w:r w:rsidRPr="00D518FF">
              <w:rPr>
                <w:rFonts w:ascii="Aptos" w:hAnsi="Aptos" w:cs="Arial"/>
                <w:b/>
                <w:bCs/>
                <w:sz w:val="16"/>
                <w:szCs w:val="16"/>
              </w:rPr>
              <w:t>Issue</w:t>
            </w:r>
          </w:p>
        </w:tc>
        <w:tc>
          <w:tcPr>
            <w:tcW w:w="768" w:type="dxa"/>
            <w:shd w:val="clear" w:color="auto" w:fill="D9D9D9" w:themeFill="background1" w:themeFillShade="D9"/>
            <w:noWrap/>
            <w:hideMark/>
          </w:tcPr>
          <w:p w14:paraId="7DAE2780" w14:textId="77777777" w:rsidR="008F3151" w:rsidRPr="00D518FF" w:rsidRDefault="008F3151">
            <w:pPr>
              <w:rPr>
                <w:rFonts w:ascii="Aptos" w:hAnsi="Aptos" w:cs="Arial"/>
                <w:b/>
                <w:bCs/>
                <w:sz w:val="16"/>
                <w:szCs w:val="16"/>
              </w:rPr>
            </w:pPr>
            <w:r w:rsidRPr="00D518FF">
              <w:rPr>
                <w:rFonts w:ascii="Aptos" w:hAnsi="Aptos" w:cs="Arial"/>
                <w:b/>
                <w:bCs/>
                <w:sz w:val="16"/>
                <w:szCs w:val="16"/>
              </w:rPr>
              <w:t>Pages</w:t>
            </w:r>
          </w:p>
        </w:tc>
        <w:tc>
          <w:tcPr>
            <w:tcW w:w="2142" w:type="dxa"/>
            <w:shd w:val="clear" w:color="auto" w:fill="D9D9D9" w:themeFill="background1" w:themeFillShade="D9"/>
            <w:noWrap/>
            <w:hideMark/>
          </w:tcPr>
          <w:p w14:paraId="1D2E6279" w14:textId="77777777" w:rsidR="008F3151" w:rsidRPr="00D518FF" w:rsidRDefault="008F3151">
            <w:pPr>
              <w:rPr>
                <w:rFonts w:ascii="Aptos" w:hAnsi="Aptos" w:cs="Arial"/>
                <w:b/>
                <w:bCs/>
                <w:sz w:val="16"/>
                <w:szCs w:val="16"/>
              </w:rPr>
            </w:pPr>
            <w:r w:rsidRPr="00D518FF">
              <w:rPr>
                <w:rFonts w:ascii="Aptos" w:hAnsi="Aptos" w:cs="Arial"/>
                <w:b/>
                <w:bCs/>
                <w:sz w:val="16"/>
                <w:szCs w:val="16"/>
              </w:rPr>
              <w:t>Exclusion reason</w:t>
            </w:r>
          </w:p>
        </w:tc>
      </w:tr>
      <w:tr w:rsidR="0095325C" w:rsidRPr="00D518FF" w14:paraId="1B6A0947" w14:textId="77777777" w:rsidTr="0095325C">
        <w:trPr>
          <w:trHeight w:val="320"/>
        </w:trPr>
        <w:tc>
          <w:tcPr>
            <w:tcW w:w="4029" w:type="dxa"/>
            <w:shd w:val="clear" w:color="auto" w:fill="auto"/>
            <w:noWrap/>
            <w:hideMark/>
          </w:tcPr>
          <w:p w14:paraId="4EED4469"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Effects of Magnesium Supplementation on Subjective Anxiety and Stress-A Systematic Review</w:t>
            </w:r>
          </w:p>
        </w:tc>
        <w:tc>
          <w:tcPr>
            <w:tcW w:w="3337" w:type="dxa"/>
            <w:shd w:val="clear" w:color="auto" w:fill="auto"/>
            <w:noWrap/>
            <w:hideMark/>
          </w:tcPr>
          <w:p w14:paraId="7F6643D6" w14:textId="77777777" w:rsidR="008F3151" w:rsidRPr="00D518FF" w:rsidRDefault="008F3151">
            <w:pPr>
              <w:rPr>
                <w:rFonts w:ascii="Aptos" w:hAnsi="Aptos"/>
                <w:color w:val="000000"/>
                <w:sz w:val="16"/>
                <w:szCs w:val="16"/>
              </w:rPr>
            </w:pPr>
            <w:r w:rsidRPr="00D518FF">
              <w:rPr>
                <w:rFonts w:ascii="Aptos" w:hAnsi="Aptos"/>
                <w:color w:val="000000"/>
                <w:sz w:val="16"/>
                <w:szCs w:val="16"/>
              </w:rPr>
              <w:t>Boyle, N. B.; Lawton, C.; Dye, L.</w:t>
            </w:r>
          </w:p>
        </w:tc>
        <w:tc>
          <w:tcPr>
            <w:tcW w:w="567" w:type="dxa"/>
            <w:shd w:val="clear" w:color="auto" w:fill="auto"/>
            <w:noWrap/>
            <w:hideMark/>
          </w:tcPr>
          <w:p w14:paraId="114564D4"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2065" w:type="dxa"/>
            <w:shd w:val="clear" w:color="auto" w:fill="auto"/>
            <w:noWrap/>
            <w:hideMark/>
          </w:tcPr>
          <w:p w14:paraId="2E39C4B3"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770" w:type="dxa"/>
            <w:shd w:val="clear" w:color="auto" w:fill="auto"/>
            <w:noWrap/>
            <w:hideMark/>
          </w:tcPr>
          <w:p w14:paraId="793BDCE4"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567" w:type="dxa"/>
            <w:shd w:val="clear" w:color="auto" w:fill="auto"/>
            <w:noWrap/>
            <w:hideMark/>
          </w:tcPr>
          <w:p w14:paraId="08961D2E"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68" w:type="dxa"/>
            <w:shd w:val="clear" w:color="auto" w:fill="auto"/>
            <w:noWrap/>
            <w:hideMark/>
          </w:tcPr>
          <w:p w14:paraId="01EA150D" w14:textId="77777777" w:rsidR="008F3151" w:rsidRPr="00D518FF" w:rsidRDefault="008F3151">
            <w:pPr>
              <w:rPr>
                <w:rFonts w:ascii="Aptos" w:hAnsi="Aptos"/>
                <w:color w:val="000000"/>
                <w:sz w:val="16"/>
                <w:szCs w:val="16"/>
              </w:rPr>
            </w:pPr>
            <w:r w:rsidRPr="00D518FF">
              <w:rPr>
                <w:rFonts w:ascii="Aptos" w:hAnsi="Aptos"/>
                <w:color w:val="000000"/>
                <w:sz w:val="16"/>
                <w:szCs w:val="16"/>
              </w:rPr>
              <w:t>429-450</w:t>
            </w:r>
          </w:p>
        </w:tc>
        <w:tc>
          <w:tcPr>
            <w:tcW w:w="2142" w:type="dxa"/>
            <w:shd w:val="clear" w:color="auto" w:fill="auto"/>
            <w:noWrap/>
            <w:hideMark/>
          </w:tcPr>
          <w:p w14:paraId="0C365510"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5325C" w:rsidRPr="00D518FF" w14:paraId="4FF40CAE" w14:textId="77777777" w:rsidTr="0095325C">
        <w:trPr>
          <w:trHeight w:val="320"/>
        </w:trPr>
        <w:tc>
          <w:tcPr>
            <w:tcW w:w="4029" w:type="dxa"/>
            <w:shd w:val="clear" w:color="auto" w:fill="auto"/>
            <w:noWrap/>
            <w:hideMark/>
          </w:tcPr>
          <w:p w14:paraId="4DF2B7AF" w14:textId="77777777" w:rsidR="008F3151" w:rsidRPr="00D518FF" w:rsidRDefault="008F3151">
            <w:pPr>
              <w:rPr>
                <w:rFonts w:ascii="Aptos" w:hAnsi="Aptos"/>
                <w:color w:val="000000"/>
                <w:sz w:val="16"/>
                <w:szCs w:val="16"/>
              </w:rPr>
            </w:pPr>
            <w:r w:rsidRPr="00D518FF">
              <w:rPr>
                <w:rFonts w:ascii="Aptos" w:hAnsi="Aptos"/>
                <w:color w:val="000000"/>
                <w:sz w:val="16"/>
                <w:szCs w:val="16"/>
              </w:rPr>
              <w:t>The impact of essential fatty acid, B vitamins, vitamin C, magnesium and zinc supplementation on stress levels in women: a systematic review</w:t>
            </w:r>
          </w:p>
        </w:tc>
        <w:tc>
          <w:tcPr>
            <w:tcW w:w="3337" w:type="dxa"/>
            <w:shd w:val="clear" w:color="auto" w:fill="auto"/>
            <w:noWrap/>
            <w:hideMark/>
          </w:tcPr>
          <w:p w14:paraId="737D896D" w14:textId="77777777" w:rsidR="008F3151" w:rsidRPr="00D518FF" w:rsidRDefault="008F3151">
            <w:pPr>
              <w:rPr>
                <w:rFonts w:ascii="Aptos" w:hAnsi="Aptos"/>
                <w:color w:val="000000"/>
                <w:sz w:val="16"/>
                <w:szCs w:val="16"/>
              </w:rPr>
            </w:pPr>
            <w:r w:rsidRPr="00D518FF">
              <w:rPr>
                <w:rFonts w:ascii="Aptos" w:hAnsi="Aptos"/>
                <w:color w:val="000000"/>
                <w:sz w:val="16"/>
                <w:szCs w:val="16"/>
              </w:rPr>
              <w:t>McCabe, D.; Lisy, K.; Lockwood, C.; Colbeck, M.</w:t>
            </w:r>
          </w:p>
        </w:tc>
        <w:tc>
          <w:tcPr>
            <w:tcW w:w="567" w:type="dxa"/>
            <w:shd w:val="clear" w:color="auto" w:fill="auto"/>
            <w:noWrap/>
            <w:hideMark/>
          </w:tcPr>
          <w:p w14:paraId="320E22D2"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2065" w:type="dxa"/>
            <w:shd w:val="clear" w:color="auto" w:fill="auto"/>
            <w:noWrap/>
            <w:hideMark/>
          </w:tcPr>
          <w:p w14:paraId="635A8E74" w14:textId="77777777" w:rsidR="008F3151" w:rsidRPr="00D518FF" w:rsidRDefault="008F3151">
            <w:pPr>
              <w:rPr>
                <w:rFonts w:ascii="Aptos" w:hAnsi="Aptos"/>
                <w:color w:val="000000"/>
                <w:sz w:val="16"/>
                <w:szCs w:val="16"/>
              </w:rPr>
            </w:pPr>
            <w:r w:rsidRPr="00D518FF">
              <w:rPr>
                <w:rFonts w:ascii="Aptos" w:hAnsi="Aptos"/>
                <w:color w:val="000000"/>
                <w:sz w:val="16"/>
                <w:szCs w:val="16"/>
              </w:rPr>
              <w:t>JBI database of systematic reviews and implementation reports</w:t>
            </w:r>
          </w:p>
        </w:tc>
        <w:tc>
          <w:tcPr>
            <w:tcW w:w="770" w:type="dxa"/>
            <w:shd w:val="clear" w:color="auto" w:fill="auto"/>
            <w:noWrap/>
            <w:hideMark/>
          </w:tcPr>
          <w:p w14:paraId="2417F2E0" w14:textId="77777777" w:rsidR="008F3151" w:rsidRPr="00D518FF" w:rsidRDefault="008F3151">
            <w:pPr>
              <w:rPr>
                <w:rFonts w:ascii="Aptos" w:hAnsi="Aptos"/>
                <w:color w:val="000000"/>
                <w:sz w:val="16"/>
                <w:szCs w:val="16"/>
              </w:rPr>
            </w:pPr>
            <w:r w:rsidRPr="00D518FF">
              <w:rPr>
                <w:rFonts w:ascii="Aptos" w:hAnsi="Aptos"/>
                <w:color w:val="000000"/>
                <w:sz w:val="16"/>
                <w:szCs w:val="16"/>
              </w:rPr>
              <w:t>15</w:t>
            </w:r>
          </w:p>
        </w:tc>
        <w:tc>
          <w:tcPr>
            <w:tcW w:w="567" w:type="dxa"/>
            <w:shd w:val="clear" w:color="auto" w:fill="auto"/>
            <w:noWrap/>
            <w:hideMark/>
          </w:tcPr>
          <w:p w14:paraId="45CD4315"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68" w:type="dxa"/>
            <w:shd w:val="clear" w:color="auto" w:fill="auto"/>
            <w:noWrap/>
            <w:hideMark/>
          </w:tcPr>
          <w:p w14:paraId="6E934FF2" w14:textId="77777777" w:rsidR="008F3151" w:rsidRPr="00D518FF" w:rsidRDefault="008F3151">
            <w:pPr>
              <w:rPr>
                <w:rFonts w:ascii="Aptos" w:hAnsi="Aptos"/>
                <w:color w:val="000000"/>
                <w:sz w:val="16"/>
                <w:szCs w:val="16"/>
              </w:rPr>
            </w:pPr>
            <w:r w:rsidRPr="00D518FF">
              <w:rPr>
                <w:rFonts w:ascii="Aptos" w:hAnsi="Aptos"/>
                <w:color w:val="000000"/>
                <w:sz w:val="16"/>
                <w:szCs w:val="16"/>
              </w:rPr>
              <w:t>402-453</w:t>
            </w:r>
          </w:p>
        </w:tc>
        <w:tc>
          <w:tcPr>
            <w:tcW w:w="2142" w:type="dxa"/>
            <w:shd w:val="clear" w:color="auto" w:fill="auto"/>
            <w:noWrap/>
            <w:hideMark/>
          </w:tcPr>
          <w:p w14:paraId="246EF685" w14:textId="5C0E2594"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r w:rsidR="0049513B">
              <w:rPr>
                <w:rFonts w:ascii="Aptos" w:hAnsi="Aptos"/>
                <w:color w:val="000000"/>
                <w:sz w:val="16"/>
                <w:szCs w:val="16"/>
              </w:rPr>
              <w:t xml:space="preserve"> -</w:t>
            </w:r>
            <w:r w:rsidR="00CE21B4">
              <w:rPr>
                <w:rFonts w:ascii="Aptos" w:hAnsi="Aptos"/>
                <w:color w:val="000000"/>
                <w:sz w:val="16"/>
                <w:szCs w:val="16"/>
              </w:rPr>
              <w:t>did not meet the criteria for “at risk”</w:t>
            </w:r>
          </w:p>
        </w:tc>
      </w:tr>
      <w:tr w:rsidR="0095325C" w:rsidRPr="00D518FF" w14:paraId="3F61C4F9" w14:textId="77777777" w:rsidTr="0095325C">
        <w:trPr>
          <w:trHeight w:val="320"/>
        </w:trPr>
        <w:tc>
          <w:tcPr>
            <w:tcW w:w="4029" w:type="dxa"/>
            <w:shd w:val="clear" w:color="auto" w:fill="auto"/>
            <w:noWrap/>
            <w:hideMark/>
          </w:tcPr>
          <w:p w14:paraId="60974A2C"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The efficacy and safety of nutritional supplements in the treatment of mental disorders: a systematic synthesis </w:t>
            </w:r>
            <w:r w:rsidRPr="00D518FF">
              <w:rPr>
                <w:rFonts w:ascii="Aptos" w:hAnsi="Aptos"/>
                <w:color w:val="000000"/>
                <w:sz w:val="16"/>
                <w:szCs w:val="16"/>
              </w:rPr>
              <w:lastRenderedPageBreak/>
              <w:t>and evaluation of evidence from meta-analyses of randomized trials</w:t>
            </w:r>
          </w:p>
        </w:tc>
        <w:tc>
          <w:tcPr>
            <w:tcW w:w="3337" w:type="dxa"/>
            <w:shd w:val="clear" w:color="auto" w:fill="auto"/>
            <w:noWrap/>
            <w:hideMark/>
          </w:tcPr>
          <w:p w14:paraId="27056775"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Firth, J.</w:t>
            </w:r>
          </w:p>
        </w:tc>
        <w:tc>
          <w:tcPr>
            <w:tcW w:w="567" w:type="dxa"/>
            <w:shd w:val="clear" w:color="auto" w:fill="auto"/>
            <w:noWrap/>
          </w:tcPr>
          <w:p w14:paraId="155EB572" w14:textId="77777777" w:rsidR="008F3151" w:rsidRPr="00D518FF" w:rsidRDefault="008F3151">
            <w:pPr>
              <w:rPr>
                <w:rFonts w:ascii="Aptos" w:hAnsi="Aptos"/>
                <w:color w:val="000000"/>
                <w:sz w:val="16"/>
                <w:szCs w:val="16"/>
              </w:rPr>
            </w:pPr>
            <w:r w:rsidRPr="00D518FF">
              <w:rPr>
                <w:rFonts w:ascii="Aptos" w:hAnsi="Aptos"/>
                <w:color w:val="000000"/>
                <w:sz w:val="16"/>
                <w:szCs w:val="16"/>
              </w:rPr>
              <w:t>NR</w:t>
            </w:r>
          </w:p>
        </w:tc>
        <w:tc>
          <w:tcPr>
            <w:tcW w:w="2065" w:type="dxa"/>
            <w:shd w:val="clear" w:color="auto" w:fill="auto"/>
            <w:noWrap/>
          </w:tcPr>
          <w:p w14:paraId="6D6383E5" w14:textId="77777777" w:rsidR="008F3151" w:rsidRPr="00D518FF" w:rsidRDefault="008F3151">
            <w:pPr>
              <w:rPr>
                <w:rFonts w:ascii="Aptos" w:hAnsi="Aptos"/>
                <w:color w:val="000000"/>
                <w:sz w:val="16"/>
                <w:szCs w:val="16"/>
              </w:rPr>
            </w:pPr>
            <w:r w:rsidRPr="00D518FF">
              <w:rPr>
                <w:rFonts w:ascii="Aptos" w:hAnsi="Aptos"/>
                <w:color w:val="000000"/>
                <w:sz w:val="16"/>
                <w:szCs w:val="16"/>
              </w:rPr>
              <w:t>NR</w:t>
            </w:r>
          </w:p>
        </w:tc>
        <w:tc>
          <w:tcPr>
            <w:tcW w:w="770" w:type="dxa"/>
            <w:shd w:val="clear" w:color="auto" w:fill="auto"/>
            <w:noWrap/>
          </w:tcPr>
          <w:p w14:paraId="1DC7CBD9" w14:textId="77777777" w:rsidR="008F3151" w:rsidRPr="00D518FF" w:rsidRDefault="008F3151">
            <w:pPr>
              <w:rPr>
                <w:rFonts w:ascii="Aptos" w:hAnsi="Aptos"/>
                <w:color w:val="000000"/>
                <w:sz w:val="16"/>
                <w:szCs w:val="16"/>
              </w:rPr>
            </w:pPr>
            <w:r w:rsidRPr="00D518FF">
              <w:rPr>
                <w:rFonts w:ascii="Aptos" w:hAnsi="Aptos"/>
                <w:color w:val="000000"/>
                <w:sz w:val="16"/>
                <w:szCs w:val="16"/>
              </w:rPr>
              <w:t>NR</w:t>
            </w:r>
          </w:p>
        </w:tc>
        <w:tc>
          <w:tcPr>
            <w:tcW w:w="567" w:type="dxa"/>
            <w:shd w:val="clear" w:color="auto" w:fill="auto"/>
            <w:noWrap/>
          </w:tcPr>
          <w:p w14:paraId="14E40DCA" w14:textId="77777777" w:rsidR="008F3151" w:rsidRPr="00D518FF" w:rsidRDefault="008F3151">
            <w:pPr>
              <w:rPr>
                <w:rFonts w:ascii="Aptos" w:hAnsi="Aptos"/>
                <w:color w:val="000000"/>
                <w:sz w:val="16"/>
                <w:szCs w:val="16"/>
              </w:rPr>
            </w:pPr>
            <w:r w:rsidRPr="00D518FF">
              <w:rPr>
                <w:rFonts w:ascii="Aptos" w:hAnsi="Aptos"/>
                <w:color w:val="000000"/>
                <w:sz w:val="16"/>
                <w:szCs w:val="16"/>
              </w:rPr>
              <w:t>NR</w:t>
            </w:r>
          </w:p>
        </w:tc>
        <w:tc>
          <w:tcPr>
            <w:tcW w:w="768" w:type="dxa"/>
            <w:shd w:val="clear" w:color="auto" w:fill="auto"/>
            <w:noWrap/>
            <w:hideMark/>
          </w:tcPr>
          <w:p w14:paraId="0BF1BC94" w14:textId="77777777" w:rsidR="008F3151" w:rsidRPr="00D518FF" w:rsidRDefault="008F3151">
            <w:pPr>
              <w:rPr>
                <w:rFonts w:ascii="Aptos" w:hAnsi="Aptos"/>
                <w:color w:val="000000"/>
                <w:sz w:val="16"/>
                <w:szCs w:val="16"/>
              </w:rPr>
            </w:pPr>
            <w:r w:rsidRPr="00D518FF">
              <w:rPr>
                <w:rFonts w:ascii="Aptos" w:hAnsi="Aptos"/>
                <w:color w:val="000000"/>
                <w:sz w:val="16"/>
                <w:szCs w:val="16"/>
              </w:rPr>
              <w:t>NR</w:t>
            </w:r>
          </w:p>
        </w:tc>
        <w:tc>
          <w:tcPr>
            <w:tcW w:w="2142" w:type="dxa"/>
            <w:shd w:val="clear" w:color="auto" w:fill="auto"/>
            <w:noWrap/>
            <w:hideMark/>
          </w:tcPr>
          <w:p w14:paraId="53DC2419" w14:textId="36BD00AC" w:rsidR="008F3151" w:rsidRPr="00D518FF" w:rsidRDefault="008F3151">
            <w:pPr>
              <w:rPr>
                <w:rFonts w:ascii="Aptos" w:hAnsi="Aptos"/>
                <w:color w:val="000000"/>
                <w:sz w:val="16"/>
                <w:szCs w:val="16"/>
              </w:rPr>
            </w:pPr>
            <w:r w:rsidRPr="00D518FF">
              <w:rPr>
                <w:rFonts w:ascii="Aptos" w:hAnsi="Aptos"/>
                <w:color w:val="000000"/>
                <w:sz w:val="16"/>
                <w:szCs w:val="16"/>
              </w:rPr>
              <w:t xml:space="preserve">Wrong </w:t>
            </w:r>
            <w:r w:rsidR="00642C7F">
              <w:rPr>
                <w:rFonts w:ascii="Aptos" w:hAnsi="Aptos"/>
                <w:color w:val="000000"/>
                <w:sz w:val="16"/>
                <w:szCs w:val="16"/>
              </w:rPr>
              <w:t>patient population</w:t>
            </w:r>
          </w:p>
        </w:tc>
      </w:tr>
    </w:tbl>
    <w:p w14:paraId="53768F44" w14:textId="537536D8" w:rsidR="001D0D8E" w:rsidRPr="004C6AA1" w:rsidRDefault="001D0D8E" w:rsidP="004C6AA1">
      <w:pPr>
        <w:pStyle w:val="Caption"/>
        <w:spacing w:before="240"/>
        <w:rPr>
          <w:rFonts w:ascii="Aptos" w:hAnsi="Aptos"/>
        </w:rPr>
      </w:pPr>
      <w:bookmarkStart w:id="115" w:name="_Toc185254530"/>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3</w:t>
      </w:r>
      <w:r w:rsidR="00DC4767" w:rsidRPr="004C6AA1">
        <w:rPr>
          <w:rFonts w:ascii="Aptos" w:hAnsi="Aptos"/>
        </w:rPr>
        <w:fldChar w:fldCharType="end"/>
      </w:r>
      <w:r w:rsidRPr="004C6AA1">
        <w:rPr>
          <w:rFonts w:ascii="Aptos" w:hAnsi="Aptos"/>
        </w:rPr>
        <w:t xml:space="preserve">. </w:t>
      </w:r>
      <w:r w:rsidRPr="00D518FF">
        <w:rPr>
          <w:rFonts w:ascii="Aptos" w:hAnsi="Aptos"/>
        </w:rPr>
        <w:t>Excluded reviews, reason for exclusion – IBS/probiotics</w:t>
      </w:r>
      <w:r w:rsidR="00384BA9">
        <w:rPr>
          <w:rFonts w:ascii="Aptos" w:hAnsi="Aptos"/>
        </w:rPr>
        <w:t>.</w:t>
      </w:r>
      <w:bookmarkEnd w:id="11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4106"/>
        <w:gridCol w:w="3262"/>
        <w:gridCol w:w="567"/>
        <w:gridCol w:w="1986"/>
        <w:gridCol w:w="849"/>
        <w:gridCol w:w="567"/>
        <w:gridCol w:w="709"/>
        <w:gridCol w:w="2199"/>
      </w:tblGrid>
      <w:tr w:rsidR="009253C3" w:rsidRPr="00D518FF" w14:paraId="7814BA4A" w14:textId="77777777" w:rsidTr="003060E9">
        <w:trPr>
          <w:trHeight w:val="63"/>
        </w:trPr>
        <w:tc>
          <w:tcPr>
            <w:tcW w:w="1441" w:type="pct"/>
            <w:shd w:val="clear" w:color="auto" w:fill="D9D9D9" w:themeFill="background1" w:themeFillShade="D9"/>
            <w:noWrap/>
            <w:hideMark/>
          </w:tcPr>
          <w:p w14:paraId="1B628D4D"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Title</w:t>
            </w:r>
          </w:p>
        </w:tc>
        <w:tc>
          <w:tcPr>
            <w:tcW w:w="1145" w:type="pct"/>
            <w:shd w:val="clear" w:color="auto" w:fill="D9D9D9" w:themeFill="background1" w:themeFillShade="D9"/>
            <w:noWrap/>
            <w:hideMark/>
          </w:tcPr>
          <w:p w14:paraId="2ED37CD2"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Authors</w:t>
            </w:r>
          </w:p>
        </w:tc>
        <w:tc>
          <w:tcPr>
            <w:tcW w:w="199" w:type="pct"/>
            <w:shd w:val="clear" w:color="auto" w:fill="D9D9D9" w:themeFill="background1" w:themeFillShade="D9"/>
            <w:noWrap/>
            <w:hideMark/>
          </w:tcPr>
          <w:p w14:paraId="02684076"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Year</w:t>
            </w:r>
          </w:p>
        </w:tc>
        <w:tc>
          <w:tcPr>
            <w:tcW w:w="697" w:type="pct"/>
            <w:shd w:val="clear" w:color="auto" w:fill="D9D9D9" w:themeFill="background1" w:themeFillShade="D9"/>
            <w:noWrap/>
            <w:hideMark/>
          </w:tcPr>
          <w:p w14:paraId="747D9CDF"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Journal</w:t>
            </w:r>
          </w:p>
        </w:tc>
        <w:tc>
          <w:tcPr>
            <w:tcW w:w="298" w:type="pct"/>
            <w:shd w:val="clear" w:color="auto" w:fill="D9D9D9" w:themeFill="background1" w:themeFillShade="D9"/>
            <w:noWrap/>
            <w:hideMark/>
          </w:tcPr>
          <w:p w14:paraId="11F80516"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Volume</w:t>
            </w:r>
          </w:p>
        </w:tc>
        <w:tc>
          <w:tcPr>
            <w:tcW w:w="199" w:type="pct"/>
            <w:shd w:val="clear" w:color="auto" w:fill="D9D9D9" w:themeFill="background1" w:themeFillShade="D9"/>
            <w:noWrap/>
            <w:hideMark/>
          </w:tcPr>
          <w:p w14:paraId="72E7E0F3"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Issue</w:t>
            </w:r>
          </w:p>
        </w:tc>
        <w:tc>
          <w:tcPr>
            <w:tcW w:w="249" w:type="pct"/>
            <w:shd w:val="clear" w:color="auto" w:fill="D9D9D9" w:themeFill="background1" w:themeFillShade="D9"/>
            <w:noWrap/>
            <w:hideMark/>
          </w:tcPr>
          <w:p w14:paraId="44ADC0D0"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Pages</w:t>
            </w:r>
          </w:p>
        </w:tc>
        <w:tc>
          <w:tcPr>
            <w:tcW w:w="772" w:type="pct"/>
            <w:shd w:val="clear" w:color="auto" w:fill="D9D9D9" w:themeFill="background1" w:themeFillShade="D9"/>
            <w:noWrap/>
            <w:hideMark/>
          </w:tcPr>
          <w:p w14:paraId="58CAD330"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Exclusion reason</w:t>
            </w:r>
          </w:p>
        </w:tc>
      </w:tr>
      <w:tr w:rsidR="009253C3" w:rsidRPr="00D518FF" w14:paraId="15EF8482" w14:textId="77777777" w:rsidTr="003060E9">
        <w:trPr>
          <w:trHeight w:val="320"/>
        </w:trPr>
        <w:tc>
          <w:tcPr>
            <w:tcW w:w="1441" w:type="pct"/>
            <w:shd w:val="clear" w:color="auto" w:fill="auto"/>
            <w:noWrap/>
            <w:hideMark/>
          </w:tcPr>
          <w:p w14:paraId="4E3BB1A0" w14:textId="77777777" w:rsidR="008F3151" w:rsidRPr="00D518FF" w:rsidRDefault="008F3151">
            <w:pPr>
              <w:rPr>
                <w:rFonts w:ascii="Aptos" w:hAnsi="Aptos"/>
                <w:color w:val="000000"/>
                <w:sz w:val="16"/>
                <w:szCs w:val="16"/>
              </w:rPr>
            </w:pPr>
            <w:r w:rsidRPr="00D518FF">
              <w:rPr>
                <w:rFonts w:ascii="Aptos" w:hAnsi="Aptos"/>
                <w:color w:val="000000"/>
                <w:sz w:val="16"/>
                <w:szCs w:val="16"/>
              </w:rPr>
              <w:t>The utility of probiotics in the treatment of irritable bowel syndrome: a systematic review</w:t>
            </w:r>
          </w:p>
        </w:tc>
        <w:tc>
          <w:tcPr>
            <w:tcW w:w="1145" w:type="pct"/>
            <w:shd w:val="clear" w:color="auto" w:fill="auto"/>
            <w:noWrap/>
            <w:hideMark/>
          </w:tcPr>
          <w:p w14:paraId="631A33FE" w14:textId="77777777" w:rsidR="008F3151" w:rsidRPr="00D518FF" w:rsidRDefault="008F3151">
            <w:pPr>
              <w:rPr>
                <w:rFonts w:ascii="Aptos" w:hAnsi="Aptos"/>
                <w:color w:val="000000"/>
                <w:sz w:val="16"/>
                <w:szCs w:val="16"/>
              </w:rPr>
            </w:pPr>
            <w:r w:rsidRPr="00D518FF">
              <w:rPr>
                <w:rFonts w:ascii="Aptos" w:hAnsi="Aptos"/>
                <w:color w:val="000000"/>
                <w:sz w:val="16"/>
                <w:szCs w:val="16"/>
              </w:rPr>
              <w:t>Brenner, D. M.; Moeller, M. J.; Chey, W. D.; Schoenfeld, P. S.</w:t>
            </w:r>
          </w:p>
        </w:tc>
        <w:tc>
          <w:tcPr>
            <w:tcW w:w="199" w:type="pct"/>
            <w:shd w:val="clear" w:color="auto" w:fill="auto"/>
            <w:noWrap/>
            <w:hideMark/>
          </w:tcPr>
          <w:p w14:paraId="7F49948D" w14:textId="77777777" w:rsidR="008F3151" w:rsidRPr="00D518FF" w:rsidRDefault="008F3151">
            <w:pPr>
              <w:rPr>
                <w:rFonts w:ascii="Aptos" w:hAnsi="Aptos"/>
                <w:color w:val="000000"/>
                <w:sz w:val="16"/>
                <w:szCs w:val="16"/>
              </w:rPr>
            </w:pPr>
            <w:r w:rsidRPr="00D518FF">
              <w:rPr>
                <w:rFonts w:ascii="Aptos" w:hAnsi="Aptos"/>
                <w:color w:val="000000"/>
                <w:sz w:val="16"/>
                <w:szCs w:val="16"/>
              </w:rPr>
              <w:t>2009</w:t>
            </w:r>
          </w:p>
        </w:tc>
        <w:tc>
          <w:tcPr>
            <w:tcW w:w="697" w:type="pct"/>
            <w:shd w:val="clear" w:color="auto" w:fill="auto"/>
            <w:noWrap/>
            <w:hideMark/>
          </w:tcPr>
          <w:p w14:paraId="44D4DA09" w14:textId="77777777" w:rsidR="008F3151" w:rsidRPr="00D518FF" w:rsidRDefault="008F3151">
            <w:pPr>
              <w:rPr>
                <w:rFonts w:ascii="Aptos" w:hAnsi="Aptos"/>
                <w:color w:val="000000"/>
                <w:sz w:val="16"/>
                <w:szCs w:val="16"/>
              </w:rPr>
            </w:pPr>
            <w:r w:rsidRPr="00D518FF">
              <w:rPr>
                <w:rFonts w:ascii="Aptos" w:hAnsi="Aptos"/>
                <w:color w:val="000000"/>
                <w:sz w:val="16"/>
                <w:szCs w:val="16"/>
              </w:rPr>
              <w:t>The American journal of gastroenterology</w:t>
            </w:r>
          </w:p>
        </w:tc>
        <w:tc>
          <w:tcPr>
            <w:tcW w:w="298" w:type="pct"/>
            <w:shd w:val="clear" w:color="auto" w:fill="auto"/>
            <w:noWrap/>
            <w:hideMark/>
          </w:tcPr>
          <w:p w14:paraId="34BD6C01" w14:textId="77777777" w:rsidR="008F3151" w:rsidRPr="00D518FF" w:rsidRDefault="008F3151">
            <w:pPr>
              <w:rPr>
                <w:rFonts w:ascii="Aptos" w:hAnsi="Aptos"/>
                <w:color w:val="000000"/>
                <w:sz w:val="16"/>
                <w:szCs w:val="16"/>
              </w:rPr>
            </w:pPr>
            <w:r w:rsidRPr="00D518FF">
              <w:rPr>
                <w:rFonts w:ascii="Aptos" w:hAnsi="Aptos"/>
                <w:color w:val="000000"/>
                <w:sz w:val="16"/>
                <w:szCs w:val="16"/>
              </w:rPr>
              <w:t>104</w:t>
            </w:r>
          </w:p>
        </w:tc>
        <w:tc>
          <w:tcPr>
            <w:tcW w:w="199" w:type="pct"/>
            <w:shd w:val="clear" w:color="auto" w:fill="auto"/>
            <w:noWrap/>
            <w:hideMark/>
          </w:tcPr>
          <w:p w14:paraId="61E528F2"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249" w:type="pct"/>
            <w:shd w:val="clear" w:color="auto" w:fill="auto"/>
            <w:noWrap/>
            <w:hideMark/>
          </w:tcPr>
          <w:p w14:paraId="2F60A9CD" w14:textId="77777777" w:rsidR="008F3151" w:rsidRPr="00D518FF" w:rsidRDefault="008F3151">
            <w:pPr>
              <w:rPr>
                <w:rFonts w:ascii="Aptos" w:hAnsi="Aptos"/>
                <w:color w:val="000000"/>
                <w:sz w:val="16"/>
                <w:szCs w:val="16"/>
              </w:rPr>
            </w:pPr>
            <w:r w:rsidRPr="00D518FF">
              <w:rPr>
                <w:rFonts w:ascii="Aptos" w:hAnsi="Aptos"/>
                <w:color w:val="000000"/>
                <w:sz w:val="16"/>
                <w:szCs w:val="16"/>
              </w:rPr>
              <w:t>1033-49</w:t>
            </w:r>
          </w:p>
        </w:tc>
        <w:tc>
          <w:tcPr>
            <w:tcW w:w="772" w:type="pct"/>
            <w:shd w:val="clear" w:color="auto" w:fill="auto"/>
            <w:noWrap/>
            <w:hideMark/>
          </w:tcPr>
          <w:p w14:paraId="2A5EE7CE"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253C3" w:rsidRPr="00D518FF" w14:paraId="3752B261" w14:textId="77777777" w:rsidTr="003060E9">
        <w:trPr>
          <w:trHeight w:val="320"/>
        </w:trPr>
        <w:tc>
          <w:tcPr>
            <w:tcW w:w="1441" w:type="pct"/>
            <w:shd w:val="clear" w:color="auto" w:fill="auto"/>
            <w:noWrap/>
            <w:hideMark/>
          </w:tcPr>
          <w:p w14:paraId="20BB2B52" w14:textId="77777777" w:rsidR="008F3151" w:rsidRPr="00D518FF" w:rsidRDefault="008F3151">
            <w:pPr>
              <w:rPr>
                <w:rFonts w:ascii="Aptos" w:hAnsi="Aptos"/>
                <w:color w:val="000000"/>
                <w:sz w:val="16"/>
                <w:szCs w:val="16"/>
              </w:rPr>
            </w:pPr>
            <w:r w:rsidRPr="00D518FF">
              <w:rPr>
                <w:rFonts w:ascii="Aptos" w:hAnsi="Aptos"/>
                <w:color w:val="000000"/>
                <w:sz w:val="16"/>
                <w:szCs w:val="16"/>
              </w:rPr>
              <w:t>Review article: probiotics for the treatment of irritable bowel syndrome--focus on lactic acid bacteria</w:t>
            </w:r>
          </w:p>
        </w:tc>
        <w:tc>
          <w:tcPr>
            <w:tcW w:w="1145" w:type="pct"/>
            <w:shd w:val="clear" w:color="auto" w:fill="auto"/>
            <w:noWrap/>
            <w:hideMark/>
          </w:tcPr>
          <w:p w14:paraId="4779B631" w14:textId="77777777" w:rsidR="008F3151" w:rsidRPr="00D518FF" w:rsidRDefault="008F3151">
            <w:pPr>
              <w:rPr>
                <w:rFonts w:ascii="Aptos" w:hAnsi="Aptos"/>
                <w:color w:val="000000"/>
                <w:sz w:val="16"/>
                <w:szCs w:val="16"/>
              </w:rPr>
            </w:pPr>
            <w:r w:rsidRPr="00D518FF">
              <w:rPr>
                <w:rFonts w:ascii="Aptos" w:hAnsi="Aptos"/>
                <w:color w:val="000000"/>
                <w:sz w:val="16"/>
                <w:szCs w:val="16"/>
              </w:rPr>
              <w:t>Clarke, G.; Cryan, J. F.; Dinan, T. G.; Quigley, E. M.</w:t>
            </w:r>
          </w:p>
        </w:tc>
        <w:tc>
          <w:tcPr>
            <w:tcW w:w="199" w:type="pct"/>
            <w:shd w:val="clear" w:color="auto" w:fill="auto"/>
            <w:noWrap/>
            <w:hideMark/>
          </w:tcPr>
          <w:p w14:paraId="234F41A1" w14:textId="77777777" w:rsidR="008F3151" w:rsidRPr="00D518FF" w:rsidRDefault="008F3151">
            <w:pPr>
              <w:rPr>
                <w:rFonts w:ascii="Aptos" w:hAnsi="Aptos"/>
                <w:color w:val="000000"/>
                <w:sz w:val="16"/>
                <w:szCs w:val="16"/>
              </w:rPr>
            </w:pPr>
            <w:r w:rsidRPr="00D518FF">
              <w:rPr>
                <w:rFonts w:ascii="Aptos" w:hAnsi="Aptos"/>
                <w:color w:val="000000"/>
                <w:sz w:val="16"/>
                <w:szCs w:val="16"/>
              </w:rPr>
              <w:t>2012</w:t>
            </w:r>
          </w:p>
        </w:tc>
        <w:tc>
          <w:tcPr>
            <w:tcW w:w="697" w:type="pct"/>
            <w:shd w:val="clear" w:color="auto" w:fill="auto"/>
            <w:noWrap/>
            <w:hideMark/>
          </w:tcPr>
          <w:p w14:paraId="3295906F" w14:textId="77777777" w:rsidR="008F3151" w:rsidRPr="00D518FF" w:rsidRDefault="008F3151">
            <w:pPr>
              <w:rPr>
                <w:rFonts w:ascii="Aptos" w:hAnsi="Aptos"/>
                <w:color w:val="000000"/>
                <w:sz w:val="16"/>
                <w:szCs w:val="16"/>
              </w:rPr>
            </w:pPr>
            <w:r w:rsidRPr="00D518FF">
              <w:rPr>
                <w:rFonts w:ascii="Aptos" w:hAnsi="Aptos"/>
                <w:color w:val="000000"/>
                <w:sz w:val="16"/>
                <w:szCs w:val="16"/>
              </w:rPr>
              <w:t>Alimentary pharmacology &amp; therapeutics</w:t>
            </w:r>
          </w:p>
        </w:tc>
        <w:tc>
          <w:tcPr>
            <w:tcW w:w="298" w:type="pct"/>
            <w:shd w:val="clear" w:color="auto" w:fill="auto"/>
            <w:noWrap/>
            <w:hideMark/>
          </w:tcPr>
          <w:p w14:paraId="2ED2CF16" w14:textId="77777777" w:rsidR="008F3151" w:rsidRPr="00D518FF" w:rsidRDefault="008F3151">
            <w:pPr>
              <w:rPr>
                <w:rFonts w:ascii="Aptos" w:hAnsi="Aptos"/>
                <w:color w:val="000000"/>
                <w:sz w:val="16"/>
                <w:szCs w:val="16"/>
              </w:rPr>
            </w:pPr>
            <w:r w:rsidRPr="00D518FF">
              <w:rPr>
                <w:rFonts w:ascii="Aptos" w:hAnsi="Aptos"/>
                <w:color w:val="000000"/>
                <w:sz w:val="16"/>
                <w:szCs w:val="16"/>
              </w:rPr>
              <w:t>35</w:t>
            </w:r>
          </w:p>
        </w:tc>
        <w:tc>
          <w:tcPr>
            <w:tcW w:w="199" w:type="pct"/>
            <w:shd w:val="clear" w:color="auto" w:fill="auto"/>
            <w:noWrap/>
            <w:hideMark/>
          </w:tcPr>
          <w:p w14:paraId="685F53E2"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249" w:type="pct"/>
            <w:shd w:val="clear" w:color="auto" w:fill="auto"/>
            <w:noWrap/>
            <w:hideMark/>
          </w:tcPr>
          <w:p w14:paraId="2C21FD96" w14:textId="77777777" w:rsidR="008F3151" w:rsidRPr="00D518FF" w:rsidRDefault="008F3151">
            <w:pPr>
              <w:rPr>
                <w:rFonts w:ascii="Aptos" w:hAnsi="Aptos"/>
                <w:color w:val="000000"/>
                <w:sz w:val="16"/>
                <w:szCs w:val="16"/>
              </w:rPr>
            </w:pPr>
            <w:r w:rsidRPr="00D518FF">
              <w:rPr>
                <w:rFonts w:ascii="Aptos" w:hAnsi="Aptos"/>
                <w:color w:val="000000"/>
                <w:sz w:val="16"/>
                <w:szCs w:val="16"/>
              </w:rPr>
              <w:t>403-13</w:t>
            </w:r>
          </w:p>
        </w:tc>
        <w:tc>
          <w:tcPr>
            <w:tcW w:w="772" w:type="pct"/>
            <w:shd w:val="clear" w:color="auto" w:fill="auto"/>
            <w:noWrap/>
            <w:hideMark/>
          </w:tcPr>
          <w:p w14:paraId="2F0A4054"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253C3" w:rsidRPr="00D518FF" w14:paraId="3ACDB8AF" w14:textId="77777777" w:rsidTr="003060E9">
        <w:trPr>
          <w:trHeight w:val="320"/>
        </w:trPr>
        <w:tc>
          <w:tcPr>
            <w:tcW w:w="1441" w:type="pct"/>
            <w:shd w:val="clear" w:color="auto" w:fill="auto"/>
            <w:noWrap/>
            <w:hideMark/>
          </w:tcPr>
          <w:p w14:paraId="7A92013C" w14:textId="77777777" w:rsidR="008F3151" w:rsidRPr="00D518FF" w:rsidRDefault="008F3151">
            <w:pPr>
              <w:rPr>
                <w:rFonts w:ascii="Aptos" w:hAnsi="Aptos"/>
                <w:color w:val="000000"/>
                <w:sz w:val="16"/>
                <w:szCs w:val="16"/>
              </w:rPr>
            </w:pPr>
            <w:r w:rsidRPr="00D518FF">
              <w:rPr>
                <w:rFonts w:ascii="Aptos" w:hAnsi="Aptos"/>
                <w:color w:val="000000"/>
                <w:sz w:val="16"/>
                <w:szCs w:val="16"/>
              </w:rPr>
              <w:t>Bifidobacterium longum W11: Uniqueness and individual or combined clinical use in association with rifaximin</w:t>
            </w:r>
          </w:p>
        </w:tc>
        <w:tc>
          <w:tcPr>
            <w:tcW w:w="1145" w:type="pct"/>
            <w:shd w:val="clear" w:color="auto" w:fill="auto"/>
            <w:noWrap/>
            <w:hideMark/>
          </w:tcPr>
          <w:p w14:paraId="4E465E5F" w14:textId="77777777" w:rsidR="008F3151" w:rsidRPr="00D518FF" w:rsidRDefault="008F3151">
            <w:pPr>
              <w:rPr>
                <w:rFonts w:ascii="Aptos" w:hAnsi="Aptos"/>
                <w:color w:val="000000"/>
                <w:sz w:val="16"/>
                <w:szCs w:val="16"/>
              </w:rPr>
            </w:pPr>
            <w:r w:rsidRPr="00D518FF">
              <w:rPr>
                <w:rFonts w:ascii="Aptos" w:hAnsi="Aptos"/>
                <w:color w:val="000000"/>
                <w:sz w:val="16"/>
                <w:szCs w:val="16"/>
              </w:rPr>
              <w:t>Di Pierro, F.; Pane, M.</w:t>
            </w:r>
          </w:p>
        </w:tc>
        <w:tc>
          <w:tcPr>
            <w:tcW w:w="199" w:type="pct"/>
            <w:shd w:val="clear" w:color="auto" w:fill="auto"/>
            <w:noWrap/>
            <w:hideMark/>
          </w:tcPr>
          <w:p w14:paraId="7C9F3AD9"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697" w:type="pct"/>
            <w:shd w:val="clear" w:color="auto" w:fill="auto"/>
            <w:noWrap/>
            <w:hideMark/>
          </w:tcPr>
          <w:p w14:paraId="03A19CF5" w14:textId="77777777" w:rsidR="008F3151" w:rsidRPr="00D518FF" w:rsidRDefault="008F3151">
            <w:pPr>
              <w:rPr>
                <w:rFonts w:ascii="Aptos" w:hAnsi="Aptos"/>
                <w:color w:val="000000"/>
                <w:sz w:val="16"/>
                <w:szCs w:val="16"/>
              </w:rPr>
            </w:pPr>
            <w:r w:rsidRPr="00D518FF">
              <w:rPr>
                <w:rFonts w:ascii="Aptos" w:hAnsi="Aptos"/>
                <w:color w:val="000000"/>
                <w:sz w:val="16"/>
                <w:szCs w:val="16"/>
              </w:rPr>
              <w:t>Clin. Nutr. ESPEN</w:t>
            </w:r>
          </w:p>
        </w:tc>
        <w:tc>
          <w:tcPr>
            <w:tcW w:w="298" w:type="pct"/>
            <w:shd w:val="clear" w:color="auto" w:fill="auto"/>
            <w:noWrap/>
            <w:hideMark/>
          </w:tcPr>
          <w:p w14:paraId="6A0F1BDF" w14:textId="77777777" w:rsidR="008F3151" w:rsidRPr="00D518FF" w:rsidRDefault="008F3151">
            <w:pPr>
              <w:rPr>
                <w:rFonts w:ascii="Aptos" w:hAnsi="Aptos"/>
                <w:color w:val="000000"/>
                <w:sz w:val="16"/>
                <w:szCs w:val="16"/>
              </w:rPr>
            </w:pPr>
            <w:r w:rsidRPr="00D518FF">
              <w:rPr>
                <w:rFonts w:ascii="Aptos" w:hAnsi="Aptos"/>
                <w:color w:val="000000"/>
                <w:sz w:val="16"/>
                <w:szCs w:val="16"/>
              </w:rPr>
              <w:t>42</w:t>
            </w:r>
          </w:p>
        </w:tc>
        <w:tc>
          <w:tcPr>
            <w:tcW w:w="199" w:type="pct"/>
            <w:shd w:val="clear" w:color="auto" w:fill="auto"/>
            <w:noWrap/>
            <w:hideMark/>
          </w:tcPr>
          <w:p w14:paraId="60AD350B" w14:textId="228F83F4" w:rsidR="008F3151" w:rsidRPr="00D518FF" w:rsidRDefault="0091460A">
            <w:pPr>
              <w:rPr>
                <w:rFonts w:ascii="Aptos" w:hAnsi="Aptos"/>
                <w:color w:val="000000"/>
                <w:sz w:val="16"/>
                <w:szCs w:val="16"/>
              </w:rPr>
            </w:pPr>
            <w:r>
              <w:rPr>
                <w:rFonts w:ascii="Aptos" w:hAnsi="Aptos"/>
                <w:color w:val="000000"/>
                <w:sz w:val="16"/>
                <w:szCs w:val="16"/>
              </w:rPr>
              <w:t>-</w:t>
            </w:r>
          </w:p>
        </w:tc>
        <w:tc>
          <w:tcPr>
            <w:tcW w:w="249" w:type="pct"/>
            <w:shd w:val="clear" w:color="auto" w:fill="auto"/>
            <w:noWrap/>
            <w:hideMark/>
          </w:tcPr>
          <w:p w14:paraId="6FD8CA93" w14:textId="77777777" w:rsidR="008F3151" w:rsidRPr="00D518FF" w:rsidRDefault="008F3151">
            <w:pPr>
              <w:rPr>
                <w:rFonts w:ascii="Aptos" w:hAnsi="Aptos"/>
                <w:color w:val="000000"/>
                <w:sz w:val="16"/>
                <w:szCs w:val="16"/>
              </w:rPr>
            </w:pPr>
            <w:r w:rsidRPr="00D518FF">
              <w:rPr>
                <w:rFonts w:ascii="Aptos" w:hAnsi="Aptos"/>
                <w:color w:val="000000"/>
                <w:sz w:val="16"/>
                <w:szCs w:val="16"/>
              </w:rPr>
              <w:t>15-21</w:t>
            </w:r>
          </w:p>
        </w:tc>
        <w:tc>
          <w:tcPr>
            <w:tcW w:w="772" w:type="pct"/>
            <w:shd w:val="clear" w:color="auto" w:fill="auto"/>
            <w:noWrap/>
            <w:hideMark/>
          </w:tcPr>
          <w:p w14:paraId="6AE05299"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253C3" w:rsidRPr="00D518FF" w14:paraId="7C017BD6" w14:textId="77777777" w:rsidTr="003060E9">
        <w:trPr>
          <w:trHeight w:val="320"/>
        </w:trPr>
        <w:tc>
          <w:tcPr>
            <w:tcW w:w="1441" w:type="pct"/>
            <w:shd w:val="clear" w:color="auto" w:fill="auto"/>
            <w:noWrap/>
            <w:hideMark/>
          </w:tcPr>
          <w:p w14:paraId="0132EA38" w14:textId="77777777" w:rsidR="008F3151" w:rsidRPr="00D518FF" w:rsidRDefault="008F3151">
            <w:pPr>
              <w:rPr>
                <w:rFonts w:ascii="Aptos" w:hAnsi="Aptos"/>
                <w:color w:val="000000"/>
                <w:sz w:val="16"/>
                <w:szCs w:val="16"/>
              </w:rPr>
            </w:pPr>
            <w:r w:rsidRPr="00D518FF">
              <w:rPr>
                <w:rFonts w:ascii="Aptos" w:hAnsi="Aptos"/>
                <w:color w:val="000000"/>
                <w:sz w:val="16"/>
                <w:szCs w:val="16"/>
              </w:rPr>
              <w:t>Effectiveness of probiotics in irritable bowel syndrome: Updated systematic review with meta-analysis</w:t>
            </w:r>
          </w:p>
        </w:tc>
        <w:tc>
          <w:tcPr>
            <w:tcW w:w="1145" w:type="pct"/>
            <w:shd w:val="clear" w:color="auto" w:fill="auto"/>
            <w:noWrap/>
            <w:hideMark/>
          </w:tcPr>
          <w:p w14:paraId="19501540" w14:textId="77777777" w:rsidR="008F3151" w:rsidRPr="00D518FF" w:rsidRDefault="008F3151">
            <w:pPr>
              <w:rPr>
                <w:rFonts w:ascii="Aptos" w:hAnsi="Aptos"/>
                <w:color w:val="000000"/>
                <w:sz w:val="16"/>
                <w:szCs w:val="16"/>
              </w:rPr>
            </w:pPr>
            <w:r w:rsidRPr="00D518FF">
              <w:rPr>
                <w:rFonts w:ascii="Aptos" w:hAnsi="Aptos"/>
                <w:color w:val="000000"/>
                <w:sz w:val="16"/>
                <w:szCs w:val="16"/>
              </w:rPr>
              <w:t>Didari, T.; Mozaffari, S.; Nikfar, S.; Abdollahi, M.</w:t>
            </w:r>
          </w:p>
        </w:tc>
        <w:tc>
          <w:tcPr>
            <w:tcW w:w="199" w:type="pct"/>
            <w:shd w:val="clear" w:color="auto" w:fill="auto"/>
            <w:noWrap/>
            <w:hideMark/>
          </w:tcPr>
          <w:p w14:paraId="304C06DA" w14:textId="77777777" w:rsidR="008F3151" w:rsidRPr="00D518FF" w:rsidRDefault="008F3151">
            <w:pPr>
              <w:rPr>
                <w:rFonts w:ascii="Aptos" w:hAnsi="Aptos"/>
                <w:color w:val="000000"/>
                <w:sz w:val="16"/>
                <w:szCs w:val="16"/>
              </w:rPr>
            </w:pPr>
            <w:r w:rsidRPr="00D518FF">
              <w:rPr>
                <w:rFonts w:ascii="Aptos" w:hAnsi="Aptos"/>
                <w:color w:val="000000"/>
                <w:sz w:val="16"/>
                <w:szCs w:val="16"/>
              </w:rPr>
              <w:t>2015</w:t>
            </w:r>
          </w:p>
        </w:tc>
        <w:tc>
          <w:tcPr>
            <w:tcW w:w="697" w:type="pct"/>
            <w:shd w:val="clear" w:color="auto" w:fill="auto"/>
            <w:noWrap/>
            <w:hideMark/>
          </w:tcPr>
          <w:p w14:paraId="6FAFACED" w14:textId="77777777" w:rsidR="008F3151" w:rsidRPr="00D518FF" w:rsidRDefault="008F3151">
            <w:pPr>
              <w:rPr>
                <w:rFonts w:ascii="Aptos" w:hAnsi="Aptos"/>
                <w:color w:val="000000"/>
                <w:sz w:val="16"/>
                <w:szCs w:val="16"/>
              </w:rPr>
            </w:pPr>
            <w:r w:rsidRPr="00D518FF">
              <w:rPr>
                <w:rFonts w:ascii="Aptos" w:hAnsi="Aptos"/>
                <w:color w:val="000000"/>
                <w:sz w:val="16"/>
                <w:szCs w:val="16"/>
              </w:rPr>
              <w:t>World journal of gastroenterology</w:t>
            </w:r>
          </w:p>
        </w:tc>
        <w:tc>
          <w:tcPr>
            <w:tcW w:w="298" w:type="pct"/>
            <w:shd w:val="clear" w:color="auto" w:fill="auto"/>
            <w:noWrap/>
            <w:hideMark/>
          </w:tcPr>
          <w:p w14:paraId="4189EC7B" w14:textId="77777777" w:rsidR="008F3151" w:rsidRPr="00D518FF" w:rsidRDefault="008F3151">
            <w:pPr>
              <w:rPr>
                <w:rFonts w:ascii="Aptos" w:hAnsi="Aptos"/>
                <w:color w:val="000000"/>
                <w:sz w:val="16"/>
                <w:szCs w:val="16"/>
              </w:rPr>
            </w:pPr>
            <w:r w:rsidRPr="00D518FF">
              <w:rPr>
                <w:rFonts w:ascii="Aptos" w:hAnsi="Aptos"/>
                <w:color w:val="000000"/>
                <w:sz w:val="16"/>
                <w:szCs w:val="16"/>
              </w:rPr>
              <w:t>21</w:t>
            </w:r>
          </w:p>
        </w:tc>
        <w:tc>
          <w:tcPr>
            <w:tcW w:w="199" w:type="pct"/>
            <w:shd w:val="clear" w:color="auto" w:fill="auto"/>
            <w:noWrap/>
            <w:hideMark/>
          </w:tcPr>
          <w:p w14:paraId="63420DF6" w14:textId="77777777" w:rsidR="008F3151" w:rsidRPr="00D518FF" w:rsidRDefault="008F3151">
            <w:pPr>
              <w:rPr>
                <w:rFonts w:ascii="Aptos" w:hAnsi="Aptos"/>
                <w:color w:val="000000"/>
                <w:sz w:val="16"/>
                <w:szCs w:val="16"/>
              </w:rPr>
            </w:pPr>
            <w:r w:rsidRPr="00D518FF">
              <w:rPr>
                <w:rFonts w:ascii="Aptos" w:hAnsi="Aptos"/>
                <w:color w:val="000000"/>
                <w:sz w:val="16"/>
                <w:szCs w:val="16"/>
              </w:rPr>
              <w:t>10</w:t>
            </w:r>
          </w:p>
        </w:tc>
        <w:tc>
          <w:tcPr>
            <w:tcW w:w="249" w:type="pct"/>
            <w:shd w:val="clear" w:color="auto" w:fill="auto"/>
            <w:noWrap/>
            <w:hideMark/>
          </w:tcPr>
          <w:p w14:paraId="781E8A0E" w14:textId="77777777" w:rsidR="008F3151" w:rsidRPr="00D518FF" w:rsidRDefault="008F3151">
            <w:pPr>
              <w:rPr>
                <w:rFonts w:ascii="Aptos" w:hAnsi="Aptos"/>
                <w:color w:val="000000"/>
                <w:sz w:val="16"/>
                <w:szCs w:val="16"/>
              </w:rPr>
            </w:pPr>
            <w:r w:rsidRPr="00D518FF">
              <w:rPr>
                <w:rFonts w:ascii="Aptos" w:hAnsi="Aptos"/>
                <w:color w:val="000000"/>
                <w:sz w:val="16"/>
                <w:szCs w:val="16"/>
              </w:rPr>
              <w:t>3072-84</w:t>
            </w:r>
          </w:p>
        </w:tc>
        <w:tc>
          <w:tcPr>
            <w:tcW w:w="772" w:type="pct"/>
            <w:shd w:val="clear" w:color="auto" w:fill="auto"/>
            <w:noWrap/>
            <w:hideMark/>
          </w:tcPr>
          <w:p w14:paraId="46A3264F"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253C3" w:rsidRPr="00D518FF" w14:paraId="3AA56688" w14:textId="77777777" w:rsidTr="003060E9">
        <w:trPr>
          <w:trHeight w:val="320"/>
        </w:trPr>
        <w:tc>
          <w:tcPr>
            <w:tcW w:w="1441" w:type="pct"/>
            <w:shd w:val="clear" w:color="auto" w:fill="auto"/>
            <w:noWrap/>
            <w:hideMark/>
          </w:tcPr>
          <w:p w14:paraId="5FF8CA75" w14:textId="77777777" w:rsidR="008F3151" w:rsidRPr="00D518FF" w:rsidRDefault="008F3151">
            <w:pPr>
              <w:rPr>
                <w:rFonts w:ascii="Aptos" w:hAnsi="Aptos"/>
                <w:color w:val="000000"/>
                <w:sz w:val="16"/>
                <w:szCs w:val="16"/>
              </w:rPr>
            </w:pPr>
            <w:r w:rsidRPr="00D518FF">
              <w:rPr>
                <w:rFonts w:ascii="Aptos" w:hAnsi="Aptos"/>
                <w:color w:val="000000"/>
                <w:sz w:val="16"/>
                <w:szCs w:val="16"/>
              </w:rPr>
              <w:t>Do probiotic or synbiotic preparations alleviate symptoms associated with constipation or irritable bowel syndrome?</w:t>
            </w:r>
          </w:p>
        </w:tc>
        <w:tc>
          <w:tcPr>
            <w:tcW w:w="1145" w:type="pct"/>
            <w:shd w:val="clear" w:color="auto" w:fill="auto"/>
            <w:noWrap/>
            <w:hideMark/>
          </w:tcPr>
          <w:p w14:paraId="667BE54F" w14:textId="77777777" w:rsidR="008F3151" w:rsidRPr="00D518FF" w:rsidRDefault="008F3151">
            <w:pPr>
              <w:rPr>
                <w:rFonts w:ascii="Aptos" w:hAnsi="Aptos"/>
                <w:color w:val="000000"/>
                <w:sz w:val="16"/>
                <w:szCs w:val="16"/>
              </w:rPr>
            </w:pPr>
            <w:r w:rsidRPr="00D518FF">
              <w:rPr>
                <w:rFonts w:ascii="Aptos" w:hAnsi="Aptos"/>
                <w:color w:val="000000"/>
                <w:sz w:val="16"/>
                <w:szCs w:val="16"/>
              </w:rPr>
              <w:t>Eddins, C.; Gray, M.</w:t>
            </w:r>
          </w:p>
        </w:tc>
        <w:tc>
          <w:tcPr>
            <w:tcW w:w="199" w:type="pct"/>
            <w:shd w:val="clear" w:color="auto" w:fill="auto"/>
            <w:noWrap/>
            <w:hideMark/>
          </w:tcPr>
          <w:p w14:paraId="3A18FCBD" w14:textId="77777777" w:rsidR="008F3151" w:rsidRPr="00D518FF" w:rsidRDefault="008F3151">
            <w:pPr>
              <w:rPr>
                <w:rFonts w:ascii="Aptos" w:hAnsi="Aptos"/>
                <w:color w:val="000000"/>
                <w:sz w:val="16"/>
                <w:szCs w:val="16"/>
              </w:rPr>
            </w:pPr>
            <w:r w:rsidRPr="00D518FF">
              <w:rPr>
                <w:rFonts w:ascii="Aptos" w:hAnsi="Aptos"/>
                <w:color w:val="000000"/>
                <w:sz w:val="16"/>
                <w:szCs w:val="16"/>
              </w:rPr>
              <w:t>2007</w:t>
            </w:r>
          </w:p>
        </w:tc>
        <w:tc>
          <w:tcPr>
            <w:tcW w:w="697" w:type="pct"/>
            <w:shd w:val="clear" w:color="auto" w:fill="auto"/>
            <w:noWrap/>
            <w:hideMark/>
          </w:tcPr>
          <w:p w14:paraId="6BA4ADDB"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Wound, Ostomy &amp; Continence Nursing</w:t>
            </w:r>
          </w:p>
        </w:tc>
        <w:tc>
          <w:tcPr>
            <w:tcW w:w="298" w:type="pct"/>
            <w:shd w:val="clear" w:color="auto" w:fill="auto"/>
            <w:noWrap/>
            <w:hideMark/>
          </w:tcPr>
          <w:p w14:paraId="27AEAA8A" w14:textId="77777777" w:rsidR="008F3151" w:rsidRPr="00D518FF" w:rsidRDefault="008F3151">
            <w:pPr>
              <w:rPr>
                <w:rFonts w:ascii="Aptos" w:hAnsi="Aptos"/>
                <w:color w:val="000000"/>
                <w:sz w:val="16"/>
                <w:szCs w:val="16"/>
              </w:rPr>
            </w:pPr>
            <w:r w:rsidRPr="00D518FF">
              <w:rPr>
                <w:rFonts w:ascii="Aptos" w:hAnsi="Aptos"/>
                <w:color w:val="000000"/>
                <w:sz w:val="16"/>
                <w:szCs w:val="16"/>
              </w:rPr>
              <w:t>34</w:t>
            </w:r>
          </w:p>
        </w:tc>
        <w:tc>
          <w:tcPr>
            <w:tcW w:w="199" w:type="pct"/>
            <w:shd w:val="clear" w:color="auto" w:fill="auto"/>
            <w:noWrap/>
            <w:hideMark/>
          </w:tcPr>
          <w:p w14:paraId="72D12CE6"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249" w:type="pct"/>
            <w:shd w:val="clear" w:color="auto" w:fill="auto"/>
            <w:noWrap/>
            <w:hideMark/>
          </w:tcPr>
          <w:p w14:paraId="5DB4594E" w14:textId="77777777" w:rsidR="008F3151" w:rsidRPr="00D518FF" w:rsidRDefault="008F3151">
            <w:pPr>
              <w:rPr>
                <w:rFonts w:ascii="Aptos" w:hAnsi="Aptos"/>
                <w:color w:val="000000"/>
                <w:sz w:val="16"/>
                <w:szCs w:val="16"/>
              </w:rPr>
            </w:pPr>
            <w:r w:rsidRPr="00D518FF">
              <w:rPr>
                <w:rFonts w:ascii="Aptos" w:hAnsi="Aptos"/>
                <w:color w:val="000000"/>
                <w:sz w:val="16"/>
                <w:szCs w:val="16"/>
              </w:rPr>
              <w:t>615-624</w:t>
            </w:r>
          </w:p>
        </w:tc>
        <w:tc>
          <w:tcPr>
            <w:tcW w:w="772" w:type="pct"/>
            <w:shd w:val="clear" w:color="auto" w:fill="auto"/>
            <w:noWrap/>
            <w:hideMark/>
          </w:tcPr>
          <w:p w14:paraId="6AD2F8F3"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253C3" w:rsidRPr="00D518FF" w14:paraId="5896512E" w14:textId="77777777" w:rsidTr="003060E9">
        <w:trPr>
          <w:trHeight w:val="320"/>
        </w:trPr>
        <w:tc>
          <w:tcPr>
            <w:tcW w:w="1441" w:type="pct"/>
            <w:shd w:val="clear" w:color="auto" w:fill="auto"/>
            <w:noWrap/>
            <w:hideMark/>
          </w:tcPr>
          <w:p w14:paraId="765B4ABE" w14:textId="77777777" w:rsidR="008F3151" w:rsidRPr="00D518FF" w:rsidRDefault="008F3151">
            <w:pPr>
              <w:rPr>
                <w:rFonts w:ascii="Aptos" w:hAnsi="Aptos"/>
                <w:color w:val="000000"/>
                <w:sz w:val="16"/>
                <w:szCs w:val="16"/>
              </w:rPr>
            </w:pPr>
            <w:r w:rsidRPr="00D518FF">
              <w:rPr>
                <w:rFonts w:ascii="Aptos" w:hAnsi="Aptos"/>
                <w:color w:val="000000"/>
                <w:sz w:val="16"/>
                <w:szCs w:val="16"/>
              </w:rPr>
              <w:t>Systematic review: probiotics in the management of lower gastrointestinal symptoms in clinical practice -- an evidence-based international guide</w:t>
            </w:r>
          </w:p>
        </w:tc>
        <w:tc>
          <w:tcPr>
            <w:tcW w:w="1145" w:type="pct"/>
            <w:shd w:val="clear" w:color="auto" w:fill="auto"/>
            <w:noWrap/>
            <w:hideMark/>
          </w:tcPr>
          <w:p w14:paraId="274F44F9" w14:textId="77777777" w:rsidR="008F3151" w:rsidRPr="00D518FF" w:rsidRDefault="008F3151">
            <w:pPr>
              <w:rPr>
                <w:rFonts w:ascii="Aptos" w:hAnsi="Aptos"/>
                <w:color w:val="000000"/>
                <w:sz w:val="16"/>
                <w:szCs w:val="16"/>
              </w:rPr>
            </w:pPr>
            <w:r w:rsidRPr="00D518FF">
              <w:rPr>
                <w:rFonts w:ascii="Aptos" w:hAnsi="Aptos"/>
                <w:color w:val="000000"/>
                <w:sz w:val="16"/>
                <w:szCs w:val="16"/>
              </w:rPr>
              <w:t>Hungin, A. P.; Mulligan, C.; Pot, B.; Whorwell, P.; Agr√©us, L.; Fracasso, P.; Lionis, C.; Mendive, J.; Philippart de Foy, J. M.; Rubin, G.; Winchester, C.; de Wit, N.; European Society for Primary Care, Gastroenterology</w:t>
            </w:r>
          </w:p>
        </w:tc>
        <w:tc>
          <w:tcPr>
            <w:tcW w:w="199" w:type="pct"/>
            <w:shd w:val="clear" w:color="auto" w:fill="auto"/>
            <w:noWrap/>
            <w:hideMark/>
          </w:tcPr>
          <w:p w14:paraId="2715D84E" w14:textId="77777777" w:rsidR="008F3151" w:rsidRPr="00D518FF" w:rsidRDefault="008F3151">
            <w:pPr>
              <w:rPr>
                <w:rFonts w:ascii="Aptos" w:hAnsi="Aptos"/>
                <w:color w:val="000000"/>
                <w:sz w:val="16"/>
                <w:szCs w:val="16"/>
              </w:rPr>
            </w:pPr>
            <w:r w:rsidRPr="00D518FF">
              <w:rPr>
                <w:rFonts w:ascii="Aptos" w:hAnsi="Aptos"/>
                <w:color w:val="000000"/>
                <w:sz w:val="16"/>
                <w:szCs w:val="16"/>
              </w:rPr>
              <w:t>2013</w:t>
            </w:r>
          </w:p>
        </w:tc>
        <w:tc>
          <w:tcPr>
            <w:tcW w:w="697" w:type="pct"/>
            <w:shd w:val="clear" w:color="auto" w:fill="auto"/>
            <w:noWrap/>
            <w:hideMark/>
          </w:tcPr>
          <w:p w14:paraId="0C17E5A1" w14:textId="77777777" w:rsidR="008F3151" w:rsidRPr="00D518FF" w:rsidRDefault="008F3151">
            <w:pPr>
              <w:rPr>
                <w:rFonts w:ascii="Aptos" w:hAnsi="Aptos"/>
                <w:color w:val="000000"/>
                <w:sz w:val="16"/>
                <w:szCs w:val="16"/>
              </w:rPr>
            </w:pPr>
            <w:r w:rsidRPr="00D518FF">
              <w:rPr>
                <w:rFonts w:ascii="Aptos" w:hAnsi="Aptos"/>
                <w:color w:val="000000"/>
                <w:sz w:val="16"/>
                <w:szCs w:val="16"/>
              </w:rPr>
              <w:t>Alimentary pharmacology &amp; therapeutics</w:t>
            </w:r>
          </w:p>
        </w:tc>
        <w:tc>
          <w:tcPr>
            <w:tcW w:w="298" w:type="pct"/>
            <w:shd w:val="clear" w:color="auto" w:fill="auto"/>
            <w:noWrap/>
            <w:hideMark/>
          </w:tcPr>
          <w:p w14:paraId="0BD11B4C" w14:textId="77777777" w:rsidR="008F3151" w:rsidRPr="00D518FF" w:rsidRDefault="008F3151">
            <w:pPr>
              <w:rPr>
                <w:rFonts w:ascii="Aptos" w:hAnsi="Aptos"/>
                <w:color w:val="000000"/>
                <w:sz w:val="16"/>
                <w:szCs w:val="16"/>
              </w:rPr>
            </w:pPr>
            <w:r w:rsidRPr="00D518FF">
              <w:rPr>
                <w:rFonts w:ascii="Aptos" w:hAnsi="Aptos"/>
                <w:color w:val="000000"/>
                <w:sz w:val="16"/>
                <w:szCs w:val="16"/>
              </w:rPr>
              <w:t>38</w:t>
            </w:r>
          </w:p>
        </w:tc>
        <w:tc>
          <w:tcPr>
            <w:tcW w:w="199" w:type="pct"/>
            <w:shd w:val="clear" w:color="auto" w:fill="auto"/>
            <w:noWrap/>
            <w:hideMark/>
          </w:tcPr>
          <w:p w14:paraId="7010E2DC" w14:textId="77777777" w:rsidR="008F3151" w:rsidRPr="00D518FF" w:rsidRDefault="008F3151">
            <w:pPr>
              <w:rPr>
                <w:rFonts w:ascii="Aptos" w:hAnsi="Aptos"/>
                <w:color w:val="000000"/>
                <w:sz w:val="16"/>
                <w:szCs w:val="16"/>
              </w:rPr>
            </w:pPr>
            <w:r w:rsidRPr="00D518FF">
              <w:rPr>
                <w:rFonts w:ascii="Aptos" w:hAnsi="Aptos"/>
                <w:color w:val="000000"/>
                <w:sz w:val="16"/>
                <w:szCs w:val="16"/>
              </w:rPr>
              <w:t>8</w:t>
            </w:r>
          </w:p>
        </w:tc>
        <w:tc>
          <w:tcPr>
            <w:tcW w:w="249" w:type="pct"/>
            <w:shd w:val="clear" w:color="auto" w:fill="auto"/>
            <w:noWrap/>
            <w:hideMark/>
          </w:tcPr>
          <w:p w14:paraId="52DC1139" w14:textId="77777777" w:rsidR="008F3151" w:rsidRPr="00D518FF" w:rsidRDefault="008F3151">
            <w:pPr>
              <w:rPr>
                <w:rFonts w:ascii="Aptos" w:hAnsi="Aptos"/>
                <w:color w:val="000000"/>
                <w:sz w:val="16"/>
                <w:szCs w:val="16"/>
              </w:rPr>
            </w:pPr>
            <w:r w:rsidRPr="00D518FF">
              <w:rPr>
                <w:rFonts w:ascii="Aptos" w:hAnsi="Aptos"/>
                <w:color w:val="000000"/>
                <w:sz w:val="16"/>
                <w:szCs w:val="16"/>
              </w:rPr>
              <w:t>864-86</w:t>
            </w:r>
          </w:p>
        </w:tc>
        <w:tc>
          <w:tcPr>
            <w:tcW w:w="772" w:type="pct"/>
            <w:shd w:val="clear" w:color="auto" w:fill="auto"/>
            <w:noWrap/>
            <w:hideMark/>
          </w:tcPr>
          <w:p w14:paraId="5F8DA8EC"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253C3" w:rsidRPr="00D518FF" w14:paraId="1A9FA347" w14:textId="77777777" w:rsidTr="003060E9">
        <w:trPr>
          <w:trHeight w:val="320"/>
        </w:trPr>
        <w:tc>
          <w:tcPr>
            <w:tcW w:w="1441" w:type="pct"/>
            <w:shd w:val="clear" w:color="auto" w:fill="auto"/>
            <w:noWrap/>
            <w:hideMark/>
          </w:tcPr>
          <w:p w14:paraId="19B53DAF" w14:textId="77777777" w:rsidR="008F3151" w:rsidRPr="00D518FF" w:rsidRDefault="008F3151">
            <w:pPr>
              <w:rPr>
                <w:rFonts w:ascii="Aptos" w:hAnsi="Aptos"/>
                <w:color w:val="000000"/>
                <w:sz w:val="16"/>
                <w:szCs w:val="16"/>
              </w:rPr>
            </w:pPr>
            <w:r w:rsidRPr="00D518FF">
              <w:rPr>
                <w:rFonts w:ascii="Aptos" w:hAnsi="Aptos"/>
                <w:color w:val="000000"/>
                <w:sz w:val="16"/>
                <w:szCs w:val="16"/>
              </w:rPr>
              <w:t>Probiotic therapy of the irritable bowel syndrome: A systematic review but not a meta-analysis</w:t>
            </w:r>
          </w:p>
        </w:tc>
        <w:tc>
          <w:tcPr>
            <w:tcW w:w="1145" w:type="pct"/>
            <w:shd w:val="clear" w:color="auto" w:fill="auto"/>
            <w:noWrap/>
            <w:hideMark/>
          </w:tcPr>
          <w:p w14:paraId="590C3299" w14:textId="77777777" w:rsidR="008F3151" w:rsidRPr="00D518FF" w:rsidRDefault="008F3151">
            <w:pPr>
              <w:rPr>
                <w:rFonts w:ascii="Aptos" w:hAnsi="Aptos"/>
                <w:color w:val="000000"/>
                <w:sz w:val="16"/>
                <w:szCs w:val="16"/>
              </w:rPr>
            </w:pPr>
            <w:r w:rsidRPr="00D518FF">
              <w:rPr>
                <w:rFonts w:ascii="Aptos" w:hAnsi="Aptos"/>
                <w:color w:val="000000"/>
                <w:sz w:val="16"/>
                <w:szCs w:val="16"/>
              </w:rPr>
              <w:t>Mazurak, N.; Broelz, E.; Storr, M.; Enck, P.</w:t>
            </w:r>
          </w:p>
        </w:tc>
        <w:tc>
          <w:tcPr>
            <w:tcW w:w="199" w:type="pct"/>
            <w:shd w:val="clear" w:color="auto" w:fill="auto"/>
            <w:noWrap/>
            <w:hideMark/>
          </w:tcPr>
          <w:p w14:paraId="43FDF11F" w14:textId="77777777" w:rsidR="008F3151" w:rsidRPr="00D518FF" w:rsidRDefault="008F3151">
            <w:pPr>
              <w:rPr>
                <w:rFonts w:ascii="Aptos" w:hAnsi="Aptos"/>
                <w:color w:val="000000"/>
                <w:sz w:val="16"/>
                <w:szCs w:val="16"/>
              </w:rPr>
            </w:pPr>
            <w:r w:rsidRPr="00D518FF">
              <w:rPr>
                <w:rFonts w:ascii="Aptos" w:hAnsi="Aptos"/>
                <w:color w:val="000000"/>
                <w:sz w:val="16"/>
                <w:szCs w:val="16"/>
              </w:rPr>
              <w:t>2015</w:t>
            </w:r>
          </w:p>
        </w:tc>
        <w:tc>
          <w:tcPr>
            <w:tcW w:w="697" w:type="pct"/>
            <w:shd w:val="clear" w:color="auto" w:fill="auto"/>
            <w:noWrap/>
            <w:hideMark/>
          </w:tcPr>
          <w:p w14:paraId="00180E6E" w14:textId="77777777" w:rsidR="008F3151" w:rsidRPr="00D518FF" w:rsidRDefault="008F3151">
            <w:pPr>
              <w:rPr>
                <w:rFonts w:ascii="Aptos" w:hAnsi="Aptos"/>
                <w:color w:val="000000"/>
                <w:sz w:val="16"/>
                <w:szCs w:val="16"/>
              </w:rPr>
            </w:pPr>
            <w:r w:rsidRPr="00D518FF">
              <w:rPr>
                <w:rFonts w:ascii="Aptos" w:hAnsi="Aptos"/>
                <w:color w:val="000000"/>
                <w:sz w:val="16"/>
                <w:szCs w:val="16"/>
              </w:rPr>
              <w:t>Neurogastroenterology and Motility</w:t>
            </w:r>
          </w:p>
        </w:tc>
        <w:tc>
          <w:tcPr>
            <w:tcW w:w="298" w:type="pct"/>
            <w:shd w:val="clear" w:color="auto" w:fill="auto"/>
          </w:tcPr>
          <w:p w14:paraId="35EE2F1C" w14:textId="77777777" w:rsidR="008F3151" w:rsidRPr="00D518FF" w:rsidRDefault="008F3151">
            <w:pPr>
              <w:rPr>
                <w:rFonts w:ascii="Aptos" w:hAnsi="Aptos"/>
                <w:color w:val="000000"/>
                <w:sz w:val="16"/>
                <w:szCs w:val="16"/>
              </w:rPr>
            </w:pPr>
            <w:r w:rsidRPr="00D518FF">
              <w:rPr>
                <w:rFonts w:ascii="Aptos" w:hAnsi="Aptos"/>
                <w:color w:val="000000"/>
                <w:sz w:val="16"/>
                <w:szCs w:val="16"/>
              </w:rPr>
              <w:t>21</w:t>
            </w:r>
          </w:p>
        </w:tc>
        <w:tc>
          <w:tcPr>
            <w:tcW w:w="199" w:type="pct"/>
            <w:shd w:val="clear" w:color="auto" w:fill="auto"/>
          </w:tcPr>
          <w:p w14:paraId="0D9211E7"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249" w:type="pct"/>
            <w:shd w:val="clear" w:color="auto" w:fill="auto"/>
            <w:noWrap/>
            <w:hideMark/>
          </w:tcPr>
          <w:p w14:paraId="37C58C08" w14:textId="77777777" w:rsidR="008F3151" w:rsidRPr="00D518FF" w:rsidRDefault="008F3151">
            <w:pPr>
              <w:rPr>
                <w:rFonts w:ascii="Aptos" w:hAnsi="Aptos"/>
                <w:color w:val="000000"/>
                <w:sz w:val="16"/>
                <w:szCs w:val="16"/>
              </w:rPr>
            </w:pPr>
            <w:r w:rsidRPr="00D518FF">
              <w:rPr>
                <w:rFonts w:ascii="Aptos" w:hAnsi="Aptos"/>
                <w:color w:val="000000"/>
                <w:sz w:val="16"/>
                <w:szCs w:val="16"/>
              </w:rPr>
              <w:t>471-85</w:t>
            </w:r>
          </w:p>
        </w:tc>
        <w:tc>
          <w:tcPr>
            <w:tcW w:w="772" w:type="pct"/>
            <w:shd w:val="clear" w:color="auto" w:fill="auto"/>
            <w:noWrap/>
            <w:hideMark/>
          </w:tcPr>
          <w:p w14:paraId="3099E2D4"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253C3" w:rsidRPr="00D518FF" w14:paraId="005556DA" w14:textId="77777777" w:rsidTr="003060E9">
        <w:trPr>
          <w:trHeight w:val="320"/>
        </w:trPr>
        <w:tc>
          <w:tcPr>
            <w:tcW w:w="1441" w:type="pct"/>
            <w:shd w:val="clear" w:color="auto" w:fill="auto"/>
            <w:noWrap/>
            <w:hideMark/>
          </w:tcPr>
          <w:p w14:paraId="7947A079" w14:textId="77777777" w:rsidR="008F3151" w:rsidRPr="00D518FF" w:rsidRDefault="008F3151">
            <w:pPr>
              <w:rPr>
                <w:rFonts w:ascii="Aptos" w:hAnsi="Aptos"/>
                <w:color w:val="000000"/>
                <w:sz w:val="16"/>
                <w:szCs w:val="16"/>
              </w:rPr>
            </w:pPr>
            <w:r w:rsidRPr="00D518FF">
              <w:rPr>
                <w:rFonts w:ascii="Aptos" w:hAnsi="Aptos"/>
                <w:color w:val="000000"/>
                <w:sz w:val="16"/>
                <w:szCs w:val="16"/>
              </w:rPr>
              <w:t>Evaluating the Efficacy of Probiotics in IBS Treatment Using a Systematic Review of Clinical Trials and Multi-Criteria Decision Analysis</w:t>
            </w:r>
          </w:p>
        </w:tc>
        <w:tc>
          <w:tcPr>
            <w:tcW w:w="1145" w:type="pct"/>
            <w:shd w:val="clear" w:color="auto" w:fill="auto"/>
            <w:noWrap/>
            <w:hideMark/>
          </w:tcPr>
          <w:p w14:paraId="4BE43F50" w14:textId="77777777" w:rsidR="008F3151" w:rsidRPr="00D518FF" w:rsidRDefault="008F3151">
            <w:pPr>
              <w:rPr>
                <w:rFonts w:ascii="Aptos" w:hAnsi="Aptos"/>
                <w:color w:val="000000"/>
                <w:sz w:val="16"/>
                <w:szCs w:val="16"/>
              </w:rPr>
            </w:pPr>
            <w:r w:rsidRPr="00D518FF">
              <w:rPr>
                <w:rFonts w:ascii="Aptos" w:hAnsi="Aptos"/>
                <w:color w:val="000000"/>
                <w:sz w:val="16"/>
                <w:szCs w:val="16"/>
              </w:rPr>
              <w:t>Ceccherini, C.; Daniotti, S.; Bearzi, C.; Re, I.</w:t>
            </w:r>
          </w:p>
        </w:tc>
        <w:tc>
          <w:tcPr>
            <w:tcW w:w="199" w:type="pct"/>
            <w:shd w:val="clear" w:color="auto" w:fill="auto"/>
            <w:noWrap/>
            <w:hideMark/>
          </w:tcPr>
          <w:p w14:paraId="0E5DB58F"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697" w:type="pct"/>
            <w:shd w:val="clear" w:color="auto" w:fill="auto"/>
            <w:noWrap/>
            <w:hideMark/>
          </w:tcPr>
          <w:p w14:paraId="3C0AEC17"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298" w:type="pct"/>
            <w:shd w:val="clear" w:color="auto" w:fill="auto"/>
            <w:noWrap/>
            <w:hideMark/>
          </w:tcPr>
          <w:p w14:paraId="0A101097" w14:textId="77777777" w:rsidR="008F3151" w:rsidRPr="00D518FF" w:rsidRDefault="008F3151">
            <w:pPr>
              <w:rPr>
                <w:rFonts w:ascii="Aptos" w:hAnsi="Aptos"/>
                <w:color w:val="000000"/>
                <w:sz w:val="16"/>
                <w:szCs w:val="16"/>
              </w:rPr>
            </w:pPr>
            <w:r w:rsidRPr="00D518FF">
              <w:rPr>
                <w:rFonts w:ascii="Aptos" w:hAnsi="Aptos"/>
                <w:color w:val="000000"/>
                <w:sz w:val="16"/>
                <w:szCs w:val="16"/>
              </w:rPr>
              <w:t>14</w:t>
            </w:r>
          </w:p>
        </w:tc>
        <w:tc>
          <w:tcPr>
            <w:tcW w:w="199" w:type="pct"/>
            <w:shd w:val="clear" w:color="auto" w:fill="auto"/>
            <w:noWrap/>
            <w:hideMark/>
          </w:tcPr>
          <w:p w14:paraId="2559295A" w14:textId="77777777" w:rsidR="008F3151" w:rsidRPr="00D518FF" w:rsidRDefault="008F3151">
            <w:pPr>
              <w:rPr>
                <w:rFonts w:ascii="Aptos" w:hAnsi="Aptos"/>
                <w:color w:val="000000"/>
                <w:sz w:val="16"/>
                <w:szCs w:val="16"/>
              </w:rPr>
            </w:pPr>
            <w:r w:rsidRPr="00D518FF">
              <w:rPr>
                <w:rFonts w:ascii="Aptos" w:hAnsi="Aptos"/>
                <w:color w:val="000000"/>
                <w:sz w:val="16"/>
                <w:szCs w:val="16"/>
              </w:rPr>
              <w:t>13</w:t>
            </w:r>
          </w:p>
        </w:tc>
        <w:tc>
          <w:tcPr>
            <w:tcW w:w="249" w:type="pct"/>
            <w:shd w:val="clear" w:color="auto" w:fill="auto"/>
            <w:noWrap/>
            <w:hideMark/>
          </w:tcPr>
          <w:p w14:paraId="689439E2" w14:textId="77777777" w:rsidR="008F3151" w:rsidRPr="00D518FF" w:rsidRDefault="008F3151">
            <w:pPr>
              <w:rPr>
                <w:rFonts w:ascii="Aptos" w:hAnsi="Aptos"/>
                <w:color w:val="000000"/>
                <w:sz w:val="16"/>
                <w:szCs w:val="16"/>
              </w:rPr>
            </w:pPr>
            <w:r w:rsidRPr="00D518FF">
              <w:rPr>
                <w:rFonts w:ascii="Aptos" w:hAnsi="Aptos"/>
                <w:color w:val="000000"/>
                <w:sz w:val="16"/>
                <w:szCs w:val="16"/>
              </w:rPr>
              <w:t>2689</w:t>
            </w:r>
          </w:p>
        </w:tc>
        <w:tc>
          <w:tcPr>
            <w:tcW w:w="772" w:type="pct"/>
            <w:shd w:val="clear" w:color="auto" w:fill="auto"/>
            <w:noWrap/>
            <w:hideMark/>
          </w:tcPr>
          <w:p w14:paraId="197D8B4A" w14:textId="17EE7967" w:rsidR="008F3151" w:rsidRPr="00D518FF" w:rsidRDefault="00D01127">
            <w:pPr>
              <w:rPr>
                <w:rFonts w:ascii="Aptos" w:hAnsi="Aptos"/>
                <w:color w:val="000000"/>
                <w:sz w:val="16"/>
                <w:szCs w:val="16"/>
              </w:rPr>
            </w:pPr>
            <w:r>
              <w:rPr>
                <w:rFonts w:ascii="Aptos" w:hAnsi="Aptos"/>
                <w:color w:val="000000"/>
                <w:sz w:val="16"/>
                <w:szCs w:val="16"/>
              </w:rPr>
              <w:t>Comparison of different probiotic strains only</w:t>
            </w:r>
          </w:p>
        </w:tc>
      </w:tr>
      <w:tr w:rsidR="009253C3" w:rsidRPr="00D518FF" w14:paraId="2961A9D4" w14:textId="77777777" w:rsidTr="003060E9">
        <w:trPr>
          <w:trHeight w:val="320"/>
        </w:trPr>
        <w:tc>
          <w:tcPr>
            <w:tcW w:w="1441" w:type="pct"/>
            <w:shd w:val="clear" w:color="auto" w:fill="auto"/>
            <w:noWrap/>
            <w:hideMark/>
          </w:tcPr>
          <w:p w14:paraId="64F188D0"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Systematic review with meta-analysis: the efficacy of prebiotics, probiotics, synbiotics and antibiotics in irritable bowel syndrome</w:t>
            </w:r>
          </w:p>
        </w:tc>
        <w:tc>
          <w:tcPr>
            <w:tcW w:w="1145" w:type="pct"/>
            <w:shd w:val="clear" w:color="auto" w:fill="auto"/>
            <w:noWrap/>
            <w:hideMark/>
          </w:tcPr>
          <w:p w14:paraId="211A866E"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Ford, A. C.; Harris, L. A.; Lacy, B. E.; Quigley, E. M. M.; Moayyedi, P.</w:t>
            </w:r>
          </w:p>
        </w:tc>
        <w:tc>
          <w:tcPr>
            <w:tcW w:w="199" w:type="pct"/>
            <w:shd w:val="clear" w:color="auto" w:fill="auto"/>
            <w:noWrap/>
            <w:hideMark/>
          </w:tcPr>
          <w:p w14:paraId="11A3FD49"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2018</w:t>
            </w:r>
          </w:p>
        </w:tc>
        <w:tc>
          <w:tcPr>
            <w:tcW w:w="697" w:type="pct"/>
            <w:shd w:val="clear" w:color="auto" w:fill="auto"/>
            <w:noWrap/>
            <w:hideMark/>
          </w:tcPr>
          <w:p w14:paraId="5B388C65"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Alimentary pharmacology &amp; therapeutics</w:t>
            </w:r>
          </w:p>
        </w:tc>
        <w:tc>
          <w:tcPr>
            <w:tcW w:w="298" w:type="pct"/>
            <w:shd w:val="clear" w:color="auto" w:fill="auto"/>
            <w:noWrap/>
            <w:hideMark/>
          </w:tcPr>
          <w:p w14:paraId="236EE558"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48</w:t>
            </w:r>
          </w:p>
        </w:tc>
        <w:tc>
          <w:tcPr>
            <w:tcW w:w="199" w:type="pct"/>
            <w:shd w:val="clear" w:color="auto" w:fill="auto"/>
            <w:noWrap/>
            <w:hideMark/>
          </w:tcPr>
          <w:p w14:paraId="706134F6"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10</w:t>
            </w:r>
          </w:p>
        </w:tc>
        <w:tc>
          <w:tcPr>
            <w:tcW w:w="249" w:type="pct"/>
            <w:shd w:val="clear" w:color="auto" w:fill="auto"/>
            <w:noWrap/>
            <w:hideMark/>
          </w:tcPr>
          <w:p w14:paraId="5C39B2F5"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1044-1060</w:t>
            </w:r>
          </w:p>
        </w:tc>
        <w:tc>
          <w:tcPr>
            <w:tcW w:w="772" w:type="pct"/>
            <w:shd w:val="clear" w:color="auto" w:fill="auto"/>
            <w:noWrap/>
            <w:hideMark/>
          </w:tcPr>
          <w:p w14:paraId="2C9348EE" w14:textId="37749766" w:rsidR="00D01127" w:rsidRPr="00D518FF" w:rsidRDefault="00D01127" w:rsidP="00D01127">
            <w:pPr>
              <w:rPr>
                <w:rFonts w:ascii="Aptos" w:hAnsi="Aptos"/>
                <w:color w:val="000000"/>
                <w:sz w:val="16"/>
                <w:szCs w:val="16"/>
              </w:rPr>
            </w:pPr>
            <w:r w:rsidRPr="00F72B42">
              <w:rPr>
                <w:rFonts w:ascii="Aptos" w:hAnsi="Aptos"/>
                <w:color w:val="000000"/>
                <w:sz w:val="16"/>
                <w:szCs w:val="16"/>
              </w:rPr>
              <w:t>Comparison of different probiotic strains only</w:t>
            </w:r>
          </w:p>
        </w:tc>
      </w:tr>
      <w:tr w:rsidR="009253C3" w:rsidRPr="00D518FF" w14:paraId="07D6D297" w14:textId="77777777" w:rsidTr="003060E9">
        <w:trPr>
          <w:trHeight w:val="320"/>
        </w:trPr>
        <w:tc>
          <w:tcPr>
            <w:tcW w:w="1441" w:type="pct"/>
            <w:shd w:val="clear" w:color="auto" w:fill="auto"/>
            <w:noWrap/>
            <w:hideMark/>
          </w:tcPr>
          <w:p w14:paraId="22BCFBEA"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Low FODMAP Diet and Probiotics in Irritable Bowel Syndrome: A Systematic Review With Network Meta-analysis</w:t>
            </w:r>
          </w:p>
        </w:tc>
        <w:tc>
          <w:tcPr>
            <w:tcW w:w="1145" w:type="pct"/>
            <w:shd w:val="clear" w:color="auto" w:fill="auto"/>
            <w:noWrap/>
            <w:hideMark/>
          </w:tcPr>
          <w:p w14:paraId="471907F0"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Xie, C. R.; Tang, B.; Shi, Y. Z.; Peng, W. Y.; Ye, K.; Tao, Q. F.; Yu, S. G.; Zheng, H.; Chen, M.</w:t>
            </w:r>
          </w:p>
        </w:tc>
        <w:tc>
          <w:tcPr>
            <w:tcW w:w="199" w:type="pct"/>
            <w:shd w:val="clear" w:color="auto" w:fill="auto"/>
            <w:noWrap/>
            <w:hideMark/>
          </w:tcPr>
          <w:p w14:paraId="26526A6A"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2022</w:t>
            </w:r>
          </w:p>
        </w:tc>
        <w:tc>
          <w:tcPr>
            <w:tcW w:w="697" w:type="pct"/>
            <w:shd w:val="clear" w:color="auto" w:fill="auto"/>
            <w:noWrap/>
            <w:hideMark/>
          </w:tcPr>
          <w:p w14:paraId="42C93162"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Frontiers in pharmacology</w:t>
            </w:r>
          </w:p>
        </w:tc>
        <w:tc>
          <w:tcPr>
            <w:tcW w:w="298" w:type="pct"/>
            <w:shd w:val="clear" w:color="auto" w:fill="auto"/>
            <w:noWrap/>
            <w:hideMark/>
          </w:tcPr>
          <w:p w14:paraId="3B786461"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13</w:t>
            </w:r>
          </w:p>
        </w:tc>
        <w:tc>
          <w:tcPr>
            <w:tcW w:w="199" w:type="pct"/>
            <w:shd w:val="clear" w:color="auto" w:fill="auto"/>
            <w:noWrap/>
            <w:hideMark/>
          </w:tcPr>
          <w:p w14:paraId="14AFA6AC" w14:textId="62BA190B" w:rsidR="00D01127" w:rsidRPr="00D518FF" w:rsidRDefault="00D01127" w:rsidP="00D01127">
            <w:pPr>
              <w:rPr>
                <w:rFonts w:ascii="Aptos" w:hAnsi="Aptos"/>
                <w:color w:val="000000"/>
                <w:sz w:val="16"/>
                <w:szCs w:val="16"/>
              </w:rPr>
            </w:pPr>
            <w:r>
              <w:rPr>
                <w:rFonts w:ascii="Aptos" w:hAnsi="Aptos"/>
                <w:color w:val="000000"/>
                <w:sz w:val="16"/>
                <w:szCs w:val="16"/>
              </w:rPr>
              <w:t>-</w:t>
            </w:r>
          </w:p>
        </w:tc>
        <w:tc>
          <w:tcPr>
            <w:tcW w:w="249" w:type="pct"/>
            <w:shd w:val="clear" w:color="auto" w:fill="auto"/>
            <w:noWrap/>
            <w:hideMark/>
          </w:tcPr>
          <w:p w14:paraId="3199C843"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853011</w:t>
            </w:r>
          </w:p>
        </w:tc>
        <w:tc>
          <w:tcPr>
            <w:tcW w:w="772" w:type="pct"/>
            <w:shd w:val="clear" w:color="auto" w:fill="auto"/>
            <w:noWrap/>
            <w:hideMark/>
          </w:tcPr>
          <w:p w14:paraId="73A47985" w14:textId="7B8ABA9C" w:rsidR="00D01127" w:rsidRPr="00D518FF" w:rsidRDefault="00D01127" w:rsidP="00D01127">
            <w:pPr>
              <w:rPr>
                <w:rFonts w:ascii="Aptos" w:hAnsi="Aptos"/>
                <w:color w:val="000000"/>
                <w:sz w:val="16"/>
                <w:szCs w:val="16"/>
              </w:rPr>
            </w:pPr>
            <w:r w:rsidRPr="00F72B42">
              <w:rPr>
                <w:rFonts w:ascii="Aptos" w:hAnsi="Aptos"/>
                <w:color w:val="000000"/>
                <w:sz w:val="16"/>
                <w:szCs w:val="16"/>
              </w:rPr>
              <w:t>Comparison of different probiotic strains only</w:t>
            </w:r>
          </w:p>
        </w:tc>
      </w:tr>
      <w:tr w:rsidR="009253C3" w:rsidRPr="00D518FF" w14:paraId="10EBC6FA" w14:textId="77777777" w:rsidTr="003060E9">
        <w:trPr>
          <w:trHeight w:val="320"/>
        </w:trPr>
        <w:tc>
          <w:tcPr>
            <w:tcW w:w="1441" w:type="pct"/>
            <w:shd w:val="clear" w:color="auto" w:fill="auto"/>
            <w:noWrap/>
            <w:hideMark/>
          </w:tcPr>
          <w:p w14:paraId="5759944A"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Effects of probiotic type, dose and treatment duration on irritable bowel syndrome diagnosed by Rome III criteria: a meta-analysis</w:t>
            </w:r>
          </w:p>
        </w:tc>
        <w:tc>
          <w:tcPr>
            <w:tcW w:w="1145" w:type="pct"/>
            <w:shd w:val="clear" w:color="auto" w:fill="auto"/>
            <w:noWrap/>
            <w:hideMark/>
          </w:tcPr>
          <w:p w14:paraId="229AC5E2"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Zhang, Y.; Li, L.; Guo, C.; Mu, D.; Feng, B.; Zuo, X.; Li, Y.</w:t>
            </w:r>
          </w:p>
        </w:tc>
        <w:tc>
          <w:tcPr>
            <w:tcW w:w="199" w:type="pct"/>
            <w:shd w:val="clear" w:color="auto" w:fill="auto"/>
            <w:noWrap/>
            <w:hideMark/>
          </w:tcPr>
          <w:p w14:paraId="26A63144"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2016</w:t>
            </w:r>
          </w:p>
        </w:tc>
        <w:tc>
          <w:tcPr>
            <w:tcW w:w="697" w:type="pct"/>
            <w:shd w:val="clear" w:color="auto" w:fill="auto"/>
            <w:noWrap/>
            <w:hideMark/>
          </w:tcPr>
          <w:p w14:paraId="50BCC017"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BMC gastroenterology</w:t>
            </w:r>
          </w:p>
        </w:tc>
        <w:tc>
          <w:tcPr>
            <w:tcW w:w="298" w:type="pct"/>
            <w:shd w:val="clear" w:color="auto" w:fill="auto"/>
            <w:noWrap/>
            <w:hideMark/>
          </w:tcPr>
          <w:p w14:paraId="742209A5"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16</w:t>
            </w:r>
          </w:p>
        </w:tc>
        <w:tc>
          <w:tcPr>
            <w:tcW w:w="199" w:type="pct"/>
            <w:shd w:val="clear" w:color="auto" w:fill="auto"/>
            <w:noWrap/>
            <w:hideMark/>
          </w:tcPr>
          <w:p w14:paraId="58D8F03B"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1</w:t>
            </w:r>
          </w:p>
        </w:tc>
        <w:tc>
          <w:tcPr>
            <w:tcW w:w="249" w:type="pct"/>
            <w:shd w:val="clear" w:color="auto" w:fill="auto"/>
            <w:noWrap/>
            <w:hideMark/>
          </w:tcPr>
          <w:p w14:paraId="1584F9DA" w14:textId="77777777" w:rsidR="00D01127" w:rsidRPr="00D518FF" w:rsidRDefault="00D01127" w:rsidP="00D01127">
            <w:pPr>
              <w:rPr>
                <w:rFonts w:ascii="Aptos" w:hAnsi="Aptos"/>
                <w:color w:val="000000"/>
                <w:sz w:val="16"/>
                <w:szCs w:val="16"/>
              </w:rPr>
            </w:pPr>
            <w:r w:rsidRPr="00D518FF">
              <w:rPr>
                <w:rFonts w:ascii="Aptos" w:hAnsi="Aptos"/>
                <w:color w:val="000000"/>
                <w:sz w:val="16"/>
                <w:szCs w:val="16"/>
              </w:rPr>
              <w:t>62</w:t>
            </w:r>
          </w:p>
        </w:tc>
        <w:tc>
          <w:tcPr>
            <w:tcW w:w="772" w:type="pct"/>
            <w:shd w:val="clear" w:color="auto" w:fill="auto"/>
            <w:noWrap/>
            <w:hideMark/>
          </w:tcPr>
          <w:p w14:paraId="2971E1AF" w14:textId="32513B87" w:rsidR="00D01127" w:rsidRPr="00D518FF" w:rsidRDefault="00D01127" w:rsidP="00D01127">
            <w:pPr>
              <w:rPr>
                <w:rFonts w:ascii="Aptos" w:hAnsi="Aptos"/>
                <w:color w:val="000000"/>
                <w:sz w:val="16"/>
                <w:szCs w:val="16"/>
              </w:rPr>
            </w:pPr>
            <w:r w:rsidRPr="00F72B42">
              <w:rPr>
                <w:rFonts w:ascii="Aptos" w:hAnsi="Aptos"/>
                <w:color w:val="000000"/>
                <w:sz w:val="16"/>
                <w:szCs w:val="16"/>
              </w:rPr>
              <w:t>Comparison of different probiotic strains only</w:t>
            </w:r>
          </w:p>
        </w:tc>
      </w:tr>
      <w:tr w:rsidR="009253C3" w:rsidRPr="00D518FF" w14:paraId="4DB2F1D1" w14:textId="77777777" w:rsidTr="003060E9">
        <w:trPr>
          <w:trHeight w:val="320"/>
        </w:trPr>
        <w:tc>
          <w:tcPr>
            <w:tcW w:w="1441" w:type="pct"/>
            <w:shd w:val="clear" w:color="auto" w:fill="auto"/>
            <w:noWrap/>
            <w:hideMark/>
          </w:tcPr>
          <w:p w14:paraId="403D147A" w14:textId="77777777" w:rsidR="008F3151" w:rsidRPr="00D518FF" w:rsidRDefault="008F3151">
            <w:pPr>
              <w:rPr>
                <w:rFonts w:ascii="Aptos" w:hAnsi="Aptos"/>
                <w:color w:val="000000"/>
                <w:sz w:val="16"/>
                <w:szCs w:val="16"/>
              </w:rPr>
            </w:pPr>
            <w:r w:rsidRPr="00D518FF">
              <w:rPr>
                <w:rFonts w:ascii="Aptos" w:hAnsi="Aptos"/>
                <w:color w:val="000000"/>
                <w:sz w:val="16"/>
                <w:szCs w:val="16"/>
              </w:rPr>
              <w:t>Outcome-Specific Efficacy of Different Probiotic Strains and Mixtures in Irritable Bowel Syndrome: A Systematic Review and Network Meta-Analysis</w:t>
            </w:r>
          </w:p>
        </w:tc>
        <w:tc>
          <w:tcPr>
            <w:tcW w:w="1145" w:type="pct"/>
            <w:shd w:val="clear" w:color="auto" w:fill="auto"/>
            <w:noWrap/>
            <w:hideMark/>
          </w:tcPr>
          <w:p w14:paraId="024753E2"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Xie, Peiwei ; Luo, Mei ; Deng, Xuehong ; Fan, Jiahui ; Xiong, Lishou </w:t>
            </w:r>
          </w:p>
        </w:tc>
        <w:tc>
          <w:tcPr>
            <w:tcW w:w="199" w:type="pct"/>
            <w:shd w:val="clear" w:color="auto" w:fill="auto"/>
            <w:noWrap/>
            <w:hideMark/>
          </w:tcPr>
          <w:p w14:paraId="0569A420" w14:textId="77777777" w:rsidR="008F3151" w:rsidRPr="00D518FF" w:rsidRDefault="008F3151">
            <w:pPr>
              <w:rPr>
                <w:rFonts w:ascii="Aptos" w:hAnsi="Aptos"/>
                <w:color w:val="000000"/>
                <w:sz w:val="16"/>
                <w:szCs w:val="16"/>
              </w:rPr>
            </w:pPr>
            <w:r w:rsidRPr="00D518FF">
              <w:rPr>
                <w:rFonts w:ascii="Aptos" w:hAnsi="Aptos"/>
                <w:color w:val="000000"/>
                <w:sz w:val="16"/>
                <w:szCs w:val="16"/>
              </w:rPr>
              <w:t>2023</w:t>
            </w:r>
          </w:p>
        </w:tc>
        <w:tc>
          <w:tcPr>
            <w:tcW w:w="697" w:type="pct"/>
            <w:shd w:val="clear" w:color="auto" w:fill="auto"/>
            <w:noWrap/>
            <w:hideMark/>
          </w:tcPr>
          <w:p w14:paraId="40CA1ABF"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298" w:type="pct"/>
            <w:shd w:val="clear" w:color="auto" w:fill="auto"/>
            <w:noWrap/>
            <w:hideMark/>
          </w:tcPr>
          <w:p w14:paraId="2470E7EC" w14:textId="77777777" w:rsidR="008F3151" w:rsidRPr="00D518FF" w:rsidRDefault="008F3151">
            <w:pPr>
              <w:rPr>
                <w:rFonts w:ascii="Aptos" w:hAnsi="Aptos"/>
                <w:color w:val="000000"/>
                <w:sz w:val="16"/>
                <w:szCs w:val="16"/>
              </w:rPr>
            </w:pPr>
            <w:r w:rsidRPr="00D518FF">
              <w:rPr>
                <w:rFonts w:ascii="Aptos" w:hAnsi="Aptos"/>
                <w:color w:val="000000"/>
                <w:sz w:val="16"/>
                <w:szCs w:val="16"/>
              </w:rPr>
              <w:t>15</w:t>
            </w:r>
          </w:p>
        </w:tc>
        <w:tc>
          <w:tcPr>
            <w:tcW w:w="199" w:type="pct"/>
            <w:shd w:val="clear" w:color="auto" w:fill="auto"/>
            <w:noWrap/>
            <w:hideMark/>
          </w:tcPr>
          <w:p w14:paraId="1A7E0B6C"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249" w:type="pct"/>
            <w:shd w:val="clear" w:color="auto" w:fill="auto"/>
            <w:noWrap/>
            <w:hideMark/>
          </w:tcPr>
          <w:p w14:paraId="7088FB09" w14:textId="77777777" w:rsidR="008F3151" w:rsidRPr="00D518FF" w:rsidRDefault="008F3151">
            <w:pPr>
              <w:rPr>
                <w:rFonts w:ascii="Aptos" w:hAnsi="Aptos"/>
                <w:color w:val="000000"/>
                <w:sz w:val="16"/>
                <w:szCs w:val="16"/>
              </w:rPr>
            </w:pPr>
            <w:r w:rsidRPr="00D518FF">
              <w:rPr>
                <w:rFonts w:ascii="Aptos" w:hAnsi="Aptos"/>
                <w:color w:val="000000"/>
                <w:sz w:val="16"/>
                <w:szCs w:val="16"/>
              </w:rPr>
              <w:t>3856</w:t>
            </w:r>
          </w:p>
        </w:tc>
        <w:tc>
          <w:tcPr>
            <w:tcW w:w="772" w:type="pct"/>
            <w:shd w:val="clear" w:color="auto" w:fill="auto"/>
            <w:noWrap/>
            <w:hideMark/>
          </w:tcPr>
          <w:p w14:paraId="52136913" w14:textId="0F2F4631" w:rsidR="008F3151" w:rsidRPr="00D518FF" w:rsidRDefault="00D01127">
            <w:pPr>
              <w:rPr>
                <w:rFonts w:ascii="Aptos" w:hAnsi="Aptos"/>
                <w:color w:val="000000"/>
                <w:sz w:val="16"/>
                <w:szCs w:val="16"/>
              </w:rPr>
            </w:pPr>
            <w:r>
              <w:rPr>
                <w:rFonts w:ascii="Aptos" w:hAnsi="Aptos"/>
                <w:color w:val="000000"/>
                <w:sz w:val="16"/>
                <w:szCs w:val="16"/>
              </w:rPr>
              <w:t>Comparison of different probiotic strains only</w:t>
            </w:r>
          </w:p>
        </w:tc>
      </w:tr>
      <w:tr w:rsidR="009253C3" w:rsidRPr="00D518FF" w14:paraId="5D44DBC8" w14:textId="77777777" w:rsidTr="003060E9">
        <w:trPr>
          <w:trHeight w:val="320"/>
        </w:trPr>
        <w:tc>
          <w:tcPr>
            <w:tcW w:w="1441" w:type="pct"/>
            <w:shd w:val="clear" w:color="auto" w:fill="auto"/>
            <w:noWrap/>
            <w:hideMark/>
          </w:tcPr>
          <w:p w14:paraId="64F3B8B0" w14:textId="77777777" w:rsidR="008F3151" w:rsidRPr="00D518FF" w:rsidRDefault="008F3151">
            <w:pPr>
              <w:rPr>
                <w:rFonts w:ascii="Aptos" w:hAnsi="Aptos"/>
                <w:color w:val="000000"/>
                <w:sz w:val="16"/>
                <w:szCs w:val="16"/>
              </w:rPr>
            </w:pPr>
            <w:r w:rsidRPr="00D518FF">
              <w:rPr>
                <w:rFonts w:ascii="Aptos" w:hAnsi="Aptos"/>
                <w:color w:val="000000"/>
                <w:sz w:val="16"/>
                <w:szCs w:val="16"/>
              </w:rPr>
              <w:t>Chinese herbal medicine versus probiotics for irritable bowel syndrome: A systematic review and meta-analysis of randomized controlled trials</w:t>
            </w:r>
          </w:p>
        </w:tc>
        <w:tc>
          <w:tcPr>
            <w:tcW w:w="1145" w:type="pct"/>
            <w:shd w:val="clear" w:color="auto" w:fill="auto"/>
            <w:noWrap/>
            <w:hideMark/>
          </w:tcPr>
          <w:p w14:paraId="75012900" w14:textId="77777777" w:rsidR="008F3151" w:rsidRPr="00D518FF" w:rsidRDefault="008F3151">
            <w:pPr>
              <w:rPr>
                <w:rFonts w:ascii="Aptos" w:hAnsi="Aptos"/>
                <w:color w:val="000000"/>
                <w:sz w:val="16"/>
                <w:szCs w:val="16"/>
              </w:rPr>
            </w:pPr>
            <w:r w:rsidRPr="00D518FF">
              <w:rPr>
                <w:rFonts w:ascii="Aptos" w:hAnsi="Aptos"/>
                <w:color w:val="000000"/>
                <w:sz w:val="16"/>
                <w:szCs w:val="16"/>
              </w:rPr>
              <w:t>Bu, F. L.; Chen, R. L.; Lin, Z. Y.; Cao, H. J.; Robinson, N.; Liang, N.; Liu, J. P.</w:t>
            </w:r>
          </w:p>
        </w:tc>
        <w:tc>
          <w:tcPr>
            <w:tcW w:w="199" w:type="pct"/>
            <w:shd w:val="clear" w:color="auto" w:fill="auto"/>
            <w:noWrap/>
            <w:hideMark/>
          </w:tcPr>
          <w:p w14:paraId="488EE8E0"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697" w:type="pct"/>
            <w:shd w:val="clear" w:color="auto" w:fill="auto"/>
            <w:noWrap/>
            <w:hideMark/>
          </w:tcPr>
          <w:p w14:paraId="2D88A73A" w14:textId="77777777" w:rsidR="008F3151" w:rsidRPr="00D518FF" w:rsidRDefault="008F3151">
            <w:pPr>
              <w:rPr>
                <w:rFonts w:ascii="Aptos" w:hAnsi="Aptos"/>
                <w:color w:val="000000"/>
                <w:sz w:val="16"/>
                <w:szCs w:val="16"/>
              </w:rPr>
            </w:pPr>
            <w:r w:rsidRPr="00D518FF">
              <w:rPr>
                <w:rFonts w:ascii="Aptos" w:hAnsi="Aptos"/>
                <w:color w:val="000000"/>
                <w:sz w:val="16"/>
                <w:szCs w:val="16"/>
              </w:rPr>
              <w:t>European Journal of Integrative Medicine</w:t>
            </w:r>
          </w:p>
        </w:tc>
        <w:tc>
          <w:tcPr>
            <w:tcW w:w="298" w:type="pct"/>
            <w:shd w:val="clear" w:color="auto" w:fill="auto"/>
            <w:noWrap/>
            <w:hideMark/>
          </w:tcPr>
          <w:p w14:paraId="6E842B58" w14:textId="77777777" w:rsidR="008F3151" w:rsidRPr="00D518FF" w:rsidRDefault="008F3151">
            <w:pPr>
              <w:rPr>
                <w:rFonts w:ascii="Aptos" w:hAnsi="Aptos"/>
                <w:color w:val="000000"/>
                <w:sz w:val="16"/>
                <w:szCs w:val="16"/>
              </w:rPr>
            </w:pPr>
            <w:r w:rsidRPr="00D518FF">
              <w:rPr>
                <w:rFonts w:ascii="Aptos" w:hAnsi="Aptos"/>
                <w:color w:val="000000"/>
                <w:sz w:val="16"/>
                <w:szCs w:val="16"/>
              </w:rPr>
              <w:t>38</w:t>
            </w:r>
          </w:p>
        </w:tc>
        <w:tc>
          <w:tcPr>
            <w:tcW w:w="199" w:type="pct"/>
            <w:shd w:val="clear" w:color="auto" w:fill="auto"/>
            <w:noWrap/>
            <w:hideMark/>
          </w:tcPr>
          <w:p w14:paraId="5F7FAF8D" w14:textId="4664CA32" w:rsidR="008F3151" w:rsidRPr="00D518FF" w:rsidRDefault="00DA5A87">
            <w:pPr>
              <w:rPr>
                <w:rFonts w:ascii="Aptos" w:hAnsi="Aptos"/>
                <w:color w:val="000000"/>
                <w:sz w:val="16"/>
                <w:szCs w:val="16"/>
              </w:rPr>
            </w:pPr>
            <w:r>
              <w:rPr>
                <w:rFonts w:ascii="Aptos" w:hAnsi="Aptos"/>
                <w:color w:val="000000"/>
                <w:sz w:val="16"/>
                <w:szCs w:val="16"/>
              </w:rPr>
              <w:t>-</w:t>
            </w:r>
          </w:p>
        </w:tc>
        <w:tc>
          <w:tcPr>
            <w:tcW w:w="249" w:type="pct"/>
            <w:shd w:val="clear" w:color="auto" w:fill="auto"/>
            <w:noWrap/>
            <w:hideMark/>
          </w:tcPr>
          <w:p w14:paraId="407E934F" w14:textId="77777777" w:rsidR="008F3151" w:rsidRPr="00D518FF" w:rsidRDefault="008F3151">
            <w:pPr>
              <w:rPr>
                <w:rFonts w:ascii="Aptos" w:hAnsi="Aptos"/>
                <w:color w:val="000000"/>
                <w:sz w:val="16"/>
                <w:szCs w:val="16"/>
              </w:rPr>
            </w:pPr>
            <w:r w:rsidRPr="00D518FF">
              <w:rPr>
                <w:rFonts w:ascii="Aptos" w:hAnsi="Aptos"/>
                <w:color w:val="000000"/>
                <w:sz w:val="16"/>
                <w:szCs w:val="16"/>
              </w:rPr>
              <w:t>101177</w:t>
            </w:r>
          </w:p>
        </w:tc>
        <w:tc>
          <w:tcPr>
            <w:tcW w:w="772" w:type="pct"/>
            <w:shd w:val="clear" w:color="auto" w:fill="auto"/>
            <w:noWrap/>
            <w:hideMark/>
          </w:tcPr>
          <w:p w14:paraId="52E6046E" w14:textId="77777777" w:rsidR="008F3151" w:rsidRPr="00D518FF" w:rsidRDefault="008F3151">
            <w:pPr>
              <w:rPr>
                <w:rFonts w:ascii="Aptos" w:hAnsi="Aptos"/>
                <w:color w:val="000000"/>
                <w:sz w:val="16"/>
                <w:szCs w:val="16"/>
              </w:rPr>
            </w:pPr>
            <w:r w:rsidRPr="00D518FF">
              <w:rPr>
                <w:rFonts w:ascii="Aptos" w:hAnsi="Aptos"/>
                <w:color w:val="000000"/>
                <w:sz w:val="16"/>
                <w:szCs w:val="16"/>
              </w:rPr>
              <w:t>Wrong comparator</w:t>
            </w:r>
          </w:p>
        </w:tc>
      </w:tr>
      <w:tr w:rsidR="009253C3" w:rsidRPr="00D518FF" w14:paraId="47DB6883" w14:textId="77777777" w:rsidTr="003060E9">
        <w:trPr>
          <w:trHeight w:val="320"/>
        </w:trPr>
        <w:tc>
          <w:tcPr>
            <w:tcW w:w="1441" w:type="pct"/>
            <w:shd w:val="clear" w:color="auto" w:fill="auto"/>
            <w:noWrap/>
            <w:hideMark/>
          </w:tcPr>
          <w:p w14:paraId="35B0701B"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Pharmacologic Treatment in Functional Abdominal Pain Disorders in Children: A Systematic Review</w:t>
            </w:r>
          </w:p>
        </w:tc>
        <w:tc>
          <w:tcPr>
            <w:tcW w:w="1145" w:type="pct"/>
            <w:shd w:val="clear" w:color="auto" w:fill="auto"/>
            <w:noWrap/>
            <w:hideMark/>
          </w:tcPr>
          <w:p w14:paraId="4CC99D97" w14:textId="77777777" w:rsidR="008F3151" w:rsidRPr="00D518FF" w:rsidRDefault="008F3151">
            <w:pPr>
              <w:rPr>
                <w:rFonts w:ascii="Aptos" w:hAnsi="Aptos"/>
                <w:color w:val="000000"/>
                <w:sz w:val="16"/>
                <w:szCs w:val="16"/>
              </w:rPr>
            </w:pPr>
            <w:r w:rsidRPr="00D518FF">
              <w:rPr>
                <w:rFonts w:ascii="Aptos" w:hAnsi="Aptos"/>
                <w:color w:val="000000"/>
                <w:sz w:val="16"/>
                <w:szCs w:val="16"/>
              </w:rPr>
              <w:t>Rexwinkel, Robyn; de Bruijn, Clara M. A.; Gordon, Morris; Benninga, Marc A.; Tabbers, Merit M.</w:t>
            </w:r>
          </w:p>
        </w:tc>
        <w:tc>
          <w:tcPr>
            <w:tcW w:w="199" w:type="pct"/>
            <w:shd w:val="clear" w:color="auto" w:fill="auto"/>
            <w:noWrap/>
            <w:hideMark/>
          </w:tcPr>
          <w:p w14:paraId="6DAF8544"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697" w:type="pct"/>
            <w:shd w:val="clear" w:color="auto" w:fill="auto"/>
            <w:noWrap/>
            <w:hideMark/>
          </w:tcPr>
          <w:p w14:paraId="019872A0" w14:textId="77777777" w:rsidR="008F3151" w:rsidRPr="00D518FF" w:rsidRDefault="008F3151">
            <w:pPr>
              <w:rPr>
                <w:rFonts w:ascii="Aptos" w:hAnsi="Aptos"/>
                <w:color w:val="000000"/>
                <w:sz w:val="16"/>
                <w:szCs w:val="16"/>
              </w:rPr>
            </w:pPr>
            <w:r w:rsidRPr="00D518FF">
              <w:rPr>
                <w:rFonts w:ascii="Aptos" w:hAnsi="Aptos"/>
                <w:color w:val="000000"/>
                <w:sz w:val="16"/>
                <w:szCs w:val="16"/>
              </w:rPr>
              <w:t>Pediatrics</w:t>
            </w:r>
          </w:p>
        </w:tc>
        <w:tc>
          <w:tcPr>
            <w:tcW w:w="298" w:type="pct"/>
            <w:shd w:val="clear" w:color="auto" w:fill="auto"/>
            <w:noWrap/>
            <w:hideMark/>
          </w:tcPr>
          <w:p w14:paraId="50720D69" w14:textId="77777777" w:rsidR="008F3151" w:rsidRPr="00D518FF" w:rsidRDefault="008F3151">
            <w:pPr>
              <w:rPr>
                <w:rFonts w:ascii="Aptos" w:hAnsi="Aptos"/>
                <w:color w:val="000000"/>
                <w:sz w:val="16"/>
                <w:szCs w:val="16"/>
              </w:rPr>
            </w:pPr>
            <w:r w:rsidRPr="00D518FF">
              <w:rPr>
                <w:rFonts w:ascii="Aptos" w:hAnsi="Aptos"/>
                <w:color w:val="000000"/>
                <w:sz w:val="16"/>
                <w:szCs w:val="16"/>
              </w:rPr>
              <w:t>147</w:t>
            </w:r>
          </w:p>
        </w:tc>
        <w:tc>
          <w:tcPr>
            <w:tcW w:w="199" w:type="pct"/>
            <w:shd w:val="clear" w:color="auto" w:fill="auto"/>
            <w:noWrap/>
            <w:hideMark/>
          </w:tcPr>
          <w:p w14:paraId="42795235"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249" w:type="pct"/>
            <w:shd w:val="clear" w:color="auto" w:fill="auto"/>
            <w:noWrap/>
            <w:hideMark/>
          </w:tcPr>
          <w:p w14:paraId="4353911F" w14:textId="77777777" w:rsidR="008F3151" w:rsidRPr="00D518FF" w:rsidRDefault="008F3151">
            <w:pPr>
              <w:rPr>
                <w:rFonts w:ascii="Aptos" w:hAnsi="Aptos"/>
                <w:color w:val="000000"/>
                <w:sz w:val="16"/>
                <w:szCs w:val="16"/>
              </w:rPr>
            </w:pPr>
            <w:r w:rsidRPr="00D518FF">
              <w:rPr>
                <w:rFonts w:ascii="Aptos" w:hAnsi="Aptos"/>
                <w:color w:val="000000"/>
                <w:sz w:val="16"/>
                <w:szCs w:val="16"/>
              </w:rPr>
              <w:t>e2020042101</w:t>
            </w:r>
          </w:p>
        </w:tc>
        <w:tc>
          <w:tcPr>
            <w:tcW w:w="772" w:type="pct"/>
            <w:shd w:val="clear" w:color="auto" w:fill="auto"/>
            <w:noWrap/>
            <w:hideMark/>
          </w:tcPr>
          <w:p w14:paraId="77F3323E"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intervention </w:t>
            </w:r>
          </w:p>
        </w:tc>
      </w:tr>
      <w:tr w:rsidR="009253C3" w:rsidRPr="00D518FF" w14:paraId="362271E0" w14:textId="77777777" w:rsidTr="003060E9">
        <w:trPr>
          <w:trHeight w:val="320"/>
        </w:trPr>
        <w:tc>
          <w:tcPr>
            <w:tcW w:w="1441" w:type="pct"/>
            <w:shd w:val="clear" w:color="auto" w:fill="auto"/>
            <w:noWrap/>
            <w:hideMark/>
          </w:tcPr>
          <w:p w14:paraId="47454A52" w14:textId="77777777" w:rsidR="008F3151" w:rsidRPr="00D518FF" w:rsidRDefault="008F3151">
            <w:pPr>
              <w:rPr>
                <w:rFonts w:ascii="Aptos" w:hAnsi="Aptos"/>
                <w:color w:val="000000"/>
                <w:sz w:val="16"/>
                <w:szCs w:val="16"/>
              </w:rPr>
            </w:pPr>
            <w:r w:rsidRPr="00D518FF">
              <w:rPr>
                <w:rFonts w:ascii="Aptos" w:hAnsi="Aptos"/>
                <w:color w:val="000000"/>
                <w:sz w:val="16"/>
                <w:szCs w:val="16"/>
              </w:rPr>
              <w:t>Western herbal medicines in the treatment of irritable bowel syndrome: A systematic review and meta-analysis</w:t>
            </w:r>
          </w:p>
        </w:tc>
        <w:tc>
          <w:tcPr>
            <w:tcW w:w="1145" w:type="pct"/>
            <w:shd w:val="clear" w:color="auto" w:fill="auto"/>
            <w:noWrap/>
            <w:hideMark/>
          </w:tcPr>
          <w:p w14:paraId="484118BC" w14:textId="77777777" w:rsidR="008F3151" w:rsidRPr="00D518FF" w:rsidRDefault="008F3151">
            <w:pPr>
              <w:rPr>
                <w:rFonts w:ascii="Aptos" w:hAnsi="Aptos"/>
                <w:color w:val="000000"/>
                <w:sz w:val="16"/>
                <w:szCs w:val="16"/>
              </w:rPr>
            </w:pPr>
            <w:r w:rsidRPr="00D518FF">
              <w:rPr>
                <w:rFonts w:ascii="Aptos" w:hAnsi="Aptos"/>
                <w:color w:val="000000"/>
                <w:sz w:val="16"/>
                <w:szCs w:val="16"/>
              </w:rPr>
              <w:t>Hawrelak, Jason A.; Wohlmuth, Hans; Pattinson, Martina; Myers, Stephen P.; Goldenberg, Joshua Z.; Harnett, Joanna; Cooley, Kieran; Van De Venter, Claudine; Reid, Rebecca; Whitten, Dawn L.</w:t>
            </w:r>
          </w:p>
        </w:tc>
        <w:tc>
          <w:tcPr>
            <w:tcW w:w="199" w:type="pct"/>
            <w:shd w:val="clear" w:color="auto" w:fill="auto"/>
            <w:noWrap/>
            <w:hideMark/>
          </w:tcPr>
          <w:p w14:paraId="045EC230"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697" w:type="pct"/>
            <w:shd w:val="clear" w:color="auto" w:fill="auto"/>
            <w:noWrap/>
            <w:hideMark/>
          </w:tcPr>
          <w:p w14:paraId="424C4F67" w14:textId="77777777" w:rsidR="008F3151" w:rsidRPr="00D518FF" w:rsidRDefault="008F3151">
            <w:pPr>
              <w:rPr>
                <w:rFonts w:ascii="Aptos" w:hAnsi="Aptos"/>
                <w:color w:val="000000"/>
                <w:sz w:val="16"/>
                <w:szCs w:val="16"/>
              </w:rPr>
            </w:pPr>
            <w:r w:rsidRPr="00D518FF">
              <w:rPr>
                <w:rFonts w:ascii="Aptos" w:hAnsi="Aptos"/>
                <w:color w:val="000000"/>
                <w:sz w:val="16"/>
                <w:szCs w:val="16"/>
              </w:rPr>
              <w:t>Complementary Therapies in Medicine</w:t>
            </w:r>
          </w:p>
        </w:tc>
        <w:tc>
          <w:tcPr>
            <w:tcW w:w="298" w:type="pct"/>
            <w:shd w:val="clear" w:color="auto" w:fill="auto"/>
            <w:noWrap/>
            <w:hideMark/>
          </w:tcPr>
          <w:p w14:paraId="048F0374" w14:textId="77777777" w:rsidR="008F3151" w:rsidRPr="00D518FF" w:rsidRDefault="008F3151">
            <w:pPr>
              <w:rPr>
                <w:rFonts w:ascii="Aptos" w:hAnsi="Aptos"/>
                <w:color w:val="000000"/>
                <w:sz w:val="16"/>
                <w:szCs w:val="16"/>
              </w:rPr>
            </w:pPr>
            <w:r w:rsidRPr="00D518FF">
              <w:rPr>
                <w:rFonts w:ascii="Aptos" w:hAnsi="Aptos"/>
                <w:color w:val="000000"/>
                <w:sz w:val="16"/>
                <w:szCs w:val="16"/>
              </w:rPr>
              <w:t>48</w:t>
            </w:r>
          </w:p>
        </w:tc>
        <w:tc>
          <w:tcPr>
            <w:tcW w:w="199" w:type="pct"/>
            <w:shd w:val="clear" w:color="auto" w:fill="auto"/>
            <w:noWrap/>
            <w:hideMark/>
          </w:tcPr>
          <w:p w14:paraId="7D84353B" w14:textId="75A2933F" w:rsidR="008F3151" w:rsidRPr="00D518FF" w:rsidRDefault="005649C6">
            <w:pPr>
              <w:rPr>
                <w:rFonts w:ascii="Aptos" w:hAnsi="Aptos"/>
                <w:color w:val="000000"/>
                <w:sz w:val="16"/>
                <w:szCs w:val="16"/>
              </w:rPr>
            </w:pPr>
            <w:r>
              <w:rPr>
                <w:rFonts w:ascii="Aptos" w:hAnsi="Aptos"/>
                <w:color w:val="000000"/>
                <w:sz w:val="16"/>
                <w:szCs w:val="16"/>
              </w:rPr>
              <w:t>-</w:t>
            </w:r>
          </w:p>
        </w:tc>
        <w:tc>
          <w:tcPr>
            <w:tcW w:w="249" w:type="pct"/>
            <w:shd w:val="clear" w:color="auto" w:fill="auto"/>
            <w:noWrap/>
            <w:hideMark/>
          </w:tcPr>
          <w:p w14:paraId="53FB0C32" w14:textId="77777777" w:rsidR="008F3151" w:rsidRPr="00D518FF" w:rsidRDefault="008F3151">
            <w:pPr>
              <w:rPr>
                <w:rFonts w:ascii="Aptos" w:hAnsi="Aptos"/>
                <w:color w:val="000000"/>
                <w:sz w:val="16"/>
                <w:szCs w:val="16"/>
              </w:rPr>
            </w:pPr>
            <w:r w:rsidRPr="00D518FF">
              <w:rPr>
                <w:rFonts w:ascii="Aptos" w:hAnsi="Aptos"/>
                <w:color w:val="000000"/>
                <w:sz w:val="16"/>
                <w:szCs w:val="16"/>
              </w:rPr>
              <w:t>102233</w:t>
            </w:r>
          </w:p>
        </w:tc>
        <w:tc>
          <w:tcPr>
            <w:tcW w:w="772" w:type="pct"/>
            <w:shd w:val="clear" w:color="auto" w:fill="auto"/>
            <w:noWrap/>
            <w:hideMark/>
          </w:tcPr>
          <w:p w14:paraId="610FCC6E"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intervention </w:t>
            </w:r>
          </w:p>
        </w:tc>
      </w:tr>
      <w:tr w:rsidR="009253C3" w:rsidRPr="00D518FF" w14:paraId="73793E2D" w14:textId="77777777" w:rsidTr="003060E9">
        <w:trPr>
          <w:trHeight w:val="320"/>
        </w:trPr>
        <w:tc>
          <w:tcPr>
            <w:tcW w:w="1441" w:type="pct"/>
            <w:shd w:val="clear" w:color="auto" w:fill="auto"/>
            <w:noWrap/>
            <w:hideMark/>
          </w:tcPr>
          <w:p w14:paraId="62777703" w14:textId="77777777" w:rsidR="008F3151" w:rsidRPr="00D518FF" w:rsidRDefault="008F3151">
            <w:pPr>
              <w:rPr>
                <w:rFonts w:ascii="Aptos" w:hAnsi="Aptos"/>
                <w:color w:val="000000"/>
                <w:sz w:val="16"/>
                <w:szCs w:val="16"/>
              </w:rPr>
            </w:pPr>
            <w:r w:rsidRPr="00D518FF">
              <w:rPr>
                <w:rFonts w:ascii="Aptos" w:hAnsi="Aptos"/>
                <w:color w:val="000000"/>
                <w:sz w:val="16"/>
                <w:szCs w:val="16"/>
              </w:rPr>
              <w:t>Therapeutic effects of lactobacillus in treating irritable bowel syndrome: A meta-analysis</w:t>
            </w:r>
          </w:p>
        </w:tc>
        <w:tc>
          <w:tcPr>
            <w:tcW w:w="1145" w:type="pct"/>
            <w:shd w:val="clear" w:color="auto" w:fill="auto"/>
            <w:noWrap/>
            <w:hideMark/>
          </w:tcPr>
          <w:p w14:paraId="1C1DA9B9" w14:textId="77777777" w:rsidR="008F3151" w:rsidRPr="00D518FF" w:rsidRDefault="008F3151">
            <w:pPr>
              <w:rPr>
                <w:rFonts w:ascii="Aptos" w:hAnsi="Aptos"/>
                <w:color w:val="000000"/>
                <w:sz w:val="16"/>
                <w:szCs w:val="16"/>
              </w:rPr>
            </w:pPr>
            <w:r w:rsidRPr="00D518FF">
              <w:rPr>
                <w:rFonts w:ascii="Aptos" w:hAnsi="Aptos"/>
                <w:color w:val="000000"/>
                <w:sz w:val="16"/>
                <w:szCs w:val="16"/>
              </w:rPr>
              <w:t>Tiequn, B.; Guanqun, C.; Shuo, Z.</w:t>
            </w:r>
          </w:p>
        </w:tc>
        <w:tc>
          <w:tcPr>
            <w:tcW w:w="199" w:type="pct"/>
            <w:shd w:val="clear" w:color="auto" w:fill="auto"/>
            <w:noWrap/>
            <w:hideMark/>
          </w:tcPr>
          <w:p w14:paraId="3904ECCF" w14:textId="77777777" w:rsidR="008F3151" w:rsidRPr="00D518FF" w:rsidRDefault="008F3151">
            <w:pPr>
              <w:rPr>
                <w:rFonts w:ascii="Aptos" w:hAnsi="Aptos"/>
                <w:color w:val="000000"/>
                <w:sz w:val="16"/>
                <w:szCs w:val="16"/>
              </w:rPr>
            </w:pPr>
            <w:r w:rsidRPr="00D518FF">
              <w:rPr>
                <w:rFonts w:ascii="Aptos" w:hAnsi="Aptos"/>
                <w:color w:val="000000"/>
                <w:sz w:val="16"/>
                <w:szCs w:val="16"/>
              </w:rPr>
              <w:t>2015</w:t>
            </w:r>
          </w:p>
        </w:tc>
        <w:tc>
          <w:tcPr>
            <w:tcW w:w="697" w:type="pct"/>
            <w:shd w:val="clear" w:color="auto" w:fill="auto"/>
            <w:noWrap/>
            <w:hideMark/>
          </w:tcPr>
          <w:p w14:paraId="0CFD896F"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Internal Medicine</w:t>
            </w:r>
          </w:p>
        </w:tc>
        <w:tc>
          <w:tcPr>
            <w:tcW w:w="298" w:type="pct"/>
            <w:shd w:val="clear" w:color="auto" w:fill="auto"/>
            <w:noWrap/>
            <w:hideMark/>
          </w:tcPr>
          <w:p w14:paraId="758E1EB1" w14:textId="77777777" w:rsidR="008F3151" w:rsidRPr="00D518FF" w:rsidRDefault="008F3151">
            <w:pPr>
              <w:rPr>
                <w:rFonts w:ascii="Aptos" w:hAnsi="Aptos"/>
                <w:color w:val="000000"/>
                <w:sz w:val="16"/>
                <w:szCs w:val="16"/>
              </w:rPr>
            </w:pPr>
            <w:r w:rsidRPr="00D518FF">
              <w:rPr>
                <w:rFonts w:ascii="Aptos" w:hAnsi="Aptos"/>
                <w:color w:val="000000"/>
                <w:sz w:val="16"/>
                <w:szCs w:val="16"/>
              </w:rPr>
              <w:t>54</w:t>
            </w:r>
          </w:p>
        </w:tc>
        <w:tc>
          <w:tcPr>
            <w:tcW w:w="199" w:type="pct"/>
            <w:shd w:val="clear" w:color="auto" w:fill="auto"/>
            <w:noWrap/>
            <w:hideMark/>
          </w:tcPr>
          <w:p w14:paraId="683C756B"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249" w:type="pct"/>
            <w:shd w:val="clear" w:color="auto" w:fill="auto"/>
            <w:noWrap/>
            <w:hideMark/>
          </w:tcPr>
          <w:p w14:paraId="7271734B" w14:textId="77777777" w:rsidR="008F3151" w:rsidRPr="00D518FF" w:rsidRDefault="008F3151">
            <w:pPr>
              <w:rPr>
                <w:rFonts w:ascii="Aptos" w:hAnsi="Aptos"/>
                <w:color w:val="000000"/>
                <w:sz w:val="16"/>
                <w:szCs w:val="16"/>
              </w:rPr>
            </w:pPr>
            <w:r w:rsidRPr="00D518FF">
              <w:rPr>
                <w:rFonts w:ascii="Aptos" w:hAnsi="Aptos"/>
                <w:color w:val="000000"/>
                <w:sz w:val="16"/>
                <w:szCs w:val="16"/>
              </w:rPr>
              <w:t>243-249</w:t>
            </w:r>
          </w:p>
        </w:tc>
        <w:tc>
          <w:tcPr>
            <w:tcW w:w="772" w:type="pct"/>
            <w:shd w:val="clear" w:color="auto" w:fill="auto"/>
            <w:noWrap/>
            <w:hideMark/>
          </w:tcPr>
          <w:p w14:paraId="0560F3E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9253C3" w:rsidRPr="00D518FF" w14:paraId="0F133AD1" w14:textId="77777777" w:rsidTr="003060E9">
        <w:trPr>
          <w:trHeight w:val="320"/>
        </w:trPr>
        <w:tc>
          <w:tcPr>
            <w:tcW w:w="1441" w:type="pct"/>
            <w:shd w:val="clear" w:color="auto" w:fill="auto"/>
            <w:noWrap/>
            <w:hideMark/>
          </w:tcPr>
          <w:p w14:paraId="0D534813" w14:textId="77777777" w:rsidR="008F3151" w:rsidRPr="00D518FF" w:rsidRDefault="008F3151">
            <w:pPr>
              <w:rPr>
                <w:rFonts w:ascii="Aptos" w:hAnsi="Aptos"/>
                <w:color w:val="000000"/>
                <w:sz w:val="16"/>
                <w:szCs w:val="16"/>
              </w:rPr>
            </w:pPr>
            <w:r w:rsidRPr="00D518FF">
              <w:rPr>
                <w:rFonts w:ascii="Aptos" w:hAnsi="Aptos"/>
                <w:color w:val="000000"/>
                <w:sz w:val="16"/>
                <w:szCs w:val="16"/>
              </w:rPr>
              <w:t>Probiotics for management of functional abdominal pain disorders in children</w:t>
            </w:r>
          </w:p>
        </w:tc>
        <w:tc>
          <w:tcPr>
            <w:tcW w:w="1145" w:type="pct"/>
            <w:shd w:val="clear" w:color="auto" w:fill="auto"/>
            <w:noWrap/>
            <w:hideMark/>
          </w:tcPr>
          <w:p w14:paraId="4F00C0F7" w14:textId="77777777" w:rsidR="008F3151" w:rsidRPr="00D518FF" w:rsidRDefault="008F3151">
            <w:pPr>
              <w:rPr>
                <w:rFonts w:ascii="Aptos" w:hAnsi="Aptos"/>
                <w:color w:val="000000"/>
                <w:sz w:val="16"/>
                <w:szCs w:val="16"/>
              </w:rPr>
            </w:pPr>
            <w:r w:rsidRPr="00D518FF">
              <w:rPr>
                <w:rFonts w:ascii="Aptos" w:hAnsi="Aptos"/>
                <w:color w:val="000000"/>
                <w:sz w:val="16"/>
                <w:szCs w:val="16"/>
              </w:rPr>
              <w:t>Wallace, C.; Gordon, M.; Sinopoulou, V.; Akobeng, A. K.</w:t>
            </w:r>
          </w:p>
        </w:tc>
        <w:tc>
          <w:tcPr>
            <w:tcW w:w="199" w:type="pct"/>
            <w:shd w:val="clear" w:color="auto" w:fill="auto"/>
            <w:noWrap/>
            <w:hideMark/>
          </w:tcPr>
          <w:p w14:paraId="6AF7A92E" w14:textId="77777777" w:rsidR="008F3151" w:rsidRPr="00D518FF" w:rsidRDefault="008F3151">
            <w:pPr>
              <w:rPr>
                <w:rFonts w:ascii="Aptos" w:hAnsi="Aptos"/>
                <w:color w:val="000000"/>
                <w:sz w:val="16"/>
                <w:szCs w:val="16"/>
              </w:rPr>
            </w:pPr>
            <w:r w:rsidRPr="00D518FF">
              <w:rPr>
                <w:rFonts w:ascii="Aptos" w:hAnsi="Aptos"/>
                <w:color w:val="000000"/>
                <w:sz w:val="16"/>
                <w:szCs w:val="16"/>
              </w:rPr>
              <w:t>2023</w:t>
            </w:r>
          </w:p>
        </w:tc>
        <w:tc>
          <w:tcPr>
            <w:tcW w:w="697" w:type="pct"/>
            <w:shd w:val="clear" w:color="auto" w:fill="auto"/>
            <w:noWrap/>
            <w:hideMark/>
          </w:tcPr>
          <w:p w14:paraId="3A2247AB" w14:textId="77777777" w:rsidR="008F3151" w:rsidRPr="00D518FF" w:rsidRDefault="008F3151">
            <w:pPr>
              <w:rPr>
                <w:rFonts w:ascii="Aptos" w:hAnsi="Aptos"/>
                <w:color w:val="000000"/>
                <w:sz w:val="16"/>
                <w:szCs w:val="16"/>
              </w:rPr>
            </w:pPr>
            <w:r w:rsidRPr="00D518FF">
              <w:rPr>
                <w:rFonts w:ascii="Aptos" w:hAnsi="Aptos"/>
                <w:color w:val="000000"/>
                <w:sz w:val="16"/>
                <w:szCs w:val="16"/>
              </w:rPr>
              <w:t>Cochrane database of systematic reviews</w:t>
            </w:r>
          </w:p>
        </w:tc>
        <w:tc>
          <w:tcPr>
            <w:tcW w:w="298" w:type="pct"/>
            <w:shd w:val="clear" w:color="auto" w:fill="auto"/>
            <w:noWrap/>
            <w:hideMark/>
          </w:tcPr>
          <w:p w14:paraId="50242BA2"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199" w:type="pct"/>
            <w:shd w:val="clear" w:color="auto" w:fill="auto"/>
            <w:noWrap/>
            <w:hideMark/>
          </w:tcPr>
          <w:p w14:paraId="16AACEC1"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249" w:type="pct"/>
            <w:shd w:val="clear" w:color="auto" w:fill="auto"/>
            <w:noWrap/>
            <w:hideMark/>
          </w:tcPr>
          <w:p w14:paraId="31CA80FB" w14:textId="77777777" w:rsidR="008F3151" w:rsidRPr="00D518FF" w:rsidRDefault="008F3151">
            <w:pPr>
              <w:rPr>
                <w:rFonts w:ascii="Aptos" w:hAnsi="Aptos"/>
                <w:color w:val="000000"/>
                <w:sz w:val="16"/>
                <w:szCs w:val="16"/>
              </w:rPr>
            </w:pPr>
            <w:r w:rsidRPr="00D518FF">
              <w:rPr>
                <w:rFonts w:ascii="Aptos" w:hAnsi="Aptos"/>
                <w:color w:val="000000"/>
                <w:sz w:val="16"/>
                <w:szCs w:val="16"/>
              </w:rPr>
              <w:t>CD012849</w:t>
            </w:r>
          </w:p>
        </w:tc>
        <w:tc>
          <w:tcPr>
            <w:tcW w:w="772" w:type="pct"/>
            <w:shd w:val="clear" w:color="auto" w:fill="auto"/>
            <w:noWrap/>
            <w:hideMark/>
          </w:tcPr>
          <w:p w14:paraId="40C2DFDF"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p>
        </w:tc>
      </w:tr>
      <w:tr w:rsidR="009253C3" w:rsidRPr="00D518FF" w14:paraId="1CBF9F8E" w14:textId="77777777" w:rsidTr="003060E9">
        <w:trPr>
          <w:trHeight w:val="320"/>
        </w:trPr>
        <w:tc>
          <w:tcPr>
            <w:tcW w:w="1441" w:type="pct"/>
            <w:shd w:val="clear" w:color="auto" w:fill="auto"/>
            <w:noWrap/>
            <w:hideMark/>
          </w:tcPr>
          <w:p w14:paraId="6FC41E5E" w14:textId="77777777" w:rsidR="008F3151" w:rsidRPr="00D518FF" w:rsidRDefault="008F3151">
            <w:pPr>
              <w:rPr>
                <w:rFonts w:ascii="Aptos" w:hAnsi="Aptos"/>
                <w:color w:val="000000"/>
                <w:sz w:val="16"/>
                <w:szCs w:val="16"/>
              </w:rPr>
            </w:pPr>
            <w:r w:rsidRPr="00D518FF">
              <w:rPr>
                <w:rFonts w:ascii="Aptos" w:hAnsi="Aptos"/>
                <w:color w:val="000000"/>
                <w:sz w:val="16"/>
                <w:szCs w:val="16"/>
              </w:rPr>
              <w:t>Meta-analysis of the efficacy of probiotics to treat diarrhea</w:t>
            </w:r>
          </w:p>
        </w:tc>
        <w:tc>
          <w:tcPr>
            <w:tcW w:w="1145" w:type="pct"/>
            <w:shd w:val="clear" w:color="auto" w:fill="auto"/>
            <w:noWrap/>
            <w:hideMark/>
          </w:tcPr>
          <w:p w14:paraId="51CDF010" w14:textId="77777777" w:rsidR="008F3151" w:rsidRPr="00D518FF" w:rsidRDefault="008F3151">
            <w:pPr>
              <w:rPr>
                <w:rFonts w:ascii="Aptos" w:hAnsi="Aptos"/>
                <w:color w:val="000000"/>
                <w:sz w:val="16"/>
                <w:szCs w:val="16"/>
              </w:rPr>
            </w:pPr>
            <w:r w:rsidRPr="00D518FF">
              <w:rPr>
                <w:rFonts w:ascii="Aptos" w:hAnsi="Aptos"/>
                <w:color w:val="000000"/>
                <w:sz w:val="16"/>
                <w:szCs w:val="16"/>
              </w:rPr>
              <w:t>Wang, F.; Zhao, T.; Wang, W.; Dai, Q.; Ma, X.</w:t>
            </w:r>
          </w:p>
        </w:tc>
        <w:tc>
          <w:tcPr>
            <w:tcW w:w="199" w:type="pct"/>
            <w:shd w:val="clear" w:color="auto" w:fill="auto"/>
            <w:noWrap/>
            <w:hideMark/>
          </w:tcPr>
          <w:p w14:paraId="647F6FA6"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697" w:type="pct"/>
            <w:shd w:val="clear" w:color="auto" w:fill="auto"/>
            <w:noWrap/>
            <w:hideMark/>
          </w:tcPr>
          <w:p w14:paraId="07EB2B58" w14:textId="77777777" w:rsidR="008F3151" w:rsidRPr="00D518FF" w:rsidRDefault="008F3151">
            <w:pPr>
              <w:rPr>
                <w:rFonts w:ascii="Aptos" w:hAnsi="Aptos"/>
                <w:color w:val="000000"/>
                <w:sz w:val="16"/>
                <w:szCs w:val="16"/>
              </w:rPr>
            </w:pPr>
            <w:r w:rsidRPr="00D518FF">
              <w:rPr>
                <w:rFonts w:ascii="Aptos" w:hAnsi="Aptos"/>
                <w:color w:val="000000"/>
                <w:sz w:val="16"/>
                <w:szCs w:val="16"/>
              </w:rPr>
              <w:t>Medicine</w:t>
            </w:r>
          </w:p>
        </w:tc>
        <w:tc>
          <w:tcPr>
            <w:tcW w:w="298" w:type="pct"/>
            <w:shd w:val="clear" w:color="auto" w:fill="auto"/>
            <w:noWrap/>
            <w:hideMark/>
          </w:tcPr>
          <w:p w14:paraId="63EA81FE" w14:textId="77777777" w:rsidR="008F3151" w:rsidRPr="00D518FF" w:rsidRDefault="008F3151">
            <w:pPr>
              <w:rPr>
                <w:rFonts w:ascii="Aptos" w:hAnsi="Aptos"/>
                <w:color w:val="000000"/>
                <w:sz w:val="16"/>
                <w:szCs w:val="16"/>
              </w:rPr>
            </w:pPr>
            <w:r w:rsidRPr="00D518FF">
              <w:rPr>
                <w:rFonts w:ascii="Aptos" w:hAnsi="Aptos"/>
                <w:color w:val="000000"/>
                <w:sz w:val="16"/>
                <w:szCs w:val="16"/>
              </w:rPr>
              <w:t>101</w:t>
            </w:r>
          </w:p>
        </w:tc>
        <w:tc>
          <w:tcPr>
            <w:tcW w:w="199" w:type="pct"/>
            <w:shd w:val="clear" w:color="auto" w:fill="auto"/>
            <w:noWrap/>
            <w:hideMark/>
          </w:tcPr>
          <w:p w14:paraId="3689E1DD" w14:textId="77777777" w:rsidR="008F3151" w:rsidRPr="00D518FF" w:rsidRDefault="008F3151">
            <w:pPr>
              <w:rPr>
                <w:rFonts w:ascii="Aptos" w:hAnsi="Aptos"/>
                <w:color w:val="000000"/>
                <w:sz w:val="16"/>
                <w:szCs w:val="16"/>
              </w:rPr>
            </w:pPr>
            <w:r w:rsidRPr="00D518FF">
              <w:rPr>
                <w:rFonts w:ascii="Aptos" w:hAnsi="Aptos"/>
                <w:color w:val="000000"/>
                <w:sz w:val="16"/>
                <w:szCs w:val="16"/>
              </w:rPr>
              <w:t>38</w:t>
            </w:r>
          </w:p>
        </w:tc>
        <w:tc>
          <w:tcPr>
            <w:tcW w:w="249" w:type="pct"/>
            <w:shd w:val="clear" w:color="auto" w:fill="auto"/>
            <w:noWrap/>
            <w:hideMark/>
          </w:tcPr>
          <w:p w14:paraId="62AAA709" w14:textId="77777777" w:rsidR="008F3151" w:rsidRPr="00D518FF" w:rsidRDefault="008F3151">
            <w:pPr>
              <w:rPr>
                <w:rFonts w:ascii="Aptos" w:hAnsi="Aptos"/>
                <w:color w:val="000000"/>
                <w:sz w:val="16"/>
                <w:szCs w:val="16"/>
              </w:rPr>
            </w:pPr>
            <w:r w:rsidRPr="00D518FF">
              <w:rPr>
                <w:rFonts w:ascii="Aptos" w:hAnsi="Aptos"/>
                <w:color w:val="000000"/>
                <w:sz w:val="16"/>
                <w:szCs w:val="16"/>
              </w:rPr>
              <w:t>e30880</w:t>
            </w:r>
          </w:p>
        </w:tc>
        <w:tc>
          <w:tcPr>
            <w:tcW w:w="772" w:type="pct"/>
            <w:shd w:val="clear" w:color="auto" w:fill="auto"/>
            <w:noWrap/>
            <w:hideMark/>
          </w:tcPr>
          <w:p w14:paraId="47D6F69C"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p>
        </w:tc>
      </w:tr>
      <w:tr w:rsidR="009253C3" w:rsidRPr="00D518FF" w14:paraId="3AE7495B" w14:textId="77777777" w:rsidTr="003060E9">
        <w:trPr>
          <w:trHeight w:val="320"/>
        </w:trPr>
        <w:tc>
          <w:tcPr>
            <w:tcW w:w="1441" w:type="pct"/>
            <w:shd w:val="clear" w:color="auto" w:fill="auto"/>
            <w:noWrap/>
            <w:hideMark/>
          </w:tcPr>
          <w:p w14:paraId="7E58DF1A" w14:textId="77777777" w:rsidR="008F3151" w:rsidRPr="00D518FF" w:rsidRDefault="008F3151">
            <w:pPr>
              <w:rPr>
                <w:rFonts w:ascii="Aptos" w:hAnsi="Aptos"/>
                <w:color w:val="000000"/>
                <w:sz w:val="16"/>
                <w:szCs w:val="16"/>
              </w:rPr>
            </w:pPr>
            <w:r w:rsidRPr="00D518FF">
              <w:rPr>
                <w:rFonts w:ascii="Aptos" w:hAnsi="Aptos"/>
                <w:color w:val="000000"/>
                <w:sz w:val="16"/>
                <w:szCs w:val="16"/>
              </w:rPr>
              <w:t>Effectiveness of Probiotics in Children With Functional Abdominal Pain Disorders and Functional Constipation: A Systematic Review</w:t>
            </w:r>
          </w:p>
        </w:tc>
        <w:tc>
          <w:tcPr>
            <w:tcW w:w="1145" w:type="pct"/>
            <w:shd w:val="clear" w:color="auto" w:fill="auto"/>
            <w:noWrap/>
            <w:hideMark/>
          </w:tcPr>
          <w:p w14:paraId="3273E474" w14:textId="77777777" w:rsidR="008F3151" w:rsidRPr="00D518FF" w:rsidRDefault="008F3151">
            <w:pPr>
              <w:rPr>
                <w:rFonts w:ascii="Aptos" w:hAnsi="Aptos"/>
                <w:color w:val="000000"/>
                <w:sz w:val="16"/>
                <w:szCs w:val="16"/>
              </w:rPr>
            </w:pPr>
            <w:r w:rsidRPr="00D518FF">
              <w:rPr>
                <w:rFonts w:ascii="Aptos" w:hAnsi="Aptos"/>
                <w:color w:val="000000"/>
                <w:sz w:val="16"/>
                <w:szCs w:val="16"/>
              </w:rPr>
              <w:t>Wegh, C. A. M.; Benninga, M. A.; Tabbers, M. M.</w:t>
            </w:r>
          </w:p>
        </w:tc>
        <w:tc>
          <w:tcPr>
            <w:tcW w:w="199" w:type="pct"/>
            <w:shd w:val="clear" w:color="auto" w:fill="auto"/>
            <w:noWrap/>
            <w:hideMark/>
          </w:tcPr>
          <w:p w14:paraId="2310014C"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697" w:type="pct"/>
            <w:shd w:val="clear" w:color="auto" w:fill="auto"/>
            <w:noWrap/>
            <w:hideMark/>
          </w:tcPr>
          <w:p w14:paraId="380E7B34"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clinical gastroenterology</w:t>
            </w:r>
          </w:p>
        </w:tc>
        <w:tc>
          <w:tcPr>
            <w:tcW w:w="298" w:type="pct"/>
            <w:shd w:val="clear" w:color="auto" w:fill="auto"/>
            <w:noWrap/>
            <w:hideMark/>
          </w:tcPr>
          <w:p w14:paraId="1E995561" w14:textId="77777777" w:rsidR="008F3151" w:rsidRPr="00D518FF" w:rsidRDefault="008F3151">
            <w:pPr>
              <w:rPr>
                <w:rFonts w:ascii="Aptos" w:hAnsi="Aptos"/>
                <w:color w:val="000000"/>
                <w:sz w:val="16"/>
                <w:szCs w:val="16"/>
              </w:rPr>
            </w:pPr>
            <w:r w:rsidRPr="00D518FF">
              <w:rPr>
                <w:rFonts w:ascii="Aptos" w:hAnsi="Aptos"/>
                <w:color w:val="000000"/>
                <w:sz w:val="16"/>
                <w:szCs w:val="16"/>
              </w:rPr>
              <w:t>52 Suppl 1</w:t>
            </w:r>
          </w:p>
        </w:tc>
        <w:tc>
          <w:tcPr>
            <w:tcW w:w="199" w:type="pct"/>
            <w:shd w:val="clear" w:color="auto" w:fill="auto"/>
            <w:noWrap/>
            <w:hideMark/>
          </w:tcPr>
          <w:p w14:paraId="7B6D3BC2" w14:textId="4DE68973" w:rsidR="008F3151" w:rsidRPr="00D518FF" w:rsidRDefault="0091460A">
            <w:pPr>
              <w:rPr>
                <w:rFonts w:ascii="Aptos" w:hAnsi="Aptos"/>
                <w:color w:val="000000"/>
                <w:sz w:val="16"/>
                <w:szCs w:val="16"/>
              </w:rPr>
            </w:pPr>
            <w:r>
              <w:rPr>
                <w:rFonts w:ascii="Aptos" w:hAnsi="Aptos"/>
                <w:color w:val="000000"/>
                <w:sz w:val="16"/>
                <w:szCs w:val="16"/>
              </w:rPr>
              <w:t>-</w:t>
            </w:r>
          </w:p>
        </w:tc>
        <w:tc>
          <w:tcPr>
            <w:tcW w:w="249" w:type="pct"/>
            <w:shd w:val="clear" w:color="auto" w:fill="auto"/>
            <w:noWrap/>
            <w:hideMark/>
          </w:tcPr>
          <w:p w14:paraId="289A734B" w14:textId="77777777" w:rsidR="008F3151" w:rsidRPr="00D518FF" w:rsidRDefault="008F3151">
            <w:pPr>
              <w:rPr>
                <w:rFonts w:ascii="Aptos" w:hAnsi="Aptos"/>
                <w:color w:val="000000"/>
                <w:sz w:val="16"/>
                <w:szCs w:val="16"/>
              </w:rPr>
            </w:pPr>
            <w:r w:rsidRPr="00D518FF">
              <w:rPr>
                <w:rFonts w:ascii="Aptos" w:hAnsi="Aptos"/>
                <w:color w:val="000000"/>
                <w:sz w:val="16"/>
                <w:szCs w:val="16"/>
              </w:rPr>
              <w:t>S10-S26</w:t>
            </w:r>
          </w:p>
        </w:tc>
        <w:tc>
          <w:tcPr>
            <w:tcW w:w="772" w:type="pct"/>
            <w:shd w:val="clear" w:color="auto" w:fill="auto"/>
            <w:noWrap/>
            <w:hideMark/>
          </w:tcPr>
          <w:p w14:paraId="4845DACA"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p>
        </w:tc>
      </w:tr>
      <w:tr w:rsidR="009253C3" w:rsidRPr="00D518FF" w14:paraId="3A98B1CB" w14:textId="77777777" w:rsidTr="003060E9">
        <w:trPr>
          <w:trHeight w:val="320"/>
        </w:trPr>
        <w:tc>
          <w:tcPr>
            <w:tcW w:w="1441" w:type="pct"/>
            <w:shd w:val="clear" w:color="auto" w:fill="auto"/>
            <w:noWrap/>
            <w:hideMark/>
          </w:tcPr>
          <w:p w14:paraId="55F5F6F5"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 of probiotics on functional constipation in adults: a systematic review and meta-analysis of randomized controlled trials</w:t>
            </w:r>
          </w:p>
        </w:tc>
        <w:tc>
          <w:tcPr>
            <w:tcW w:w="1145" w:type="pct"/>
            <w:shd w:val="clear" w:color="auto" w:fill="auto"/>
            <w:noWrap/>
            <w:hideMark/>
          </w:tcPr>
          <w:p w14:paraId="580FF91B" w14:textId="77777777" w:rsidR="008F3151" w:rsidRPr="00D518FF" w:rsidRDefault="008F3151">
            <w:pPr>
              <w:rPr>
                <w:rFonts w:ascii="Aptos" w:hAnsi="Aptos"/>
                <w:color w:val="000000"/>
                <w:sz w:val="16"/>
                <w:szCs w:val="16"/>
              </w:rPr>
            </w:pPr>
            <w:r w:rsidRPr="00D518FF">
              <w:rPr>
                <w:rFonts w:ascii="Aptos" w:hAnsi="Aptos"/>
                <w:color w:val="000000"/>
                <w:sz w:val="16"/>
                <w:szCs w:val="16"/>
              </w:rPr>
              <w:t>Dimidi, E.; Christodoulides, S.; Fragkos, K. C.; Scott, S. M.; Whelan, K.</w:t>
            </w:r>
          </w:p>
        </w:tc>
        <w:tc>
          <w:tcPr>
            <w:tcW w:w="199" w:type="pct"/>
            <w:shd w:val="clear" w:color="auto" w:fill="auto"/>
            <w:noWrap/>
            <w:hideMark/>
          </w:tcPr>
          <w:p w14:paraId="77D4746B" w14:textId="77777777" w:rsidR="008F3151" w:rsidRPr="00D518FF" w:rsidRDefault="008F3151">
            <w:pPr>
              <w:rPr>
                <w:rFonts w:ascii="Aptos" w:hAnsi="Aptos"/>
                <w:color w:val="000000"/>
                <w:sz w:val="16"/>
                <w:szCs w:val="16"/>
              </w:rPr>
            </w:pPr>
            <w:r w:rsidRPr="00D518FF">
              <w:rPr>
                <w:rFonts w:ascii="Aptos" w:hAnsi="Aptos"/>
                <w:color w:val="000000"/>
                <w:sz w:val="16"/>
                <w:szCs w:val="16"/>
              </w:rPr>
              <w:t>2014</w:t>
            </w:r>
          </w:p>
        </w:tc>
        <w:tc>
          <w:tcPr>
            <w:tcW w:w="697" w:type="pct"/>
            <w:shd w:val="clear" w:color="auto" w:fill="auto"/>
            <w:noWrap/>
            <w:hideMark/>
          </w:tcPr>
          <w:p w14:paraId="2C83377D" w14:textId="77777777" w:rsidR="008F3151" w:rsidRPr="00D518FF" w:rsidRDefault="008F3151">
            <w:pPr>
              <w:rPr>
                <w:rFonts w:ascii="Aptos" w:hAnsi="Aptos"/>
                <w:color w:val="000000"/>
                <w:sz w:val="16"/>
                <w:szCs w:val="16"/>
              </w:rPr>
            </w:pPr>
            <w:r w:rsidRPr="00D518FF">
              <w:rPr>
                <w:rFonts w:ascii="Aptos" w:hAnsi="Aptos"/>
                <w:color w:val="000000"/>
                <w:sz w:val="16"/>
                <w:szCs w:val="16"/>
              </w:rPr>
              <w:t>Am J Clin Nutr</w:t>
            </w:r>
          </w:p>
        </w:tc>
        <w:tc>
          <w:tcPr>
            <w:tcW w:w="298" w:type="pct"/>
            <w:shd w:val="clear" w:color="auto" w:fill="auto"/>
            <w:noWrap/>
            <w:hideMark/>
          </w:tcPr>
          <w:p w14:paraId="40F491BF" w14:textId="77777777" w:rsidR="008F3151" w:rsidRPr="00D518FF" w:rsidRDefault="008F3151">
            <w:pPr>
              <w:rPr>
                <w:rFonts w:ascii="Aptos" w:hAnsi="Aptos"/>
                <w:color w:val="000000"/>
                <w:sz w:val="16"/>
                <w:szCs w:val="16"/>
              </w:rPr>
            </w:pPr>
            <w:r w:rsidRPr="00D518FF">
              <w:rPr>
                <w:rFonts w:ascii="Aptos" w:hAnsi="Aptos"/>
                <w:color w:val="000000"/>
                <w:sz w:val="16"/>
                <w:szCs w:val="16"/>
              </w:rPr>
              <w:t>100</w:t>
            </w:r>
          </w:p>
        </w:tc>
        <w:tc>
          <w:tcPr>
            <w:tcW w:w="199" w:type="pct"/>
            <w:shd w:val="clear" w:color="auto" w:fill="auto"/>
            <w:noWrap/>
            <w:hideMark/>
          </w:tcPr>
          <w:p w14:paraId="01883657"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249" w:type="pct"/>
            <w:shd w:val="clear" w:color="auto" w:fill="auto"/>
            <w:noWrap/>
            <w:hideMark/>
          </w:tcPr>
          <w:p w14:paraId="619954EF" w14:textId="77777777" w:rsidR="008F3151" w:rsidRPr="00D518FF" w:rsidRDefault="008F3151">
            <w:pPr>
              <w:rPr>
                <w:rFonts w:ascii="Aptos" w:hAnsi="Aptos"/>
                <w:color w:val="000000"/>
                <w:sz w:val="16"/>
                <w:szCs w:val="16"/>
              </w:rPr>
            </w:pPr>
            <w:r w:rsidRPr="00D518FF">
              <w:rPr>
                <w:rFonts w:ascii="Aptos" w:hAnsi="Aptos"/>
                <w:color w:val="000000"/>
                <w:sz w:val="16"/>
                <w:szCs w:val="16"/>
              </w:rPr>
              <w:t>1075-84</w:t>
            </w:r>
          </w:p>
        </w:tc>
        <w:tc>
          <w:tcPr>
            <w:tcW w:w="772" w:type="pct"/>
            <w:shd w:val="clear" w:color="auto" w:fill="auto"/>
            <w:noWrap/>
            <w:hideMark/>
          </w:tcPr>
          <w:p w14:paraId="525C50E8"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p>
        </w:tc>
      </w:tr>
      <w:tr w:rsidR="009253C3" w:rsidRPr="00D518FF" w14:paraId="48B4E51C" w14:textId="77777777" w:rsidTr="003060E9">
        <w:trPr>
          <w:trHeight w:val="320"/>
        </w:trPr>
        <w:tc>
          <w:tcPr>
            <w:tcW w:w="1441" w:type="pct"/>
            <w:shd w:val="clear" w:color="auto" w:fill="auto"/>
            <w:noWrap/>
            <w:hideMark/>
          </w:tcPr>
          <w:p w14:paraId="0EE9869A" w14:textId="77777777" w:rsidR="008F3151" w:rsidRPr="00D518FF" w:rsidRDefault="008F3151">
            <w:pPr>
              <w:rPr>
                <w:rFonts w:ascii="Aptos" w:hAnsi="Aptos"/>
                <w:color w:val="000000"/>
                <w:sz w:val="16"/>
                <w:szCs w:val="16"/>
              </w:rPr>
            </w:pPr>
            <w:r w:rsidRPr="00D518FF">
              <w:rPr>
                <w:rFonts w:ascii="Aptos" w:hAnsi="Aptos"/>
                <w:color w:val="000000"/>
                <w:sz w:val="16"/>
                <w:szCs w:val="16"/>
              </w:rPr>
              <w:t>Use of probiotics in the treatment of functional abdominal pain in children-systematic review and meta-analysis</w:t>
            </w:r>
          </w:p>
        </w:tc>
        <w:tc>
          <w:tcPr>
            <w:tcW w:w="1145" w:type="pct"/>
            <w:shd w:val="clear" w:color="auto" w:fill="auto"/>
            <w:noWrap/>
            <w:hideMark/>
          </w:tcPr>
          <w:p w14:paraId="2FDD6ADC" w14:textId="77777777" w:rsidR="008F3151" w:rsidRPr="00D518FF" w:rsidRDefault="008F3151">
            <w:pPr>
              <w:rPr>
                <w:rFonts w:ascii="Aptos" w:hAnsi="Aptos"/>
                <w:color w:val="000000"/>
                <w:sz w:val="16"/>
                <w:szCs w:val="16"/>
              </w:rPr>
            </w:pPr>
            <w:r w:rsidRPr="00D518FF">
              <w:rPr>
                <w:rFonts w:ascii="Aptos" w:hAnsi="Aptos"/>
                <w:color w:val="000000"/>
                <w:sz w:val="16"/>
                <w:szCs w:val="16"/>
              </w:rPr>
              <w:t>Triviƒá, I.; Niseteo, T.; Jadre≈°in, O.; Hojsak, I.</w:t>
            </w:r>
          </w:p>
        </w:tc>
        <w:tc>
          <w:tcPr>
            <w:tcW w:w="199" w:type="pct"/>
            <w:shd w:val="clear" w:color="auto" w:fill="auto"/>
            <w:noWrap/>
            <w:hideMark/>
          </w:tcPr>
          <w:p w14:paraId="5C593424"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697" w:type="pct"/>
            <w:shd w:val="clear" w:color="auto" w:fill="auto"/>
            <w:noWrap/>
            <w:hideMark/>
          </w:tcPr>
          <w:p w14:paraId="65322816" w14:textId="77777777" w:rsidR="008F3151" w:rsidRPr="00D518FF" w:rsidRDefault="008F3151">
            <w:pPr>
              <w:rPr>
                <w:rFonts w:ascii="Aptos" w:hAnsi="Aptos"/>
                <w:color w:val="000000"/>
                <w:sz w:val="16"/>
                <w:szCs w:val="16"/>
              </w:rPr>
            </w:pPr>
            <w:r w:rsidRPr="00D518FF">
              <w:rPr>
                <w:rFonts w:ascii="Aptos" w:hAnsi="Aptos"/>
                <w:color w:val="000000"/>
                <w:sz w:val="16"/>
                <w:szCs w:val="16"/>
              </w:rPr>
              <w:t>Eur J Pediatr</w:t>
            </w:r>
          </w:p>
        </w:tc>
        <w:tc>
          <w:tcPr>
            <w:tcW w:w="298" w:type="pct"/>
            <w:shd w:val="clear" w:color="auto" w:fill="auto"/>
            <w:noWrap/>
            <w:hideMark/>
          </w:tcPr>
          <w:p w14:paraId="5038BA1E" w14:textId="77777777" w:rsidR="008F3151" w:rsidRPr="00D518FF" w:rsidRDefault="008F3151">
            <w:pPr>
              <w:rPr>
                <w:rFonts w:ascii="Aptos" w:hAnsi="Aptos"/>
                <w:color w:val="000000"/>
                <w:sz w:val="16"/>
                <w:szCs w:val="16"/>
              </w:rPr>
            </w:pPr>
            <w:r w:rsidRPr="00D518FF">
              <w:rPr>
                <w:rFonts w:ascii="Aptos" w:hAnsi="Aptos"/>
                <w:color w:val="000000"/>
                <w:sz w:val="16"/>
                <w:szCs w:val="16"/>
              </w:rPr>
              <w:t>180</w:t>
            </w:r>
          </w:p>
        </w:tc>
        <w:tc>
          <w:tcPr>
            <w:tcW w:w="199" w:type="pct"/>
            <w:shd w:val="clear" w:color="auto" w:fill="auto"/>
            <w:noWrap/>
            <w:hideMark/>
          </w:tcPr>
          <w:p w14:paraId="2B4900D8"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249" w:type="pct"/>
            <w:shd w:val="clear" w:color="auto" w:fill="auto"/>
            <w:noWrap/>
            <w:hideMark/>
          </w:tcPr>
          <w:p w14:paraId="2AB2202F" w14:textId="77777777" w:rsidR="008F3151" w:rsidRPr="00D518FF" w:rsidRDefault="008F3151">
            <w:pPr>
              <w:rPr>
                <w:rFonts w:ascii="Aptos" w:hAnsi="Aptos"/>
                <w:color w:val="000000"/>
                <w:sz w:val="16"/>
                <w:szCs w:val="16"/>
              </w:rPr>
            </w:pPr>
            <w:r w:rsidRPr="00D518FF">
              <w:rPr>
                <w:rFonts w:ascii="Aptos" w:hAnsi="Aptos"/>
                <w:color w:val="000000"/>
                <w:sz w:val="16"/>
                <w:szCs w:val="16"/>
              </w:rPr>
              <w:t>339-351</w:t>
            </w:r>
          </w:p>
        </w:tc>
        <w:tc>
          <w:tcPr>
            <w:tcW w:w="772" w:type="pct"/>
            <w:shd w:val="clear" w:color="auto" w:fill="auto"/>
            <w:noWrap/>
            <w:hideMark/>
          </w:tcPr>
          <w:p w14:paraId="0E896A04"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p>
        </w:tc>
      </w:tr>
      <w:tr w:rsidR="009253C3" w:rsidRPr="00D518FF" w14:paraId="14231BB0" w14:textId="77777777" w:rsidTr="003060E9">
        <w:trPr>
          <w:trHeight w:val="320"/>
        </w:trPr>
        <w:tc>
          <w:tcPr>
            <w:tcW w:w="1441" w:type="pct"/>
            <w:shd w:val="clear" w:color="auto" w:fill="auto"/>
            <w:noWrap/>
            <w:hideMark/>
          </w:tcPr>
          <w:p w14:paraId="5EC62BDA" w14:textId="77777777" w:rsidR="008F3151" w:rsidRPr="00D518FF" w:rsidRDefault="008F3151">
            <w:pPr>
              <w:rPr>
                <w:rFonts w:ascii="Aptos" w:hAnsi="Aptos"/>
                <w:color w:val="000000"/>
                <w:sz w:val="16"/>
                <w:szCs w:val="16"/>
              </w:rPr>
            </w:pPr>
            <w:r w:rsidRPr="00D518FF">
              <w:rPr>
                <w:rFonts w:ascii="Aptos" w:hAnsi="Aptos"/>
                <w:color w:val="000000"/>
                <w:sz w:val="16"/>
                <w:szCs w:val="16"/>
              </w:rPr>
              <w:t>Effectiveness of probiotics in irritable bowel syndrome: Methodological quality of meta-analyses and systematic reviews</w:t>
            </w:r>
          </w:p>
        </w:tc>
        <w:tc>
          <w:tcPr>
            <w:tcW w:w="1145" w:type="pct"/>
            <w:shd w:val="clear" w:color="auto" w:fill="auto"/>
            <w:noWrap/>
            <w:hideMark/>
          </w:tcPr>
          <w:p w14:paraId="738D2B60" w14:textId="77777777" w:rsidR="008F3151" w:rsidRPr="00D518FF" w:rsidRDefault="008F3151">
            <w:pPr>
              <w:rPr>
                <w:rFonts w:ascii="Aptos" w:hAnsi="Aptos"/>
                <w:color w:val="000000"/>
                <w:sz w:val="16"/>
                <w:szCs w:val="16"/>
              </w:rPr>
            </w:pPr>
            <w:r w:rsidRPr="00D518FF">
              <w:rPr>
                <w:rFonts w:ascii="Aptos" w:hAnsi="Aptos"/>
                <w:color w:val="000000"/>
                <w:sz w:val="16"/>
                <w:szCs w:val="16"/>
              </w:rPr>
              <w:t>Jia, Y.; Guo, L. M.; Yang, S. Y.; Wu, Q.; Meng, F. J.</w:t>
            </w:r>
          </w:p>
        </w:tc>
        <w:tc>
          <w:tcPr>
            <w:tcW w:w="199" w:type="pct"/>
            <w:shd w:val="clear" w:color="auto" w:fill="auto"/>
            <w:noWrap/>
            <w:hideMark/>
          </w:tcPr>
          <w:p w14:paraId="09C5F245"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697" w:type="pct"/>
            <w:shd w:val="clear" w:color="auto" w:fill="auto"/>
            <w:noWrap/>
            <w:hideMark/>
          </w:tcPr>
          <w:p w14:paraId="09EC063B" w14:textId="77777777" w:rsidR="008F3151" w:rsidRPr="00D518FF" w:rsidRDefault="008F3151">
            <w:pPr>
              <w:rPr>
                <w:rFonts w:ascii="Aptos" w:hAnsi="Aptos"/>
                <w:color w:val="000000"/>
                <w:sz w:val="16"/>
                <w:szCs w:val="16"/>
              </w:rPr>
            </w:pPr>
            <w:r w:rsidRPr="00D518FF">
              <w:rPr>
                <w:rFonts w:ascii="Aptos" w:hAnsi="Aptos"/>
                <w:color w:val="000000"/>
                <w:sz w:val="16"/>
                <w:szCs w:val="16"/>
              </w:rPr>
              <w:t>Frontiers of Nursing</w:t>
            </w:r>
          </w:p>
        </w:tc>
        <w:tc>
          <w:tcPr>
            <w:tcW w:w="298" w:type="pct"/>
            <w:shd w:val="clear" w:color="auto" w:fill="auto"/>
            <w:noWrap/>
            <w:hideMark/>
          </w:tcPr>
          <w:p w14:paraId="3EB7ABA6"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199" w:type="pct"/>
            <w:shd w:val="clear" w:color="auto" w:fill="auto"/>
            <w:noWrap/>
            <w:hideMark/>
          </w:tcPr>
          <w:p w14:paraId="2740CB35"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249" w:type="pct"/>
            <w:shd w:val="clear" w:color="auto" w:fill="auto"/>
            <w:noWrap/>
            <w:hideMark/>
          </w:tcPr>
          <w:p w14:paraId="7BC08A2A" w14:textId="77777777" w:rsidR="008F3151" w:rsidRPr="00D518FF" w:rsidRDefault="008F3151">
            <w:pPr>
              <w:rPr>
                <w:rFonts w:ascii="Aptos" w:hAnsi="Aptos"/>
                <w:color w:val="000000"/>
                <w:sz w:val="16"/>
                <w:szCs w:val="16"/>
              </w:rPr>
            </w:pPr>
            <w:r w:rsidRPr="00D518FF">
              <w:rPr>
                <w:rFonts w:ascii="Aptos" w:hAnsi="Aptos"/>
                <w:color w:val="000000"/>
                <w:sz w:val="16"/>
                <w:szCs w:val="16"/>
              </w:rPr>
              <w:t>115-121</w:t>
            </w:r>
          </w:p>
        </w:tc>
        <w:tc>
          <w:tcPr>
            <w:tcW w:w="772" w:type="pct"/>
            <w:shd w:val="clear" w:color="auto" w:fill="auto"/>
            <w:noWrap/>
            <w:hideMark/>
          </w:tcPr>
          <w:p w14:paraId="24816C43"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design</w:t>
            </w:r>
          </w:p>
        </w:tc>
      </w:tr>
      <w:tr w:rsidR="009253C3" w:rsidRPr="00D518FF" w14:paraId="39566E9D" w14:textId="77777777" w:rsidTr="003060E9">
        <w:trPr>
          <w:trHeight w:val="320"/>
        </w:trPr>
        <w:tc>
          <w:tcPr>
            <w:tcW w:w="1441" w:type="pct"/>
            <w:shd w:val="clear" w:color="auto" w:fill="auto"/>
            <w:noWrap/>
            <w:hideMark/>
          </w:tcPr>
          <w:p w14:paraId="21E9DE25" w14:textId="77777777" w:rsidR="008F3151" w:rsidRPr="00D518FF" w:rsidRDefault="008F3151">
            <w:pPr>
              <w:rPr>
                <w:rFonts w:ascii="Aptos" w:hAnsi="Aptos"/>
                <w:color w:val="000000"/>
                <w:sz w:val="16"/>
                <w:szCs w:val="16"/>
              </w:rPr>
            </w:pPr>
            <w:r w:rsidRPr="00D518FF">
              <w:rPr>
                <w:rFonts w:ascii="Aptos" w:hAnsi="Aptos"/>
                <w:color w:val="000000"/>
                <w:sz w:val="16"/>
                <w:szCs w:val="16"/>
              </w:rPr>
              <w:t>British Dietetic Association systematic review and evidence-based practice guidelines for the dietary management of irritable bowel syndrome in adults (2016 update)</w:t>
            </w:r>
          </w:p>
        </w:tc>
        <w:tc>
          <w:tcPr>
            <w:tcW w:w="1145" w:type="pct"/>
            <w:shd w:val="clear" w:color="auto" w:fill="auto"/>
            <w:noWrap/>
            <w:hideMark/>
          </w:tcPr>
          <w:p w14:paraId="23FBF58E" w14:textId="77777777" w:rsidR="008F3151" w:rsidRPr="00D518FF" w:rsidRDefault="008F3151">
            <w:pPr>
              <w:rPr>
                <w:rFonts w:ascii="Aptos" w:hAnsi="Aptos"/>
                <w:color w:val="000000"/>
                <w:sz w:val="16"/>
                <w:szCs w:val="16"/>
              </w:rPr>
            </w:pPr>
            <w:r w:rsidRPr="00D518FF">
              <w:rPr>
                <w:rFonts w:ascii="Aptos" w:hAnsi="Aptos"/>
                <w:color w:val="000000"/>
                <w:sz w:val="16"/>
                <w:szCs w:val="16"/>
              </w:rPr>
              <w:t>McKenzie, Y. A.; Bowyer, R. K.; Leach, H.; Gulia, P.; Horobin, J.; O'Sullivan, N. A.; Pettitt, C.; Reeves, L. B.; Seamark, L.; Williams, M.; Thompson, J.; Lomer, M. C.</w:t>
            </w:r>
          </w:p>
        </w:tc>
        <w:tc>
          <w:tcPr>
            <w:tcW w:w="199" w:type="pct"/>
            <w:shd w:val="clear" w:color="auto" w:fill="auto"/>
            <w:noWrap/>
            <w:hideMark/>
          </w:tcPr>
          <w:p w14:paraId="14080056"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697" w:type="pct"/>
            <w:shd w:val="clear" w:color="auto" w:fill="auto"/>
            <w:noWrap/>
            <w:hideMark/>
          </w:tcPr>
          <w:p w14:paraId="12019C1E"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human nutrition and dietetics : the official journal of the British Dietetic Association</w:t>
            </w:r>
          </w:p>
        </w:tc>
        <w:tc>
          <w:tcPr>
            <w:tcW w:w="298" w:type="pct"/>
            <w:shd w:val="clear" w:color="auto" w:fill="auto"/>
            <w:noWrap/>
            <w:hideMark/>
          </w:tcPr>
          <w:p w14:paraId="62CED934" w14:textId="77777777" w:rsidR="008F3151" w:rsidRPr="00D518FF" w:rsidRDefault="008F3151">
            <w:pPr>
              <w:rPr>
                <w:rFonts w:ascii="Aptos" w:hAnsi="Aptos"/>
                <w:color w:val="000000"/>
                <w:sz w:val="16"/>
                <w:szCs w:val="16"/>
              </w:rPr>
            </w:pPr>
            <w:r w:rsidRPr="00D518FF">
              <w:rPr>
                <w:rFonts w:ascii="Aptos" w:hAnsi="Aptos"/>
                <w:color w:val="000000"/>
                <w:sz w:val="16"/>
                <w:szCs w:val="16"/>
              </w:rPr>
              <w:t>29</w:t>
            </w:r>
          </w:p>
        </w:tc>
        <w:tc>
          <w:tcPr>
            <w:tcW w:w="199" w:type="pct"/>
            <w:shd w:val="clear" w:color="auto" w:fill="auto"/>
            <w:noWrap/>
            <w:hideMark/>
          </w:tcPr>
          <w:p w14:paraId="346F8379"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249" w:type="pct"/>
            <w:shd w:val="clear" w:color="auto" w:fill="auto"/>
            <w:noWrap/>
            <w:hideMark/>
          </w:tcPr>
          <w:p w14:paraId="35137BCB" w14:textId="77777777" w:rsidR="008F3151" w:rsidRPr="00D518FF" w:rsidRDefault="008F3151">
            <w:pPr>
              <w:rPr>
                <w:rFonts w:ascii="Aptos" w:hAnsi="Aptos"/>
                <w:color w:val="000000"/>
                <w:sz w:val="16"/>
                <w:szCs w:val="16"/>
              </w:rPr>
            </w:pPr>
            <w:r w:rsidRPr="00D518FF">
              <w:rPr>
                <w:rFonts w:ascii="Aptos" w:hAnsi="Aptos"/>
                <w:color w:val="000000"/>
                <w:sz w:val="16"/>
                <w:szCs w:val="16"/>
              </w:rPr>
              <w:t>549-575</w:t>
            </w:r>
          </w:p>
        </w:tc>
        <w:tc>
          <w:tcPr>
            <w:tcW w:w="772" w:type="pct"/>
            <w:shd w:val="clear" w:color="auto" w:fill="auto"/>
            <w:noWrap/>
            <w:hideMark/>
          </w:tcPr>
          <w:p w14:paraId="4780F57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design</w:t>
            </w:r>
          </w:p>
        </w:tc>
      </w:tr>
      <w:tr w:rsidR="009253C3" w:rsidRPr="00D518FF" w14:paraId="611A0A1D" w14:textId="77777777" w:rsidTr="009253C3">
        <w:trPr>
          <w:trHeight w:val="320"/>
        </w:trPr>
        <w:tc>
          <w:tcPr>
            <w:tcW w:w="1441" w:type="pct"/>
            <w:shd w:val="clear" w:color="auto" w:fill="auto"/>
            <w:noWrap/>
            <w:hideMark/>
          </w:tcPr>
          <w:p w14:paraId="0D4B9636" w14:textId="77777777" w:rsidR="008F3151" w:rsidRPr="00D518FF" w:rsidRDefault="008F3151">
            <w:pPr>
              <w:rPr>
                <w:rFonts w:ascii="Aptos" w:hAnsi="Aptos"/>
                <w:color w:val="000000"/>
                <w:sz w:val="16"/>
                <w:szCs w:val="16"/>
              </w:rPr>
            </w:pPr>
            <w:r w:rsidRPr="00D518FF">
              <w:rPr>
                <w:rFonts w:ascii="Aptos" w:hAnsi="Aptos"/>
                <w:color w:val="000000"/>
                <w:sz w:val="16"/>
                <w:szCs w:val="16"/>
              </w:rPr>
              <w:t>An integrative review of dietetic and naturopathic approaches to functional bowel disorders</w:t>
            </w:r>
          </w:p>
        </w:tc>
        <w:tc>
          <w:tcPr>
            <w:tcW w:w="1145" w:type="pct"/>
            <w:shd w:val="clear" w:color="auto" w:fill="auto"/>
            <w:noWrap/>
            <w:hideMark/>
          </w:tcPr>
          <w:p w14:paraId="27CE44AD" w14:textId="77777777" w:rsidR="008F3151" w:rsidRPr="00D518FF" w:rsidRDefault="008F3151">
            <w:pPr>
              <w:rPr>
                <w:rFonts w:ascii="Aptos" w:hAnsi="Aptos"/>
                <w:color w:val="000000"/>
                <w:sz w:val="16"/>
                <w:szCs w:val="16"/>
              </w:rPr>
            </w:pPr>
            <w:r w:rsidRPr="00D518FF">
              <w:rPr>
                <w:rFonts w:ascii="Aptos" w:hAnsi="Aptos"/>
                <w:color w:val="000000"/>
                <w:sz w:val="16"/>
                <w:szCs w:val="16"/>
              </w:rPr>
              <w:t>Grace, Sandra; Barnes, Larisa; Reilly, Wayne; Vlass, Ann; de Permentier, Patrick</w:t>
            </w:r>
          </w:p>
        </w:tc>
        <w:tc>
          <w:tcPr>
            <w:tcW w:w="199" w:type="pct"/>
            <w:shd w:val="clear" w:color="auto" w:fill="auto"/>
            <w:noWrap/>
            <w:hideMark/>
          </w:tcPr>
          <w:p w14:paraId="2F2D5706"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697" w:type="pct"/>
            <w:shd w:val="clear" w:color="auto" w:fill="auto"/>
            <w:noWrap/>
            <w:hideMark/>
          </w:tcPr>
          <w:p w14:paraId="7970412A" w14:textId="77777777" w:rsidR="008F3151" w:rsidRPr="00D518FF" w:rsidRDefault="008F3151">
            <w:pPr>
              <w:rPr>
                <w:rFonts w:ascii="Aptos" w:hAnsi="Aptos"/>
                <w:color w:val="000000"/>
                <w:sz w:val="16"/>
                <w:szCs w:val="16"/>
              </w:rPr>
            </w:pPr>
            <w:r w:rsidRPr="00D518FF">
              <w:rPr>
                <w:rFonts w:ascii="Aptos" w:hAnsi="Aptos"/>
                <w:color w:val="000000"/>
                <w:sz w:val="16"/>
                <w:szCs w:val="16"/>
              </w:rPr>
              <w:t>Complementary Therapies in Medicine</w:t>
            </w:r>
          </w:p>
        </w:tc>
        <w:tc>
          <w:tcPr>
            <w:tcW w:w="298" w:type="pct"/>
            <w:shd w:val="clear" w:color="auto" w:fill="auto"/>
            <w:noWrap/>
            <w:hideMark/>
          </w:tcPr>
          <w:p w14:paraId="6280ED1B" w14:textId="77777777" w:rsidR="008F3151" w:rsidRPr="00D518FF" w:rsidRDefault="008F3151">
            <w:pPr>
              <w:rPr>
                <w:rFonts w:ascii="Aptos" w:hAnsi="Aptos"/>
                <w:color w:val="000000"/>
                <w:sz w:val="16"/>
                <w:szCs w:val="16"/>
              </w:rPr>
            </w:pPr>
            <w:r w:rsidRPr="00D518FF">
              <w:rPr>
                <w:rFonts w:ascii="Aptos" w:hAnsi="Aptos"/>
                <w:color w:val="000000"/>
                <w:sz w:val="16"/>
                <w:szCs w:val="16"/>
              </w:rPr>
              <w:t>41</w:t>
            </w:r>
          </w:p>
        </w:tc>
        <w:tc>
          <w:tcPr>
            <w:tcW w:w="199" w:type="pct"/>
            <w:shd w:val="clear" w:color="auto" w:fill="auto"/>
            <w:noWrap/>
            <w:hideMark/>
          </w:tcPr>
          <w:p w14:paraId="07150099" w14:textId="50A2C22E" w:rsidR="008F3151" w:rsidRPr="00D518FF" w:rsidRDefault="00BE442E">
            <w:pPr>
              <w:rPr>
                <w:rFonts w:ascii="Aptos" w:hAnsi="Aptos"/>
                <w:color w:val="000000"/>
                <w:sz w:val="16"/>
                <w:szCs w:val="16"/>
              </w:rPr>
            </w:pPr>
            <w:r>
              <w:rPr>
                <w:rFonts w:ascii="Aptos" w:hAnsi="Aptos"/>
                <w:color w:val="000000"/>
                <w:sz w:val="16"/>
                <w:szCs w:val="16"/>
              </w:rPr>
              <w:t>-</w:t>
            </w:r>
          </w:p>
        </w:tc>
        <w:tc>
          <w:tcPr>
            <w:tcW w:w="249" w:type="pct"/>
            <w:shd w:val="clear" w:color="auto" w:fill="auto"/>
            <w:noWrap/>
            <w:hideMark/>
          </w:tcPr>
          <w:p w14:paraId="4BC4B49D" w14:textId="77777777" w:rsidR="008F3151" w:rsidRPr="00D518FF" w:rsidRDefault="008F3151">
            <w:pPr>
              <w:rPr>
                <w:rFonts w:ascii="Aptos" w:hAnsi="Aptos"/>
                <w:color w:val="000000"/>
                <w:sz w:val="16"/>
                <w:szCs w:val="16"/>
              </w:rPr>
            </w:pPr>
            <w:r w:rsidRPr="00D518FF">
              <w:rPr>
                <w:rFonts w:ascii="Aptos" w:hAnsi="Aptos"/>
                <w:color w:val="000000"/>
                <w:sz w:val="16"/>
                <w:szCs w:val="16"/>
              </w:rPr>
              <w:t>67-80</w:t>
            </w:r>
          </w:p>
        </w:tc>
        <w:tc>
          <w:tcPr>
            <w:tcW w:w="772" w:type="pct"/>
            <w:shd w:val="clear" w:color="auto" w:fill="auto"/>
            <w:noWrap/>
            <w:hideMark/>
          </w:tcPr>
          <w:p w14:paraId="5451CC5E"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design</w:t>
            </w:r>
          </w:p>
        </w:tc>
      </w:tr>
      <w:tr w:rsidR="009253C3" w:rsidRPr="00D518FF" w14:paraId="1A87C2AC" w14:textId="77777777" w:rsidTr="009253C3">
        <w:trPr>
          <w:trHeight w:val="320"/>
        </w:trPr>
        <w:tc>
          <w:tcPr>
            <w:tcW w:w="1441" w:type="pct"/>
            <w:shd w:val="clear" w:color="auto" w:fill="auto"/>
            <w:noWrap/>
          </w:tcPr>
          <w:p w14:paraId="276E2D01" w14:textId="6A13E199" w:rsidR="00D01127" w:rsidRPr="00D518FF" w:rsidRDefault="00D01127" w:rsidP="00D01127">
            <w:pPr>
              <w:rPr>
                <w:rFonts w:ascii="Aptos" w:hAnsi="Aptos"/>
                <w:color w:val="000000"/>
                <w:sz w:val="16"/>
                <w:szCs w:val="16"/>
              </w:rPr>
            </w:pPr>
            <w:r w:rsidRPr="00D518FF">
              <w:rPr>
                <w:rFonts w:ascii="Aptos" w:hAnsi="Aptos"/>
                <w:color w:val="000000"/>
                <w:sz w:val="16"/>
                <w:szCs w:val="16"/>
              </w:rPr>
              <w:t>Probiotics in Irritable Bowel Syndrome: An Up-to-Date Systematic Review</w:t>
            </w:r>
          </w:p>
        </w:tc>
        <w:tc>
          <w:tcPr>
            <w:tcW w:w="1145" w:type="pct"/>
            <w:shd w:val="clear" w:color="auto" w:fill="auto"/>
            <w:noWrap/>
          </w:tcPr>
          <w:p w14:paraId="48C1583A" w14:textId="17C29163" w:rsidR="00D01127" w:rsidRPr="00D518FF" w:rsidRDefault="00D01127" w:rsidP="00D01127">
            <w:pPr>
              <w:rPr>
                <w:rFonts w:ascii="Aptos" w:hAnsi="Aptos"/>
                <w:color w:val="000000"/>
                <w:sz w:val="16"/>
                <w:szCs w:val="16"/>
              </w:rPr>
            </w:pPr>
            <w:r w:rsidRPr="00D518FF">
              <w:rPr>
                <w:rFonts w:ascii="Aptos" w:hAnsi="Aptos"/>
                <w:color w:val="000000"/>
                <w:sz w:val="16"/>
                <w:szCs w:val="16"/>
              </w:rPr>
              <w:t>Dale, H. F.; Rasmussen, S. H.; Asiller, √ñ√ñ; Lied, G. A.</w:t>
            </w:r>
          </w:p>
        </w:tc>
        <w:tc>
          <w:tcPr>
            <w:tcW w:w="199" w:type="pct"/>
            <w:shd w:val="clear" w:color="auto" w:fill="auto"/>
            <w:noWrap/>
          </w:tcPr>
          <w:p w14:paraId="3C62933F" w14:textId="1E503E89" w:rsidR="00D01127" w:rsidRPr="00D518FF" w:rsidRDefault="00D01127" w:rsidP="00D01127">
            <w:pPr>
              <w:rPr>
                <w:rFonts w:ascii="Aptos" w:hAnsi="Aptos"/>
                <w:color w:val="000000"/>
                <w:sz w:val="16"/>
                <w:szCs w:val="16"/>
              </w:rPr>
            </w:pPr>
            <w:r w:rsidRPr="00D518FF">
              <w:rPr>
                <w:rFonts w:ascii="Aptos" w:hAnsi="Aptos"/>
                <w:color w:val="000000"/>
                <w:sz w:val="16"/>
                <w:szCs w:val="16"/>
              </w:rPr>
              <w:t>2019</w:t>
            </w:r>
          </w:p>
        </w:tc>
        <w:tc>
          <w:tcPr>
            <w:tcW w:w="697" w:type="pct"/>
            <w:shd w:val="clear" w:color="auto" w:fill="auto"/>
            <w:noWrap/>
          </w:tcPr>
          <w:p w14:paraId="2CB79A20" w14:textId="077BD0C2" w:rsidR="00D01127" w:rsidRPr="00D518FF" w:rsidRDefault="00D01127" w:rsidP="00D01127">
            <w:pPr>
              <w:rPr>
                <w:rFonts w:ascii="Aptos" w:hAnsi="Aptos"/>
                <w:color w:val="000000"/>
                <w:sz w:val="16"/>
                <w:szCs w:val="16"/>
              </w:rPr>
            </w:pPr>
            <w:r w:rsidRPr="00D518FF">
              <w:rPr>
                <w:rFonts w:ascii="Aptos" w:hAnsi="Aptos"/>
                <w:color w:val="000000"/>
                <w:sz w:val="16"/>
                <w:szCs w:val="16"/>
              </w:rPr>
              <w:t>Nutrients</w:t>
            </w:r>
          </w:p>
        </w:tc>
        <w:tc>
          <w:tcPr>
            <w:tcW w:w="298" w:type="pct"/>
            <w:shd w:val="clear" w:color="auto" w:fill="auto"/>
            <w:noWrap/>
          </w:tcPr>
          <w:p w14:paraId="1AA086FB" w14:textId="340464CA" w:rsidR="00D01127" w:rsidRPr="00D518FF" w:rsidRDefault="00D01127" w:rsidP="00D01127">
            <w:pPr>
              <w:rPr>
                <w:rFonts w:ascii="Aptos" w:hAnsi="Aptos"/>
                <w:color w:val="000000"/>
                <w:sz w:val="16"/>
                <w:szCs w:val="16"/>
              </w:rPr>
            </w:pPr>
            <w:r w:rsidRPr="00D518FF">
              <w:rPr>
                <w:rFonts w:ascii="Aptos" w:hAnsi="Aptos"/>
                <w:color w:val="000000"/>
                <w:sz w:val="16"/>
                <w:szCs w:val="16"/>
              </w:rPr>
              <w:t>11</w:t>
            </w:r>
          </w:p>
        </w:tc>
        <w:tc>
          <w:tcPr>
            <w:tcW w:w="199" w:type="pct"/>
            <w:shd w:val="clear" w:color="auto" w:fill="auto"/>
            <w:noWrap/>
          </w:tcPr>
          <w:p w14:paraId="1B671E5B" w14:textId="279B69B5" w:rsidR="00D01127" w:rsidRDefault="00D01127" w:rsidP="00D01127">
            <w:pPr>
              <w:rPr>
                <w:rFonts w:ascii="Aptos" w:hAnsi="Aptos"/>
                <w:color w:val="000000"/>
                <w:sz w:val="16"/>
                <w:szCs w:val="16"/>
              </w:rPr>
            </w:pPr>
            <w:r w:rsidRPr="00D518FF">
              <w:rPr>
                <w:rFonts w:ascii="Aptos" w:hAnsi="Aptos"/>
                <w:color w:val="000000"/>
                <w:sz w:val="16"/>
                <w:szCs w:val="16"/>
              </w:rPr>
              <w:t>9</w:t>
            </w:r>
          </w:p>
        </w:tc>
        <w:tc>
          <w:tcPr>
            <w:tcW w:w="249" w:type="pct"/>
            <w:shd w:val="clear" w:color="auto" w:fill="auto"/>
            <w:noWrap/>
          </w:tcPr>
          <w:p w14:paraId="5E04545C" w14:textId="103313CE" w:rsidR="00D01127" w:rsidRPr="00D518FF" w:rsidRDefault="00D01127" w:rsidP="00D01127">
            <w:pPr>
              <w:rPr>
                <w:rFonts w:ascii="Aptos" w:hAnsi="Aptos"/>
                <w:color w:val="000000"/>
                <w:sz w:val="16"/>
                <w:szCs w:val="16"/>
              </w:rPr>
            </w:pPr>
            <w:r>
              <w:rPr>
                <w:rFonts w:ascii="Aptos" w:hAnsi="Aptos"/>
                <w:color w:val="000000"/>
                <w:sz w:val="16"/>
                <w:szCs w:val="16"/>
              </w:rPr>
              <w:t>2048</w:t>
            </w:r>
          </w:p>
        </w:tc>
        <w:tc>
          <w:tcPr>
            <w:tcW w:w="772" w:type="pct"/>
            <w:shd w:val="clear" w:color="auto" w:fill="auto"/>
            <w:noWrap/>
          </w:tcPr>
          <w:p w14:paraId="67253C50" w14:textId="128B9184" w:rsidR="00D01127" w:rsidRPr="00D518FF" w:rsidRDefault="00D01127" w:rsidP="00D01127">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bl>
    <w:p w14:paraId="3F02DDD1" w14:textId="77777777" w:rsidR="008F3151" w:rsidRPr="00D518FF" w:rsidRDefault="008F3151" w:rsidP="008F3151">
      <w:pPr>
        <w:pStyle w:val="2024TABLECAPTION"/>
        <w:spacing w:before="120"/>
        <w:rPr>
          <w:rFonts w:ascii="Aptos" w:hAnsi="Aptos"/>
        </w:rPr>
      </w:pPr>
    </w:p>
    <w:p w14:paraId="4DF105BA" w14:textId="1AAABF7A" w:rsidR="00F70901" w:rsidRPr="004C6AA1" w:rsidRDefault="00F70901" w:rsidP="004C6AA1">
      <w:pPr>
        <w:pStyle w:val="Caption"/>
        <w:spacing w:before="240"/>
        <w:rPr>
          <w:rFonts w:ascii="Aptos" w:hAnsi="Aptos"/>
        </w:rPr>
      </w:pPr>
      <w:bookmarkStart w:id="116" w:name="_Toc185254531"/>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4</w:t>
      </w:r>
      <w:r w:rsidR="00DC4767" w:rsidRPr="004C6AA1">
        <w:rPr>
          <w:rFonts w:ascii="Aptos" w:hAnsi="Aptos"/>
        </w:rPr>
        <w:fldChar w:fldCharType="end"/>
      </w:r>
      <w:r w:rsidRPr="004C6AA1">
        <w:rPr>
          <w:rFonts w:ascii="Aptos" w:hAnsi="Aptos"/>
        </w:rPr>
        <w:t>. Excluded reviews, reason for exclusion – insomnia/sleeping disorders, magnesium.</w:t>
      </w:r>
      <w:bookmarkEnd w:id="116"/>
    </w:p>
    <w:tbl>
      <w:tblPr>
        <w:tblW w:w="14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246"/>
        <w:gridCol w:w="3542"/>
        <w:gridCol w:w="567"/>
        <w:gridCol w:w="1705"/>
        <w:gridCol w:w="784"/>
        <w:gridCol w:w="491"/>
        <w:gridCol w:w="851"/>
        <w:gridCol w:w="2059"/>
      </w:tblGrid>
      <w:tr w:rsidR="008F3151" w:rsidRPr="00D518FF" w14:paraId="006B2FF3" w14:textId="77777777" w:rsidTr="004C6AA1">
        <w:trPr>
          <w:trHeight w:val="35"/>
        </w:trPr>
        <w:tc>
          <w:tcPr>
            <w:tcW w:w="4246" w:type="dxa"/>
            <w:shd w:val="clear" w:color="auto" w:fill="D9D9D9" w:themeFill="background1" w:themeFillShade="D9"/>
            <w:noWrap/>
            <w:hideMark/>
          </w:tcPr>
          <w:p w14:paraId="00204A7A"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Title</w:t>
            </w:r>
          </w:p>
        </w:tc>
        <w:tc>
          <w:tcPr>
            <w:tcW w:w="3542" w:type="dxa"/>
            <w:shd w:val="clear" w:color="auto" w:fill="D9D9D9" w:themeFill="background1" w:themeFillShade="D9"/>
            <w:noWrap/>
            <w:hideMark/>
          </w:tcPr>
          <w:p w14:paraId="71D5DB19"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Authors</w:t>
            </w:r>
          </w:p>
        </w:tc>
        <w:tc>
          <w:tcPr>
            <w:tcW w:w="567" w:type="dxa"/>
            <w:shd w:val="clear" w:color="auto" w:fill="D9D9D9" w:themeFill="background1" w:themeFillShade="D9"/>
            <w:noWrap/>
            <w:hideMark/>
          </w:tcPr>
          <w:p w14:paraId="34433170"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Year</w:t>
            </w:r>
          </w:p>
        </w:tc>
        <w:tc>
          <w:tcPr>
            <w:tcW w:w="1705" w:type="dxa"/>
            <w:shd w:val="clear" w:color="auto" w:fill="D9D9D9" w:themeFill="background1" w:themeFillShade="D9"/>
            <w:noWrap/>
            <w:hideMark/>
          </w:tcPr>
          <w:p w14:paraId="10CC785F"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Journal</w:t>
            </w:r>
          </w:p>
        </w:tc>
        <w:tc>
          <w:tcPr>
            <w:tcW w:w="784" w:type="dxa"/>
            <w:shd w:val="clear" w:color="auto" w:fill="D9D9D9" w:themeFill="background1" w:themeFillShade="D9"/>
            <w:noWrap/>
            <w:hideMark/>
          </w:tcPr>
          <w:p w14:paraId="0F329075"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Volume</w:t>
            </w:r>
          </w:p>
        </w:tc>
        <w:tc>
          <w:tcPr>
            <w:tcW w:w="491" w:type="dxa"/>
            <w:shd w:val="clear" w:color="auto" w:fill="D9D9D9" w:themeFill="background1" w:themeFillShade="D9"/>
            <w:noWrap/>
            <w:hideMark/>
          </w:tcPr>
          <w:p w14:paraId="21DC97F8"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Issue</w:t>
            </w:r>
          </w:p>
        </w:tc>
        <w:tc>
          <w:tcPr>
            <w:tcW w:w="851" w:type="dxa"/>
            <w:shd w:val="clear" w:color="auto" w:fill="D9D9D9" w:themeFill="background1" w:themeFillShade="D9"/>
            <w:noWrap/>
            <w:hideMark/>
          </w:tcPr>
          <w:p w14:paraId="26BED92A"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Pages</w:t>
            </w:r>
          </w:p>
        </w:tc>
        <w:tc>
          <w:tcPr>
            <w:tcW w:w="2059" w:type="dxa"/>
            <w:shd w:val="clear" w:color="auto" w:fill="D9D9D9" w:themeFill="background1" w:themeFillShade="D9"/>
            <w:noWrap/>
            <w:hideMark/>
          </w:tcPr>
          <w:p w14:paraId="029DF275" w14:textId="694D8B93" w:rsidR="008F3151" w:rsidRPr="00D518FF" w:rsidRDefault="004C6AA1">
            <w:pPr>
              <w:rPr>
                <w:rFonts w:ascii="Aptos" w:hAnsi="Aptos"/>
                <w:b/>
                <w:bCs/>
                <w:color w:val="000000"/>
                <w:sz w:val="16"/>
                <w:szCs w:val="16"/>
              </w:rPr>
            </w:pPr>
            <w:r w:rsidRPr="00D518FF">
              <w:rPr>
                <w:rFonts w:ascii="Aptos" w:hAnsi="Aptos" w:cs="Arial"/>
                <w:b/>
                <w:bCs/>
                <w:sz w:val="16"/>
                <w:szCs w:val="16"/>
              </w:rPr>
              <w:t>Exclusion reason</w:t>
            </w:r>
          </w:p>
        </w:tc>
      </w:tr>
      <w:tr w:rsidR="008F3151" w:rsidRPr="00D518FF" w14:paraId="7F52D8A3" w14:textId="77777777" w:rsidTr="004C6AA1">
        <w:trPr>
          <w:trHeight w:val="320"/>
        </w:trPr>
        <w:tc>
          <w:tcPr>
            <w:tcW w:w="4246" w:type="dxa"/>
            <w:shd w:val="clear" w:color="auto" w:fill="auto"/>
            <w:noWrap/>
            <w:hideMark/>
          </w:tcPr>
          <w:p w14:paraId="2B1B2EA9" w14:textId="77777777" w:rsidR="008F3151" w:rsidRPr="00D518FF" w:rsidRDefault="008F3151">
            <w:pPr>
              <w:rPr>
                <w:rFonts w:ascii="Aptos" w:hAnsi="Aptos"/>
                <w:color w:val="000000"/>
                <w:sz w:val="16"/>
                <w:szCs w:val="16"/>
              </w:rPr>
            </w:pPr>
            <w:r w:rsidRPr="00D518FF">
              <w:rPr>
                <w:rFonts w:ascii="Aptos" w:hAnsi="Aptos"/>
                <w:color w:val="000000"/>
                <w:sz w:val="16"/>
                <w:szCs w:val="16"/>
              </w:rPr>
              <w:t>Pharmacological treatment of insomnia in alcohol recovery: A systematic review</w:t>
            </w:r>
          </w:p>
        </w:tc>
        <w:tc>
          <w:tcPr>
            <w:tcW w:w="3542" w:type="dxa"/>
            <w:shd w:val="clear" w:color="auto" w:fill="auto"/>
            <w:noWrap/>
            <w:hideMark/>
          </w:tcPr>
          <w:p w14:paraId="4CD9C867" w14:textId="77777777" w:rsidR="008F3151" w:rsidRPr="00D518FF" w:rsidRDefault="008F3151">
            <w:pPr>
              <w:rPr>
                <w:rFonts w:ascii="Aptos" w:hAnsi="Aptos"/>
                <w:color w:val="000000"/>
                <w:sz w:val="16"/>
                <w:szCs w:val="16"/>
              </w:rPr>
            </w:pPr>
            <w:r w:rsidRPr="00D518FF">
              <w:rPr>
                <w:rFonts w:ascii="Aptos" w:hAnsi="Aptos"/>
                <w:color w:val="000000"/>
                <w:sz w:val="16"/>
                <w:szCs w:val="16"/>
              </w:rPr>
              <w:t>Kolla, B. P.; Mansukhani, M. P.; Schneekloth, T.</w:t>
            </w:r>
          </w:p>
        </w:tc>
        <w:tc>
          <w:tcPr>
            <w:tcW w:w="567" w:type="dxa"/>
            <w:shd w:val="clear" w:color="auto" w:fill="auto"/>
            <w:noWrap/>
            <w:hideMark/>
          </w:tcPr>
          <w:p w14:paraId="59E9FB42"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705" w:type="dxa"/>
            <w:shd w:val="clear" w:color="auto" w:fill="auto"/>
            <w:noWrap/>
            <w:hideMark/>
          </w:tcPr>
          <w:p w14:paraId="0059016D" w14:textId="77777777" w:rsidR="008F3151" w:rsidRPr="00D518FF" w:rsidRDefault="008F3151">
            <w:pPr>
              <w:rPr>
                <w:rFonts w:ascii="Aptos" w:hAnsi="Aptos"/>
                <w:color w:val="000000"/>
                <w:sz w:val="16"/>
                <w:szCs w:val="16"/>
              </w:rPr>
            </w:pPr>
            <w:r w:rsidRPr="00D518FF">
              <w:rPr>
                <w:rFonts w:ascii="Aptos" w:hAnsi="Aptos"/>
                <w:color w:val="000000"/>
                <w:sz w:val="16"/>
                <w:szCs w:val="16"/>
              </w:rPr>
              <w:t>Alcohol and Alcoholism</w:t>
            </w:r>
          </w:p>
        </w:tc>
        <w:tc>
          <w:tcPr>
            <w:tcW w:w="784" w:type="dxa"/>
            <w:shd w:val="clear" w:color="auto" w:fill="auto"/>
            <w:noWrap/>
            <w:hideMark/>
          </w:tcPr>
          <w:p w14:paraId="71985C08" w14:textId="77777777" w:rsidR="008F3151" w:rsidRPr="00D518FF" w:rsidRDefault="008F3151">
            <w:pPr>
              <w:rPr>
                <w:rFonts w:ascii="Aptos" w:hAnsi="Aptos"/>
                <w:color w:val="000000"/>
                <w:sz w:val="16"/>
                <w:szCs w:val="16"/>
              </w:rPr>
            </w:pPr>
            <w:r w:rsidRPr="00D518FF">
              <w:rPr>
                <w:rFonts w:ascii="Aptos" w:hAnsi="Aptos"/>
                <w:color w:val="000000"/>
                <w:sz w:val="16"/>
                <w:szCs w:val="16"/>
              </w:rPr>
              <w:t>46</w:t>
            </w:r>
          </w:p>
        </w:tc>
        <w:tc>
          <w:tcPr>
            <w:tcW w:w="491" w:type="dxa"/>
            <w:shd w:val="clear" w:color="auto" w:fill="auto"/>
            <w:noWrap/>
            <w:hideMark/>
          </w:tcPr>
          <w:p w14:paraId="7D0F89E7"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851" w:type="dxa"/>
            <w:shd w:val="clear" w:color="auto" w:fill="auto"/>
            <w:noWrap/>
            <w:hideMark/>
          </w:tcPr>
          <w:p w14:paraId="582A59D4" w14:textId="77777777" w:rsidR="008F3151" w:rsidRPr="00D518FF" w:rsidRDefault="008F3151">
            <w:pPr>
              <w:rPr>
                <w:rFonts w:ascii="Aptos" w:hAnsi="Aptos"/>
                <w:color w:val="000000"/>
                <w:sz w:val="16"/>
                <w:szCs w:val="16"/>
              </w:rPr>
            </w:pPr>
            <w:r w:rsidRPr="00D518FF">
              <w:rPr>
                <w:rFonts w:ascii="Aptos" w:hAnsi="Aptos"/>
                <w:color w:val="000000"/>
                <w:sz w:val="16"/>
                <w:szCs w:val="16"/>
              </w:rPr>
              <w:t>578-585</w:t>
            </w:r>
          </w:p>
        </w:tc>
        <w:tc>
          <w:tcPr>
            <w:tcW w:w="2059" w:type="dxa"/>
            <w:shd w:val="clear" w:color="auto" w:fill="auto"/>
            <w:noWrap/>
            <w:hideMark/>
          </w:tcPr>
          <w:p w14:paraId="6BC4FE0B"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2A02B1C2" w14:textId="77777777" w:rsidTr="004C6AA1">
        <w:trPr>
          <w:trHeight w:val="320"/>
        </w:trPr>
        <w:tc>
          <w:tcPr>
            <w:tcW w:w="4246" w:type="dxa"/>
            <w:shd w:val="clear" w:color="auto" w:fill="auto"/>
            <w:noWrap/>
            <w:hideMark/>
          </w:tcPr>
          <w:p w14:paraId="284DF41B"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Nutritional and herbal supplements for anxiety and anxiety-related disorders: Systematic review</w:t>
            </w:r>
          </w:p>
        </w:tc>
        <w:tc>
          <w:tcPr>
            <w:tcW w:w="3542" w:type="dxa"/>
            <w:shd w:val="clear" w:color="auto" w:fill="auto"/>
            <w:noWrap/>
            <w:hideMark/>
          </w:tcPr>
          <w:p w14:paraId="519A7245" w14:textId="77777777" w:rsidR="008F3151" w:rsidRPr="00D518FF" w:rsidRDefault="008F3151">
            <w:pPr>
              <w:rPr>
                <w:rFonts w:ascii="Aptos" w:hAnsi="Aptos"/>
                <w:color w:val="000000"/>
                <w:sz w:val="16"/>
                <w:szCs w:val="16"/>
              </w:rPr>
            </w:pPr>
            <w:r w:rsidRPr="00D518FF">
              <w:rPr>
                <w:rFonts w:ascii="Aptos" w:hAnsi="Aptos"/>
                <w:color w:val="000000"/>
                <w:sz w:val="16"/>
                <w:szCs w:val="16"/>
              </w:rPr>
              <w:t>Lakhan, S. E.; Vieira, K. F.</w:t>
            </w:r>
          </w:p>
        </w:tc>
        <w:tc>
          <w:tcPr>
            <w:tcW w:w="567" w:type="dxa"/>
            <w:shd w:val="clear" w:color="auto" w:fill="auto"/>
            <w:noWrap/>
            <w:hideMark/>
          </w:tcPr>
          <w:p w14:paraId="2D1E9F54"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705" w:type="dxa"/>
            <w:shd w:val="clear" w:color="auto" w:fill="auto"/>
            <w:noWrap/>
            <w:hideMark/>
          </w:tcPr>
          <w:p w14:paraId="0AD32054"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 journal</w:t>
            </w:r>
          </w:p>
        </w:tc>
        <w:tc>
          <w:tcPr>
            <w:tcW w:w="784" w:type="dxa"/>
            <w:shd w:val="clear" w:color="auto" w:fill="auto"/>
            <w:noWrap/>
            <w:hideMark/>
          </w:tcPr>
          <w:p w14:paraId="608BDC94"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491" w:type="dxa"/>
            <w:shd w:val="clear" w:color="auto" w:fill="auto"/>
            <w:noWrap/>
            <w:hideMark/>
          </w:tcPr>
          <w:p w14:paraId="7099FE18"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851" w:type="dxa"/>
            <w:shd w:val="clear" w:color="auto" w:fill="auto"/>
            <w:noWrap/>
            <w:hideMark/>
          </w:tcPr>
          <w:p w14:paraId="5EB5C0E0" w14:textId="77777777" w:rsidR="008F3151" w:rsidRPr="00D518FF" w:rsidRDefault="008F3151">
            <w:pPr>
              <w:rPr>
                <w:rFonts w:ascii="Aptos" w:hAnsi="Aptos"/>
                <w:color w:val="000000"/>
                <w:sz w:val="16"/>
                <w:szCs w:val="16"/>
              </w:rPr>
            </w:pPr>
            <w:r w:rsidRPr="00D518FF">
              <w:rPr>
                <w:rFonts w:ascii="Aptos" w:hAnsi="Aptos"/>
                <w:color w:val="000000"/>
                <w:sz w:val="16"/>
                <w:szCs w:val="16"/>
              </w:rPr>
              <w:t>42</w:t>
            </w:r>
          </w:p>
        </w:tc>
        <w:tc>
          <w:tcPr>
            <w:tcW w:w="2059" w:type="dxa"/>
            <w:shd w:val="clear" w:color="auto" w:fill="auto"/>
            <w:noWrap/>
            <w:hideMark/>
          </w:tcPr>
          <w:p w14:paraId="7DB5296A"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patient population </w:t>
            </w:r>
          </w:p>
        </w:tc>
      </w:tr>
      <w:tr w:rsidR="008F3151" w:rsidRPr="00D518FF" w14:paraId="3E1580A0" w14:textId="77777777" w:rsidTr="004C6AA1">
        <w:trPr>
          <w:trHeight w:val="320"/>
        </w:trPr>
        <w:tc>
          <w:tcPr>
            <w:tcW w:w="4246" w:type="dxa"/>
            <w:shd w:val="clear" w:color="auto" w:fill="auto"/>
            <w:noWrap/>
            <w:hideMark/>
          </w:tcPr>
          <w:p w14:paraId="446A28D5" w14:textId="77777777" w:rsidR="008F3151" w:rsidRPr="00D518FF" w:rsidRDefault="008F3151">
            <w:pPr>
              <w:rPr>
                <w:rFonts w:ascii="Aptos" w:hAnsi="Aptos"/>
                <w:color w:val="000000"/>
                <w:sz w:val="16"/>
                <w:szCs w:val="16"/>
              </w:rPr>
            </w:pPr>
            <w:r w:rsidRPr="00D518FF">
              <w:rPr>
                <w:rFonts w:ascii="Aptos" w:hAnsi="Aptos"/>
                <w:color w:val="000000"/>
                <w:sz w:val="16"/>
                <w:szCs w:val="16"/>
              </w:rPr>
              <w:t>Magnesium supplementation for the treatment of restless legs syndrome and periodic limb movement disorder: A systematic review</w:t>
            </w:r>
          </w:p>
        </w:tc>
        <w:tc>
          <w:tcPr>
            <w:tcW w:w="3542" w:type="dxa"/>
            <w:shd w:val="clear" w:color="auto" w:fill="auto"/>
            <w:noWrap/>
            <w:hideMark/>
          </w:tcPr>
          <w:p w14:paraId="37AD468D" w14:textId="77777777" w:rsidR="008F3151" w:rsidRPr="00D518FF" w:rsidRDefault="008F3151">
            <w:pPr>
              <w:rPr>
                <w:rFonts w:ascii="Aptos" w:hAnsi="Aptos"/>
                <w:color w:val="000000"/>
                <w:sz w:val="16"/>
                <w:szCs w:val="16"/>
              </w:rPr>
            </w:pPr>
            <w:r w:rsidRPr="00D518FF">
              <w:rPr>
                <w:rFonts w:ascii="Aptos" w:hAnsi="Aptos"/>
                <w:color w:val="000000"/>
                <w:sz w:val="16"/>
                <w:szCs w:val="16"/>
              </w:rPr>
              <w:t>Marshall, N. S.; Serinel, Y.; Killick, R.; Child, J. M.; Raisin, I.; Berry, C. M.; Lallukka, T.; Wassing, R.; Lee, R. W.; Ratnavadivel, R.; Vedam, H.; Grunstein, R.; Wong, K. K.; Hoyos, C. M.; Cayanan, E. A.; Comas, M.; Chapman, J. L.; Yee, B. J.</w:t>
            </w:r>
          </w:p>
        </w:tc>
        <w:tc>
          <w:tcPr>
            <w:tcW w:w="567" w:type="dxa"/>
            <w:shd w:val="clear" w:color="auto" w:fill="auto"/>
            <w:noWrap/>
            <w:hideMark/>
          </w:tcPr>
          <w:p w14:paraId="0D785A87"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1705" w:type="dxa"/>
            <w:shd w:val="clear" w:color="auto" w:fill="auto"/>
            <w:noWrap/>
            <w:hideMark/>
          </w:tcPr>
          <w:p w14:paraId="5D35B592" w14:textId="77777777" w:rsidR="008F3151" w:rsidRPr="00D518FF" w:rsidRDefault="008F3151">
            <w:pPr>
              <w:rPr>
                <w:rFonts w:ascii="Aptos" w:hAnsi="Aptos"/>
                <w:color w:val="000000"/>
                <w:sz w:val="16"/>
                <w:szCs w:val="16"/>
              </w:rPr>
            </w:pPr>
            <w:r w:rsidRPr="00D518FF">
              <w:rPr>
                <w:rFonts w:ascii="Aptos" w:hAnsi="Aptos"/>
                <w:color w:val="000000"/>
                <w:sz w:val="16"/>
                <w:szCs w:val="16"/>
              </w:rPr>
              <w:t>Sleep medicine reviews</w:t>
            </w:r>
          </w:p>
        </w:tc>
        <w:tc>
          <w:tcPr>
            <w:tcW w:w="784" w:type="dxa"/>
            <w:shd w:val="clear" w:color="auto" w:fill="auto"/>
            <w:noWrap/>
            <w:hideMark/>
          </w:tcPr>
          <w:p w14:paraId="70839BA5" w14:textId="77777777" w:rsidR="008F3151" w:rsidRPr="00D518FF" w:rsidRDefault="008F3151">
            <w:pPr>
              <w:rPr>
                <w:rFonts w:ascii="Aptos" w:hAnsi="Aptos"/>
                <w:color w:val="000000"/>
                <w:sz w:val="16"/>
                <w:szCs w:val="16"/>
              </w:rPr>
            </w:pPr>
            <w:r w:rsidRPr="00D518FF">
              <w:rPr>
                <w:rFonts w:ascii="Aptos" w:hAnsi="Aptos"/>
                <w:color w:val="000000"/>
                <w:sz w:val="16"/>
                <w:szCs w:val="16"/>
              </w:rPr>
              <w:t>48</w:t>
            </w:r>
          </w:p>
        </w:tc>
        <w:tc>
          <w:tcPr>
            <w:tcW w:w="491" w:type="dxa"/>
            <w:shd w:val="clear" w:color="auto" w:fill="auto"/>
            <w:noWrap/>
            <w:hideMark/>
          </w:tcPr>
          <w:p w14:paraId="03F70194" w14:textId="59C5C3C0" w:rsidR="008F3151" w:rsidRPr="00D518FF" w:rsidRDefault="00C12F0F">
            <w:pPr>
              <w:rPr>
                <w:rFonts w:ascii="Aptos" w:hAnsi="Aptos"/>
                <w:color w:val="000000"/>
                <w:sz w:val="16"/>
                <w:szCs w:val="16"/>
              </w:rPr>
            </w:pPr>
            <w:r>
              <w:rPr>
                <w:rFonts w:ascii="Aptos" w:hAnsi="Aptos"/>
                <w:color w:val="000000"/>
                <w:sz w:val="16"/>
                <w:szCs w:val="16"/>
              </w:rPr>
              <w:t>-</w:t>
            </w:r>
          </w:p>
        </w:tc>
        <w:tc>
          <w:tcPr>
            <w:tcW w:w="851" w:type="dxa"/>
            <w:shd w:val="clear" w:color="auto" w:fill="auto"/>
            <w:noWrap/>
            <w:hideMark/>
          </w:tcPr>
          <w:p w14:paraId="36044F53" w14:textId="77777777" w:rsidR="008F3151" w:rsidRPr="00D518FF" w:rsidRDefault="008F3151">
            <w:pPr>
              <w:rPr>
                <w:rFonts w:ascii="Aptos" w:hAnsi="Aptos"/>
                <w:color w:val="000000"/>
                <w:sz w:val="16"/>
                <w:szCs w:val="16"/>
              </w:rPr>
            </w:pPr>
            <w:r w:rsidRPr="00D518FF">
              <w:rPr>
                <w:rFonts w:ascii="Aptos" w:hAnsi="Aptos"/>
                <w:color w:val="000000"/>
                <w:sz w:val="16"/>
                <w:szCs w:val="16"/>
              </w:rPr>
              <w:t>101218</w:t>
            </w:r>
          </w:p>
        </w:tc>
        <w:tc>
          <w:tcPr>
            <w:tcW w:w="2059" w:type="dxa"/>
            <w:shd w:val="clear" w:color="auto" w:fill="auto"/>
            <w:noWrap/>
            <w:hideMark/>
          </w:tcPr>
          <w:p w14:paraId="5E6404B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8F3151" w:rsidRPr="00D518FF" w14:paraId="798A6289" w14:textId="77777777" w:rsidTr="004C6AA1">
        <w:trPr>
          <w:trHeight w:val="320"/>
        </w:trPr>
        <w:tc>
          <w:tcPr>
            <w:tcW w:w="4246" w:type="dxa"/>
            <w:shd w:val="clear" w:color="auto" w:fill="auto"/>
            <w:noWrap/>
            <w:hideMark/>
          </w:tcPr>
          <w:p w14:paraId="59F4510A" w14:textId="77777777" w:rsidR="008F3151" w:rsidRPr="00D518FF" w:rsidRDefault="008F3151">
            <w:pPr>
              <w:rPr>
                <w:rFonts w:ascii="Aptos" w:hAnsi="Aptos"/>
                <w:color w:val="000000"/>
                <w:sz w:val="16"/>
                <w:szCs w:val="16"/>
              </w:rPr>
            </w:pPr>
            <w:r w:rsidRPr="00D518FF">
              <w:rPr>
                <w:rFonts w:ascii="Aptos" w:hAnsi="Aptos"/>
                <w:color w:val="000000"/>
                <w:sz w:val="16"/>
                <w:szCs w:val="16"/>
              </w:rPr>
              <w:t>Serum Magnesium Levels in Patients with Obstructive Sleep Apnoea: A Systematic Review and Meta-Analysis</w:t>
            </w:r>
          </w:p>
        </w:tc>
        <w:tc>
          <w:tcPr>
            <w:tcW w:w="3542" w:type="dxa"/>
            <w:shd w:val="clear" w:color="auto" w:fill="auto"/>
            <w:noWrap/>
            <w:hideMark/>
          </w:tcPr>
          <w:p w14:paraId="0CD5E173" w14:textId="77777777" w:rsidR="008F3151" w:rsidRPr="00D518FF" w:rsidRDefault="008F3151">
            <w:pPr>
              <w:rPr>
                <w:rFonts w:ascii="Aptos" w:hAnsi="Aptos"/>
                <w:color w:val="000000"/>
                <w:sz w:val="16"/>
                <w:szCs w:val="16"/>
              </w:rPr>
            </w:pPr>
            <w:r w:rsidRPr="00D518FF">
              <w:rPr>
                <w:rFonts w:ascii="Aptos" w:hAnsi="Aptos"/>
                <w:color w:val="000000"/>
                <w:sz w:val="16"/>
                <w:szCs w:val="16"/>
              </w:rPr>
              <w:t>Al Wadee, Z.; Ooi, S. L.; Pak, S. C.</w:t>
            </w:r>
          </w:p>
        </w:tc>
        <w:tc>
          <w:tcPr>
            <w:tcW w:w="567" w:type="dxa"/>
            <w:shd w:val="clear" w:color="auto" w:fill="auto"/>
            <w:noWrap/>
            <w:hideMark/>
          </w:tcPr>
          <w:p w14:paraId="0436B313"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1705" w:type="dxa"/>
            <w:shd w:val="clear" w:color="auto" w:fill="auto"/>
            <w:noWrap/>
            <w:hideMark/>
          </w:tcPr>
          <w:p w14:paraId="41809F84" w14:textId="77777777" w:rsidR="008F3151" w:rsidRPr="00D518FF" w:rsidRDefault="008F3151">
            <w:pPr>
              <w:rPr>
                <w:rFonts w:ascii="Aptos" w:hAnsi="Aptos"/>
                <w:color w:val="000000"/>
                <w:sz w:val="16"/>
                <w:szCs w:val="16"/>
              </w:rPr>
            </w:pPr>
            <w:r w:rsidRPr="00D518FF">
              <w:rPr>
                <w:rFonts w:ascii="Aptos" w:hAnsi="Aptos"/>
                <w:color w:val="000000"/>
                <w:sz w:val="16"/>
                <w:szCs w:val="16"/>
              </w:rPr>
              <w:t>Biomedicines</w:t>
            </w:r>
          </w:p>
        </w:tc>
        <w:tc>
          <w:tcPr>
            <w:tcW w:w="784" w:type="dxa"/>
            <w:shd w:val="clear" w:color="auto" w:fill="auto"/>
            <w:noWrap/>
            <w:hideMark/>
          </w:tcPr>
          <w:p w14:paraId="7E746CF5" w14:textId="77777777" w:rsidR="008F3151" w:rsidRPr="00D518FF" w:rsidRDefault="008F3151">
            <w:pPr>
              <w:rPr>
                <w:rFonts w:ascii="Aptos" w:hAnsi="Aptos"/>
                <w:color w:val="000000"/>
                <w:sz w:val="16"/>
                <w:szCs w:val="16"/>
              </w:rPr>
            </w:pPr>
            <w:r w:rsidRPr="00D518FF">
              <w:rPr>
                <w:rFonts w:ascii="Aptos" w:hAnsi="Aptos"/>
                <w:color w:val="000000"/>
                <w:sz w:val="16"/>
                <w:szCs w:val="16"/>
              </w:rPr>
              <w:t>10</w:t>
            </w:r>
          </w:p>
        </w:tc>
        <w:tc>
          <w:tcPr>
            <w:tcW w:w="491" w:type="dxa"/>
            <w:shd w:val="clear" w:color="auto" w:fill="auto"/>
            <w:noWrap/>
            <w:hideMark/>
          </w:tcPr>
          <w:p w14:paraId="5384E352"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851" w:type="dxa"/>
            <w:shd w:val="clear" w:color="auto" w:fill="auto"/>
            <w:noWrap/>
            <w:hideMark/>
          </w:tcPr>
          <w:p w14:paraId="2C11A56B" w14:textId="1D689439" w:rsidR="008F3151" w:rsidRPr="00D518FF" w:rsidRDefault="00C12F0F">
            <w:pPr>
              <w:rPr>
                <w:rFonts w:ascii="Aptos" w:hAnsi="Aptos"/>
                <w:color w:val="000000"/>
                <w:sz w:val="16"/>
                <w:szCs w:val="16"/>
              </w:rPr>
            </w:pPr>
            <w:r>
              <w:rPr>
                <w:rFonts w:ascii="Aptos" w:hAnsi="Aptos"/>
                <w:color w:val="000000"/>
                <w:sz w:val="16"/>
                <w:szCs w:val="16"/>
              </w:rPr>
              <w:t>2273</w:t>
            </w:r>
          </w:p>
        </w:tc>
        <w:tc>
          <w:tcPr>
            <w:tcW w:w="2059" w:type="dxa"/>
            <w:shd w:val="clear" w:color="auto" w:fill="auto"/>
            <w:noWrap/>
            <w:hideMark/>
          </w:tcPr>
          <w:p w14:paraId="3C03D18A"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Wrong intervention </w:t>
            </w:r>
          </w:p>
        </w:tc>
      </w:tr>
      <w:tr w:rsidR="00C12F0F" w:rsidRPr="00D518FF" w14:paraId="48D471BF" w14:textId="77777777" w:rsidTr="004C6AA1">
        <w:trPr>
          <w:trHeight w:val="320"/>
        </w:trPr>
        <w:tc>
          <w:tcPr>
            <w:tcW w:w="4246" w:type="dxa"/>
            <w:shd w:val="clear" w:color="auto" w:fill="auto"/>
            <w:noWrap/>
            <w:hideMark/>
          </w:tcPr>
          <w:p w14:paraId="4CF325F1" w14:textId="77777777" w:rsidR="00C12F0F" w:rsidRPr="00D518FF" w:rsidRDefault="00C12F0F">
            <w:pPr>
              <w:rPr>
                <w:rFonts w:ascii="Aptos" w:hAnsi="Aptos"/>
                <w:color w:val="000000"/>
                <w:sz w:val="16"/>
                <w:szCs w:val="16"/>
              </w:rPr>
            </w:pPr>
            <w:r w:rsidRPr="00D518FF">
              <w:rPr>
                <w:rFonts w:ascii="Aptos" w:hAnsi="Aptos"/>
                <w:color w:val="000000"/>
                <w:sz w:val="16"/>
                <w:szCs w:val="16"/>
              </w:rPr>
              <w:t>The Role of Magnesium in Sleep Health: a Systematic Review of Available Literature</w:t>
            </w:r>
          </w:p>
        </w:tc>
        <w:tc>
          <w:tcPr>
            <w:tcW w:w="3542" w:type="dxa"/>
            <w:shd w:val="clear" w:color="auto" w:fill="auto"/>
            <w:noWrap/>
            <w:hideMark/>
          </w:tcPr>
          <w:p w14:paraId="27037847" w14:textId="77777777" w:rsidR="00C12F0F" w:rsidRPr="00D518FF" w:rsidRDefault="00C12F0F">
            <w:pPr>
              <w:rPr>
                <w:rFonts w:ascii="Aptos" w:hAnsi="Aptos"/>
                <w:color w:val="000000"/>
                <w:sz w:val="16"/>
                <w:szCs w:val="16"/>
              </w:rPr>
            </w:pPr>
            <w:r w:rsidRPr="00D518FF">
              <w:rPr>
                <w:rFonts w:ascii="Aptos" w:hAnsi="Aptos"/>
                <w:color w:val="000000"/>
                <w:sz w:val="16"/>
                <w:szCs w:val="16"/>
              </w:rPr>
              <w:t>Arab, A.; Rafie, N.; Amani, R.; Shirani, F.</w:t>
            </w:r>
          </w:p>
        </w:tc>
        <w:tc>
          <w:tcPr>
            <w:tcW w:w="567" w:type="dxa"/>
            <w:shd w:val="clear" w:color="auto" w:fill="auto"/>
            <w:noWrap/>
            <w:hideMark/>
          </w:tcPr>
          <w:p w14:paraId="4B29FA95" w14:textId="77777777" w:rsidR="00C12F0F" w:rsidRPr="00D518FF" w:rsidRDefault="00C12F0F">
            <w:pPr>
              <w:rPr>
                <w:rFonts w:ascii="Aptos" w:hAnsi="Aptos"/>
                <w:color w:val="000000"/>
                <w:sz w:val="16"/>
                <w:szCs w:val="16"/>
              </w:rPr>
            </w:pPr>
            <w:r w:rsidRPr="00D518FF">
              <w:rPr>
                <w:rFonts w:ascii="Aptos" w:hAnsi="Aptos"/>
                <w:color w:val="000000"/>
                <w:sz w:val="16"/>
                <w:szCs w:val="16"/>
              </w:rPr>
              <w:t>2022</w:t>
            </w:r>
          </w:p>
        </w:tc>
        <w:tc>
          <w:tcPr>
            <w:tcW w:w="1705" w:type="dxa"/>
            <w:shd w:val="clear" w:color="auto" w:fill="auto"/>
            <w:noWrap/>
            <w:hideMark/>
          </w:tcPr>
          <w:p w14:paraId="509009E6" w14:textId="77777777" w:rsidR="00C12F0F" w:rsidRPr="00D518FF" w:rsidRDefault="00C12F0F">
            <w:pPr>
              <w:rPr>
                <w:rFonts w:ascii="Aptos" w:hAnsi="Aptos"/>
                <w:color w:val="000000"/>
                <w:sz w:val="16"/>
                <w:szCs w:val="16"/>
              </w:rPr>
            </w:pPr>
            <w:r w:rsidRPr="00D518FF">
              <w:rPr>
                <w:rFonts w:ascii="Aptos" w:hAnsi="Aptos"/>
                <w:color w:val="000000"/>
                <w:sz w:val="16"/>
                <w:szCs w:val="16"/>
              </w:rPr>
              <w:t>Biological trace element research</w:t>
            </w:r>
          </w:p>
        </w:tc>
        <w:tc>
          <w:tcPr>
            <w:tcW w:w="784" w:type="dxa"/>
            <w:shd w:val="clear" w:color="auto" w:fill="auto"/>
          </w:tcPr>
          <w:p w14:paraId="40D89425" w14:textId="14F9FA1A" w:rsidR="00C12F0F" w:rsidRPr="00D518FF" w:rsidRDefault="00636FFA">
            <w:pPr>
              <w:rPr>
                <w:rFonts w:ascii="Aptos" w:hAnsi="Aptos"/>
                <w:color w:val="000000"/>
                <w:sz w:val="16"/>
                <w:szCs w:val="16"/>
              </w:rPr>
            </w:pPr>
            <w:r>
              <w:rPr>
                <w:rFonts w:ascii="Aptos" w:hAnsi="Aptos"/>
                <w:color w:val="000000"/>
                <w:sz w:val="16"/>
                <w:szCs w:val="16"/>
              </w:rPr>
              <w:t>201</w:t>
            </w:r>
          </w:p>
        </w:tc>
        <w:tc>
          <w:tcPr>
            <w:tcW w:w="491" w:type="dxa"/>
            <w:shd w:val="clear" w:color="auto" w:fill="auto"/>
          </w:tcPr>
          <w:p w14:paraId="247F0836" w14:textId="450B8211" w:rsidR="00C12F0F" w:rsidRPr="00D518FF" w:rsidRDefault="00636FFA">
            <w:pPr>
              <w:rPr>
                <w:rFonts w:ascii="Aptos" w:hAnsi="Aptos"/>
                <w:color w:val="000000"/>
                <w:sz w:val="16"/>
                <w:szCs w:val="16"/>
              </w:rPr>
            </w:pPr>
            <w:r>
              <w:rPr>
                <w:rFonts w:ascii="Aptos" w:hAnsi="Aptos"/>
                <w:color w:val="000000"/>
                <w:sz w:val="16"/>
                <w:szCs w:val="16"/>
              </w:rPr>
              <w:t>1</w:t>
            </w:r>
          </w:p>
        </w:tc>
        <w:tc>
          <w:tcPr>
            <w:tcW w:w="851" w:type="dxa"/>
            <w:shd w:val="clear" w:color="auto" w:fill="auto"/>
            <w:noWrap/>
            <w:hideMark/>
          </w:tcPr>
          <w:p w14:paraId="386AD08A" w14:textId="1D23941F" w:rsidR="00C12F0F" w:rsidRPr="00D518FF" w:rsidRDefault="00636FFA">
            <w:pPr>
              <w:rPr>
                <w:rFonts w:ascii="Aptos" w:hAnsi="Aptos"/>
                <w:color w:val="000000"/>
                <w:sz w:val="16"/>
                <w:szCs w:val="16"/>
              </w:rPr>
            </w:pPr>
            <w:r w:rsidRPr="00636FFA">
              <w:rPr>
                <w:rFonts w:ascii="Aptos" w:hAnsi="Aptos"/>
                <w:color w:val="000000"/>
                <w:sz w:val="16"/>
                <w:szCs w:val="16"/>
              </w:rPr>
              <w:t>121-128</w:t>
            </w:r>
          </w:p>
        </w:tc>
        <w:tc>
          <w:tcPr>
            <w:tcW w:w="2059" w:type="dxa"/>
            <w:shd w:val="clear" w:color="auto" w:fill="auto"/>
            <w:noWrap/>
            <w:hideMark/>
          </w:tcPr>
          <w:p w14:paraId="74CF1E90" w14:textId="77777777" w:rsidR="00C12F0F" w:rsidRPr="00D518FF" w:rsidRDefault="00C12F0F">
            <w:pPr>
              <w:rPr>
                <w:rFonts w:ascii="Aptos" w:hAnsi="Aptos"/>
                <w:color w:val="000000"/>
                <w:sz w:val="16"/>
                <w:szCs w:val="16"/>
              </w:rPr>
            </w:pPr>
            <w:r w:rsidRPr="00D518FF">
              <w:rPr>
                <w:rFonts w:ascii="Aptos" w:hAnsi="Aptos"/>
                <w:color w:val="000000"/>
                <w:sz w:val="16"/>
                <w:szCs w:val="16"/>
              </w:rPr>
              <w:t xml:space="preserve">Wrong patient population </w:t>
            </w:r>
          </w:p>
        </w:tc>
      </w:tr>
      <w:tr w:rsidR="008F3151" w:rsidRPr="00D518FF" w14:paraId="06F42DA0" w14:textId="77777777" w:rsidTr="004C6AA1">
        <w:trPr>
          <w:trHeight w:val="320"/>
        </w:trPr>
        <w:tc>
          <w:tcPr>
            <w:tcW w:w="4246" w:type="dxa"/>
            <w:shd w:val="clear" w:color="auto" w:fill="auto"/>
            <w:noWrap/>
            <w:hideMark/>
          </w:tcPr>
          <w:p w14:paraId="191C9AE9" w14:textId="77777777" w:rsidR="008F3151" w:rsidRPr="00D518FF" w:rsidRDefault="008F3151">
            <w:pPr>
              <w:rPr>
                <w:rFonts w:ascii="Aptos" w:hAnsi="Aptos"/>
                <w:color w:val="000000"/>
                <w:sz w:val="16"/>
                <w:szCs w:val="16"/>
              </w:rPr>
            </w:pPr>
            <w:r w:rsidRPr="00D518FF">
              <w:rPr>
                <w:rFonts w:ascii="Aptos" w:hAnsi="Aptos"/>
                <w:color w:val="000000"/>
                <w:sz w:val="16"/>
                <w:szCs w:val="16"/>
              </w:rPr>
              <w:t>Effect of magnesium therapy on nocturnal leg cramps: a systematic review of randomized controlled trials with meta-analysis using simulations</w:t>
            </w:r>
          </w:p>
        </w:tc>
        <w:tc>
          <w:tcPr>
            <w:tcW w:w="3542" w:type="dxa"/>
            <w:shd w:val="clear" w:color="auto" w:fill="auto"/>
            <w:noWrap/>
            <w:hideMark/>
          </w:tcPr>
          <w:p w14:paraId="796F8D0C" w14:textId="77777777" w:rsidR="008F3151" w:rsidRPr="00D518FF" w:rsidRDefault="008F3151">
            <w:pPr>
              <w:rPr>
                <w:rFonts w:ascii="Aptos" w:hAnsi="Aptos"/>
                <w:color w:val="000000"/>
                <w:sz w:val="16"/>
                <w:szCs w:val="16"/>
              </w:rPr>
            </w:pPr>
            <w:r w:rsidRPr="00D518FF">
              <w:rPr>
                <w:rFonts w:ascii="Aptos" w:hAnsi="Aptos"/>
                <w:color w:val="000000"/>
                <w:sz w:val="16"/>
                <w:szCs w:val="16"/>
              </w:rPr>
              <w:t>Sebo, P.; Cerutti, B.; Haller, D. M.</w:t>
            </w:r>
          </w:p>
        </w:tc>
        <w:tc>
          <w:tcPr>
            <w:tcW w:w="567" w:type="dxa"/>
            <w:shd w:val="clear" w:color="auto" w:fill="auto"/>
            <w:noWrap/>
            <w:hideMark/>
          </w:tcPr>
          <w:p w14:paraId="4782EC3C" w14:textId="77777777" w:rsidR="008F3151" w:rsidRPr="00D518FF" w:rsidRDefault="008F3151">
            <w:pPr>
              <w:rPr>
                <w:rFonts w:ascii="Aptos" w:hAnsi="Aptos"/>
                <w:color w:val="000000"/>
                <w:sz w:val="16"/>
                <w:szCs w:val="16"/>
              </w:rPr>
            </w:pPr>
            <w:r w:rsidRPr="00D518FF">
              <w:rPr>
                <w:rFonts w:ascii="Aptos" w:hAnsi="Aptos"/>
                <w:color w:val="000000"/>
                <w:sz w:val="16"/>
                <w:szCs w:val="16"/>
              </w:rPr>
              <w:t>2014</w:t>
            </w:r>
          </w:p>
        </w:tc>
        <w:tc>
          <w:tcPr>
            <w:tcW w:w="1705" w:type="dxa"/>
            <w:shd w:val="clear" w:color="auto" w:fill="auto"/>
            <w:noWrap/>
            <w:hideMark/>
          </w:tcPr>
          <w:p w14:paraId="04ADA2C6" w14:textId="77777777" w:rsidR="008F3151" w:rsidRPr="00D518FF" w:rsidRDefault="008F3151">
            <w:pPr>
              <w:rPr>
                <w:rFonts w:ascii="Aptos" w:hAnsi="Aptos"/>
                <w:color w:val="000000"/>
                <w:sz w:val="16"/>
                <w:szCs w:val="16"/>
              </w:rPr>
            </w:pPr>
            <w:r w:rsidRPr="00D518FF">
              <w:rPr>
                <w:rFonts w:ascii="Aptos" w:hAnsi="Aptos"/>
                <w:color w:val="000000"/>
                <w:sz w:val="16"/>
                <w:szCs w:val="16"/>
              </w:rPr>
              <w:t>Family Practice</w:t>
            </w:r>
          </w:p>
        </w:tc>
        <w:tc>
          <w:tcPr>
            <w:tcW w:w="784" w:type="dxa"/>
            <w:shd w:val="clear" w:color="auto" w:fill="auto"/>
            <w:noWrap/>
            <w:hideMark/>
          </w:tcPr>
          <w:p w14:paraId="144A4BC4" w14:textId="77777777" w:rsidR="008F3151" w:rsidRPr="00D518FF" w:rsidRDefault="008F3151">
            <w:pPr>
              <w:rPr>
                <w:rFonts w:ascii="Aptos" w:hAnsi="Aptos"/>
                <w:color w:val="000000"/>
                <w:sz w:val="16"/>
                <w:szCs w:val="16"/>
              </w:rPr>
            </w:pPr>
            <w:r w:rsidRPr="00D518FF">
              <w:rPr>
                <w:rFonts w:ascii="Aptos" w:hAnsi="Aptos"/>
                <w:color w:val="000000"/>
                <w:sz w:val="16"/>
                <w:szCs w:val="16"/>
              </w:rPr>
              <w:t>31</w:t>
            </w:r>
          </w:p>
        </w:tc>
        <w:tc>
          <w:tcPr>
            <w:tcW w:w="491" w:type="dxa"/>
            <w:shd w:val="clear" w:color="auto" w:fill="auto"/>
            <w:noWrap/>
            <w:hideMark/>
          </w:tcPr>
          <w:p w14:paraId="01495CC6"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851" w:type="dxa"/>
            <w:shd w:val="clear" w:color="auto" w:fill="auto"/>
            <w:noWrap/>
            <w:hideMark/>
          </w:tcPr>
          <w:p w14:paraId="7678BEBD" w14:textId="77777777" w:rsidR="008F3151" w:rsidRPr="00D518FF" w:rsidRDefault="008F3151">
            <w:pPr>
              <w:rPr>
                <w:rFonts w:ascii="Aptos" w:hAnsi="Aptos"/>
                <w:color w:val="000000"/>
                <w:sz w:val="16"/>
                <w:szCs w:val="16"/>
              </w:rPr>
            </w:pPr>
            <w:r w:rsidRPr="00D518FF">
              <w:rPr>
                <w:rFonts w:ascii="Aptos" w:hAnsi="Aptos"/>
                <w:color w:val="000000"/>
                <w:sz w:val="16"/>
                <w:szCs w:val="16"/>
              </w:rPr>
              <w:t>Jul-19</w:t>
            </w:r>
          </w:p>
        </w:tc>
        <w:tc>
          <w:tcPr>
            <w:tcW w:w="2059" w:type="dxa"/>
            <w:shd w:val="clear" w:color="auto" w:fill="auto"/>
            <w:noWrap/>
            <w:hideMark/>
          </w:tcPr>
          <w:p w14:paraId="113A5C50"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bl>
    <w:p w14:paraId="60870E51" w14:textId="77777777" w:rsidR="008F3151" w:rsidRPr="00D518FF" w:rsidRDefault="008F3151" w:rsidP="008F3151">
      <w:pPr>
        <w:pStyle w:val="2024TABLECAPTION"/>
        <w:spacing w:before="120"/>
        <w:rPr>
          <w:rFonts w:ascii="Aptos" w:hAnsi="Aptos"/>
        </w:rPr>
      </w:pPr>
    </w:p>
    <w:p w14:paraId="51B122EA" w14:textId="0EDC9D59" w:rsidR="00384BA9" w:rsidRPr="004C6AA1" w:rsidRDefault="00384BA9" w:rsidP="004C6AA1">
      <w:pPr>
        <w:pStyle w:val="Caption"/>
        <w:spacing w:before="240"/>
        <w:rPr>
          <w:rFonts w:ascii="Aptos" w:hAnsi="Aptos"/>
        </w:rPr>
      </w:pPr>
      <w:bookmarkStart w:id="117" w:name="_Toc185254532"/>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5</w:t>
      </w:r>
      <w:r w:rsidR="00DC4767" w:rsidRPr="004C6AA1">
        <w:rPr>
          <w:rFonts w:ascii="Aptos" w:hAnsi="Aptos"/>
        </w:rPr>
        <w:fldChar w:fldCharType="end"/>
      </w:r>
      <w:r w:rsidR="003E7E55" w:rsidRPr="004C6AA1">
        <w:rPr>
          <w:rFonts w:ascii="Aptos" w:hAnsi="Aptos"/>
        </w:rPr>
        <w:t xml:space="preserve">. </w:t>
      </w:r>
      <w:r w:rsidR="001C32D3" w:rsidRPr="004C6AA1">
        <w:rPr>
          <w:rFonts w:ascii="Aptos" w:hAnsi="Aptos"/>
        </w:rPr>
        <w:t>Excluded reviews, reason for exclusion – depression, omega-3</w:t>
      </w:r>
      <w:r w:rsidR="00B50FBF">
        <w:rPr>
          <w:rFonts w:ascii="Aptos" w:hAnsi="Aptos"/>
        </w:rPr>
        <w:t xml:space="preserve"> </w:t>
      </w:r>
      <w:r w:rsidR="00B50FBF">
        <w:t>fatty acids</w:t>
      </w:r>
      <w:r w:rsidR="001C32D3" w:rsidRPr="004C6AA1">
        <w:rPr>
          <w:rFonts w:ascii="Aptos" w:hAnsi="Aptos"/>
        </w:rPr>
        <w:t>.</w:t>
      </w:r>
      <w:bookmarkEnd w:id="117"/>
    </w:p>
    <w:tbl>
      <w:tblPr>
        <w:tblW w:w="14246" w:type="dxa"/>
        <w:tblInd w:w="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4182"/>
        <w:gridCol w:w="3544"/>
        <w:gridCol w:w="567"/>
        <w:gridCol w:w="1701"/>
        <w:gridCol w:w="850"/>
        <w:gridCol w:w="567"/>
        <w:gridCol w:w="709"/>
        <w:gridCol w:w="2126"/>
      </w:tblGrid>
      <w:tr w:rsidR="004C6AA1" w:rsidRPr="00D518FF" w14:paraId="6D02D500" w14:textId="77777777" w:rsidTr="004C6AA1">
        <w:trPr>
          <w:trHeight w:val="35"/>
        </w:trPr>
        <w:tc>
          <w:tcPr>
            <w:tcW w:w="4182" w:type="dxa"/>
            <w:shd w:val="clear" w:color="auto" w:fill="D9D9D9" w:themeFill="background1" w:themeFillShade="D9"/>
            <w:noWrap/>
            <w:hideMark/>
          </w:tcPr>
          <w:p w14:paraId="1CF30887"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Title</w:t>
            </w:r>
          </w:p>
        </w:tc>
        <w:tc>
          <w:tcPr>
            <w:tcW w:w="3544" w:type="dxa"/>
            <w:shd w:val="clear" w:color="auto" w:fill="D9D9D9" w:themeFill="background1" w:themeFillShade="D9"/>
            <w:noWrap/>
            <w:hideMark/>
          </w:tcPr>
          <w:p w14:paraId="329AF17E"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Authors</w:t>
            </w:r>
          </w:p>
        </w:tc>
        <w:tc>
          <w:tcPr>
            <w:tcW w:w="567" w:type="dxa"/>
            <w:shd w:val="clear" w:color="auto" w:fill="D9D9D9" w:themeFill="background1" w:themeFillShade="D9"/>
            <w:noWrap/>
            <w:hideMark/>
          </w:tcPr>
          <w:p w14:paraId="7D2F4F6D"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Year</w:t>
            </w:r>
          </w:p>
        </w:tc>
        <w:tc>
          <w:tcPr>
            <w:tcW w:w="1701" w:type="dxa"/>
            <w:shd w:val="clear" w:color="auto" w:fill="D9D9D9" w:themeFill="background1" w:themeFillShade="D9"/>
            <w:noWrap/>
            <w:hideMark/>
          </w:tcPr>
          <w:p w14:paraId="1B0714F1"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Journal</w:t>
            </w:r>
          </w:p>
        </w:tc>
        <w:tc>
          <w:tcPr>
            <w:tcW w:w="850" w:type="dxa"/>
            <w:shd w:val="clear" w:color="auto" w:fill="D9D9D9" w:themeFill="background1" w:themeFillShade="D9"/>
            <w:noWrap/>
            <w:hideMark/>
          </w:tcPr>
          <w:p w14:paraId="79BB1D44"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Volume</w:t>
            </w:r>
          </w:p>
        </w:tc>
        <w:tc>
          <w:tcPr>
            <w:tcW w:w="567" w:type="dxa"/>
            <w:shd w:val="clear" w:color="auto" w:fill="D9D9D9" w:themeFill="background1" w:themeFillShade="D9"/>
            <w:noWrap/>
            <w:hideMark/>
          </w:tcPr>
          <w:p w14:paraId="1A5EB0FE"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Issue</w:t>
            </w:r>
          </w:p>
        </w:tc>
        <w:tc>
          <w:tcPr>
            <w:tcW w:w="709" w:type="dxa"/>
            <w:shd w:val="clear" w:color="auto" w:fill="D9D9D9" w:themeFill="background1" w:themeFillShade="D9"/>
            <w:noWrap/>
            <w:hideMark/>
          </w:tcPr>
          <w:p w14:paraId="3DB8BA58"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Pages</w:t>
            </w:r>
          </w:p>
        </w:tc>
        <w:tc>
          <w:tcPr>
            <w:tcW w:w="2126" w:type="dxa"/>
            <w:shd w:val="clear" w:color="auto" w:fill="D9D9D9" w:themeFill="background1" w:themeFillShade="D9"/>
            <w:noWrap/>
            <w:hideMark/>
          </w:tcPr>
          <w:p w14:paraId="72D1930A" w14:textId="7921B5FE" w:rsidR="008F3151" w:rsidRPr="00D518FF" w:rsidRDefault="004C6AA1">
            <w:pPr>
              <w:rPr>
                <w:rFonts w:ascii="Aptos" w:hAnsi="Aptos"/>
                <w:b/>
                <w:bCs/>
                <w:color w:val="000000"/>
                <w:sz w:val="16"/>
                <w:szCs w:val="16"/>
              </w:rPr>
            </w:pPr>
            <w:r w:rsidRPr="00D518FF">
              <w:rPr>
                <w:rFonts w:ascii="Aptos" w:hAnsi="Aptos" w:cs="Arial"/>
                <w:b/>
                <w:bCs/>
                <w:sz w:val="16"/>
                <w:szCs w:val="16"/>
              </w:rPr>
              <w:t>Exclusion reason</w:t>
            </w:r>
          </w:p>
        </w:tc>
      </w:tr>
      <w:tr w:rsidR="008F3151" w:rsidRPr="00D518FF" w14:paraId="39CF4A35" w14:textId="77777777" w:rsidTr="00F52F31">
        <w:trPr>
          <w:trHeight w:val="320"/>
        </w:trPr>
        <w:tc>
          <w:tcPr>
            <w:tcW w:w="4182" w:type="dxa"/>
            <w:shd w:val="clear" w:color="auto" w:fill="auto"/>
            <w:noWrap/>
            <w:hideMark/>
          </w:tcPr>
          <w:p w14:paraId="20B25045" w14:textId="77777777" w:rsidR="008F3151" w:rsidRPr="00D518FF" w:rsidRDefault="008F3151">
            <w:pPr>
              <w:rPr>
                <w:rFonts w:ascii="Aptos" w:hAnsi="Aptos"/>
                <w:color w:val="000000"/>
                <w:sz w:val="16"/>
                <w:szCs w:val="16"/>
              </w:rPr>
            </w:pPr>
            <w:r w:rsidRPr="00D518FF">
              <w:rPr>
                <w:rFonts w:ascii="Aptos" w:hAnsi="Aptos"/>
                <w:color w:val="000000"/>
                <w:sz w:val="16"/>
                <w:szCs w:val="16"/>
              </w:rPr>
              <w:t>A systematic review to investigate the effects of Omega-3 supplementation on depression scores among perinatal women</w:t>
            </w:r>
          </w:p>
        </w:tc>
        <w:tc>
          <w:tcPr>
            <w:tcW w:w="3544" w:type="dxa"/>
            <w:shd w:val="clear" w:color="auto" w:fill="auto"/>
            <w:noWrap/>
            <w:hideMark/>
          </w:tcPr>
          <w:p w14:paraId="6997268C" w14:textId="77777777" w:rsidR="00741049" w:rsidRPr="00D518FF" w:rsidRDefault="00741049">
            <w:pPr>
              <w:rPr>
                <w:rFonts w:ascii="Aptos" w:hAnsi="Aptos"/>
                <w:color w:val="000000"/>
                <w:sz w:val="16"/>
                <w:szCs w:val="16"/>
              </w:rPr>
            </w:pPr>
            <w:r w:rsidRPr="00D518FF">
              <w:rPr>
                <w:rFonts w:ascii="Aptos" w:hAnsi="Aptos"/>
                <w:color w:val="000000"/>
                <w:sz w:val="16"/>
                <w:szCs w:val="16"/>
              </w:rPr>
              <w:t>Franciskos, Arsenyadis</w:t>
            </w:r>
          </w:p>
        </w:tc>
        <w:tc>
          <w:tcPr>
            <w:tcW w:w="567" w:type="dxa"/>
            <w:shd w:val="clear" w:color="auto" w:fill="auto"/>
          </w:tcPr>
          <w:p w14:paraId="73BE36DD" w14:textId="06B9E2CE" w:rsidR="008F3151" w:rsidRPr="00D518FF" w:rsidRDefault="0044184F">
            <w:pPr>
              <w:rPr>
                <w:rFonts w:ascii="Aptos" w:hAnsi="Aptos"/>
                <w:color w:val="000000"/>
                <w:sz w:val="16"/>
                <w:szCs w:val="16"/>
              </w:rPr>
            </w:pPr>
            <w:r>
              <w:rPr>
                <w:rFonts w:ascii="Aptos" w:hAnsi="Aptos"/>
                <w:color w:val="000000"/>
                <w:sz w:val="16"/>
                <w:szCs w:val="16"/>
              </w:rPr>
              <w:t>2019</w:t>
            </w:r>
          </w:p>
        </w:tc>
        <w:tc>
          <w:tcPr>
            <w:tcW w:w="1701" w:type="dxa"/>
            <w:shd w:val="clear" w:color="auto" w:fill="auto"/>
            <w:noWrap/>
            <w:hideMark/>
          </w:tcPr>
          <w:p w14:paraId="634BA748" w14:textId="033CF5D3" w:rsidR="008F3151" w:rsidRPr="00D518FF" w:rsidRDefault="0044184F">
            <w:pPr>
              <w:rPr>
                <w:rFonts w:ascii="Aptos" w:hAnsi="Aptos"/>
                <w:color w:val="000000"/>
                <w:sz w:val="16"/>
                <w:szCs w:val="16"/>
              </w:rPr>
            </w:pPr>
            <w:r>
              <w:rPr>
                <w:rFonts w:ascii="Aptos" w:hAnsi="Aptos"/>
                <w:color w:val="000000"/>
                <w:sz w:val="16"/>
                <w:szCs w:val="16"/>
              </w:rPr>
              <w:t>PROSPERO</w:t>
            </w:r>
          </w:p>
        </w:tc>
        <w:tc>
          <w:tcPr>
            <w:tcW w:w="850" w:type="dxa"/>
            <w:shd w:val="clear" w:color="auto" w:fill="auto"/>
            <w:noWrap/>
            <w:hideMark/>
          </w:tcPr>
          <w:p w14:paraId="685D5DAE" w14:textId="2FA50D4B" w:rsidR="008F3151" w:rsidRPr="00D518FF" w:rsidRDefault="0044184F">
            <w:pPr>
              <w:rPr>
                <w:rFonts w:ascii="Aptos" w:hAnsi="Aptos"/>
                <w:sz w:val="16"/>
                <w:szCs w:val="16"/>
              </w:rPr>
            </w:pPr>
            <w:r w:rsidRPr="0044184F">
              <w:rPr>
                <w:rFonts w:ascii="Aptos" w:hAnsi="Aptos"/>
                <w:sz w:val="16"/>
                <w:szCs w:val="16"/>
              </w:rPr>
              <w:t>CRD42019146925</w:t>
            </w:r>
          </w:p>
        </w:tc>
        <w:tc>
          <w:tcPr>
            <w:tcW w:w="567" w:type="dxa"/>
            <w:shd w:val="clear" w:color="auto" w:fill="auto"/>
            <w:noWrap/>
            <w:hideMark/>
          </w:tcPr>
          <w:p w14:paraId="60DFC4F6" w14:textId="07A8963F" w:rsidR="008F3151" w:rsidRPr="00D518FF" w:rsidRDefault="0044184F">
            <w:pPr>
              <w:rPr>
                <w:rFonts w:ascii="Aptos" w:hAnsi="Aptos"/>
                <w:sz w:val="16"/>
                <w:szCs w:val="16"/>
              </w:rPr>
            </w:pPr>
            <w:r>
              <w:rPr>
                <w:rFonts w:ascii="Aptos" w:hAnsi="Aptos"/>
                <w:sz w:val="16"/>
                <w:szCs w:val="16"/>
              </w:rPr>
              <w:t>-</w:t>
            </w:r>
          </w:p>
        </w:tc>
        <w:tc>
          <w:tcPr>
            <w:tcW w:w="709" w:type="dxa"/>
            <w:shd w:val="clear" w:color="auto" w:fill="auto"/>
            <w:noWrap/>
            <w:hideMark/>
          </w:tcPr>
          <w:p w14:paraId="0393E8AA" w14:textId="6998964C" w:rsidR="008F3151" w:rsidRPr="00D518FF" w:rsidRDefault="0044184F">
            <w:pPr>
              <w:rPr>
                <w:rFonts w:ascii="Aptos" w:hAnsi="Aptos"/>
                <w:sz w:val="16"/>
                <w:szCs w:val="16"/>
              </w:rPr>
            </w:pPr>
            <w:r>
              <w:rPr>
                <w:rFonts w:ascii="Aptos" w:hAnsi="Aptos"/>
                <w:sz w:val="16"/>
                <w:szCs w:val="16"/>
              </w:rPr>
              <w:t>-</w:t>
            </w:r>
          </w:p>
        </w:tc>
        <w:tc>
          <w:tcPr>
            <w:tcW w:w="2126" w:type="dxa"/>
            <w:shd w:val="clear" w:color="auto" w:fill="auto"/>
            <w:noWrap/>
            <w:hideMark/>
          </w:tcPr>
          <w:p w14:paraId="5C516652" w14:textId="3825934C" w:rsidR="008F3151" w:rsidRPr="00D518FF" w:rsidRDefault="008F3151">
            <w:pPr>
              <w:rPr>
                <w:rFonts w:ascii="Aptos" w:hAnsi="Aptos"/>
                <w:color w:val="000000"/>
                <w:sz w:val="16"/>
                <w:szCs w:val="16"/>
              </w:rPr>
            </w:pPr>
            <w:r w:rsidRPr="00D518FF">
              <w:rPr>
                <w:rFonts w:ascii="Aptos" w:hAnsi="Aptos"/>
                <w:color w:val="000000"/>
                <w:sz w:val="16"/>
                <w:szCs w:val="16"/>
              </w:rPr>
              <w:t>Discontinued study</w:t>
            </w:r>
          </w:p>
        </w:tc>
      </w:tr>
      <w:tr w:rsidR="008F3151" w:rsidRPr="00D518FF" w14:paraId="130A243A" w14:textId="77777777" w:rsidTr="004C6AA1">
        <w:trPr>
          <w:trHeight w:val="320"/>
        </w:trPr>
        <w:tc>
          <w:tcPr>
            <w:tcW w:w="4182" w:type="dxa"/>
            <w:shd w:val="clear" w:color="auto" w:fill="auto"/>
            <w:noWrap/>
            <w:hideMark/>
          </w:tcPr>
          <w:p w14:paraId="605E94BD" w14:textId="77777777" w:rsidR="008F3151" w:rsidRPr="00D518FF" w:rsidRDefault="008F3151">
            <w:pPr>
              <w:rPr>
                <w:rFonts w:ascii="Aptos" w:hAnsi="Aptos"/>
                <w:color w:val="000000"/>
                <w:sz w:val="16"/>
                <w:szCs w:val="16"/>
              </w:rPr>
            </w:pPr>
            <w:r w:rsidRPr="00D518FF">
              <w:rPr>
                <w:rFonts w:ascii="Aptos" w:hAnsi="Aptos"/>
                <w:color w:val="000000"/>
                <w:sz w:val="16"/>
                <w:szCs w:val="16"/>
              </w:rPr>
              <w:t>A meta-analytic review of double-blind, placebo-controlled trials of antidepressant efficacy of omega-3 fatty acids</w:t>
            </w:r>
          </w:p>
        </w:tc>
        <w:tc>
          <w:tcPr>
            <w:tcW w:w="3544" w:type="dxa"/>
            <w:shd w:val="clear" w:color="auto" w:fill="auto"/>
            <w:noWrap/>
            <w:hideMark/>
          </w:tcPr>
          <w:p w14:paraId="277D0D6C" w14:textId="77777777" w:rsidR="008F3151" w:rsidRPr="00D518FF" w:rsidRDefault="008F3151">
            <w:pPr>
              <w:rPr>
                <w:rFonts w:ascii="Aptos" w:hAnsi="Aptos"/>
                <w:color w:val="000000"/>
                <w:sz w:val="16"/>
                <w:szCs w:val="16"/>
              </w:rPr>
            </w:pPr>
            <w:r w:rsidRPr="00D518FF">
              <w:rPr>
                <w:rFonts w:ascii="Aptos" w:hAnsi="Aptos"/>
                <w:color w:val="000000"/>
                <w:sz w:val="16"/>
                <w:szCs w:val="16"/>
              </w:rPr>
              <w:t>Lin, P. Y.; Su, K. P.</w:t>
            </w:r>
          </w:p>
        </w:tc>
        <w:tc>
          <w:tcPr>
            <w:tcW w:w="567" w:type="dxa"/>
            <w:shd w:val="clear" w:color="auto" w:fill="auto"/>
            <w:noWrap/>
            <w:hideMark/>
          </w:tcPr>
          <w:p w14:paraId="0378BE42" w14:textId="77777777" w:rsidR="008F3151" w:rsidRPr="00D518FF" w:rsidRDefault="008F3151">
            <w:pPr>
              <w:rPr>
                <w:rFonts w:ascii="Aptos" w:hAnsi="Aptos"/>
                <w:color w:val="000000"/>
                <w:sz w:val="16"/>
                <w:szCs w:val="16"/>
              </w:rPr>
            </w:pPr>
            <w:r w:rsidRPr="00D518FF">
              <w:rPr>
                <w:rFonts w:ascii="Aptos" w:hAnsi="Aptos"/>
                <w:color w:val="000000"/>
                <w:sz w:val="16"/>
                <w:szCs w:val="16"/>
              </w:rPr>
              <w:t>2007</w:t>
            </w:r>
          </w:p>
        </w:tc>
        <w:tc>
          <w:tcPr>
            <w:tcW w:w="1701" w:type="dxa"/>
            <w:shd w:val="clear" w:color="auto" w:fill="auto"/>
            <w:noWrap/>
            <w:hideMark/>
          </w:tcPr>
          <w:p w14:paraId="4A278B2B" w14:textId="77777777" w:rsidR="008F3151" w:rsidRPr="00D518FF" w:rsidRDefault="008F3151">
            <w:pPr>
              <w:rPr>
                <w:rFonts w:ascii="Aptos" w:hAnsi="Aptos"/>
                <w:color w:val="000000"/>
                <w:sz w:val="16"/>
                <w:szCs w:val="16"/>
              </w:rPr>
            </w:pPr>
            <w:r w:rsidRPr="00D518FF">
              <w:rPr>
                <w:rFonts w:ascii="Aptos" w:hAnsi="Aptos"/>
                <w:color w:val="000000"/>
                <w:sz w:val="16"/>
                <w:szCs w:val="16"/>
              </w:rPr>
              <w:t>The Journal of clinical psychiatry</w:t>
            </w:r>
          </w:p>
        </w:tc>
        <w:tc>
          <w:tcPr>
            <w:tcW w:w="850" w:type="dxa"/>
            <w:shd w:val="clear" w:color="auto" w:fill="auto"/>
            <w:noWrap/>
            <w:hideMark/>
          </w:tcPr>
          <w:p w14:paraId="6A12DC5E" w14:textId="77777777" w:rsidR="008F3151" w:rsidRPr="00D518FF" w:rsidRDefault="008F3151">
            <w:pPr>
              <w:rPr>
                <w:rFonts w:ascii="Aptos" w:hAnsi="Aptos"/>
                <w:color w:val="000000"/>
                <w:sz w:val="16"/>
                <w:szCs w:val="16"/>
              </w:rPr>
            </w:pPr>
            <w:r w:rsidRPr="00D518FF">
              <w:rPr>
                <w:rFonts w:ascii="Aptos" w:hAnsi="Aptos"/>
                <w:color w:val="000000"/>
                <w:sz w:val="16"/>
                <w:szCs w:val="16"/>
              </w:rPr>
              <w:t>68</w:t>
            </w:r>
          </w:p>
        </w:tc>
        <w:tc>
          <w:tcPr>
            <w:tcW w:w="567" w:type="dxa"/>
            <w:shd w:val="clear" w:color="auto" w:fill="auto"/>
            <w:noWrap/>
            <w:hideMark/>
          </w:tcPr>
          <w:p w14:paraId="709CE3A1"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709" w:type="dxa"/>
            <w:shd w:val="clear" w:color="auto" w:fill="auto"/>
            <w:noWrap/>
            <w:hideMark/>
          </w:tcPr>
          <w:p w14:paraId="4DD57D64" w14:textId="77777777" w:rsidR="008F3151" w:rsidRPr="00D518FF" w:rsidRDefault="008F3151">
            <w:pPr>
              <w:rPr>
                <w:rFonts w:ascii="Aptos" w:hAnsi="Aptos"/>
                <w:color w:val="000000"/>
                <w:sz w:val="16"/>
                <w:szCs w:val="16"/>
              </w:rPr>
            </w:pPr>
            <w:r w:rsidRPr="00D518FF">
              <w:rPr>
                <w:rFonts w:ascii="Aptos" w:hAnsi="Aptos"/>
                <w:color w:val="000000"/>
                <w:sz w:val="16"/>
                <w:szCs w:val="16"/>
              </w:rPr>
              <w:t>1056-61</w:t>
            </w:r>
          </w:p>
        </w:tc>
        <w:tc>
          <w:tcPr>
            <w:tcW w:w="2126" w:type="dxa"/>
            <w:shd w:val="clear" w:color="auto" w:fill="auto"/>
            <w:noWrap/>
            <w:hideMark/>
          </w:tcPr>
          <w:p w14:paraId="1238405E"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2215415F" w14:textId="77777777" w:rsidTr="004C6AA1">
        <w:trPr>
          <w:trHeight w:val="320"/>
        </w:trPr>
        <w:tc>
          <w:tcPr>
            <w:tcW w:w="4182" w:type="dxa"/>
            <w:shd w:val="clear" w:color="auto" w:fill="auto"/>
            <w:noWrap/>
            <w:hideMark/>
          </w:tcPr>
          <w:p w14:paraId="071C82E4" w14:textId="77777777" w:rsidR="008F3151" w:rsidRPr="00D518FF" w:rsidRDefault="008F3151">
            <w:pPr>
              <w:rPr>
                <w:rFonts w:ascii="Aptos" w:hAnsi="Aptos"/>
                <w:color w:val="000000"/>
                <w:sz w:val="16"/>
                <w:szCs w:val="16"/>
              </w:rPr>
            </w:pPr>
            <w:r w:rsidRPr="00D518FF">
              <w:rPr>
                <w:rFonts w:ascii="Aptos" w:hAnsi="Aptos"/>
                <w:color w:val="000000"/>
                <w:sz w:val="16"/>
                <w:szCs w:val="16"/>
              </w:rPr>
              <w:t>Complementary and alternative medicine in the treatment of anxiety and depression</w:t>
            </w:r>
          </w:p>
        </w:tc>
        <w:tc>
          <w:tcPr>
            <w:tcW w:w="3544" w:type="dxa"/>
            <w:shd w:val="clear" w:color="auto" w:fill="auto"/>
            <w:noWrap/>
            <w:hideMark/>
          </w:tcPr>
          <w:p w14:paraId="6BD612AF" w14:textId="77777777" w:rsidR="008F3151" w:rsidRPr="00D518FF" w:rsidRDefault="008F3151">
            <w:pPr>
              <w:rPr>
                <w:rFonts w:ascii="Aptos" w:hAnsi="Aptos"/>
                <w:color w:val="000000"/>
                <w:sz w:val="16"/>
                <w:szCs w:val="16"/>
              </w:rPr>
            </w:pPr>
            <w:r w:rsidRPr="00D518FF">
              <w:rPr>
                <w:rFonts w:ascii="Aptos" w:hAnsi="Aptos"/>
                <w:color w:val="000000"/>
                <w:sz w:val="16"/>
                <w:szCs w:val="16"/>
              </w:rPr>
              <w:t>Van Der Watt, G.; Laugharne, J.; Janca, A.</w:t>
            </w:r>
          </w:p>
        </w:tc>
        <w:tc>
          <w:tcPr>
            <w:tcW w:w="567" w:type="dxa"/>
            <w:shd w:val="clear" w:color="auto" w:fill="auto"/>
            <w:noWrap/>
            <w:hideMark/>
          </w:tcPr>
          <w:p w14:paraId="0E97A3B6" w14:textId="77777777" w:rsidR="008F3151" w:rsidRPr="00D518FF" w:rsidRDefault="008F3151">
            <w:pPr>
              <w:rPr>
                <w:rFonts w:ascii="Aptos" w:hAnsi="Aptos"/>
                <w:color w:val="000000"/>
                <w:sz w:val="16"/>
                <w:szCs w:val="16"/>
              </w:rPr>
            </w:pPr>
            <w:r w:rsidRPr="00D518FF">
              <w:rPr>
                <w:rFonts w:ascii="Aptos" w:hAnsi="Aptos"/>
                <w:color w:val="000000"/>
                <w:sz w:val="16"/>
                <w:szCs w:val="16"/>
              </w:rPr>
              <w:t>2008</w:t>
            </w:r>
          </w:p>
        </w:tc>
        <w:tc>
          <w:tcPr>
            <w:tcW w:w="1701" w:type="dxa"/>
            <w:shd w:val="clear" w:color="auto" w:fill="auto"/>
            <w:noWrap/>
            <w:hideMark/>
          </w:tcPr>
          <w:p w14:paraId="6A703264" w14:textId="77777777" w:rsidR="008F3151" w:rsidRPr="00D518FF" w:rsidRDefault="008F3151">
            <w:pPr>
              <w:rPr>
                <w:rFonts w:ascii="Aptos" w:hAnsi="Aptos"/>
                <w:color w:val="000000"/>
                <w:sz w:val="16"/>
                <w:szCs w:val="16"/>
              </w:rPr>
            </w:pPr>
            <w:r w:rsidRPr="00D518FF">
              <w:rPr>
                <w:rFonts w:ascii="Aptos" w:hAnsi="Aptos"/>
                <w:color w:val="000000"/>
                <w:sz w:val="16"/>
                <w:szCs w:val="16"/>
              </w:rPr>
              <w:t>Current Opinion in Psychiatry</w:t>
            </w:r>
          </w:p>
        </w:tc>
        <w:tc>
          <w:tcPr>
            <w:tcW w:w="850" w:type="dxa"/>
            <w:shd w:val="clear" w:color="auto" w:fill="auto"/>
            <w:noWrap/>
            <w:hideMark/>
          </w:tcPr>
          <w:p w14:paraId="6D4A05C9" w14:textId="77777777" w:rsidR="008F3151" w:rsidRPr="00D518FF" w:rsidRDefault="008F3151">
            <w:pPr>
              <w:rPr>
                <w:rFonts w:ascii="Aptos" w:hAnsi="Aptos"/>
                <w:color w:val="000000"/>
                <w:sz w:val="16"/>
                <w:szCs w:val="16"/>
              </w:rPr>
            </w:pPr>
            <w:r w:rsidRPr="00D518FF">
              <w:rPr>
                <w:rFonts w:ascii="Aptos" w:hAnsi="Aptos"/>
                <w:color w:val="000000"/>
                <w:sz w:val="16"/>
                <w:szCs w:val="16"/>
              </w:rPr>
              <w:t>21</w:t>
            </w:r>
          </w:p>
        </w:tc>
        <w:tc>
          <w:tcPr>
            <w:tcW w:w="567" w:type="dxa"/>
            <w:shd w:val="clear" w:color="auto" w:fill="auto"/>
            <w:noWrap/>
            <w:hideMark/>
          </w:tcPr>
          <w:p w14:paraId="4BCCD998"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0CC47383" w14:textId="77777777" w:rsidR="008F3151" w:rsidRPr="00D518FF" w:rsidRDefault="008F3151">
            <w:pPr>
              <w:rPr>
                <w:rFonts w:ascii="Aptos" w:hAnsi="Aptos"/>
                <w:color w:val="000000"/>
                <w:sz w:val="16"/>
                <w:szCs w:val="16"/>
              </w:rPr>
            </w:pPr>
            <w:r w:rsidRPr="00D518FF">
              <w:rPr>
                <w:rFonts w:ascii="Aptos" w:hAnsi="Aptos"/>
                <w:color w:val="000000"/>
                <w:sz w:val="16"/>
                <w:szCs w:val="16"/>
              </w:rPr>
              <w:t>37-42</w:t>
            </w:r>
          </w:p>
        </w:tc>
        <w:tc>
          <w:tcPr>
            <w:tcW w:w="2126" w:type="dxa"/>
            <w:shd w:val="clear" w:color="auto" w:fill="auto"/>
            <w:noWrap/>
            <w:hideMark/>
          </w:tcPr>
          <w:p w14:paraId="67903384"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5521CE07" w14:textId="77777777" w:rsidTr="004C6AA1">
        <w:trPr>
          <w:trHeight w:val="320"/>
        </w:trPr>
        <w:tc>
          <w:tcPr>
            <w:tcW w:w="4182" w:type="dxa"/>
            <w:shd w:val="clear" w:color="auto" w:fill="auto"/>
            <w:noWrap/>
            <w:hideMark/>
          </w:tcPr>
          <w:p w14:paraId="24799B00" w14:textId="77777777" w:rsidR="008F3151" w:rsidRPr="00D518FF" w:rsidRDefault="008F3151">
            <w:pPr>
              <w:rPr>
                <w:rFonts w:ascii="Aptos" w:hAnsi="Aptos"/>
                <w:color w:val="000000"/>
                <w:sz w:val="16"/>
                <w:szCs w:val="16"/>
              </w:rPr>
            </w:pPr>
            <w:r w:rsidRPr="00D518FF">
              <w:rPr>
                <w:rFonts w:ascii="Aptos" w:hAnsi="Aptos"/>
                <w:color w:val="000000"/>
                <w:sz w:val="16"/>
                <w:szCs w:val="16"/>
              </w:rPr>
              <w:t>Complementary health approaches for postpartum depression: A systematic review</w:t>
            </w:r>
          </w:p>
        </w:tc>
        <w:tc>
          <w:tcPr>
            <w:tcW w:w="3544" w:type="dxa"/>
            <w:shd w:val="clear" w:color="auto" w:fill="auto"/>
            <w:noWrap/>
            <w:hideMark/>
          </w:tcPr>
          <w:p w14:paraId="683C1F65" w14:textId="77777777" w:rsidR="008F3151" w:rsidRPr="00D518FF" w:rsidRDefault="008F3151">
            <w:pPr>
              <w:rPr>
                <w:rFonts w:ascii="Aptos" w:hAnsi="Aptos"/>
                <w:color w:val="000000"/>
                <w:sz w:val="16"/>
                <w:szCs w:val="16"/>
              </w:rPr>
            </w:pPr>
            <w:r w:rsidRPr="00D518FF">
              <w:rPr>
                <w:rFonts w:ascii="Aptos" w:hAnsi="Aptos"/>
                <w:color w:val="000000"/>
                <w:sz w:val="16"/>
                <w:szCs w:val="16"/>
              </w:rPr>
              <w:t>McCloskey, R. J.; Reno, R.</w:t>
            </w:r>
          </w:p>
        </w:tc>
        <w:tc>
          <w:tcPr>
            <w:tcW w:w="567" w:type="dxa"/>
            <w:shd w:val="clear" w:color="auto" w:fill="auto"/>
            <w:noWrap/>
            <w:hideMark/>
          </w:tcPr>
          <w:p w14:paraId="658D6212"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1701" w:type="dxa"/>
            <w:shd w:val="clear" w:color="auto" w:fill="auto"/>
            <w:noWrap/>
            <w:hideMark/>
          </w:tcPr>
          <w:p w14:paraId="7BF83A75" w14:textId="77777777" w:rsidR="008F3151" w:rsidRPr="00D518FF" w:rsidRDefault="008F3151">
            <w:pPr>
              <w:rPr>
                <w:rFonts w:ascii="Aptos" w:hAnsi="Aptos"/>
                <w:color w:val="000000"/>
                <w:sz w:val="16"/>
                <w:szCs w:val="16"/>
              </w:rPr>
            </w:pPr>
            <w:r w:rsidRPr="00D518FF">
              <w:rPr>
                <w:rFonts w:ascii="Aptos" w:hAnsi="Aptos"/>
                <w:color w:val="000000"/>
                <w:sz w:val="16"/>
                <w:szCs w:val="16"/>
              </w:rPr>
              <w:t>Social Work in Mental Health</w:t>
            </w:r>
          </w:p>
        </w:tc>
        <w:tc>
          <w:tcPr>
            <w:tcW w:w="850" w:type="dxa"/>
            <w:shd w:val="clear" w:color="auto" w:fill="auto"/>
            <w:noWrap/>
            <w:hideMark/>
          </w:tcPr>
          <w:p w14:paraId="7CE7863F"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567" w:type="dxa"/>
            <w:shd w:val="clear" w:color="auto" w:fill="auto"/>
            <w:noWrap/>
            <w:hideMark/>
          </w:tcPr>
          <w:p w14:paraId="591626E1"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41DE79A7" w14:textId="77777777" w:rsidR="008F3151" w:rsidRPr="00D518FF" w:rsidRDefault="008F3151">
            <w:pPr>
              <w:rPr>
                <w:rFonts w:ascii="Aptos" w:hAnsi="Aptos"/>
                <w:color w:val="000000"/>
                <w:sz w:val="16"/>
                <w:szCs w:val="16"/>
              </w:rPr>
            </w:pPr>
            <w:r w:rsidRPr="00D518FF">
              <w:rPr>
                <w:rFonts w:ascii="Aptos" w:hAnsi="Aptos"/>
                <w:color w:val="000000"/>
                <w:sz w:val="16"/>
                <w:szCs w:val="16"/>
              </w:rPr>
              <w:t>106-128</w:t>
            </w:r>
          </w:p>
        </w:tc>
        <w:tc>
          <w:tcPr>
            <w:tcW w:w="2126" w:type="dxa"/>
            <w:shd w:val="clear" w:color="auto" w:fill="auto"/>
            <w:noWrap/>
            <w:hideMark/>
          </w:tcPr>
          <w:p w14:paraId="0EEDD56F"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5AA36FF6" w14:textId="77777777" w:rsidTr="004C6AA1">
        <w:trPr>
          <w:trHeight w:val="320"/>
        </w:trPr>
        <w:tc>
          <w:tcPr>
            <w:tcW w:w="4182" w:type="dxa"/>
            <w:shd w:val="clear" w:color="auto" w:fill="auto"/>
            <w:noWrap/>
            <w:hideMark/>
          </w:tcPr>
          <w:p w14:paraId="0CE9C00F" w14:textId="77777777" w:rsidR="008F3151" w:rsidRPr="00D518FF" w:rsidRDefault="008F3151">
            <w:pPr>
              <w:rPr>
                <w:rFonts w:ascii="Aptos" w:hAnsi="Aptos"/>
                <w:color w:val="000000"/>
                <w:sz w:val="16"/>
                <w:szCs w:val="16"/>
              </w:rPr>
            </w:pPr>
            <w:r w:rsidRPr="00D518FF">
              <w:rPr>
                <w:rFonts w:ascii="Aptos" w:hAnsi="Aptos"/>
                <w:color w:val="000000"/>
                <w:sz w:val="16"/>
                <w:szCs w:val="16"/>
              </w:rPr>
              <w:t>Effectiveness and tolerance of anti-inflammatory drugs' add-on therapy in major mental disorders: a systematic qualitative review</w:t>
            </w:r>
          </w:p>
        </w:tc>
        <w:tc>
          <w:tcPr>
            <w:tcW w:w="3544" w:type="dxa"/>
            <w:shd w:val="clear" w:color="auto" w:fill="auto"/>
            <w:noWrap/>
            <w:hideMark/>
          </w:tcPr>
          <w:p w14:paraId="7E79A6EF" w14:textId="77777777" w:rsidR="008F3151" w:rsidRPr="00D518FF" w:rsidRDefault="008F3151">
            <w:pPr>
              <w:rPr>
                <w:rFonts w:ascii="Aptos" w:hAnsi="Aptos"/>
                <w:color w:val="000000"/>
                <w:sz w:val="16"/>
                <w:szCs w:val="16"/>
              </w:rPr>
            </w:pPr>
            <w:r w:rsidRPr="00D518FF">
              <w:rPr>
                <w:rFonts w:ascii="Aptos" w:hAnsi="Aptos"/>
                <w:color w:val="000000"/>
                <w:sz w:val="16"/>
                <w:szCs w:val="16"/>
              </w:rPr>
              <w:t>Fond, G.; Hamdani, N.; Kapczinski, F.; Boukouaci, W.; Drancourt, N.; Dargel, A.; Oliveira, J.; Le Guen, E.; Marlinge, E.; Tamouza, R.; Leboyer, M.</w:t>
            </w:r>
          </w:p>
        </w:tc>
        <w:tc>
          <w:tcPr>
            <w:tcW w:w="567" w:type="dxa"/>
            <w:shd w:val="clear" w:color="auto" w:fill="auto"/>
            <w:noWrap/>
            <w:hideMark/>
          </w:tcPr>
          <w:p w14:paraId="1C061477" w14:textId="77777777" w:rsidR="008F3151" w:rsidRPr="00D518FF" w:rsidRDefault="008F3151">
            <w:pPr>
              <w:rPr>
                <w:rFonts w:ascii="Aptos" w:hAnsi="Aptos"/>
                <w:color w:val="000000"/>
                <w:sz w:val="16"/>
                <w:szCs w:val="16"/>
              </w:rPr>
            </w:pPr>
            <w:r w:rsidRPr="00D518FF">
              <w:rPr>
                <w:rFonts w:ascii="Aptos" w:hAnsi="Aptos"/>
                <w:color w:val="000000"/>
                <w:sz w:val="16"/>
                <w:szCs w:val="16"/>
              </w:rPr>
              <w:t>2014</w:t>
            </w:r>
          </w:p>
        </w:tc>
        <w:tc>
          <w:tcPr>
            <w:tcW w:w="1701" w:type="dxa"/>
            <w:shd w:val="clear" w:color="auto" w:fill="auto"/>
            <w:noWrap/>
            <w:hideMark/>
          </w:tcPr>
          <w:p w14:paraId="304BD39A" w14:textId="77777777" w:rsidR="008F3151" w:rsidRPr="00D518FF" w:rsidRDefault="008F3151">
            <w:pPr>
              <w:rPr>
                <w:rFonts w:ascii="Aptos" w:hAnsi="Aptos"/>
                <w:color w:val="000000"/>
                <w:sz w:val="16"/>
                <w:szCs w:val="16"/>
              </w:rPr>
            </w:pPr>
            <w:r w:rsidRPr="00D518FF">
              <w:rPr>
                <w:rFonts w:ascii="Aptos" w:hAnsi="Aptos"/>
                <w:color w:val="000000"/>
                <w:sz w:val="16"/>
                <w:szCs w:val="16"/>
              </w:rPr>
              <w:t>Acta psychiatrica Scandinavica</w:t>
            </w:r>
          </w:p>
        </w:tc>
        <w:tc>
          <w:tcPr>
            <w:tcW w:w="850" w:type="dxa"/>
            <w:shd w:val="clear" w:color="auto" w:fill="auto"/>
            <w:noWrap/>
            <w:hideMark/>
          </w:tcPr>
          <w:p w14:paraId="68018187" w14:textId="77777777" w:rsidR="008F3151" w:rsidRPr="00D518FF" w:rsidRDefault="008F3151">
            <w:pPr>
              <w:rPr>
                <w:rFonts w:ascii="Aptos" w:hAnsi="Aptos"/>
                <w:color w:val="000000"/>
                <w:sz w:val="16"/>
                <w:szCs w:val="16"/>
              </w:rPr>
            </w:pPr>
            <w:r w:rsidRPr="00D518FF">
              <w:rPr>
                <w:rFonts w:ascii="Aptos" w:hAnsi="Aptos"/>
                <w:color w:val="000000"/>
                <w:sz w:val="16"/>
                <w:szCs w:val="16"/>
              </w:rPr>
              <w:t>129</w:t>
            </w:r>
          </w:p>
        </w:tc>
        <w:tc>
          <w:tcPr>
            <w:tcW w:w="567" w:type="dxa"/>
            <w:shd w:val="clear" w:color="auto" w:fill="auto"/>
            <w:noWrap/>
            <w:hideMark/>
          </w:tcPr>
          <w:p w14:paraId="1CD2F5EE"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643175CA" w14:textId="77777777" w:rsidR="008F3151" w:rsidRPr="00D518FF" w:rsidRDefault="008F3151">
            <w:pPr>
              <w:rPr>
                <w:rFonts w:ascii="Aptos" w:hAnsi="Aptos"/>
                <w:color w:val="000000"/>
                <w:sz w:val="16"/>
                <w:szCs w:val="16"/>
              </w:rPr>
            </w:pPr>
            <w:r w:rsidRPr="00D518FF">
              <w:rPr>
                <w:rFonts w:ascii="Aptos" w:hAnsi="Aptos"/>
                <w:color w:val="000000"/>
                <w:sz w:val="16"/>
                <w:szCs w:val="16"/>
              </w:rPr>
              <w:t>163-79</w:t>
            </w:r>
          </w:p>
        </w:tc>
        <w:tc>
          <w:tcPr>
            <w:tcW w:w="2126" w:type="dxa"/>
            <w:shd w:val="clear" w:color="auto" w:fill="auto"/>
            <w:noWrap/>
            <w:hideMark/>
          </w:tcPr>
          <w:p w14:paraId="5880A76A"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55947DCE" w14:textId="77777777" w:rsidTr="004C6AA1">
        <w:trPr>
          <w:trHeight w:val="320"/>
        </w:trPr>
        <w:tc>
          <w:tcPr>
            <w:tcW w:w="4182" w:type="dxa"/>
            <w:shd w:val="clear" w:color="auto" w:fill="auto"/>
            <w:noWrap/>
            <w:hideMark/>
          </w:tcPr>
          <w:p w14:paraId="4B0B2422" w14:textId="77777777" w:rsidR="008F3151" w:rsidRPr="00D518FF" w:rsidRDefault="008F3151">
            <w:pPr>
              <w:rPr>
                <w:rFonts w:ascii="Aptos" w:hAnsi="Aptos"/>
                <w:color w:val="000000"/>
                <w:sz w:val="16"/>
                <w:szCs w:val="16"/>
              </w:rPr>
            </w:pPr>
            <w:r w:rsidRPr="00D518FF">
              <w:rPr>
                <w:rFonts w:ascii="Aptos" w:hAnsi="Aptos"/>
                <w:color w:val="000000"/>
                <w:sz w:val="16"/>
                <w:szCs w:val="16"/>
              </w:rPr>
              <w:t>Effectiveness of complementary and self-help treatments for depression in children and adolescents</w:t>
            </w:r>
          </w:p>
        </w:tc>
        <w:tc>
          <w:tcPr>
            <w:tcW w:w="3544" w:type="dxa"/>
            <w:shd w:val="clear" w:color="auto" w:fill="auto"/>
            <w:noWrap/>
            <w:hideMark/>
          </w:tcPr>
          <w:p w14:paraId="0575F82F" w14:textId="77777777" w:rsidR="008F3151" w:rsidRPr="00D518FF" w:rsidRDefault="008F3151">
            <w:pPr>
              <w:rPr>
                <w:rFonts w:ascii="Aptos" w:hAnsi="Aptos"/>
                <w:color w:val="000000"/>
                <w:sz w:val="16"/>
                <w:szCs w:val="16"/>
              </w:rPr>
            </w:pPr>
            <w:r w:rsidRPr="00D518FF">
              <w:rPr>
                <w:rFonts w:ascii="Aptos" w:hAnsi="Aptos"/>
                <w:color w:val="000000"/>
                <w:sz w:val="16"/>
                <w:szCs w:val="16"/>
              </w:rPr>
              <w:t>Jorm AF; Allen NB; O'Donnell CP; Parslow RA; Purcell R; Morgan AJ</w:t>
            </w:r>
          </w:p>
        </w:tc>
        <w:tc>
          <w:tcPr>
            <w:tcW w:w="567" w:type="dxa"/>
            <w:shd w:val="clear" w:color="auto" w:fill="auto"/>
            <w:noWrap/>
            <w:hideMark/>
          </w:tcPr>
          <w:p w14:paraId="19BECFA9" w14:textId="77777777" w:rsidR="008F3151" w:rsidRPr="00D518FF" w:rsidRDefault="008F3151">
            <w:pPr>
              <w:rPr>
                <w:rFonts w:ascii="Aptos" w:hAnsi="Aptos"/>
                <w:color w:val="000000"/>
                <w:sz w:val="16"/>
                <w:szCs w:val="16"/>
              </w:rPr>
            </w:pPr>
            <w:r w:rsidRPr="00D518FF">
              <w:rPr>
                <w:rFonts w:ascii="Aptos" w:hAnsi="Aptos"/>
                <w:color w:val="000000"/>
                <w:sz w:val="16"/>
                <w:szCs w:val="16"/>
              </w:rPr>
              <w:t>2006</w:t>
            </w:r>
          </w:p>
        </w:tc>
        <w:tc>
          <w:tcPr>
            <w:tcW w:w="1701" w:type="dxa"/>
            <w:shd w:val="clear" w:color="auto" w:fill="auto"/>
            <w:noWrap/>
            <w:hideMark/>
          </w:tcPr>
          <w:p w14:paraId="48313CCB" w14:textId="77777777" w:rsidR="008F3151" w:rsidRPr="00D518FF" w:rsidRDefault="008F3151">
            <w:pPr>
              <w:rPr>
                <w:rFonts w:ascii="Aptos" w:hAnsi="Aptos"/>
                <w:color w:val="000000"/>
                <w:sz w:val="16"/>
                <w:szCs w:val="16"/>
              </w:rPr>
            </w:pPr>
            <w:r w:rsidRPr="00D518FF">
              <w:rPr>
                <w:rFonts w:ascii="Aptos" w:hAnsi="Aptos"/>
                <w:color w:val="000000"/>
                <w:sz w:val="16"/>
                <w:szCs w:val="16"/>
              </w:rPr>
              <w:t>Medical Journal of Australia</w:t>
            </w:r>
          </w:p>
        </w:tc>
        <w:tc>
          <w:tcPr>
            <w:tcW w:w="850" w:type="dxa"/>
            <w:shd w:val="clear" w:color="auto" w:fill="auto"/>
            <w:noWrap/>
            <w:hideMark/>
          </w:tcPr>
          <w:p w14:paraId="23F60CA4" w14:textId="77777777" w:rsidR="008F3151" w:rsidRPr="00D518FF" w:rsidRDefault="008F3151">
            <w:pPr>
              <w:rPr>
                <w:rFonts w:ascii="Aptos" w:hAnsi="Aptos"/>
                <w:color w:val="000000"/>
                <w:sz w:val="16"/>
                <w:szCs w:val="16"/>
              </w:rPr>
            </w:pPr>
            <w:r w:rsidRPr="00D518FF">
              <w:rPr>
                <w:rFonts w:ascii="Aptos" w:hAnsi="Aptos"/>
                <w:color w:val="000000"/>
                <w:sz w:val="16"/>
                <w:szCs w:val="16"/>
              </w:rPr>
              <w:t>185</w:t>
            </w:r>
          </w:p>
        </w:tc>
        <w:tc>
          <w:tcPr>
            <w:tcW w:w="567" w:type="dxa"/>
            <w:shd w:val="clear" w:color="auto" w:fill="auto"/>
            <w:noWrap/>
            <w:hideMark/>
          </w:tcPr>
          <w:p w14:paraId="314FC1B3"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709" w:type="dxa"/>
            <w:shd w:val="clear" w:color="auto" w:fill="auto"/>
            <w:noWrap/>
            <w:hideMark/>
          </w:tcPr>
          <w:p w14:paraId="5BC6CCDD" w14:textId="77777777" w:rsidR="008F3151" w:rsidRPr="00D518FF" w:rsidRDefault="008F3151">
            <w:pPr>
              <w:rPr>
                <w:rFonts w:ascii="Aptos" w:hAnsi="Aptos"/>
                <w:color w:val="000000"/>
                <w:sz w:val="16"/>
                <w:szCs w:val="16"/>
              </w:rPr>
            </w:pPr>
            <w:r w:rsidRPr="00D518FF">
              <w:rPr>
                <w:rFonts w:ascii="Aptos" w:hAnsi="Aptos"/>
                <w:color w:val="000000"/>
                <w:sz w:val="16"/>
                <w:szCs w:val="16"/>
              </w:rPr>
              <w:t>368-72</w:t>
            </w:r>
          </w:p>
        </w:tc>
        <w:tc>
          <w:tcPr>
            <w:tcW w:w="2126" w:type="dxa"/>
            <w:shd w:val="clear" w:color="auto" w:fill="auto"/>
            <w:noWrap/>
            <w:hideMark/>
          </w:tcPr>
          <w:p w14:paraId="74AE1625"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02EB34EE" w14:textId="77777777" w:rsidTr="004C6AA1">
        <w:trPr>
          <w:trHeight w:val="320"/>
        </w:trPr>
        <w:tc>
          <w:tcPr>
            <w:tcW w:w="4182" w:type="dxa"/>
            <w:shd w:val="clear" w:color="auto" w:fill="auto"/>
            <w:noWrap/>
            <w:hideMark/>
          </w:tcPr>
          <w:p w14:paraId="3CAB251F" w14:textId="77777777" w:rsidR="008F3151" w:rsidRPr="00D518FF" w:rsidRDefault="008F3151">
            <w:pPr>
              <w:rPr>
                <w:rFonts w:ascii="Aptos" w:hAnsi="Aptos"/>
                <w:color w:val="000000"/>
                <w:sz w:val="16"/>
                <w:szCs w:val="16"/>
              </w:rPr>
            </w:pPr>
            <w:r w:rsidRPr="00D518FF">
              <w:rPr>
                <w:rFonts w:ascii="Aptos" w:hAnsi="Aptos"/>
                <w:color w:val="000000"/>
                <w:sz w:val="16"/>
                <w:szCs w:val="16"/>
              </w:rPr>
              <w:t>Effects of low doses of polyunsaturated Fatty acids on the attention deficit/hyperactivity disorder of children: a systematic review</w:t>
            </w:r>
          </w:p>
        </w:tc>
        <w:tc>
          <w:tcPr>
            <w:tcW w:w="3544" w:type="dxa"/>
            <w:shd w:val="clear" w:color="auto" w:fill="auto"/>
            <w:noWrap/>
            <w:hideMark/>
          </w:tcPr>
          <w:p w14:paraId="0CBBF593" w14:textId="77777777" w:rsidR="008F3151" w:rsidRPr="00D518FF" w:rsidRDefault="008F3151">
            <w:pPr>
              <w:rPr>
                <w:rFonts w:ascii="Aptos" w:hAnsi="Aptos"/>
                <w:color w:val="000000"/>
                <w:sz w:val="16"/>
                <w:szCs w:val="16"/>
              </w:rPr>
            </w:pPr>
            <w:r w:rsidRPr="00D518FF">
              <w:rPr>
                <w:rFonts w:ascii="Aptos" w:hAnsi="Aptos"/>
                <w:color w:val="000000"/>
                <w:sz w:val="16"/>
                <w:szCs w:val="16"/>
              </w:rPr>
              <w:t>Grassmann, V.; Santos-Galdur√≥z, R. F.; Galdur√≥z, J. C.</w:t>
            </w:r>
          </w:p>
        </w:tc>
        <w:tc>
          <w:tcPr>
            <w:tcW w:w="567" w:type="dxa"/>
            <w:shd w:val="clear" w:color="auto" w:fill="auto"/>
            <w:noWrap/>
            <w:hideMark/>
          </w:tcPr>
          <w:p w14:paraId="21C8BDAE" w14:textId="77777777" w:rsidR="008F3151" w:rsidRPr="00D518FF" w:rsidRDefault="008F3151">
            <w:pPr>
              <w:rPr>
                <w:rFonts w:ascii="Aptos" w:hAnsi="Aptos"/>
                <w:color w:val="000000"/>
                <w:sz w:val="16"/>
                <w:szCs w:val="16"/>
              </w:rPr>
            </w:pPr>
            <w:r w:rsidRPr="00D518FF">
              <w:rPr>
                <w:rFonts w:ascii="Aptos" w:hAnsi="Aptos"/>
                <w:color w:val="000000"/>
                <w:sz w:val="16"/>
                <w:szCs w:val="16"/>
              </w:rPr>
              <w:t>2013</w:t>
            </w:r>
          </w:p>
        </w:tc>
        <w:tc>
          <w:tcPr>
            <w:tcW w:w="1701" w:type="dxa"/>
            <w:shd w:val="clear" w:color="auto" w:fill="auto"/>
            <w:noWrap/>
            <w:hideMark/>
          </w:tcPr>
          <w:p w14:paraId="2D21754F" w14:textId="77777777" w:rsidR="008F3151" w:rsidRPr="00D518FF" w:rsidRDefault="008F3151">
            <w:pPr>
              <w:rPr>
                <w:rFonts w:ascii="Aptos" w:hAnsi="Aptos"/>
                <w:color w:val="000000"/>
                <w:sz w:val="16"/>
                <w:szCs w:val="16"/>
              </w:rPr>
            </w:pPr>
            <w:r w:rsidRPr="00D518FF">
              <w:rPr>
                <w:rFonts w:ascii="Aptos" w:hAnsi="Aptos"/>
                <w:color w:val="000000"/>
                <w:sz w:val="16"/>
                <w:szCs w:val="16"/>
              </w:rPr>
              <w:t>Current neuropharmacology</w:t>
            </w:r>
          </w:p>
        </w:tc>
        <w:tc>
          <w:tcPr>
            <w:tcW w:w="850" w:type="dxa"/>
            <w:shd w:val="clear" w:color="auto" w:fill="auto"/>
            <w:noWrap/>
            <w:hideMark/>
          </w:tcPr>
          <w:p w14:paraId="779E1AE8" w14:textId="77777777" w:rsidR="008F3151" w:rsidRPr="00D518FF" w:rsidRDefault="008F3151">
            <w:pPr>
              <w:rPr>
                <w:rFonts w:ascii="Aptos" w:hAnsi="Aptos"/>
                <w:color w:val="000000"/>
                <w:sz w:val="16"/>
                <w:szCs w:val="16"/>
              </w:rPr>
            </w:pPr>
            <w:r w:rsidRPr="00D518FF">
              <w:rPr>
                <w:rFonts w:ascii="Aptos" w:hAnsi="Aptos"/>
                <w:color w:val="000000"/>
                <w:sz w:val="16"/>
                <w:szCs w:val="16"/>
              </w:rPr>
              <w:t>11</w:t>
            </w:r>
          </w:p>
        </w:tc>
        <w:tc>
          <w:tcPr>
            <w:tcW w:w="567" w:type="dxa"/>
            <w:shd w:val="clear" w:color="auto" w:fill="auto"/>
            <w:noWrap/>
            <w:hideMark/>
          </w:tcPr>
          <w:p w14:paraId="077B33DD"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1C81693F" w14:textId="77777777" w:rsidR="008F3151" w:rsidRPr="00D518FF" w:rsidRDefault="008F3151">
            <w:pPr>
              <w:rPr>
                <w:rFonts w:ascii="Aptos" w:hAnsi="Aptos"/>
                <w:color w:val="000000"/>
                <w:sz w:val="16"/>
                <w:szCs w:val="16"/>
              </w:rPr>
            </w:pPr>
            <w:r w:rsidRPr="00D518FF">
              <w:rPr>
                <w:rFonts w:ascii="Aptos" w:hAnsi="Aptos"/>
                <w:color w:val="000000"/>
                <w:sz w:val="16"/>
                <w:szCs w:val="16"/>
              </w:rPr>
              <w:t>186-96</w:t>
            </w:r>
          </w:p>
        </w:tc>
        <w:tc>
          <w:tcPr>
            <w:tcW w:w="2126" w:type="dxa"/>
            <w:shd w:val="clear" w:color="auto" w:fill="auto"/>
            <w:noWrap/>
            <w:hideMark/>
          </w:tcPr>
          <w:p w14:paraId="2BAF6610"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50A515AF" w14:textId="77777777" w:rsidTr="004C6AA1">
        <w:trPr>
          <w:trHeight w:val="320"/>
        </w:trPr>
        <w:tc>
          <w:tcPr>
            <w:tcW w:w="4182" w:type="dxa"/>
            <w:shd w:val="clear" w:color="auto" w:fill="auto"/>
            <w:noWrap/>
            <w:hideMark/>
          </w:tcPr>
          <w:p w14:paraId="145A3C05" w14:textId="77777777" w:rsidR="008F3151" w:rsidRPr="00D518FF" w:rsidRDefault="008F3151">
            <w:pPr>
              <w:rPr>
                <w:rFonts w:ascii="Aptos" w:hAnsi="Aptos"/>
                <w:color w:val="000000"/>
                <w:sz w:val="16"/>
                <w:szCs w:val="16"/>
              </w:rPr>
            </w:pPr>
            <w:r w:rsidRPr="00D518FF">
              <w:rPr>
                <w:rFonts w:ascii="Aptos" w:hAnsi="Aptos"/>
                <w:color w:val="000000"/>
                <w:sz w:val="16"/>
                <w:szCs w:val="16"/>
              </w:rPr>
              <w:t>Effects of omega 3 fatty acids supplementation in behavior and non-neurodegenerative neuropsychiatric disorders</w:t>
            </w:r>
          </w:p>
        </w:tc>
        <w:tc>
          <w:tcPr>
            <w:tcW w:w="3544" w:type="dxa"/>
            <w:shd w:val="clear" w:color="auto" w:fill="auto"/>
            <w:noWrap/>
            <w:hideMark/>
          </w:tcPr>
          <w:p w14:paraId="64BD5014" w14:textId="77777777" w:rsidR="008F3151" w:rsidRPr="00D518FF" w:rsidRDefault="008F3151">
            <w:pPr>
              <w:rPr>
                <w:rFonts w:ascii="Aptos" w:hAnsi="Aptos"/>
                <w:color w:val="000000"/>
                <w:sz w:val="16"/>
                <w:szCs w:val="16"/>
              </w:rPr>
            </w:pPr>
            <w:r w:rsidRPr="00D518FF">
              <w:rPr>
                <w:rFonts w:ascii="Aptos" w:hAnsi="Aptos"/>
                <w:color w:val="000000"/>
                <w:sz w:val="16"/>
                <w:szCs w:val="16"/>
              </w:rPr>
              <w:t>Ortega, R. M.; Rodr√≠guez-Rodr√≠guez, E.; L√≥pez-Sobaler, A. M.</w:t>
            </w:r>
          </w:p>
        </w:tc>
        <w:tc>
          <w:tcPr>
            <w:tcW w:w="567" w:type="dxa"/>
            <w:shd w:val="clear" w:color="auto" w:fill="auto"/>
            <w:noWrap/>
            <w:hideMark/>
          </w:tcPr>
          <w:p w14:paraId="4DB5EBF4" w14:textId="77777777" w:rsidR="008F3151" w:rsidRPr="00D518FF" w:rsidRDefault="008F3151">
            <w:pPr>
              <w:rPr>
                <w:rFonts w:ascii="Aptos" w:hAnsi="Aptos"/>
                <w:color w:val="000000"/>
                <w:sz w:val="16"/>
                <w:szCs w:val="16"/>
              </w:rPr>
            </w:pPr>
            <w:r w:rsidRPr="00D518FF">
              <w:rPr>
                <w:rFonts w:ascii="Aptos" w:hAnsi="Aptos"/>
                <w:color w:val="000000"/>
                <w:sz w:val="16"/>
                <w:szCs w:val="16"/>
              </w:rPr>
              <w:t>2012</w:t>
            </w:r>
          </w:p>
        </w:tc>
        <w:tc>
          <w:tcPr>
            <w:tcW w:w="1701" w:type="dxa"/>
            <w:shd w:val="clear" w:color="auto" w:fill="auto"/>
            <w:noWrap/>
            <w:hideMark/>
          </w:tcPr>
          <w:p w14:paraId="5729BD91" w14:textId="77777777" w:rsidR="008F3151" w:rsidRPr="00D518FF" w:rsidRDefault="008F3151">
            <w:pPr>
              <w:rPr>
                <w:rFonts w:ascii="Aptos" w:hAnsi="Aptos"/>
                <w:color w:val="000000"/>
                <w:sz w:val="16"/>
                <w:szCs w:val="16"/>
              </w:rPr>
            </w:pPr>
            <w:r w:rsidRPr="00D518FF">
              <w:rPr>
                <w:rFonts w:ascii="Aptos" w:hAnsi="Aptos"/>
                <w:color w:val="000000"/>
                <w:sz w:val="16"/>
                <w:szCs w:val="16"/>
              </w:rPr>
              <w:t>The British journal of nutrition</w:t>
            </w:r>
          </w:p>
        </w:tc>
        <w:tc>
          <w:tcPr>
            <w:tcW w:w="850" w:type="dxa"/>
            <w:shd w:val="clear" w:color="auto" w:fill="auto"/>
            <w:noWrap/>
            <w:hideMark/>
          </w:tcPr>
          <w:p w14:paraId="775A39EA" w14:textId="77777777" w:rsidR="008F3151" w:rsidRPr="00D518FF" w:rsidRDefault="008F3151">
            <w:pPr>
              <w:rPr>
                <w:rFonts w:ascii="Aptos" w:hAnsi="Aptos"/>
                <w:color w:val="000000"/>
                <w:sz w:val="16"/>
                <w:szCs w:val="16"/>
              </w:rPr>
            </w:pPr>
            <w:r w:rsidRPr="00D518FF">
              <w:rPr>
                <w:rFonts w:ascii="Aptos" w:hAnsi="Aptos"/>
                <w:color w:val="000000"/>
                <w:sz w:val="16"/>
                <w:szCs w:val="16"/>
              </w:rPr>
              <w:t>107 Suppl 2</w:t>
            </w:r>
          </w:p>
        </w:tc>
        <w:tc>
          <w:tcPr>
            <w:tcW w:w="567" w:type="dxa"/>
            <w:shd w:val="clear" w:color="auto" w:fill="auto"/>
            <w:noWrap/>
            <w:hideMark/>
          </w:tcPr>
          <w:p w14:paraId="5B6CC8D5" w14:textId="77777777" w:rsidR="008F3151" w:rsidRPr="00D518FF" w:rsidRDefault="008F3151">
            <w:pPr>
              <w:rPr>
                <w:rFonts w:ascii="Aptos" w:hAnsi="Aptos"/>
                <w:color w:val="000000"/>
                <w:sz w:val="16"/>
                <w:szCs w:val="16"/>
              </w:rPr>
            </w:pPr>
            <w:r w:rsidRPr="00D518FF">
              <w:rPr>
                <w:rFonts w:ascii="Aptos" w:hAnsi="Aptos"/>
                <w:color w:val="000000"/>
                <w:sz w:val="16"/>
                <w:szCs w:val="16"/>
              </w:rPr>
              <w:t>SUPPL. 2</w:t>
            </w:r>
          </w:p>
        </w:tc>
        <w:tc>
          <w:tcPr>
            <w:tcW w:w="709" w:type="dxa"/>
            <w:shd w:val="clear" w:color="auto" w:fill="auto"/>
            <w:noWrap/>
            <w:hideMark/>
          </w:tcPr>
          <w:p w14:paraId="776172E9" w14:textId="77777777" w:rsidR="008F3151" w:rsidRPr="00D518FF" w:rsidRDefault="008F3151">
            <w:pPr>
              <w:rPr>
                <w:rFonts w:ascii="Aptos" w:hAnsi="Aptos"/>
                <w:color w:val="000000"/>
                <w:sz w:val="16"/>
                <w:szCs w:val="16"/>
              </w:rPr>
            </w:pPr>
            <w:r w:rsidRPr="00D518FF">
              <w:rPr>
                <w:rFonts w:ascii="Aptos" w:hAnsi="Aptos"/>
                <w:color w:val="000000"/>
                <w:sz w:val="16"/>
                <w:szCs w:val="16"/>
              </w:rPr>
              <w:t>S261-70</w:t>
            </w:r>
          </w:p>
        </w:tc>
        <w:tc>
          <w:tcPr>
            <w:tcW w:w="2126" w:type="dxa"/>
            <w:shd w:val="clear" w:color="auto" w:fill="auto"/>
            <w:noWrap/>
            <w:hideMark/>
          </w:tcPr>
          <w:p w14:paraId="7082452F"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1AF4F741" w14:textId="77777777" w:rsidTr="004C6AA1">
        <w:trPr>
          <w:trHeight w:val="320"/>
        </w:trPr>
        <w:tc>
          <w:tcPr>
            <w:tcW w:w="4182" w:type="dxa"/>
            <w:shd w:val="clear" w:color="auto" w:fill="auto"/>
            <w:noWrap/>
            <w:hideMark/>
          </w:tcPr>
          <w:p w14:paraId="683DACEB"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Long chain omega-3 polyunsaturated fatty acids in the treatment of psychiatric illnesses in children and adolescents</w:t>
            </w:r>
          </w:p>
        </w:tc>
        <w:tc>
          <w:tcPr>
            <w:tcW w:w="3544" w:type="dxa"/>
            <w:shd w:val="clear" w:color="auto" w:fill="auto"/>
            <w:noWrap/>
            <w:hideMark/>
          </w:tcPr>
          <w:p w14:paraId="211FA51D" w14:textId="77777777" w:rsidR="008F3151" w:rsidRPr="00D518FF" w:rsidRDefault="008F3151">
            <w:pPr>
              <w:rPr>
                <w:rFonts w:ascii="Aptos" w:hAnsi="Aptos"/>
                <w:color w:val="000000"/>
                <w:sz w:val="16"/>
                <w:szCs w:val="16"/>
              </w:rPr>
            </w:pPr>
            <w:r w:rsidRPr="00D518FF">
              <w:rPr>
                <w:rFonts w:ascii="Aptos" w:hAnsi="Aptos"/>
                <w:color w:val="000000"/>
                <w:sz w:val="16"/>
                <w:szCs w:val="16"/>
              </w:rPr>
              <w:t>Clayton, Edward H.; Hanstock, Tanya L.; Garg, Manohar L.; Hazell, Philip L.</w:t>
            </w:r>
          </w:p>
        </w:tc>
        <w:tc>
          <w:tcPr>
            <w:tcW w:w="567" w:type="dxa"/>
            <w:shd w:val="clear" w:color="auto" w:fill="auto"/>
            <w:noWrap/>
            <w:hideMark/>
          </w:tcPr>
          <w:p w14:paraId="560E1908" w14:textId="77777777" w:rsidR="008F3151" w:rsidRPr="00D518FF" w:rsidRDefault="008F3151">
            <w:pPr>
              <w:rPr>
                <w:rFonts w:ascii="Aptos" w:hAnsi="Aptos"/>
                <w:color w:val="000000"/>
                <w:sz w:val="16"/>
                <w:szCs w:val="16"/>
              </w:rPr>
            </w:pPr>
            <w:r w:rsidRPr="00D518FF">
              <w:rPr>
                <w:rFonts w:ascii="Aptos" w:hAnsi="Aptos"/>
                <w:color w:val="000000"/>
                <w:sz w:val="16"/>
                <w:szCs w:val="16"/>
              </w:rPr>
              <w:t>2007</w:t>
            </w:r>
          </w:p>
        </w:tc>
        <w:tc>
          <w:tcPr>
            <w:tcW w:w="1701" w:type="dxa"/>
            <w:shd w:val="clear" w:color="auto" w:fill="auto"/>
            <w:noWrap/>
            <w:hideMark/>
          </w:tcPr>
          <w:p w14:paraId="75E33D64" w14:textId="77777777" w:rsidR="008F3151" w:rsidRPr="00D518FF" w:rsidRDefault="008F3151">
            <w:pPr>
              <w:rPr>
                <w:rFonts w:ascii="Aptos" w:hAnsi="Aptos"/>
                <w:color w:val="000000"/>
                <w:sz w:val="16"/>
                <w:szCs w:val="16"/>
              </w:rPr>
            </w:pPr>
            <w:r w:rsidRPr="00D518FF">
              <w:rPr>
                <w:rFonts w:ascii="Aptos" w:hAnsi="Aptos"/>
                <w:color w:val="000000"/>
                <w:sz w:val="16"/>
                <w:szCs w:val="16"/>
              </w:rPr>
              <w:t>Acta Neuropsychiatrica</w:t>
            </w:r>
          </w:p>
        </w:tc>
        <w:tc>
          <w:tcPr>
            <w:tcW w:w="850" w:type="dxa"/>
            <w:shd w:val="clear" w:color="auto" w:fill="auto"/>
            <w:noWrap/>
            <w:hideMark/>
          </w:tcPr>
          <w:p w14:paraId="29B71E57" w14:textId="77777777" w:rsidR="008F3151" w:rsidRPr="00D518FF" w:rsidRDefault="008F3151">
            <w:pPr>
              <w:rPr>
                <w:rFonts w:ascii="Aptos" w:hAnsi="Aptos"/>
                <w:color w:val="000000"/>
                <w:sz w:val="16"/>
                <w:szCs w:val="16"/>
              </w:rPr>
            </w:pPr>
            <w:r w:rsidRPr="00D518FF">
              <w:rPr>
                <w:rFonts w:ascii="Aptos" w:hAnsi="Aptos"/>
                <w:color w:val="000000"/>
                <w:sz w:val="16"/>
                <w:szCs w:val="16"/>
              </w:rPr>
              <w:t>19</w:t>
            </w:r>
          </w:p>
        </w:tc>
        <w:tc>
          <w:tcPr>
            <w:tcW w:w="567" w:type="dxa"/>
            <w:shd w:val="clear" w:color="auto" w:fill="auto"/>
            <w:noWrap/>
            <w:hideMark/>
          </w:tcPr>
          <w:p w14:paraId="7113B091"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1B699706" w14:textId="77777777" w:rsidR="008F3151" w:rsidRPr="00D518FF" w:rsidRDefault="008F3151">
            <w:pPr>
              <w:rPr>
                <w:rFonts w:ascii="Aptos" w:hAnsi="Aptos"/>
                <w:color w:val="000000"/>
                <w:sz w:val="16"/>
                <w:szCs w:val="16"/>
              </w:rPr>
            </w:pPr>
            <w:r w:rsidRPr="00D518FF">
              <w:rPr>
                <w:rFonts w:ascii="Aptos" w:hAnsi="Aptos"/>
                <w:color w:val="000000"/>
                <w:sz w:val="16"/>
                <w:szCs w:val="16"/>
              </w:rPr>
              <w:t>92-103</w:t>
            </w:r>
          </w:p>
        </w:tc>
        <w:tc>
          <w:tcPr>
            <w:tcW w:w="2126" w:type="dxa"/>
            <w:shd w:val="clear" w:color="auto" w:fill="auto"/>
            <w:noWrap/>
            <w:hideMark/>
          </w:tcPr>
          <w:p w14:paraId="3CD38DD5"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47D127E6" w14:textId="77777777" w:rsidTr="004C6AA1">
        <w:trPr>
          <w:trHeight w:val="320"/>
        </w:trPr>
        <w:tc>
          <w:tcPr>
            <w:tcW w:w="4182" w:type="dxa"/>
            <w:shd w:val="clear" w:color="auto" w:fill="auto"/>
            <w:noWrap/>
            <w:hideMark/>
          </w:tcPr>
          <w:p w14:paraId="42BE280B" w14:textId="77777777" w:rsidR="008F3151" w:rsidRPr="00D518FF" w:rsidRDefault="008F3151">
            <w:pPr>
              <w:rPr>
                <w:rFonts w:ascii="Aptos" w:hAnsi="Aptos"/>
                <w:color w:val="000000"/>
                <w:sz w:val="16"/>
                <w:szCs w:val="16"/>
              </w:rPr>
            </w:pPr>
            <w:r w:rsidRPr="00D518FF">
              <w:rPr>
                <w:rFonts w:ascii="Aptos" w:hAnsi="Aptos"/>
                <w:color w:val="000000"/>
                <w:sz w:val="16"/>
                <w:szCs w:val="16"/>
              </w:rPr>
              <w:t>Maternal omega-3 fatty acid supplementation and risk for perinatal maternal depression</w:t>
            </w:r>
          </w:p>
        </w:tc>
        <w:tc>
          <w:tcPr>
            <w:tcW w:w="3544" w:type="dxa"/>
            <w:shd w:val="clear" w:color="auto" w:fill="auto"/>
            <w:noWrap/>
            <w:hideMark/>
          </w:tcPr>
          <w:p w14:paraId="14130704" w14:textId="77777777" w:rsidR="008F3151" w:rsidRPr="00D518FF" w:rsidRDefault="008F3151">
            <w:pPr>
              <w:rPr>
                <w:rFonts w:ascii="Aptos" w:hAnsi="Aptos"/>
                <w:color w:val="000000"/>
                <w:sz w:val="16"/>
                <w:szCs w:val="16"/>
              </w:rPr>
            </w:pPr>
            <w:r w:rsidRPr="00D518FF">
              <w:rPr>
                <w:rFonts w:ascii="Aptos" w:hAnsi="Aptos"/>
                <w:color w:val="000000"/>
                <w:sz w:val="16"/>
                <w:szCs w:val="16"/>
              </w:rPr>
              <w:t>Wojcicki, J. M.; Heyman, M. B.</w:t>
            </w:r>
          </w:p>
        </w:tc>
        <w:tc>
          <w:tcPr>
            <w:tcW w:w="567" w:type="dxa"/>
            <w:shd w:val="clear" w:color="auto" w:fill="auto"/>
            <w:noWrap/>
            <w:hideMark/>
          </w:tcPr>
          <w:p w14:paraId="3900CFD6"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701" w:type="dxa"/>
            <w:shd w:val="clear" w:color="auto" w:fill="auto"/>
            <w:noWrap/>
            <w:hideMark/>
          </w:tcPr>
          <w:p w14:paraId="6F322519"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Maternal-Fetal and Neonatal Medicine</w:t>
            </w:r>
          </w:p>
        </w:tc>
        <w:tc>
          <w:tcPr>
            <w:tcW w:w="850" w:type="dxa"/>
            <w:shd w:val="clear" w:color="auto" w:fill="auto"/>
            <w:noWrap/>
            <w:hideMark/>
          </w:tcPr>
          <w:p w14:paraId="71C6208C" w14:textId="77777777" w:rsidR="008F3151" w:rsidRPr="00D518FF" w:rsidRDefault="008F3151">
            <w:pPr>
              <w:rPr>
                <w:rFonts w:ascii="Aptos" w:hAnsi="Aptos"/>
                <w:color w:val="000000"/>
                <w:sz w:val="16"/>
                <w:szCs w:val="16"/>
              </w:rPr>
            </w:pPr>
            <w:r w:rsidRPr="00D518FF">
              <w:rPr>
                <w:rFonts w:ascii="Aptos" w:hAnsi="Aptos"/>
                <w:color w:val="000000"/>
                <w:sz w:val="16"/>
                <w:szCs w:val="16"/>
              </w:rPr>
              <w:t>24</w:t>
            </w:r>
          </w:p>
        </w:tc>
        <w:tc>
          <w:tcPr>
            <w:tcW w:w="567" w:type="dxa"/>
            <w:shd w:val="clear" w:color="auto" w:fill="auto"/>
            <w:noWrap/>
            <w:hideMark/>
          </w:tcPr>
          <w:p w14:paraId="58DB8D6C"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9" w:type="dxa"/>
            <w:shd w:val="clear" w:color="auto" w:fill="auto"/>
            <w:noWrap/>
            <w:hideMark/>
          </w:tcPr>
          <w:p w14:paraId="79CD5E18" w14:textId="77777777" w:rsidR="008F3151" w:rsidRPr="00D518FF" w:rsidRDefault="008F3151">
            <w:pPr>
              <w:rPr>
                <w:rFonts w:ascii="Aptos" w:hAnsi="Aptos"/>
                <w:color w:val="000000"/>
                <w:sz w:val="16"/>
                <w:szCs w:val="16"/>
              </w:rPr>
            </w:pPr>
            <w:r w:rsidRPr="00D518FF">
              <w:rPr>
                <w:rFonts w:ascii="Aptos" w:hAnsi="Aptos"/>
                <w:color w:val="000000"/>
                <w:sz w:val="16"/>
                <w:szCs w:val="16"/>
              </w:rPr>
              <w:t>680-686</w:t>
            </w:r>
          </w:p>
        </w:tc>
        <w:tc>
          <w:tcPr>
            <w:tcW w:w="2126" w:type="dxa"/>
            <w:shd w:val="clear" w:color="auto" w:fill="auto"/>
            <w:noWrap/>
            <w:hideMark/>
          </w:tcPr>
          <w:p w14:paraId="569FB435"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1F1A4FA6" w14:textId="77777777" w:rsidTr="004C6AA1">
        <w:trPr>
          <w:trHeight w:val="320"/>
        </w:trPr>
        <w:tc>
          <w:tcPr>
            <w:tcW w:w="4182" w:type="dxa"/>
            <w:shd w:val="clear" w:color="auto" w:fill="auto"/>
            <w:noWrap/>
            <w:hideMark/>
          </w:tcPr>
          <w:p w14:paraId="3DF489CE" w14:textId="77777777" w:rsidR="008F3151" w:rsidRPr="00D518FF" w:rsidRDefault="008F3151">
            <w:pPr>
              <w:rPr>
                <w:rFonts w:ascii="Aptos" w:hAnsi="Aptos"/>
                <w:color w:val="000000"/>
                <w:sz w:val="16"/>
                <w:szCs w:val="16"/>
              </w:rPr>
            </w:pPr>
            <w:r w:rsidRPr="00D518FF">
              <w:rPr>
                <w:rFonts w:ascii="Aptos" w:hAnsi="Aptos"/>
                <w:color w:val="000000"/>
                <w:sz w:val="16"/>
                <w:szCs w:val="16"/>
              </w:rPr>
              <w:t>Meta-analysis of the effects of eicosapentaenoic acid (EPA) in clinical trials in depression</w:t>
            </w:r>
          </w:p>
        </w:tc>
        <w:tc>
          <w:tcPr>
            <w:tcW w:w="3544" w:type="dxa"/>
            <w:shd w:val="clear" w:color="auto" w:fill="auto"/>
            <w:noWrap/>
            <w:hideMark/>
          </w:tcPr>
          <w:p w14:paraId="69578936" w14:textId="77777777" w:rsidR="008F3151" w:rsidRPr="00D518FF" w:rsidRDefault="008F3151">
            <w:pPr>
              <w:rPr>
                <w:rFonts w:ascii="Aptos" w:hAnsi="Aptos"/>
                <w:color w:val="000000"/>
                <w:sz w:val="16"/>
                <w:szCs w:val="16"/>
              </w:rPr>
            </w:pPr>
            <w:r w:rsidRPr="00D518FF">
              <w:rPr>
                <w:rFonts w:ascii="Aptos" w:hAnsi="Aptos"/>
                <w:color w:val="000000"/>
                <w:sz w:val="16"/>
                <w:szCs w:val="16"/>
              </w:rPr>
              <w:t>Sublette, M. E.; Ellis, S. P.; Geant, A. L.; Mann, J. J.</w:t>
            </w:r>
          </w:p>
        </w:tc>
        <w:tc>
          <w:tcPr>
            <w:tcW w:w="567" w:type="dxa"/>
            <w:shd w:val="clear" w:color="auto" w:fill="auto"/>
            <w:noWrap/>
            <w:hideMark/>
          </w:tcPr>
          <w:p w14:paraId="5E37D39A"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701" w:type="dxa"/>
            <w:shd w:val="clear" w:color="auto" w:fill="auto"/>
            <w:noWrap/>
            <w:hideMark/>
          </w:tcPr>
          <w:p w14:paraId="1EBDA5DF" w14:textId="77777777" w:rsidR="008F3151" w:rsidRPr="00D518FF" w:rsidRDefault="008F3151">
            <w:pPr>
              <w:rPr>
                <w:rFonts w:ascii="Aptos" w:hAnsi="Aptos"/>
                <w:color w:val="000000"/>
                <w:sz w:val="16"/>
                <w:szCs w:val="16"/>
              </w:rPr>
            </w:pPr>
            <w:r w:rsidRPr="00D518FF">
              <w:rPr>
                <w:rFonts w:ascii="Aptos" w:hAnsi="Aptos"/>
                <w:color w:val="000000"/>
                <w:sz w:val="16"/>
                <w:szCs w:val="16"/>
              </w:rPr>
              <w:t>The Journal of clinical psychiatry</w:t>
            </w:r>
          </w:p>
        </w:tc>
        <w:tc>
          <w:tcPr>
            <w:tcW w:w="850" w:type="dxa"/>
            <w:shd w:val="clear" w:color="auto" w:fill="auto"/>
            <w:noWrap/>
            <w:hideMark/>
          </w:tcPr>
          <w:p w14:paraId="6C911734" w14:textId="77777777" w:rsidR="008F3151" w:rsidRPr="00D518FF" w:rsidRDefault="008F3151">
            <w:pPr>
              <w:rPr>
                <w:rFonts w:ascii="Aptos" w:hAnsi="Aptos"/>
                <w:color w:val="000000"/>
                <w:sz w:val="16"/>
                <w:szCs w:val="16"/>
              </w:rPr>
            </w:pPr>
            <w:r w:rsidRPr="00D518FF">
              <w:rPr>
                <w:rFonts w:ascii="Aptos" w:hAnsi="Aptos"/>
                <w:color w:val="000000"/>
                <w:sz w:val="16"/>
                <w:szCs w:val="16"/>
              </w:rPr>
              <w:t>72</w:t>
            </w:r>
          </w:p>
        </w:tc>
        <w:tc>
          <w:tcPr>
            <w:tcW w:w="567" w:type="dxa"/>
            <w:shd w:val="clear" w:color="auto" w:fill="auto"/>
            <w:noWrap/>
            <w:hideMark/>
          </w:tcPr>
          <w:p w14:paraId="153412C4"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709" w:type="dxa"/>
            <w:shd w:val="clear" w:color="auto" w:fill="auto"/>
            <w:noWrap/>
            <w:hideMark/>
          </w:tcPr>
          <w:p w14:paraId="09C099D6" w14:textId="77777777" w:rsidR="008F3151" w:rsidRPr="00D518FF" w:rsidRDefault="008F3151">
            <w:pPr>
              <w:rPr>
                <w:rFonts w:ascii="Aptos" w:hAnsi="Aptos"/>
                <w:color w:val="000000"/>
                <w:sz w:val="16"/>
                <w:szCs w:val="16"/>
              </w:rPr>
            </w:pPr>
            <w:r w:rsidRPr="00D518FF">
              <w:rPr>
                <w:rFonts w:ascii="Aptos" w:hAnsi="Aptos"/>
                <w:color w:val="000000"/>
                <w:sz w:val="16"/>
                <w:szCs w:val="16"/>
              </w:rPr>
              <w:t>1577-84</w:t>
            </w:r>
          </w:p>
        </w:tc>
        <w:tc>
          <w:tcPr>
            <w:tcW w:w="2126" w:type="dxa"/>
            <w:shd w:val="clear" w:color="auto" w:fill="auto"/>
            <w:noWrap/>
            <w:hideMark/>
          </w:tcPr>
          <w:p w14:paraId="3CDA55CC"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263FFC0F" w14:textId="77777777" w:rsidTr="004C6AA1">
        <w:trPr>
          <w:trHeight w:val="320"/>
        </w:trPr>
        <w:tc>
          <w:tcPr>
            <w:tcW w:w="4182" w:type="dxa"/>
            <w:shd w:val="clear" w:color="auto" w:fill="auto"/>
            <w:noWrap/>
            <w:hideMark/>
          </w:tcPr>
          <w:p w14:paraId="4F6E534B" w14:textId="77777777" w:rsidR="008F3151" w:rsidRPr="00D518FF" w:rsidRDefault="008F3151">
            <w:pPr>
              <w:rPr>
                <w:rFonts w:ascii="Aptos" w:hAnsi="Aptos"/>
                <w:color w:val="000000"/>
                <w:sz w:val="16"/>
                <w:szCs w:val="16"/>
              </w:rPr>
            </w:pPr>
            <w:r w:rsidRPr="00D518FF">
              <w:rPr>
                <w:rFonts w:ascii="Aptos" w:hAnsi="Aptos"/>
                <w:color w:val="000000"/>
                <w:sz w:val="16"/>
                <w:szCs w:val="16"/>
              </w:rPr>
              <w:t>Mood disorders and complementary and alternative medicine: a literature review</w:t>
            </w:r>
          </w:p>
        </w:tc>
        <w:tc>
          <w:tcPr>
            <w:tcW w:w="3544" w:type="dxa"/>
            <w:shd w:val="clear" w:color="auto" w:fill="auto"/>
            <w:noWrap/>
            <w:hideMark/>
          </w:tcPr>
          <w:p w14:paraId="567E42BB" w14:textId="77777777" w:rsidR="008F3151" w:rsidRPr="00D518FF" w:rsidRDefault="008F3151">
            <w:pPr>
              <w:rPr>
                <w:rFonts w:ascii="Aptos" w:hAnsi="Aptos"/>
                <w:color w:val="000000"/>
                <w:sz w:val="16"/>
                <w:szCs w:val="16"/>
              </w:rPr>
            </w:pPr>
            <w:r w:rsidRPr="00D518FF">
              <w:rPr>
                <w:rFonts w:ascii="Aptos" w:hAnsi="Aptos"/>
                <w:color w:val="000000"/>
                <w:sz w:val="16"/>
                <w:szCs w:val="16"/>
              </w:rPr>
              <w:t>Qureshi, N. A.; Al-Bedah, A. M.</w:t>
            </w:r>
          </w:p>
        </w:tc>
        <w:tc>
          <w:tcPr>
            <w:tcW w:w="567" w:type="dxa"/>
            <w:shd w:val="clear" w:color="auto" w:fill="auto"/>
            <w:noWrap/>
            <w:hideMark/>
          </w:tcPr>
          <w:p w14:paraId="44D2DBA5" w14:textId="77777777" w:rsidR="008F3151" w:rsidRPr="00D518FF" w:rsidRDefault="008F3151">
            <w:pPr>
              <w:rPr>
                <w:rFonts w:ascii="Aptos" w:hAnsi="Aptos"/>
                <w:color w:val="000000"/>
                <w:sz w:val="16"/>
                <w:szCs w:val="16"/>
              </w:rPr>
            </w:pPr>
            <w:r w:rsidRPr="00D518FF">
              <w:rPr>
                <w:rFonts w:ascii="Aptos" w:hAnsi="Aptos"/>
                <w:color w:val="000000"/>
                <w:sz w:val="16"/>
                <w:szCs w:val="16"/>
              </w:rPr>
              <w:t>2013</w:t>
            </w:r>
          </w:p>
        </w:tc>
        <w:tc>
          <w:tcPr>
            <w:tcW w:w="1701" w:type="dxa"/>
            <w:shd w:val="clear" w:color="auto" w:fill="auto"/>
            <w:noWrap/>
            <w:hideMark/>
          </w:tcPr>
          <w:p w14:paraId="68412F5E" w14:textId="77777777" w:rsidR="008F3151" w:rsidRPr="00D518FF" w:rsidRDefault="008F3151">
            <w:pPr>
              <w:rPr>
                <w:rFonts w:ascii="Aptos" w:hAnsi="Aptos"/>
                <w:color w:val="000000"/>
                <w:sz w:val="16"/>
                <w:szCs w:val="16"/>
              </w:rPr>
            </w:pPr>
            <w:r w:rsidRPr="00D518FF">
              <w:rPr>
                <w:rFonts w:ascii="Aptos" w:hAnsi="Aptos"/>
                <w:color w:val="000000"/>
                <w:sz w:val="16"/>
                <w:szCs w:val="16"/>
              </w:rPr>
              <w:t>Neuropsychiatric Disease and Treatment</w:t>
            </w:r>
          </w:p>
        </w:tc>
        <w:tc>
          <w:tcPr>
            <w:tcW w:w="850" w:type="dxa"/>
            <w:shd w:val="clear" w:color="auto" w:fill="auto"/>
            <w:noWrap/>
            <w:hideMark/>
          </w:tcPr>
          <w:p w14:paraId="27C30E9A"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567" w:type="dxa"/>
            <w:shd w:val="clear" w:color="auto" w:fill="auto"/>
            <w:noWrap/>
            <w:hideMark/>
          </w:tcPr>
          <w:p w14:paraId="0114018A" w14:textId="77777777" w:rsidR="008F3151" w:rsidRPr="00D518FF" w:rsidRDefault="008F3151">
            <w:pPr>
              <w:rPr>
                <w:rFonts w:ascii="Aptos" w:hAnsi="Aptos"/>
                <w:color w:val="000000"/>
                <w:sz w:val="16"/>
                <w:szCs w:val="16"/>
              </w:rPr>
            </w:pPr>
          </w:p>
        </w:tc>
        <w:tc>
          <w:tcPr>
            <w:tcW w:w="709" w:type="dxa"/>
            <w:shd w:val="clear" w:color="auto" w:fill="auto"/>
            <w:noWrap/>
            <w:hideMark/>
          </w:tcPr>
          <w:p w14:paraId="778BCB91" w14:textId="77777777" w:rsidR="008F3151" w:rsidRPr="00D518FF" w:rsidRDefault="008F3151">
            <w:pPr>
              <w:rPr>
                <w:rFonts w:ascii="Aptos" w:hAnsi="Aptos"/>
                <w:color w:val="000000"/>
                <w:sz w:val="16"/>
                <w:szCs w:val="16"/>
              </w:rPr>
            </w:pPr>
            <w:r w:rsidRPr="00D518FF">
              <w:rPr>
                <w:rFonts w:ascii="Aptos" w:hAnsi="Aptos"/>
                <w:color w:val="000000"/>
                <w:sz w:val="16"/>
                <w:szCs w:val="16"/>
              </w:rPr>
              <w:t>639-58</w:t>
            </w:r>
          </w:p>
        </w:tc>
        <w:tc>
          <w:tcPr>
            <w:tcW w:w="2126" w:type="dxa"/>
            <w:shd w:val="clear" w:color="auto" w:fill="auto"/>
            <w:noWrap/>
            <w:hideMark/>
          </w:tcPr>
          <w:p w14:paraId="490D81F9"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5C44D8F0" w14:textId="77777777" w:rsidTr="004C6AA1">
        <w:trPr>
          <w:trHeight w:val="320"/>
        </w:trPr>
        <w:tc>
          <w:tcPr>
            <w:tcW w:w="4182" w:type="dxa"/>
            <w:shd w:val="clear" w:color="auto" w:fill="auto"/>
            <w:noWrap/>
            <w:hideMark/>
          </w:tcPr>
          <w:p w14:paraId="7FB593AD" w14:textId="77777777" w:rsidR="008F3151" w:rsidRPr="00D518FF" w:rsidRDefault="008F3151">
            <w:pPr>
              <w:rPr>
                <w:rFonts w:ascii="Aptos" w:hAnsi="Aptos"/>
                <w:color w:val="000000"/>
                <w:sz w:val="16"/>
                <w:szCs w:val="16"/>
              </w:rPr>
            </w:pPr>
            <w:r w:rsidRPr="00D518FF">
              <w:rPr>
                <w:rFonts w:ascii="Aptos" w:hAnsi="Aptos"/>
                <w:color w:val="000000"/>
                <w:sz w:val="16"/>
                <w:szCs w:val="16"/>
              </w:rPr>
              <w:t>N-3 Polyunsatured Fatty Acids in Menopausal Transition: A Systematic Review of Depressive and Cognitive Disorders with Accompanying Vasomotor Symptoms</w:t>
            </w:r>
          </w:p>
        </w:tc>
        <w:tc>
          <w:tcPr>
            <w:tcW w:w="3544" w:type="dxa"/>
            <w:shd w:val="clear" w:color="auto" w:fill="auto"/>
            <w:noWrap/>
            <w:hideMark/>
          </w:tcPr>
          <w:p w14:paraId="73EF57F2" w14:textId="77777777" w:rsidR="008F3151" w:rsidRPr="00D518FF" w:rsidRDefault="008F3151">
            <w:pPr>
              <w:rPr>
                <w:rFonts w:ascii="Aptos" w:hAnsi="Aptos"/>
                <w:color w:val="000000"/>
                <w:sz w:val="16"/>
                <w:szCs w:val="16"/>
              </w:rPr>
            </w:pPr>
            <w:r w:rsidRPr="00D518FF">
              <w:rPr>
                <w:rFonts w:ascii="Aptos" w:hAnsi="Aptos"/>
                <w:color w:val="000000"/>
                <w:sz w:val="16"/>
                <w:szCs w:val="16"/>
              </w:rPr>
              <w:t>Ciappolino, V.; Mazzocchi, A.; Enrico, P.; Syr√©n, M. L.; Delvecchio, G.; Agostoni, C.; Brambilla, P.</w:t>
            </w:r>
          </w:p>
        </w:tc>
        <w:tc>
          <w:tcPr>
            <w:tcW w:w="567" w:type="dxa"/>
            <w:shd w:val="clear" w:color="auto" w:fill="auto"/>
            <w:noWrap/>
            <w:hideMark/>
          </w:tcPr>
          <w:p w14:paraId="400DC1BF"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1701" w:type="dxa"/>
            <w:shd w:val="clear" w:color="auto" w:fill="auto"/>
            <w:noWrap/>
            <w:hideMark/>
          </w:tcPr>
          <w:p w14:paraId="6ACE8657"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molecular sciences</w:t>
            </w:r>
          </w:p>
        </w:tc>
        <w:tc>
          <w:tcPr>
            <w:tcW w:w="850" w:type="dxa"/>
            <w:shd w:val="clear" w:color="auto" w:fill="auto"/>
            <w:noWrap/>
            <w:hideMark/>
          </w:tcPr>
          <w:p w14:paraId="10049C2A" w14:textId="77777777" w:rsidR="008F3151" w:rsidRPr="00D518FF" w:rsidRDefault="008F3151">
            <w:pPr>
              <w:rPr>
                <w:rFonts w:ascii="Aptos" w:hAnsi="Aptos"/>
                <w:color w:val="000000"/>
                <w:sz w:val="16"/>
                <w:szCs w:val="16"/>
              </w:rPr>
            </w:pPr>
            <w:r w:rsidRPr="00D518FF">
              <w:rPr>
                <w:rFonts w:ascii="Aptos" w:hAnsi="Aptos"/>
                <w:color w:val="000000"/>
                <w:sz w:val="16"/>
                <w:szCs w:val="16"/>
              </w:rPr>
              <w:t>19</w:t>
            </w:r>
          </w:p>
        </w:tc>
        <w:tc>
          <w:tcPr>
            <w:tcW w:w="567" w:type="dxa"/>
            <w:shd w:val="clear" w:color="auto" w:fill="auto"/>
            <w:noWrap/>
            <w:hideMark/>
          </w:tcPr>
          <w:p w14:paraId="1BE7A1BF"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709" w:type="dxa"/>
            <w:shd w:val="clear" w:color="auto" w:fill="auto"/>
            <w:noWrap/>
            <w:hideMark/>
          </w:tcPr>
          <w:p w14:paraId="2034CF7D" w14:textId="7024906D" w:rsidR="008F3151" w:rsidRPr="00D518FF" w:rsidRDefault="008639F1">
            <w:pPr>
              <w:rPr>
                <w:rFonts w:ascii="Aptos" w:hAnsi="Aptos"/>
                <w:color w:val="000000"/>
                <w:sz w:val="16"/>
                <w:szCs w:val="16"/>
              </w:rPr>
            </w:pPr>
            <w:r>
              <w:rPr>
                <w:rFonts w:ascii="Aptos" w:hAnsi="Aptos"/>
                <w:color w:val="000000"/>
                <w:sz w:val="16"/>
                <w:szCs w:val="16"/>
              </w:rPr>
              <w:t>1849</w:t>
            </w:r>
          </w:p>
        </w:tc>
        <w:tc>
          <w:tcPr>
            <w:tcW w:w="2126" w:type="dxa"/>
            <w:shd w:val="clear" w:color="auto" w:fill="auto"/>
            <w:noWrap/>
            <w:hideMark/>
          </w:tcPr>
          <w:p w14:paraId="2508C39B"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0E2EEEE9" w14:textId="77777777" w:rsidTr="004C6AA1">
        <w:trPr>
          <w:trHeight w:val="320"/>
        </w:trPr>
        <w:tc>
          <w:tcPr>
            <w:tcW w:w="4182" w:type="dxa"/>
            <w:shd w:val="clear" w:color="auto" w:fill="auto"/>
            <w:noWrap/>
            <w:hideMark/>
          </w:tcPr>
          <w:p w14:paraId="584361E7" w14:textId="77777777" w:rsidR="008F3151" w:rsidRPr="00D518FF" w:rsidRDefault="008F3151">
            <w:pPr>
              <w:rPr>
                <w:rFonts w:ascii="Aptos" w:hAnsi="Aptos"/>
                <w:color w:val="000000"/>
                <w:sz w:val="16"/>
                <w:szCs w:val="16"/>
              </w:rPr>
            </w:pPr>
            <w:r w:rsidRPr="00D518FF">
              <w:rPr>
                <w:rFonts w:ascii="Aptos" w:hAnsi="Aptos"/>
                <w:color w:val="000000"/>
                <w:sz w:val="16"/>
                <w:szCs w:val="16"/>
              </w:rPr>
              <w:t>n-3 PUFA Improve Emotion and Cognition during Menopause: A Systematic Review</w:t>
            </w:r>
          </w:p>
        </w:tc>
        <w:tc>
          <w:tcPr>
            <w:tcW w:w="3544" w:type="dxa"/>
            <w:shd w:val="clear" w:color="auto" w:fill="auto"/>
            <w:noWrap/>
            <w:hideMark/>
          </w:tcPr>
          <w:p w14:paraId="2C0FB848" w14:textId="77777777" w:rsidR="008F3151" w:rsidRPr="00D518FF" w:rsidRDefault="008F3151">
            <w:pPr>
              <w:rPr>
                <w:rFonts w:ascii="Aptos" w:hAnsi="Aptos"/>
                <w:color w:val="000000"/>
                <w:sz w:val="16"/>
                <w:szCs w:val="16"/>
              </w:rPr>
            </w:pPr>
            <w:r w:rsidRPr="00D518FF">
              <w:rPr>
                <w:rFonts w:ascii="Aptos" w:hAnsi="Aptos"/>
                <w:color w:val="000000"/>
                <w:sz w:val="16"/>
                <w:szCs w:val="16"/>
              </w:rPr>
              <w:t>Decandia, D.; Landolfo, E.; Sacchetti, S.; Gelfo, F.; Petrosini, L.; Cutuli, D.</w:t>
            </w:r>
          </w:p>
        </w:tc>
        <w:tc>
          <w:tcPr>
            <w:tcW w:w="567" w:type="dxa"/>
            <w:shd w:val="clear" w:color="auto" w:fill="auto"/>
            <w:noWrap/>
            <w:hideMark/>
          </w:tcPr>
          <w:p w14:paraId="721D6211"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1701" w:type="dxa"/>
            <w:shd w:val="clear" w:color="auto" w:fill="auto"/>
            <w:noWrap/>
            <w:hideMark/>
          </w:tcPr>
          <w:p w14:paraId="6C48240E"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850" w:type="dxa"/>
            <w:shd w:val="clear" w:color="auto" w:fill="auto"/>
            <w:noWrap/>
            <w:hideMark/>
          </w:tcPr>
          <w:p w14:paraId="269C0CEC" w14:textId="77777777" w:rsidR="008F3151" w:rsidRPr="00D518FF" w:rsidRDefault="008F3151">
            <w:pPr>
              <w:rPr>
                <w:rFonts w:ascii="Aptos" w:hAnsi="Aptos"/>
                <w:color w:val="000000"/>
                <w:sz w:val="16"/>
                <w:szCs w:val="16"/>
              </w:rPr>
            </w:pPr>
            <w:r w:rsidRPr="00D518FF">
              <w:rPr>
                <w:rFonts w:ascii="Aptos" w:hAnsi="Aptos"/>
                <w:color w:val="000000"/>
                <w:sz w:val="16"/>
                <w:szCs w:val="16"/>
              </w:rPr>
              <w:t>14</w:t>
            </w:r>
          </w:p>
        </w:tc>
        <w:tc>
          <w:tcPr>
            <w:tcW w:w="567" w:type="dxa"/>
            <w:shd w:val="clear" w:color="auto" w:fill="auto"/>
            <w:noWrap/>
            <w:hideMark/>
          </w:tcPr>
          <w:p w14:paraId="4BA8797F"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709" w:type="dxa"/>
            <w:shd w:val="clear" w:color="auto" w:fill="auto"/>
            <w:noWrap/>
            <w:hideMark/>
          </w:tcPr>
          <w:p w14:paraId="1949ED15" w14:textId="4227BA11" w:rsidR="008F3151" w:rsidRPr="00D518FF" w:rsidRDefault="004157F8">
            <w:pPr>
              <w:rPr>
                <w:rFonts w:ascii="Aptos" w:hAnsi="Aptos"/>
                <w:color w:val="000000"/>
                <w:sz w:val="16"/>
                <w:szCs w:val="16"/>
              </w:rPr>
            </w:pPr>
            <w:r>
              <w:rPr>
                <w:rFonts w:ascii="Aptos" w:hAnsi="Aptos"/>
                <w:color w:val="000000"/>
                <w:sz w:val="16"/>
                <w:szCs w:val="16"/>
              </w:rPr>
              <w:t>1892</w:t>
            </w:r>
          </w:p>
        </w:tc>
        <w:tc>
          <w:tcPr>
            <w:tcW w:w="2126" w:type="dxa"/>
            <w:shd w:val="clear" w:color="auto" w:fill="auto"/>
            <w:noWrap/>
            <w:hideMark/>
          </w:tcPr>
          <w:p w14:paraId="44190057"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1DD24815" w14:textId="77777777" w:rsidTr="004C6AA1">
        <w:trPr>
          <w:trHeight w:val="320"/>
        </w:trPr>
        <w:tc>
          <w:tcPr>
            <w:tcW w:w="4182" w:type="dxa"/>
            <w:shd w:val="clear" w:color="auto" w:fill="auto"/>
            <w:noWrap/>
            <w:hideMark/>
          </w:tcPr>
          <w:p w14:paraId="39902A4D"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 and depression: A review of the evidence</w:t>
            </w:r>
          </w:p>
        </w:tc>
        <w:tc>
          <w:tcPr>
            <w:tcW w:w="3544" w:type="dxa"/>
            <w:shd w:val="clear" w:color="auto" w:fill="auto"/>
            <w:noWrap/>
            <w:hideMark/>
          </w:tcPr>
          <w:p w14:paraId="6AB394A7" w14:textId="77777777" w:rsidR="008F3151" w:rsidRPr="00D518FF" w:rsidRDefault="008F3151">
            <w:pPr>
              <w:rPr>
                <w:rFonts w:ascii="Aptos" w:hAnsi="Aptos"/>
                <w:color w:val="000000"/>
                <w:sz w:val="16"/>
                <w:szCs w:val="16"/>
              </w:rPr>
            </w:pPr>
            <w:r w:rsidRPr="00D518FF">
              <w:rPr>
                <w:rFonts w:ascii="Aptos" w:hAnsi="Aptos"/>
                <w:color w:val="000000"/>
                <w:sz w:val="16"/>
                <w:szCs w:val="16"/>
              </w:rPr>
              <w:t>Harbottle, L.; Schonfelder, N.</w:t>
            </w:r>
          </w:p>
        </w:tc>
        <w:tc>
          <w:tcPr>
            <w:tcW w:w="567" w:type="dxa"/>
            <w:shd w:val="clear" w:color="auto" w:fill="auto"/>
            <w:noWrap/>
            <w:hideMark/>
          </w:tcPr>
          <w:p w14:paraId="065AABDB" w14:textId="77777777" w:rsidR="008F3151" w:rsidRPr="00D518FF" w:rsidRDefault="008F3151">
            <w:pPr>
              <w:rPr>
                <w:rFonts w:ascii="Aptos" w:hAnsi="Aptos"/>
                <w:color w:val="000000"/>
                <w:sz w:val="16"/>
                <w:szCs w:val="16"/>
              </w:rPr>
            </w:pPr>
            <w:r w:rsidRPr="00D518FF">
              <w:rPr>
                <w:rFonts w:ascii="Aptos" w:hAnsi="Aptos"/>
                <w:color w:val="000000"/>
                <w:sz w:val="16"/>
                <w:szCs w:val="16"/>
              </w:rPr>
              <w:t>2008</w:t>
            </w:r>
          </w:p>
        </w:tc>
        <w:tc>
          <w:tcPr>
            <w:tcW w:w="1701" w:type="dxa"/>
            <w:shd w:val="clear" w:color="auto" w:fill="auto"/>
            <w:noWrap/>
            <w:hideMark/>
          </w:tcPr>
          <w:p w14:paraId="5F7F9439"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Mental Health</w:t>
            </w:r>
          </w:p>
        </w:tc>
        <w:tc>
          <w:tcPr>
            <w:tcW w:w="850" w:type="dxa"/>
            <w:shd w:val="clear" w:color="auto" w:fill="auto"/>
            <w:noWrap/>
            <w:hideMark/>
          </w:tcPr>
          <w:p w14:paraId="3C663A3B"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567" w:type="dxa"/>
            <w:shd w:val="clear" w:color="auto" w:fill="auto"/>
            <w:noWrap/>
            <w:hideMark/>
          </w:tcPr>
          <w:p w14:paraId="38D4B603"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709" w:type="dxa"/>
            <w:shd w:val="clear" w:color="auto" w:fill="auto"/>
            <w:noWrap/>
            <w:hideMark/>
          </w:tcPr>
          <w:p w14:paraId="53575CFE" w14:textId="77777777" w:rsidR="008F3151" w:rsidRPr="00D518FF" w:rsidRDefault="008F3151">
            <w:pPr>
              <w:rPr>
                <w:rFonts w:ascii="Aptos" w:hAnsi="Aptos"/>
                <w:color w:val="000000"/>
                <w:sz w:val="16"/>
                <w:szCs w:val="16"/>
              </w:rPr>
            </w:pPr>
            <w:r w:rsidRPr="00D518FF">
              <w:rPr>
                <w:rFonts w:ascii="Aptos" w:hAnsi="Aptos"/>
                <w:color w:val="000000"/>
                <w:sz w:val="16"/>
                <w:szCs w:val="16"/>
              </w:rPr>
              <w:t>576-587</w:t>
            </w:r>
          </w:p>
        </w:tc>
        <w:tc>
          <w:tcPr>
            <w:tcW w:w="2126" w:type="dxa"/>
            <w:shd w:val="clear" w:color="auto" w:fill="auto"/>
            <w:noWrap/>
            <w:hideMark/>
          </w:tcPr>
          <w:p w14:paraId="59975630"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45DE7CBD" w14:textId="77777777" w:rsidTr="004C6AA1">
        <w:trPr>
          <w:trHeight w:val="320"/>
        </w:trPr>
        <w:tc>
          <w:tcPr>
            <w:tcW w:w="4182" w:type="dxa"/>
            <w:shd w:val="clear" w:color="auto" w:fill="auto"/>
            <w:noWrap/>
            <w:hideMark/>
          </w:tcPr>
          <w:p w14:paraId="2723FC89"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Nutritional and herbal supplements for anxiety and anxiety-related disorders: Systematic review</w:t>
            </w:r>
          </w:p>
        </w:tc>
        <w:tc>
          <w:tcPr>
            <w:tcW w:w="3544" w:type="dxa"/>
            <w:shd w:val="clear" w:color="auto" w:fill="auto"/>
            <w:noWrap/>
            <w:hideMark/>
          </w:tcPr>
          <w:p w14:paraId="2A9BE25F" w14:textId="77777777" w:rsidR="008F3151" w:rsidRPr="00D518FF" w:rsidRDefault="008F3151">
            <w:pPr>
              <w:rPr>
                <w:rFonts w:ascii="Aptos" w:hAnsi="Aptos"/>
                <w:color w:val="000000"/>
                <w:sz w:val="16"/>
                <w:szCs w:val="16"/>
              </w:rPr>
            </w:pPr>
            <w:r w:rsidRPr="00D518FF">
              <w:rPr>
                <w:rFonts w:ascii="Aptos" w:hAnsi="Aptos"/>
                <w:color w:val="000000"/>
                <w:sz w:val="16"/>
                <w:szCs w:val="16"/>
              </w:rPr>
              <w:t>Lakhan, S. E.; Vieira, K. F.</w:t>
            </w:r>
          </w:p>
        </w:tc>
        <w:tc>
          <w:tcPr>
            <w:tcW w:w="567" w:type="dxa"/>
            <w:shd w:val="clear" w:color="auto" w:fill="auto"/>
            <w:noWrap/>
            <w:hideMark/>
          </w:tcPr>
          <w:p w14:paraId="39481EBE"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hideMark/>
          </w:tcPr>
          <w:p w14:paraId="1ED03CC3"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 journal</w:t>
            </w:r>
          </w:p>
        </w:tc>
        <w:tc>
          <w:tcPr>
            <w:tcW w:w="850" w:type="dxa"/>
            <w:shd w:val="clear" w:color="auto" w:fill="auto"/>
            <w:noWrap/>
            <w:hideMark/>
          </w:tcPr>
          <w:p w14:paraId="35B7C13C"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567" w:type="dxa"/>
            <w:shd w:val="clear" w:color="auto" w:fill="auto"/>
            <w:noWrap/>
            <w:hideMark/>
          </w:tcPr>
          <w:p w14:paraId="657CDDB5"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02524A77" w14:textId="77777777" w:rsidR="008F3151" w:rsidRPr="00D518FF" w:rsidRDefault="008F3151">
            <w:pPr>
              <w:rPr>
                <w:rFonts w:ascii="Aptos" w:hAnsi="Aptos"/>
                <w:color w:val="000000"/>
                <w:sz w:val="16"/>
                <w:szCs w:val="16"/>
              </w:rPr>
            </w:pPr>
            <w:r w:rsidRPr="00D518FF">
              <w:rPr>
                <w:rFonts w:ascii="Aptos" w:hAnsi="Aptos"/>
                <w:color w:val="000000"/>
                <w:sz w:val="16"/>
                <w:szCs w:val="16"/>
              </w:rPr>
              <w:t>42</w:t>
            </w:r>
          </w:p>
        </w:tc>
        <w:tc>
          <w:tcPr>
            <w:tcW w:w="2126" w:type="dxa"/>
            <w:shd w:val="clear" w:color="auto" w:fill="auto"/>
            <w:noWrap/>
            <w:hideMark/>
          </w:tcPr>
          <w:p w14:paraId="29FF6550"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781E6990" w14:textId="77777777" w:rsidTr="004C6AA1">
        <w:trPr>
          <w:trHeight w:val="320"/>
        </w:trPr>
        <w:tc>
          <w:tcPr>
            <w:tcW w:w="4182" w:type="dxa"/>
            <w:shd w:val="clear" w:color="auto" w:fill="auto"/>
            <w:noWrap/>
            <w:hideMark/>
          </w:tcPr>
          <w:p w14:paraId="036444DE" w14:textId="77777777" w:rsidR="008F3151" w:rsidRPr="00D518FF" w:rsidRDefault="008F3151">
            <w:pPr>
              <w:rPr>
                <w:rFonts w:ascii="Aptos" w:hAnsi="Aptos"/>
                <w:color w:val="000000"/>
                <w:sz w:val="16"/>
                <w:szCs w:val="16"/>
              </w:rPr>
            </w:pPr>
            <w:r w:rsidRPr="00D518FF">
              <w:rPr>
                <w:rFonts w:ascii="Aptos" w:hAnsi="Aptos"/>
                <w:color w:val="000000"/>
                <w:sz w:val="16"/>
                <w:szCs w:val="16"/>
              </w:rPr>
              <w:t>Oiling the brain: a review of randomized controlled trials of omega-3 fatty acids in psychopathology across the lifespan</w:t>
            </w:r>
          </w:p>
        </w:tc>
        <w:tc>
          <w:tcPr>
            <w:tcW w:w="3544" w:type="dxa"/>
            <w:shd w:val="clear" w:color="auto" w:fill="auto"/>
            <w:noWrap/>
            <w:hideMark/>
          </w:tcPr>
          <w:p w14:paraId="38B2A2D5" w14:textId="77777777" w:rsidR="008F3151" w:rsidRPr="00D518FF" w:rsidRDefault="008F3151">
            <w:pPr>
              <w:rPr>
                <w:rFonts w:ascii="Aptos" w:hAnsi="Aptos"/>
                <w:color w:val="000000"/>
                <w:sz w:val="16"/>
                <w:szCs w:val="16"/>
              </w:rPr>
            </w:pPr>
            <w:r w:rsidRPr="00D518FF">
              <w:rPr>
                <w:rFonts w:ascii="Aptos" w:hAnsi="Aptos"/>
                <w:color w:val="000000"/>
                <w:sz w:val="16"/>
                <w:szCs w:val="16"/>
              </w:rPr>
              <w:t>Sinn, N.; Milte, C.; Howe, P. R.</w:t>
            </w:r>
          </w:p>
        </w:tc>
        <w:tc>
          <w:tcPr>
            <w:tcW w:w="567" w:type="dxa"/>
            <w:shd w:val="clear" w:color="auto" w:fill="auto"/>
            <w:noWrap/>
            <w:hideMark/>
          </w:tcPr>
          <w:p w14:paraId="381DA956"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hideMark/>
          </w:tcPr>
          <w:p w14:paraId="64F6078E"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850" w:type="dxa"/>
            <w:shd w:val="clear" w:color="auto" w:fill="auto"/>
            <w:noWrap/>
            <w:hideMark/>
          </w:tcPr>
          <w:p w14:paraId="4D8CBF15"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567" w:type="dxa"/>
            <w:shd w:val="clear" w:color="auto" w:fill="auto"/>
            <w:noWrap/>
            <w:hideMark/>
          </w:tcPr>
          <w:p w14:paraId="2B8B6312"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1D64663C" w14:textId="77777777" w:rsidR="008F3151" w:rsidRPr="00D518FF" w:rsidRDefault="008F3151">
            <w:pPr>
              <w:rPr>
                <w:rFonts w:ascii="Aptos" w:hAnsi="Aptos"/>
                <w:color w:val="000000"/>
                <w:sz w:val="16"/>
                <w:szCs w:val="16"/>
              </w:rPr>
            </w:pPr>
            <w:r w:rsidRPr="00D518FF">
              <w:rPr>
                <w:rFonts w:ascii="Aptos" w:hAnsi="Aptos"/>
                <w:color w:val="000000"/>
                <w:sz w:val="16"/>
                <w:szCs w:val="16"/>
              </w:rPr>
              <w:t>128-70</w:t>
            </w:r>
          </w:p>
        </w:tc>
        <w:tc>
          <w:tcPr>
            <w:tcW w:w="2126" w:type="dxa"/>
            <w:shd w:val="clear" w:color="auto" w:fill="auto"/>
            <w:noWrap/>
            <w:hideMark/>
          </w:tcPr>
          <w:p w14:paraId="2FB2C438"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08A639C5" w14:textId="77777777" w:rsidTr="004C6AA1">
        <w:trPr>
          <w:trHeight w:val="320"/>
        </w:trPr>
        <w:tc>
          <w:tcPr>
            <w:tcW w:w="4182" w:type="dxa"/>
            <w:shd w:val="clear" w:color="auto" w:fill="auto"/>
            <w:noWrap/>
            <w:hideMark/>
          </w:tcPr>
          <w:p w14:paraId="41C4B59E" w14:textId="77777777" w:rsidR="008F3151" w:rsidRPr="00D518FF" w:rsidRDefault="008F3151">
            <w:pPr>
              <w:rPr>
                <w:rFonts w:ascii="Aptos" w:hAnsi="Aptos"/>
                <w:color w:val="000000"/>
                <w:sz w:val="16"/>
                <w:szCs w:val="16"/>
              </w:rPr>
            </w:pPr>
            <w:r w:rsidRPr="00D518FF">
              <w:rPr>
                <w:rFonts w:ascii="Aptos" w:hAnsi="Aptos"/>
                <w:color w:val="000000"/>
                <w:sz w:val="16"/>
                <w:szCs w:val="16"/>
              </w:rPr>
              <w:t>Omega-3 and omega-6 polyunsaturated fatty acids in bipolar disorder: A review of biomarker and treatment studies</w:t>
            </w:r>
          </w:p>
        </w:tc>
        <w:tc>
          <w:tcPr>
            <w:tcW w:w="3544" w:type="dxa"/>
            <w:shd w:val="clear" w:color="auto" w:fill="auto"/>
            <w:noWrap/>
            <w:hideMark/>
          </w:tcPr>
          <w:p w14:paraId="3278556D" w14:textId="77777777" w:rsidR="008F3151" w:rsidRPr="00D518FF" w:rsidRDefault="008F3151">
            <w:pPr>
              <w:rPr>
                <w:rFonts w:ascii="Aptos" w:hAnsi="Aptos"/>
                <w:color w:val="000000"/>
                <w:sz w:val="16"/>
                <w:szCs w:val="16"/>
              </w:rPr>
            </w:pPr>
            <w:r w:rsidRPr="00D518FF">
              <w:rPr>
                <w:rFonts w:ascii="Aptos" w:hAnsi="Aptos"/>
                <w:color w:val="000000"/>
                <w:sz w:val="16"/>
                <w:szCs w:val="16"/>
              </w:rPr>
              <w:t>Saunders, E. F. H.; Ramsden, C. E.; Sherazy, M. S.; Gelenberg, A. J.; Davis, J. M.; Rapoport, S. I.</w:t>
            </w:r>
          </w:p>
        </w:tc>
        <w:tc>
          <w:tcPr>
            <w:tcW w:w="567" w:type="dxa"/>
            <w:shd w:val="clear" w:color="auto" w:fill="auto"/>
            <w:noWrap/>
            <w:hideMark/>
          </w:tcPr>
          <w:p w14:paraId="4D720712"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noWrap/>
            <w:hideMark/>
          </w:tcPr>
          <w:p w14:paraId="2A861A87"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Clinical Psychiatry</w:t>
            </w:r>
          </w:p>
        </w:tc>
        <w:tc>
          <w:tcPr>
            <w:tcW w:w="850" w:type="dxa"/>
            <w:shd w:val="clear" w:color="auto" w:fill="auto"/>
            <w:noWrap/>
            <w:hideMark/>
          </w:tcPr>
          <w:p w14:paraId="75B4707A" w14:textId="77777777" w:rsidR="008F3151" w:rsidRPr="00D518FF" w:rsidRDefault="008F3151">
            <w:pPr>
              <w:rPr>
                <w:rFonts w:ascii="Aptos" w:hAnsi="Aptos"/>
                <w:color w:val="000000"/>
                <w:sz w:val="16"/>
                <w:szCs w:val="16"/>
              </w:rPr>
            </w:pPr>
            <w:r w:rsidRPr="00D518FF">
              <w:rPr>
                <w:rFonts w:ascii="Aptos" w:hAnsi="Aptos"/>
                <w:color w:val="000000"/>
                <w:sz w:val="16"/>
                <w:szCs w:val="16"/>
              </w:rPr>
              <w:t>77</w:t>
            </w:r>
          </w:p>
        </w:tc>
        <w:tc>
          <w:tcPr>
            <w:tcW w:w="567" w:type="dxa"/>
            <w:shd w:val="clear" w:color="auto" w:fill="auto"/>
            <w:noWrap/>
            <w:hideMark/>
          </w:tcPr>
          <w:p w14:paraId="264BE472" w14:textId="77777777" w:rsidR="008F3151" w:rsidRPr="00D518FF" w:rsidRDefault="008F3151">
            <w:pPr>
              <w:rPr>
                <w:rFonts w:ascii="Aptos" w:hAnsi="Aptos"/>
                <w:color w:val="000000"/>
                <w:sz w:val="16"/>
                <w:szCs w:val="16"/>
              </w:rPr>
            </w:pPr>
            <w:r w:rsidRPr="00D518FF">
              <w:rPr>
                <w:rFonts w:ascii="Aptos" w:hAnsi="Aptos"/>
                <w:color w:val="000000"/>
                <w:sz w:val="16"/>
                <w:szCs w:val="16"/>
              </w:rPr>
              <w:t>10</w:t>
            </w:r>
          </w:p>
        </w:tc>
        <w:tc>
          <w:tcPr>
            <w:tcW w:w="709" w:type="dxa"/>
            <w:shd w:val="clear" w:color="auto" w:fill="auto"/>
            <w:noWrap/>
            <w:hideMark/>
          </w:tcPr>
          <w:p w14:paraId="4887A116" w14:textId="77777777" w:rsidR="008F3151" w:rsidRPr="00D518FF" w:rsidRDefault="008F3151">
            <w:pPr>
              <w:rPr>
                <w:rFonts w:ascii="Aptos" w:hAnsi="Aptos"/>
                <w:color w:val="000000"/>
                <w:sz w:val="16"/>
                <w:szCs w:val="16"/>
              </w:rPr>
            </w:pPr>
            <w:r w:rsidRPr="00D518FF">
              <w:rPr>
                <w:rFonts w:ascii="Aptos" w:hAnsi="Aptos"/>
                <w:color w:val="000000"/>
                <w:sz w:val="16"/>
                <w:szCs w:val="16"/>
              </w:rPr>
              <w:t>e1301-e1308</w:t>
            </w:r>
          </w:p>
        </w:tc>
        <w:tc>
          <w:tcPr>
            <w:tcW w:w="2126" w:type="dxa"/>
            <w:shd w:val="clear" w:color="auto" w:fill="auto"/>
            <w:noWrap/>
            <w:hideMark/>
          </w:tcPr>
          <w:p w14:paraId="163BA143"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35D1189E" w14:textId="77777777" w:rsidTr="004C6AA1">
        <w:trPr>
          <w:trHeight w:val="320"/>
        </w:trPr>
        <w:tc>
          <w:tcPr>
            <w:tcW w:w="4182" w:type="dxa"/>
            <w:shd w:val="clear" w:color="auto" w:fill="auto"/>
            <w:noWrap/>
            <w:hideMark/>
          </w:tcPr>
          <w:p w14:paraId="6C02F768" w14:textId="77777777" w:rsidR="008F3151" w:rsidRPr="00D518FF" w:rsidRDefault="008F3151">
            <w:pPr>
              <w:rPr>
                <w:rFonts w:ascii="Aptos" w:hAnsi="Aptos"/>
                <w:color w:val="000000"/>
                <w:sz w:val="16"/>
                <w:szCs w:val="16"/>
              </w:rPr>
            </w:pPr>
            <w:r w:rsidRPr="00D518FF">
              <w:rPr>
                <w:rFonts w:ascii="Aptos" w:hAnsi="Aptos"/>
                <w:color w:val="000000"/>
                <w:sz w:val="16"/>
                <w:szCs w:val="16"/>
              </w:rPr>
              <w:t>Omega-3 Fatty acids as Monotherapy in Treating Depression in Pregnant Women: a Meta- Analysis of Randomized Controlled Trials</w:t>
            </w:r>
          </w:p>
        </w:tc>
        <w:tc>
          <w:tcPr>
            <w:tcW w:w="3544" w:type="dxa"/>
            <w:shd w:val="clear" w:color="auto" w:fill="auto"/>
            <w:noWrap/>
            <w:hideMark/>
          </w:tcPr>
          <w:p w14:paraId="48DA3D81" w14:textId="77777777" w:rsidR="008F3151" w:rsidRPr="00D518FF" w:rsidRDefault="008F3151">
            <w:pPr>
              <w:rPr>
                <w:rFonts w:ascii="Aptos" w:hAnsi="Aptos"/>
                <w:color w:val="000000"/>
                <w:sz w:val="16"/>
                <w:szCs w:val="16"/>
              </w:rPr>
            </w:pPr>
            <w:r w:rsidRPr="00D518FF">
              <w:rPr>
                <w:rFonts w:ascii="Aptos" w:hAnsi="Aptos"/>
                <w:color w:val="000000"/>
                <w:sz w:val="16"/>
                <w:szCs w:val="16"/>
              </w:rPr>
              <w:t>Wei-Hong, L.; Cheng-Gui, Z.; Peng-Fei, G.; Heng, L.; Jian-Fang, Y.</w:t>
            </w:r>
          </w:p>
        </w:tc>
        <w:tc>
          <w:tcPr>
            <w:tcW w:w="567" w:type="dxa"/>
            <w:shd w:val="clear" w:color="auto" w:fill="auto"/>
            <w:noWrap/>
            <w:hideMark/>
          </w:tcPr>
          <w:p w14:paraId="777646EA"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1701" w:type="dxa"/>
            <w:shd w:val="clear" w:color="auto" w:fill="auto"/>
            <w:noWrap/>
            <w:hideMark/>
          </w:tcPr>
          <w:p w14:paraId="0F8B8309" w14:textId="77777777" w:rsidR="008F3151" w:rsidRPr="00D518FF" w:rsidRDefault="008F3151">
            <w:pPr>
              <w:rPr>
                <w:rFonts w:ascii="Aptos" w:hAnsi="Aptos"/>
                <w:color w:val="000000"/>
                <w:sz w:val="16"/>
                <w:szCs w:val="16"/>
              </w:rPr>
            </w:pPr>
            <w:r w:rsidRPr="00D518FF">
              <w:rPr>
                <w:rFonts w:ascii="Aptos" w:hAnsi="Aptos"/>
                <w:color w:val="000000"/>
                <w:sz w:val="16"/>
                <w:szCs w:val="16"/>
              </w:rPr>
              <w:t>Iranian journal of pharmaceutical research</w:t>
            </w:r>
          </w:p>
        </w:tc>
        <w:tc>
          <w:tcPr>
            <w:tcW w:w="850" w:type="dxa"/>
            <w:shd w:val="clear" w:color="auto" w:fill="auto"/>
            <w:noWrap/>
            <w:hideMark/>
          </w:tcPr>
          <w:p w14:paraId="762EA5D7" w14:textId="77777777" w:rsidR="008F3151" w:rsidRPr="00D518FF" w:rsidRDefault="008F3151">
            <w:pPr>
              <w:rPr>
                <w:rFonts w:ascii="Aptos" w:hAnsi="Aptos"/>
                <w:color w:val="000000"/>
                <w:sz w:val="16"/>
                <w:szCs w:val="16"/>
              </w:rPr>
            </w:pPr>
            <w:r w:rsidRPr="00D518FF">
              <w:rPr>
                <w:rFonts w:ascii="Aptos" w:hAnsi="Aptos"/>
                <w:color w:val="000000"/>
                <w:sz w:val="16"/>
                <w:szCs w:val="16"/>
              </w:rPr>
              <w:t>16</w:t>
            </w:r>
          </w:p>
        </w:tc>
        <w:tc>
          <w:tcPr>
            <w:tcW w:w="567" w:type="dxa"/>
            <w:shd w:val="clear" w:color="auto" w:fill="auto"/>
            <w:noWrap/>
            <w:hideMark/>
          </w:tcPr>
          <w:p w14:paraId="769D246F"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058BB5EE" w14:textId="77777777" w:rsidR="008F3151" w:rsidRPr="00D518FF" w:rsidRDefault="008F3151">
            <w:pPr>
              <w:rPr>
                <w:rFonts w:ascii="Aptos" w:hAnsi="Aptos"/>
                <w:color w:val="000000"/>
                <w:sz w:val="16"/>
                <w:szCs w:val="16"/>
              </w:rPr>
            </w:pPr>
            <w:r w:rsidRPr="00D518FF">
              <w:rPr>
                <w:rFonts w:ascii="Aptos" w:hAnsi="Aptos"/>
                <w:color w:val="000000"/>
                <w:sz w:val="16"/>
                <w:szCs w:val="16"/>
              </w:rPr>
              <w:t>1593-1599</w:t>
            </w:r>
          </w:p>
        </w:tc>
        <w:tc>
          <w:tcPr>
            <w:tcW w:w="2126" w:type="dxa"/>
            <w:shd w:val="clear" w:color="auto" w:fill="auto"/>
            <w:noWrap/>
            <w:hideMark/>
          </w:tcPr>
          <w:p w14:paraId="5BCF2BD3"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63F49854" w14:textId="77777777" w:rsidTr="004C6AA1">
        <w:trPr>
          <w:trHeight w:val="320"/>
        </w:trPr>
        <w:tc>
          <w:tcPr>
            <w:tcW w:w="4182" w:type="dxa"/>
            <w:shd w:val="clear" w:color="auto" w:fill="auto"/>
            <w:noWrap/>
            <w:hideMark/>
          </w:tcPr>
          <w:p w14:paraId="31AA2C82" w14:textId="77777777" w:rsidR="008F3151" w:rsidRPr="00D518FF" w:rsidRDefault="008F3151">
            <w:pPr>
              <w:rPr>
                <w:rFonts w:ascii="Aptos" w:hAnsi="Aptos"/>
                <w:color w:val="000000"/>
                <w:sz w:val="16"/>
                <w:szCs w:val="16"/>
              </w:rPr>
            </w:pPr>
            <w:r w:rsidRPr="00D518FF">
              <w:rPr>
                <w:rFonts w:ascii="Aptos" w:hAnsi="Aptos"/>
                <w:color w:val="000000"/>
                <w:sz w:val="16"/>
                <w:szCs w:val="16"/>
              </w:rPr>
              <w:t>Omega-3 polyunsaturated fatty acids and depression: a review of the evidence and a methodological critique</w:t>
            </w:r>
          </w:p>
        </w:tc>
        <w:tc>
          <w:tcPr>
            <w:tcW w:w="3544" w:type="dxa"/>
            <w:shd w:val="clear" w:color="auto" w:fill="auto"/>
            <w:noWrap/>
            <w:hideMark/>
          </w:tcPr>
          <w:p w14:paraId="687A3929" w14:textId="77777777" w:rsidR="008F3151" w:rsidRPr="00D518FF" w:rsidRDefault="008F3151">
            <w:pPr>
              <w:rPr>
                <w:rFonts w:ascii="Aptos" w:hAnsi="Aptos"/>
                <w:color w:val="000000"/>
                <w:sz w:val="16"/>
                <w:szCs w:val="16"/>
              </w:rPr>
            </w:pPr>
            <w:r w:rsidRPr="00D518FF">
              <w:rPr>
                <w:rFonts w:ascii="Aptos" w:hAnsi="Aptos"/>
                <w:color w:val="000000"/>
                <w:sz w:val="16"/>
                <w:szCs w:val="16"/>
              </w:rPr>
              <w:t>Sontrop, J.; Campbell, M. K.</w:t>
            </w:r>
          </w:p>
        </w:tc>
        <w:tc>
          <w:tcPr>
            <w:tcW w:w="567" w:type="dxa"/>
            <w:shd w:val="clear" w:color="auto" w:fill="auto"/>
            <w:noWrap/>
            <w:hideMark/>
          </w:tcPr>
          <w:p w14:paraId="33EFD41B" w14:textId="77777777" w:rsidR="008F3151" w:rsidRPr="00D518FF" w:rsidRDefault="008F3151">
            <w:pPr>
              <w:rPr>
                <w:rFonts w:ascii="Aptos" w:hAnsi="Aptos"/>
                <w:color w:val="000000"/>
                <w:sz w:val="16"/>
                <w:szCs w:val="16"/>
              </w:rPr>
            </w:pPr>
            <w:r w:rsidRPr="00D518FF">
              <w:rPr>
                <w:rFonts w:ascii="Aptos" w:hAnsi="Aptos"/>
                <w:color w:val="000000"/>
                <w:sz w:val="16"/>
                <w:szCs w:val="16"/>
              </w:rPr>
              <w:t>2006</w:t>
            </w:r>
          </w:p>
        </w:tc>
        <w:tc>
          <w:tcPr>
            <w:tcW w:w="1701" w:type="dxa"/>
            <w:shd w:val="clear" w:color="auto" w:fill="auto"/>
            <w:noWrap/>
            <w:hideMark/>
          </w:tcPr>
          <w:p w14:paraId="12A8CD1A" w14:textId="77777777" w:rsidR="008F3151" w:rsidRPr="00D518FF" w:rsidRDefault="008F3151">
            <w:pPr>
              <w:rPr>
                <w:rFonts w:ascii="Aptos" w:hAnsi="Aptos"/>
                <w:color w:val="000000"/>
                <w:sz w:val="16"/>
                <w:szCs w:val="16"/>
              </w:rPr>
            </w:pPr>
            <w:r w:rsidRPr="00D518FF">
              <w:rPr>
                <w:rFonts w:ascii="Aptos" w:hAnsi="Aptos"/>
                <w:color w:val="000000"/>
                <w:sz w:val="16"/>
                <w:szCs w:val="16"/>
              </w:rPr>
              <w:t>Prev Med</w:t>
            </w:r>
          </w:p>
        </w:tc>
        <w:tc>
          <w:tcPr>
            <w:tcW w:w="850" w:type="dxa"/>
            <w:shd w:val="clear" w:color="auto" w:fill="auto"/>
            <w:noWrap/>
            <w:hideMark/>
          </w:tcPr>
          <w:p w14:paraId="70D1283F" w14:textId="77777777" w:rsidR="008F3151" w:rsidRPr="00D518FF" w:rsidRDefault="008F3151">
            <w:pPr>
              <w:rPr>
                <w:rFonts w:ascii="Aptos" w:hAnsi="Aptos"/>
                <w:color w:val="000000"/>
                <w:sz w:val="16"/>
                <w:szCs w:val="16"/>
              </w:rPr>
            </w:pPr>
            <w:r w:rsidRPr="00D518FF">
              <w:rPr>
                <w:rFonts w:ascii="Aptos" w:hAnsi="Aptos"/>
                <w:color w:val="000000"/>
                <w:sz w:val="16"/>
                <w:szCs w:val="16"/>
              </w:rPr>
              <w:t>42</w:t>
            </w:r>
          </w:p>
        </w:tc>
        <w:tc>
          <w:tcPr>
            <w:tcW w:w="567" w:type="dxa"/>
            <w:shd w:val="clear" w:color="auto" w:fill="auto"/>
            <w:noWrap/>
            <w:hideMark/>
          </w:tcPr>
          <w:p w14:paraId="2301F5DF"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1D421E97" w14:textId="77777777" w:rsidR="008F3151" w:rsidRPr="00D518FF" w:rsidRDefault="008F3151">
            <w:pPr>
              <w:rPr>
                <w:rFonts w:ascii="Aptos" w:hAnsi="Aptos"/>
                <w:color w:val="000000"/>
                <w:sz w:val="16"/>
                <w:szCs w:val="16"/>
              </w:rPr>
            </w:pPr>
            <w:r w:rsidRPr="00D518FF">
              <w:rPr>
                <w:rFonts w:ascii="Aptos" w:hAnsi="Aptos"/>
                <w:color w:val="000000"/>
                <w:sz w:val="16"/>
                <w:szCs w:val="16"/>
              </w:rPr>
              <w:t>Apr-13</w:t>
            </w:r>
          </w:p>
        </w:tc>
        <w:tc>
          <w:tcPr>
            <w:tcW w:w="2126" w:type="dxa"/>
            <w:shd w:val="clear" w:color="auto" w:fill="auto"/>
            <w:noWrap/>
            <w:hideMark/>
          </w:tcPr>
          <w:p w14:paraId="0C9C51A3"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58EF079C" w14:textId="77777777" w:rsidTr="004C6AA1">
        <w:trPr>
          <w:trHeight w:val="320"/>
        </w:trPr>
        <w:tc>
          <w:tcPr>
            <w:tcW w:w="4182" w:type="dxa"/>
            <w:shd w:val="clear" w:color="auto" w:fill="auto"/>
            <w:noWrap/>
            <w:hideMark/>
          </w:tcPr>
          <w:p w14:paraId="3984BE9C" w14:textId="77777777" w:rsidR="008F3151" w:rsidRPr="00D518FF" w:rsidRDefault="008F3151">
            <w:pPr>
              <w:rPr>
                <w:rFonts w:ascii="Aptos" w:hAnsi="Aptos"/>
                <w:color w:val="000000"/>
                <w:sz w:val="16"/>
                <w:szCs w:val="16"/>
              </w:rPr>
            </w:pPr>
            <w:r w:rsidRPr="00D518FF">
              <w:rPr>
                <w:rFonts w:ascii="Aptos" w:hAnsi="Aptos"/>
                <w:color w:val="000000"/>
                <w:sz w:val="16"/>
                <w:szCs w:val="16"/>
              </w:rPr>
              <w:t>Perinatal nutrition interventions and post-partum depressive symptoms</w:t>
            </w:r>
          </w:p>
        </w:tc>
        <w:tc>
          <w:tcPr>
            <w:tcW w:w="3544" w:type="dxa"/>
            <w:shd w:val="clear" w:color="auto" w:fill="auto"/>
            <w:noWrap/>
            <w:hideMark/>
          </w:tcPr>
          <w:p w14:paraId="34913652" w14:textId="77777777" w:rsidR="008F3151" w:rsidRPr="00D518FF" w:rsidRDefault="008F3151">
            <w:pPr>
              <w:rPr>
                <w:rFonts w:ascii="Aptos" w:hAnsi="Aptos"/>
                <w:color w:val="000000"/>
                <w:sz w:val="16"/>
                <w:szCs w:val="16"/>
              </w:rPr>
            </w:pPr>
            <w:r w:rsidRPr="00D518FF">
              <w:rPr>
                <w:rFonts w:ascii="Aptos" w:hAnsi="Aptos"/>
                <w:color w:val="000000"/>
                <w:sz w:val="16"/>
                <w:szCs w:val="16"/>
              </w:rPr>
              <w:t>Gould, Jacqueline F.; Best, Karen; Makrides, Maria</w:t>
            </w:r>
          </w:p>
        </w:tc>
        <w:tc>
          <w:tcPr>
            <w:tcW w:w="567" w:type="dxa"/>
            <w:shd w:val="clear" w:color="auto" w:fill="auto"/>
            <w:noWrap/>
            <w:hideMark/>
          </w:tcPr>
          <w:p w14:paraId="41DDC4DA"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1701" w:type="dxa"/>
            <w:shd w:val="clear" w:color="auto" w:fill="auto"/>
            <w:noWrap/>
            <w:hideMark/>
          </w:tcPr>
          <w:p w14:paraId="73D5A999"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850" w:type="dxa"/>
            <w:shd w:val="clear" w:color="auto" w:fill="auto"/>
            <w:noWrap/>
            <w:hideMark/>
          </w:tcPr>
          <w:p w14:paraId="66D83A95" w14:textId="77777777" w:rsidR="008F3151" w:rsidRPr="00D518FF" w:rsidRDefault="008F3151">
            <w:pPr>
              <w:rPr>
                <w:rFonts w:ascii="Aptos" w:hAnsi="Aptos"/>
                <w:color w:val="000000"/>
                <w:sz w:val="16"/>
                <w:szCs w:val="16"/>
              </w:rPr>
            </w:pPr>
            <w:r w:rsidRPr="00D518FF">
              <w:rPr>
                <w:rFonts w:ascii="Aptos" w:hAnsi="Aptos"/>
                <w:color w:val="000000"/>
                <w:sz w:val="16"/>
                <w:szCs w:val="16"/>
              </w:rPr>
              <w:t>224</w:t>
            </w:r>
          </w:p>
        </w:tc>
        <w:tc>
          <w:tcPr>
            <w:tcW w:w="567" w:type="dxa"/>
            <w:shd w:val="clear" w:color="auto" w:fill="auto"/>
            <w:noWrap/>
            <w:hideMark/>
          </w:tcPr>
          <w:p w14:paraId="104C4478" w14:textId="77777777" w:rsidR="008F3151" w:rsidRPr="00D518FF" w:rsidRDefault="008F3151">
            <w:pPr>
              <w:rPr>
                <w:rFonts w:ascii="Aptos" w:hAnsi="Aptos"/>
                <w:color w:val="000000"/>
                <w:sz w:val="16"/>
                <w:szCs w:val="16"/>
              </w:rPr>
            </w:pPr>
          </w:p>
        </w:tc>
        <w:tc>
          <w:tcPr>
            <w:tcW w:w="709" w:type="dxa"/>
            <w:shd w:val="clear" w:color="auto" w:fill="auto"/>
            <w:noWrap/>
            <w:hideMark/>
          </w:tcPr>
          <w:p w14:paraId="58EB5701" w14:textId="77777777" w:rsidR="008F3151" w:rsidRPr="00D518FF" w:rsidRDefault="008F3151">
            <w:pPr>
              <w:rPr>
                <w:rFonts w:ascii="Aptos" w:hAnsi="Aptos"/>
                <w:color w:val="000000"/>
                <w:sz w:val="16"/>
                <w:szCs w:val="16"/>
              </w:rPr>
            </w:pPr>
            <w:r w:rsidRPr="00D518FF">
              <w:rPr>
                <w:rFonts w:ascii="Aptos" w:hAnsi="Aptos"/>
                <w:color w:val="000000"/>
                <w:sz w:val="16"/>
                <w:szCs w:val="16"/>
              </w:rPr>
              <w:t>2-Sep</w:t>
            </w:r>
          </w:p>
        </w:tc>
        <w:tc>
          <w:tcPr>
            <w:tcW w:w="2126" w:type="dxa"/>
            <w:shd w:val="clear" w:color="auto" w:fill="auto"/>
            <w:noWrap/>
            <w:hideMark/>
          </w:tcPr>
          <w:p w14:paraId="5775B008"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1F61CAA8" w14:textId="77777777" w:rsidTr="004C6AA1">
        <w:trPr>
          <w:trHeight w:val="320"/>
        </w:trPr>
        <w:tc>
          <w:tcPr>
            <w:tcW w:w="4182" w:type="dxa"/>
            <w:shd w:val="clear" w:color="auto" w:fill="auto"/>
            <w:noWrap/>
            <w:hideMark/>
          </w:tcPr>
          <w:p w14:paraId="6503CA4E" w14:textId="77777777" w:rsidR="008F3151" w:rsidRPr="00D518FF" w:rsidRDefault="008F3151">
            <w:pPr>
              <w:rPr>
                <w:rFonts w:ascii="Aptos" w:hAnsi="Aptos"/>
                <w:color w:val="000000"/>
                <w:sz w:val="16"/>
                <w:szCs w:val="16"/>
              </w:rPr>
            </w:pPr>
            <w:r w:rsidRPr="00D518FF">
              <w:rPr>
                <w:rFonts w:ascii="Aptos" w:hAnsi="Aptos"/>
                <w:color w:val="000000"/>
                <w:sz w:val="16"/>
                <w:szCs w:val="16"/>
              </w:rPr>
              <w:t>Pharmacotherapy of borderline personality disorder: a systematic review for publication purpose</w:t>
            </w:r>
          </w:p>
        </w:tc>
        <w:tc>
          <w:tcPr>
            <w:tcW w:w="3544" w:type="dxa"/>
            <w:shd w:val="clear" w:color="auto" w:fill="auto"/>
            <w:noWrap/>
            <w:hideMark/>
          </w:tcPr>
          <w:p w14:paraId="5D74FBFC" w14:textId="77777777" w:rsidR="008F3151" w:rsidRPr="00D518FF" w:rsidRDefault="008F3151">
            <w:pPr>
              <w:rPr>
                <w:rFonts w:ascii="Aptos" w:hAnsi="Aptos"/>
                <w:color w:val="000000"/>
                <w:sz w:val="16"/>
                <w:szCs w:val="16"/>
              </w:rPr>
            </w:pPr>
            <w:r w:rsidRPr="00D518FF">
              <w:rPr>
                <w:rFonts w:ascii="Aptos" w:hAnsi="Aptos"/>
                <w:color w:val="000000"/>
                <w:sz w:val="16"/>
                <w:szCs w:val="16"/>
              </w:rPr>
              <w:t>Bellino, S.; Rinaldi, C.; Bozzatello, P.; Bogetto, F.</w:t>
            </w:r>
          </w:p>
        </w:tc>
        <w:tc>
          <w:tcPr>
            <w:tcW w:w="567" w:type="dxa"/>
            <w:shd w:val="clear" w:color="auto" w:fill="auto"/>
            <w:noWrap/>
            <w:hideMark/>
          </w:tcPr>
          <w:p w14:paraId="6BF3D0BB"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701" w:type="dxa"/>
            <w:shd w:val="clear" w:color="auto" w:fill="auto"/>
            <w:noWrap/>
            <w:hideMark/>
          </w:tcPr>
          <w:p w14:paraId="039B7C24" w14:textId="77777777" w:rsidR="008F3151" w:rsidRPr="00D518FF" w:rsidRDefault="008F3151">
            <w:pPr>
              <w:rPr>
                <w:rFonts w:ascii="Aptos" w:hAnsi="Aptos"/>
                <w:color w:val="000000"/>
                <w:sz w:val="16"/>
                <w:szCs w:val="16"/>
              </w:rPr>
            </w:pPr>
            <w:r w:rsidRPr="00D518FF">
              <w:rPr>
                <w:rFonts w:ascii="Aptos" w:hAnsi="Aptos"/>
                <w:color w:val="000000"/>
                <w:sz w:val="16"/>
                <w:szCs w:val="16"/>
              </w:rPr>
              <w:t>Current medicinal chemistry</w:t>
            </w:r>
          </w:p>
        </w:tc>
        <w:tc>
          <w:tcPr>
            <w:tcW w:w="850" w:type="dxa"/>
            <w:shd w:val="clear" w:color="auto" w:fill="auto"/>
            <w:noWrap/>
            <w:hideMark/>
          </w:tcPr>
          <w:p w14:paraId="7EF61B42"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567" w:type="dxa"/>
            <w:shd w:val="clear" w:color="auto" w:fill="auto"/>
            <w:noWrap/>
            <w:hideMark/>
          </w:tcPr>
          <w:p w14:paraId="4280BD4B" w14:textId="77777777" w:rsidR="008F3151" w:rsidRPr="00D518FF" w:rsidRDefault="008F3151">
            <w:pPr>
              <w:rPr>
                <w:rFonts w:ascii="Aptos" w:hAnsi="Aptos"/>
                <w:color w:val="000000"/>
                <w:sz w:val="16"/>
                <w:szCs w:val="16"/>
              </w:rPr>
            </w:pPr>
            <w:r w:rsidRPr="00D518FF">
              <w:rPr>
                <w:rFonts w:ascii="Aptos" w:hAnsi="Aptos"/>
                <w:color w:val="000000"/>
                <w:sz w:val="16"/>
                <w:szCs w:val="16"/>
              </w:rPr>
              <w:t>22</w:t>
            </w:r>
          </w:p>
        </w:tc>
        <w:tc>
          <w:tcPr>
            <w:tcW w:w="709" w:type="dxa"/>
            <w:shd w:val="clear" w:color="auto" w:fill="auto"/>
            <w:noWrap/>
            <w:hideMark/>
          </w:tcPr>
          <w:p w14:paraId="5FEACC12" w14:textId="77777777" w:rsidR="008F3151" w:rsidRPr="00D518FF" w:rsidRDefault="008F3151">
            <w:pPr>
              <w:rPr>
                <w:rFonts w:ascii="Aptos" w:hAnsi="Aptos"/>
                <w:color w:val="000000"/>
                <w:sz w:val="16"/>
                <w:szCs w:val="16"/>
              </w:rPr>
            </w:pPr>
            <w:r w:rsidRPr="00D518FF">
              <w:rPr>
                <w:rFonts w:ascii="Aptos" w:hAnsi="Aptos"/>
                <w:color w:val="000000"/>
                <w:sz w:val="16"/>
                <w:szCs w:val="16"/>
              </w:rPr>
              <w:t>3322-9</w:t>
            </w:r>
          </w:p>
        </w:tc>
        <w:tc>
          <w:tcPr>
            <w:tcW w:w="2126" w:type="dxa"/>
            <w:shd w:val="clear" w:color="auto" w:fill="auto"/>
            <w:noWrap/>
            <w:hideMark/>
          </w:tcPr>
          <w:p w14:paraId="4DA3C8F9"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0113629D" w14:textId="77777777" w:rsidTr="004C6AA1">
        <w:trPr>
          <w:trHeight w:val="320"/>
        </w:trPr>
        <w:tc>
          <w:tcPr>
            <w:tcW w:w="4182" w:type="dxa"/>
            <w:shd w:val="clear" w:color="auto" w:fill="auto"/>
            <w:noWrap/>
            <w:hideMark/>
          </w:tcPr>
          <w:p w14:paraId="05A84C7A" w14:textId="77777777" w:rsidR="008F3151" w:rsidRPr="00D518FF" w:rsidRDefault="008F3151">
            <w:pPr>
              <w:rPr>
                <w:rFonts w:ascii="Aptos" w:hAnsi="Aptos"/>
                <w:color w:val="000000"/>
                <w:sz w:val="16"/>
                <w:szCs w:val="16"/>
              </w:rPr>
            </w:pPr>
            <w:r w:rsidRPr="00D518FF">
              <w:rPr>
                <w:rFonts w:ascii="Aptos" w:hAnsi="Aptos"/>
                <w:color w:val="000000"/>
                <w:sz w:val="16"/>
                <w:szCs w:val="16"/>
              </w:rPr>
              <w:t>Polyunsaturated Fatty Acids: What is Their Role in Treatment of Psychiatric Disorders?</w:t>
            </w:r>
          </w:p>
        </w:tc>
        <w:tc>
          <w:tcPr>
            <w:tcW w:w="3544" w:type="dxa"/>
            <w:shd w:val="clear" w:color="auto" w:fill="auto"/>
            <w:noWrap/>
            <w:hideMark/>
          </w:tcPr>
          <w:p w14:paraId="248A95B3" w14:textId="77777777" w:rsidR="008F3151" w:rsidRPr="00D518FF" w:rsidRDefault="008F3151">
            <w:pPr>
              <w:rPr>
                <w:rFonts w:ascii="Aptos" w:hAnsi="Aptos"/>
                <w:color w:val="000000"/>
                <w:sz w:val="16"/>
                <w:szCs w:val="16"/>
              </w:rPr>
            </w:pPr>
            <w:r w:rsidRPr="00D518FF">
              <w:rPr>
                <w:rFonts w:ascii="Aptos" w:hAnsi="Aptos"/>
                <w:color w:val="000000"/>
                <w:sz w:val="16"/>
                <w:szCs w:val="16"/>
              </w:rPr>
              <w:t>Bozzatello, P.; Rocca, P.; Mantelli, E.; Bellino, S.</w:t>
            </w:r>
          </w:p>
        </w:tc>
        <w:tc>
          <w:tcPr>
            <w:tcW w:w="567" w:type="dxa"/>
            <w:shd w:val="clear" w:color="auto" w:fill="auto"/>
            <w:noWrap/>
            <w:hideMark/>
          </w:tcPr>
          <w:p w14:paraId="739DC266"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1701" w:type="dxa"/>
            <w:shd w:val="clear" w:color="auto" w:fill="auto"/>
            <w:noWrap/>
            <w:hideMark/>
          </w:tcPr>
          <w:p w14:paraId="0637C31C"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molecular sciences</w:t>
            </w:r>
          </w:p>
        </w:tc>
        <w:tc>
          <w:tcPr>
            <w:tcW w:w="850" w:type="dxa"/>
            <w:shd w:val="clear" w:color="auto" w:fill="auto"/>
            <w:noWrap/>
            <w:hideMark/>
          </w:tcPr>
          <w:p w14:paraId="2444CCFC" w14:textId="77777777" w:rsidR="008F3151" w:rsidRPr="00D518FF" w:rsidRDefault="008F3151">
            <w:pPr>
              <w:rPr>
                <w:rFonts w:ascii="Aptos" w:hAnsi="Aptos"/>
                <w:color w:val="000000"/>
                <w:sz w:val="16"/>
                <w:szCs w:val="16"/>
              </w:rPr>
            </w:pPr>
            <w:r w:rsidRPr="00D518FF">
              <w:rPr>
                <w:rFonts w:ascii="Aptos" w:hAnsi="Aptos"/>
                <w:color w:val="000000"/>
                <w:sz w:val="16"/>
                <w:szCs w:val="16"/>
              </w:rPr>
              <w:t>20</w:t>
            </w:r>
          </w:p>
        </w:tc>
        <w:tc>
          <w:tcPr>
            <w:tcW w:w="567" w:type="dxa"/>
            <w:shd w:val="clear" w:color="auto" w:fill="auto"/>
            <w:noWrap/>
            <w:hideMark/>
          </w:tcPr>
          <w:p w14:paraId="7E78A1C8" w14:textId="77777777" w:rsidR="008F3151" w:rsidRPr="00D518FF" w:rsidRDefault="008F3151">
            <w:pPr>
              <w:rPr>
                <w:rFonts w:ascii="Aptos" w:hAnsi="Aptos"/>
                <w:color w:val="000000"/>
                <w:sz w:val="16"/>
                <w:szCs w:val="16"/>
              </w:rPr>
            </w:pPr>
            <w:r w:rsidRPr="00D518FF">
              <w:rPr>
                <w:rFonts w:ascii="Aptos" w:hAnsi="Aptos"/>
                <w:color w:val="000000"/>
                <w:sz w:val="16"/>
                <w:szCs w:val="16"/>
              </w:rPr>
              <w:t>21</w:t>
            </w:r>
          </w:p>
        </w:tc>
        <w:tc>
          <w:tcPr>
            <w:tcW w:w="709" w:type="dxa"/>
            <w:shd w:val="clear" w:color="auto" w:fill="auto"/>
            <w:noWrap/>
            <w:hideMark/>
          </w:tcPr>
          <w:p w14:paraId="74E3655F" w14:textId="4C46D2D9" w:rsidR="008F3151" w:rsidRPr="00D518FF" w:rsidRDefault="004157F8">
            <w:pPr>
              <w:rPr>
                <w:rFonts w:ascii="Aptos" w:hAnsi="Aptos"/>
                <w:color w:val="000000"/>
                <w:sz w:val="16"/>
                <w:szCs w:val="16"/>
              </w:rPr>
            </w:pPr>
            <w:r>
              <w:rPr>
                <w:rFonts w:ascii="Aptos" w:hAnsi="Aptos"/>
                <w:color w:val="000000"/>
                <w:sz w:val="16"/>
                <w:szCs w:val="16"/>
              </w:rPr>
              <w:t>5257</w:t>
            </w:r>
          </w:p>
        </w:tc>
        <w:tc>
          <w:tcPr>
            <w:tcW w:w="2126" w:type="dxa"/>
            <w:shd w:val="clear" w:color="auto" w:fill="auto"/>
            <w:noWrap/>
            <w:hideMark/>
          </w:tcPr>
          <w:p w14:paraId="52B4E71F"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2754458F" w14:textId="77777777" w:rsidTr="004C6AA1">
        <w:trPr>
          <w:trHeight w:val="320"/>
        </w:trPr>
        <w:tc>
          <w:tcPr>
            <w:tcW w:w="4182" w:type="dxa"/>
            <w:shd w:val="clear" w:color="auto" w:fill="auto"/>
            <w:noWrap/>
            <w:hideMark/>
          </w:tcPr>
          <w:p w14:paraId="5FBAC60C" w14:textId="77777777" w:rsidR="008F3151" w:rsidRPr="00D518FF" w:rsidRDefault="008F3151">
            <w:pPr>
              <w:rPr>
                <w:rFonts w:ascii="Aptos" w:hAnsi="Aptos"/>
                <w:color w:val="000000"/>
                <w:sz w:val="16"/>
                <w:szCs w:val="16"/>
              </w:rPr>
            </w:pPr>
            <w:r w:rsidRPr="00D518FF">
              <w:rPr>
                <w:rFonts w:ascii="Aptos" w:hAnsi="Aptos"/>
                <w:color w:val="000000"/>
                <w:sz w:val="16"/>
                <w:szCs w:val="16"/>
              </w:rPr>
              <w:t>Self-help interventions for depressive disorders and depressive symptoms: a systematic review</w:t>
            </w:r>
          </w:p>
        </w:tc>
        <w:tc>
          <w:tcPr>
            <w:tcW w:w="3544" w:type="dxa"/>
            <w:shd w:val="clear" w:color="auto" w:fill="auto"/>
            <w:noWrap/>
            <w:hideMark/>
          </w:tcPr>
          <w:p w14:paraId="1B4CB03A" w14:textId="77777777" w:rsidR="008F3151" w:rsidRPr="00D518FF" w:rsidRDefault="008F3151">
            <w:pPr>
              <w:rPr>
                <w:rFonts w:ascii="Aptos" w:hAnsi="Aptos"/>
                <w:color w:val="000000"/>
                <w:sz w:val="16"/>
                <w:szCs w:val="16"/>
              </w:rPr>
            </w:pPr>
            <w:r w:rsidRPr="00D518FF">
              <w:rPr>
                <w:rFonts w:ascii="Aptos" w:hAnsi="Aptos"/>
                <w:color w:val="000000"/>
                <w:sz w:val="16"/>
                <w:szCs w:val="16"/>
              </w:rPr>
              <w:t>Morgan, A. J.; Jorm, A. F.</w:t>
            </w:r>
          </w:p>
        </w:tc>
        <w:tc>
          <w:tcPr>
            <w:tcW w:w="567" w:type="dxa"/>
            <w:shd w:val="clear" w:color="auto" w:fill="auto"/>
            <w:noWrap/>
            <w:hideMark/>
          </w:tcPr>
          <w:p w14:paraId="6811554B" w14:textId="77777777" w:rsidR="008F3151" w:rsidRPr="00D518FF" w:rsidRDefault="008F3151">
            <w:pPr>
              <w:rPr>
                <w:rFonts w:ascii="Aptos" w:hAnsi="Aptos"/>
                <w:color w:val="000000"/>
                <w:sz w:val="16"/>
                <w:szCs w:val="16"/>
              </w:rPr>
            </w:pPr>
            <w:r w:rsidRPr="00D518FF">
              <w:rPr>
                <w:rFonts w:ascii="Aptos" w:hAnsi="Aptos"/>
                <w:color w:val="000000"/>
                <w:sz w:val="16"/>
                <w:szCs w:val="16"/>
              </w:rPr>
              <w:t>2008</w:t>
            </w:r>
          </w:p>
        </w:tc>
        <w:tc>
          <w:tcPr>
            <w:tcW w:w="1701" w:type="dxa"/>
            <w:shd w:val="clear" w:color="auto" w:fill="auto"/>
            <w:noWrap/>
            <w:hideMark/>
          </w:tcPr>
          <w:p w14:paraId="7C020F3C" w14:textId="77777777" w:rsidR="008F3151" w:rsidRPr="00D518FF" w:rsidRDefault="008F3151">
            <w:pPr>
              <w:rPr>
                <w:rFonts w:ascii="Aptos" w:hAnsi="Aptos"/>
                <w:color w:val="000000"/>
                <w:sz w:val="16"/>
                <w:szCs w:val="16"/>
              </w:rPr>
            </w:pPr>
            <w:r w:rsidRPr="00D518FF">
              <w:rPr>
                <w:rFonts w:ascii="Aptos" w:hAnsi="Aptos"/>
                <w:color w:val="000000"/>
                <w:sz w:val="16"/>
                <w:szCs w:val="16"/>
              </w:rPr>
              <w:t>Annals of general psychiatry</w:t>
            </w:r>
          </w:p>
        </w:tc>
        <w:tc>
          <w:tcPr>
            <w:tcW w:w="850" w:type="dxa"/>
            <w:shd w:val="clear" w:color="auto" w:fill="auto"/>
            <w:noWrap/>
            <w:hideMark/>
          </w:tcPr>
          <w:p w14:paraId="760F6DB3"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567" w:type="dxa"/>
            <w:shd w:val="clear" w:color="auto" w:fill="auto"/>
            <w:noWrap/>
            <w:hideMark/>
          </w:tcPr>
          <w:p w14:paraId="48F06470" w14:textId="2FF97556" w:rsidR="008F3151" w:rsidRPr="00D518FF" w:rsidRDefault="00BA5CDC">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4949F2A1" w14:textId="77777777" w:rsidR="008F3151" w:rsidRPr="00D518FF" w:rsidRDefault="008F3151">
            <w:pPr>
              <w:rPr>
                <w:rFonts w:ascii="Aptos" w:hAnsi="Aptos"/>
                <w:color w:val="000000"/>
                <w:sz w:val="16"/>
                <w:szCs w:val="16"/>
              </w:rPr>
            </w:pPr>
            <w:r w:rsidRPr="00D518FF">
              <w:rPr>
                <w:rFonts w:ascii="Aptos" w:hAnsi="Aptos"/>
                <w:color w:val="000000"/>
                <w:sz w:val="16"/>
                <w:szCs w:val="16"/>
              </w:rPr>
              <w:t>13</w:t>
            </w:r>
          </w:p>
        </w:tc>
        <w:tc>
          <w:tcPr>
            <w:tcW w:w="2126" w:type="dxa"/>
            <w:shd w:val="clear" w:color="auto" w:fill="auto"/>
            <w:noWrap/>
            <w:hideMark/>
          </w:tcPr>
          <w:p w14:paraId="34EDF171"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4BEB855D" w14:textId="77777777" w:rsidTr="004C6AA1">
        <w:trPr>
          <w:trHeight w:val="320"/>
        </w:trPr>
        <w:tc>
          <w:tcPr>
            <w:tcW w:w="4182" w:type="dxa"/>
            <w:shd w:val="clear" w:color="auto" w:fill="auto"/>
            <w:noWrap/>
            <w:hideMark/>
          </w:tcPr>
          <w:p w14:paraId="66FD39B1" w14:textId="77777777" w:rsidR="008F3151" w:rsidRPr="00D518FF" w:rsidRDefault="008F3151">
            <w:pPr>
              <w:rPr>
                <w:rFonts w:ascii="Aptos" w:hAnsi="Aptos"/>
                <w:color w:val="000000"/>
                <w:sz w:val="16"/>
                <w:szCs w:val="16"/>
              </w:rPr>
            </w:pPr>
            <w:r w:rsidRPr="00D518FF">
              <w:rPr>
                <w:rFonts w:ascii="Aptos" w:hAnsi="Aptos"/>
                <w:color w:val="000000"/>
                <w:sz w:val="16"/>
                <w:szCs w:val="16"/>
              </w:rPr>
              <w:t>Taking the fuel out of the fire: Evidence for the use of anti-inflammatory agents in the treatment of bipolar disorders</w:t>
            </w:r>
          </w:p>
        </w:tc>
        <w:tc>
          <w:tcPr>
            <w:tcW w:w="3544" w:type="dxa"/>
            <w:shd w:val="clear" w:color="auto" w:fill="auto"/>
            <w:noWrap/>
            <w:hideMark/>
          </w:tcPr>
          <w:p w14:paraId="1B9B24BA" w14:textId="77777777" w:rsidR="008F3151" w:rsidRPr="00D518FF" w:rsidRDefault="008F3151">
            <w:pPr>
              <w:rPr>
                <w:rFonts w:ascii="Aptos" w:hAnsi="Aptos"/>
                <w:color w:val="000000"/>
                <w:sz w:val="16"/>
                <w:szCs w:val="16"/>
              </w:rPr>
            </w:pPr>
            <w:r w:rsidRPr="00D518FF">
              <w:rPr>
                <w:rFonts w:ascii="Aptos" w:hAnsi="Aptos"/>
                <w:color w:val="000000"/>
                <w:sz w:val="16"/>
                <w:szCs w:val="16"/>
              </w:rPr>
              <w:t>Ayorech, Z.; Tracy, D. K.; Baumeister, D.; Giaroli, G.</w:t>
            </w:r>
          </w:p>
        </w:tc>
        <w:tc>
          <w:tcPr>
            <w:tcW w:w="567" w:type="dxa"/>
            <w:shd w:val="clear" w:color="auto" w:fill="auto"/>
            <w:noWrap/>
            <w:hideMark/>
          </w:tcPr>
          <w:p w14:paraId="29DCBCDA" w14:textId="77777777" w:rsidR="008F3151" w:rsidRPr="00D518FF" w:rsidRDefault="008F3151">
            <w:pPr>
              <w:rPr>
                <w:rFonts w:ascii="Aptos" w:hAnsi="Aptos"/>
                <w:color w:val="000000"/>
                <w:sz w:val="16"/>
                <w:szCs w:val="16"/>
              </w:rPr>
            </w:pPr>
            <w:r w:rsidRPr="00D518FF">
              <w:rPr>
                <w:rFonts w:ascii="Aptos" w:hAnsi="Aptos"/>
                <w:color w:val="000000"/>
                <w:sz w:val="16"/>
                <w:szCs w:val="16"/>
              </w:rPr>
              <w:t>2015</w:t>
            </w:r>
          </w:p>
        </w:tc>
        <w:tc>
          <w:tcPr>
            <w:tcW w:w="1701" w:type="dxa"/>
            <w:shd w:val="clear" w:color="auto" w:fill="auto"/>
            <w:noWrap/>
            <w:hideMark/>
          </w:tcPr>
          <w:p w14:paraId="1445C366"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850" w:type="dxa"/>
            <w:shd w:val="clear" w:color="auto" w:fill="auto"/>
            <w:noWrap/>
            <w:hideMark/>
          </w:tcPr>
          <w:p w14:paraId="5365EF7A" w14:textId="485E411B" w:rsidR="008F3151" w:rsidRPr="00D518FF" w:rsidRDefault="008F3151">
            <w:pPr>
              <w:rPr>
                <w:rFonts w:ascii="Aptos" w:hAnsi="Aptos"/>
                <w:color w:val="000000"/>
                <w:sz w:val="16"/>
                <w:szCs w:val="16"/>
              </w:rPr>
            </w:pPr>
            <w:r w:rsidRPr="00D518FF">
              <w:rPr>
                <w:rFonts w:ascii="Aptos" w:hAnsi="Aptos"/>
                <w:color w:val="000000"/>
                <w:sz w:val="16"/>
                <w:szCs w:val="16"/>
              </w:rPr>
              <w:t>174</w:t>
            </w:r>
          </w:p>
        </w:tc>
        <w:tc>
          <w:tcPr>
            <w:tcW w:w="567" w:type="dxa"/>
            <w:shd w:val="clear" w:color="auto" w:fill="auto"/>
            <w:noWrap/>
            <w:hideMark/>
          </w:tcPr>
          <w:p w14:paraId="08A109D8" w14:textId="5F872347" w:rsidR="008F3151" w:rsidRPr="00D518FF" w:rsidRDefault="00BA5CDC">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250353E0" w14:textId="77777777" w:rsidR="008F3151" w:rsidRPr="00D518FF" w:rsidRDefault="008F3151">
            <w:pPr>
              <w:rPr>
                <w:rFonts w:ascii="Aptos" w:hAnsi="Aptos"/>
                <w:color w:val="000000"/>
                <w:sz w:val="16"/>
                <w:szCs w:val="16"/>
              </w:rPr>
            </w:pPr>
            <w:r w:rsidRPr="00D518FF">
              <w:rPr>
                <w:rFonts w:ascii="Aptos" w:hAnsi="Aptos"/>
                <w:color w:val="000000"/>
                <w:sz w:val="16"/>
                <w:szCs w:val="16"/>
              </w:rPr>
              <w:t>467-478</w:t>
            </w:r>
          </w:p>
        </w:tc>
        <w:tc>
          <w:tcPr>
            <w:tcW w:w="2126" w:type="dxa"/>
            <w:shd w:val="clear" w:color="auto" w:fill="auto"/>
            <w:noWrap/>
            <w:hideMark/>
          </w:tcPr>
          <w:p w14:paraId="0BB578E4"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63C2F451" w14:textId="77777777" w:rsidTr="004C6AA1">
        <w:trPr>
          <w:trHeight w:val="320"/>
        </w:trPr>
        <w:tc>
          <w:tcPr>
            <w:tcW w:w="4182" w:type="dxa"/>
            <w:shd w:val="clear" w:color="auto" w:fill="auto"/>
            <w:noWrap/>
            <w:hideMark/>
          </w:tcPr>
          <w:p w14:paraId="25682604"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The role of n-3 polyunsaturated fatty acids (n-3PUFAs) in affective disorders</w:t>
            </w:r>
          </w:p>
        </w:tc>
        <w:tc>
          <w:tcPr>
            <w:tcW w:w="3544" w:type="dxa"/>
            <w:shd w:val="clear" w:color="auto" w:fill="auto"/>
            <w:noWrap/>
            <w:hideMark/>
          </w:tcPr>
          <w:p w14:paraId="27872A24" w14:textId="77777777" w:rsidR="008F3151" w:rsidRPr="00D518FF" w:rsidRDefault="008F3151">
            <w:pPr>
              <w:rPr>
                <w:rFonts w:ascii="Aptos" w:hAnsi="Aptos"/>
                <w:color w:val="000000"/>
                <w:sz w:val="16"/>
                <w:szCs w:val="16"/>
              </w:rPr>
            </w:pPr>
            <w:r w:rsidRPr="00D518FF">
              <w:rPr>
                <w:rFonts w:ascii="Aptos" w:hAnsi="Aptos"/>
                <w:color w:val="000000"/>
                <w:sz w:val="16"/>
                <w:szCs w:val="16"/>
              </w:rPr>
              <w:t>Ciappolino, Valentina; Delvecchio, Giuseppe; Agostoni, Carlo; Mazzocchi, Alessandra; Altamura, Alfredo Carlo; Brambilla, Paolo</w:t>
            </w:r>
          </w:p>
        </w:tc>
        <w:tc>
          <w:tcPr>
            <w:tcW w:w="567" w:type="dxa"/>
            <w:shd w:val="clear" w:color="auto" w:fill="auto"/>
            <w:noWrap/>
            <w:hideMark/>
          </w:tcPr>
          <w:p w14:paraId="076873E2"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1701" w:type="dxa"/>
            <w:shd w:val="clear" w:color="auto" w:fill="auto"/>
            <w:noWrap/>
            <w:hideMark/>
          </w:tcPr>
          <w:p w14:paraId="4D325F8C"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850" w:type="dxa"/>
            <w:shd w:val="clear" w:color="auto" w:fill="auto"/>
            <w:noWrap/>
            <w:hideMark/>
          </w:tcPr>
          <w:p w14:paraId="20884B6A" w14:textId="77777777" w:rsidR="008F3151" w:rsidRPr="00D518FF" w:rsidRDefault="008F3151">
            <w:pPr>
              <w:rPr>
                <w:rFonts w:ascii="Aptos" w:hAnsi="Aptos"/>
                <w:color w:val="000000"/>
                <w:sz w:val="16"/>
                <w:szCs w:val="16"/>
              </w:rPr>
            </w:pPr>
            <w:r w:rsidRPr="00D518FF">
              <w:rPr>
                <w:rFonts w:ascii="Aptos" w:hAnsi="Aptos"/>
                <w:color w:val="000000"/>
                <w:sz w:val="16"/>
                <w:szCs w:val="16"/>
              </w:rPr>
              <w:t>224</w:t>
            </w:r>
          </w:p>
        </w:tc>
        <w:tc>
          <w:tcPr>
            <w:tcW w:w="567" w:type="dxa"/>
            <w:shd w:val="clear" w:color="auto" w:fill="auto"/>
            <w:noWrap/>
            <w:hideMark/>
          </w:tcPr>
          <w:p w14:paraId="27C1D4E9" w14:textId="2D52963B" w:rsidR="008F3151" w:rsidRPr="00D518FF" w:rsidRDefault="00F06FCF">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5211B959" w14:textId="77777777" w:rsidR="008F3151" w:rsidRPr="00D518FF" w:rsidRDefault="008F3151">
            <w:pPr>
              <w:rPr>
                <w:rFonts w:ascii="Aptos" w:hAnsi="Aptos"/>
                <w:color w:val="000000"/>
                <w:sz w:val="16"/>
                <w:szCs w:val="16"/>
              </w:rPr>
            </w:pPr>
            <w:r w:rsidRPr="00D518FF">
              <w:rPr>
                <w:rFonts w:ascii="Aptos" w:hAnsi="Aptos"/>
                <w:color w:val="000000"/>
                <w:sz w:val="16"/>
                <w:szCs w:val="16"/>
              </w:rPr>
              <w:t>32-47</w:t>
            </w:r>
          </w:p>
        </w:tc>
        <w:tc>
          <w:tcPr>
            <w:tcW w:w="2126" w:type="dxa"/>
            <w:shd w:val="clear" w:color="auto" w:fill="auto"/>
            <w:noWrap/>
            <w:hideMark/>
          </w:tcPr>
          <w:p w14:paraId="0D0068D9"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0DA8A17C" w14:textId="77777777" w:rsidTr="004C6AA1">
        <w:trPr>
          <w:trHeight w:val="320"/>
        </w:trPr>
        <w:tc>
          <w:tcPr>
            <w:tcW w:w="4182" w:type="dxa"/>
            <w:shd w:val="clear" w:color="auto" w:fill="auto"/>
            <w:noWrap/>
            <w:hideMark/>
          </w:tcPr>
          <w:p w14:paraId="4923BD10" w14:textId="77777777" w:rsidR="008F3151" w:rsidRPr="00D518FF" w:rsidRDefault="008F3151">
            <w:pPr>
              <w:rPr>
                <w:rFonts w:ascii="Aptos" w:hAnsi="Aptos"/>
                <w:color w:val="000000"/>
                <w:sz w:val="16"/>
                <w:szCs w:val="16"/>
              </w:rPr>
            </w:pPr>
            <w:r w:rsidRPr="00D518FF">
              <w:rPr>
                <w:rFonts w:ascii="Aptos" w:hAnsi="Aptos"/>
                <w:color w:val="000000"/>
                <w:sz w:val="16"/>
                <w:szCs w:val="16"/>
              </w:rPr>
              <w:t>Updated systematic review and meta-analysis of the effects of n-3 long-chain polyunsaturated fatty acids on depressed mood</w:t>
            </w:r>
          </w:p>
        </w:tc>
        <w:tc>
          <w:tcPr>
            <w:tcW w:w="3544" w:type="dxa"/>
            <w:shd w:val="clear" w:color="auto" w:fill="auto"/>
            <w:noWrap/>
            <w:hideMark/>
          </w:tcPr>
          <w:p w14:paraId="7B18EF64" w14:textId="77777777" w:rsidR="008F3151" w:rsidRPr="00D518FF" w:rsidRDefault="008F3151">
            <w:pPr>
              <w:rPr>
                <w:rFonts w:ascii="Aptos" w:hAnsi="Aptos"/>
                <w:color w:val="000000"/>
                <w:sz w:val="16"/>
                <w:szCs w:val="16"/>
              </w:rPr>
            </w:pPr>
            <w:r w:rsidRPr="00D518FF">
              <w:rPr>
                <w:rFonts w:ascii="Aptos" w:hAnsi="Aptos"/>
                <w:color w:val="000000"/>
                <w:sz w:val="16"/>
                <w:szCs w:val="16"/>
              </w:rPr>
              <w:t>Appleton, K. M.; Rogers, P. J.; Ness, A. R.</w:t>
            </w:r>
          </w:p>
        </w:tc>
        <w:tc>
          <w:tcPr>
            <w:tcW w:w="567" w:type="dxa"/>
            <w:shd w:val="clear" w:color="auto" w:fill="auto"/>
            <w:noWrap/>
            <w:hideMark/>
          </w:tcPr>
          <w:p w14:paraId="06A4D4B4"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hideMark/>
          </w:tcPr>
          <w:p w14:paraId="7C80BD27" w14:textId="77777777" w:rsidR="008F3151" w:rsidRPr="00D518FF" w:rsidRDefault="008F3151">
            <w:pPr>
              <w:rPr>
                <w:rFonts w:ascii="Aptos" w:hAnsi="Aptos"/>
                <w:color w:val="000000"/>
                <w:sz w:val="16"/>
                <w:szCs w:val="16"/>
              </w:rPr>
            </w:pPr>
            <w:r w:rsidRPr="00D518FF">
              <w:rPr>
                <w:rFonts w:ascii="Aptos" w:hAnsi="Aptos"/>
                <w:color w:val="000000"/>
                <w:sz w:val="16"/>
                <w:szCs w:val="16"/>
              </w:rPr>
              <w:t>American Journal of Clinical Nutrition</w:t>
            </w:r>
          </w:p>
        </w:tc>
        <w:tc>
          <w:tcPr>
            <w:tcW w:w="850" w:type="dxa"/>
            <w:shd w:val="clear" w:color="auto" w:fill="auto"/>
            <w:noWrap/>
            <w:hideMark/>
          </w:tcPr>
          <w:p w14:paraId="71E5711C" w14:textId="77777777" w:rsidR="008F3151" w:rsidRPr="00D518FF" w:rsidRDefault="008F3151">
            <w:pPr>
              <w:rPr>
                <w:rFonts w:ascii="Aptos" w:hAnsi="Aptos"/>
                <w:color w:val="000000"/>
                <w:sz w:val="16"/>
                <w:szCs w:val="16"/>
              </w:rPr>
            </w:pPr>
            <w:r w:rsidRPr="00D518FF">
              <w:rPr>
                <w:rFonts w:ascii="Aptos" w:hAnsi="Aptos"/>
                <w:color w:val="000000"/>
                <w:sz w:val="16"/>
                <w:szCs w:val="16"/>
              </w:rPr>
              <w:t>91</w:t>
            </w:r>
          </w:p>
        </w:tc>
        <w:tc>
          <w:tcPr>
            <w:tcW w:w="567" w:type="dxa"/>
            <w:shd w:val="clear" w:color="auto" w:fill="auto"/>
            <w:noWrap/>
            <w:hideMark/>
          </w:tcPr>
          <w:p w14:paraId="0A312767"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1AC14102" w14:textId="77777777" w:rsidR="008F3151" w:rsidRPr="00D518FF" w:rsidRDefault="008F3151">
            <w:pPr>
              <w:rPr>
                <w:rFonts w:ascii="Aptos" w:hAnsi="Aptos"/>
                <w:color w:val="000000"/>
                <w:sz w:val="16"/>
                <w:szCs w:val="16"/>
              </w:rPr>
            </w:pPr>
            <w:r w:rsidRPr="00D518FF">
              <w:rPr>
                <w:rFonts w:ascii="Aptos" w:hAnsi="Aptos"/>
                <w:color w:val="000000"/>
                <w:sz w:val="16"/>
                <w:szCs w:val="16"/>
              </w:rPr>
              <w:t>757-770</w:t>
            </w:r>
          </w:p>
        </w:tc>
        <w:tc>
          <w:tcPr>
            <w:tcW w:w="2126" w:type="dxa"/>
            <w:shd w:val="clear" w:color="auto" w:fill="auto"/>
            <w:noWrap/>
            <w:hideMark/>
          </w:tcPr>
          <w:p w14:paraId="02E7B21D"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6FE3C42D" w14:textId="77777777" w:rsidTr="004C6AA1">
        <w:trPr>
          <w:trHeight w:val="320"/>
        </w:trPr>
        <w:tc>
          <w:tcPr>
            <w:tcW w:w="4182" w:type="dxa"/>
            <w:shd w:val="clear" w:color="auto" w:fill="auto"/>
            <w:noWrap/>
            <w:hideMark/>
          </w:tcPr>
          <w:p w14:paraId="1947C634" w14:textId="77777777" w:rsidR="008F3151" w:rsidRPr="00D518FF" w:rsidRDefault="008F3151">
            <w:pPr>
              <w:rPr>
                <w:rFonts w:ascii="Aptos" w:hAnsi="Aptos"/>
                <w:color w:val="000000"/>
                <w:sz w:val="16"/>
                <w:szCs w:val="16"/>
              </w:rPr>
            </w:pPr>
            <w:r w:rsidRPr="00D518FF">
              <w:rPr>
                <w:rFonts w:ascii="Aptos" w:hAnsi="Aptos"/>
                <w:color w:val="000000"/>
                <w:sz w:val="16"/>
                <w:szCs w:val="16"/>
              </w:rPr>
              <w:t>What is the effectiveness of the use of polyunsaturated fatty acid omega-3 in the treatment of depression?</w:t>
            </w:r>
          </w:p>
        </w:tc>
        <w:tc>
          <w:tcPr>
            <w:tcW w:w="3544" w:type="dxa"/>
            <w:shd w:val="clear" w:color="auto" w:fill="auto"/>
            <w:noWrap/>
            <w:hideMark/>
          </w:tcPr>
          <w:p w14:paraId="718B6D30" w14:textId="77777777" w:rsidR="008F3151" w:rsidRPr="00D518FF" w:rsidRDefault="008F3151">
            <w:pPr>
              <w:rPr>
                <w:rFonts w:ascii="Aptos" w:hAnsi="Aptos"/>
                <w:color w:val="000000"/>
                <w:sz w:val="16"/>
                <w:szCs w:val="16"/>
              </w:rPr>
            </w:pPr>
            <w:r w:rsidRPr="00D518FF">
              <w:rPr>
                <w:rFonts w:ascii="Aptos" w:hAnsi="Aptos"/>
                <w:color w:val="000000"/>
                <w:sz w:val="16"/>
                <w:szCs w:val="16"/>
              </w:rPr>
              <w:t>Rocha Araujo, D. M.; Vilarim, M. M.; Nardi, A. E.</w:t>
            </w:r>
          </w:p>
        </w:tc>
        <w:tc>
          <w:tcPr>
            <w:tcW w:w="567" w:type="dxa"/>
            <w:shd w:val="clear" w:color="auto" w:fill="auto"/>
            <w:noWrap/>
            <w:hideMark/>
          </w:tcPr>
          <w:p w14:paraId="0CE8C267"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hideMark/>
          </w:tcPr>
          <w:p w14:paraId="5876958D" w14:textId="77777777" w:rsidR="008F3151" w:rsidRPr="00D518FF" w:rsidRDefault="008F3151">
            <w:pPr>
              <w:rPr>
                <w:rFonts w:ascii="Aptos" w:hAnsi="Aptos"/>
                <w:color w:val="000000"/>
                <w:sz w:val="16"/>
                <w:szCs w:val="16"/>
              </w:rPr>
            </w:pPr>
            <w:r w:rsidRPr="00D518FF">
              <w:rPr>
                <w:rFonts w:ascii="Aptos" w:hAnsi="Aptos"/>
                <w:color w:val="000000"/>
                <w:sz w:val="16"/>
                <w:szCs w:val="16"/>
              </w:rPr>
              <w:t>Expert review of neurotherapeutics</w:t>
            </w:r>
          </w:p>
        </w:tc>
        <w:tc>
          <w:tcPr>
            <w:tcW w:w="850" w:type="dxa"/>
            <w:shd w:val="clear" w:color="auto" w:fill="auto"/>
            <w:noWrap/>
            <w:hideMark/>
          </w:tcPr>
          <w:p w14:paraId="58541B89" w14:textId="77777777" w:rsidR="008F3151" w:rsidRPr="00D518FF" w:rsidRDefault="008F3151">
            <w:pPr>
              <w:rPr>
                <w:rFonts w:ascii="Aptos" w:hAnsi="Aptos"/>
                <w:color w:val="000000"/>
                <w:sz w:val="16"/>
                <w:szCs w:val="16"/>
              </w:rPr>
            </w:pPr>
            <w:r w:rsidRPr="00D518FF">
              <w:rPr>
                <w:rFonts w:ascii="Aptos" w:hAnsi="Aptos"/>
                <w:color w:val="000000"/>
                <w:sz w:val="16"/>
                <w:szCs w:val="16"/>
              </w:rPr>
              <w:t>10</w:t>
            </w:r>
          </w:p>
        </w:tc>
        <w:tc>
          <w:tcPr>
            <w:tcW w:w="567" w:type="dxa"/>
            <w:shd w:val="clear" w:color="auto" w:fill="auto"/>
            <w:noWrap/>
            <w:hideMark/>
          </w:tcPr>
          <w:p w14:paraId="2DB14464"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709" w:type="dxa"/>
            <w:shd w:val="clear" w:color="auto" w:fill="auto"/>
            <w:noWrap/>
            <w:hideMark/>
          </w:tcPr>
          <w:p w14:paraId="04998035" w14:textId="77777777" w:rsidR="008F3151" w:rsidRPr="00D518FF" w:rsidRDefault="008F3151">
            <w:pPr>
              <w:rPr>
                <w:rFonts w:ascii="Aptos" w:hAnsi="Aptos"/>
                <w:color w:val="000000"/>
                <w:sz w:val="16"/>
                <w:szCs w:val="16"/>
              </w:rPr>
            </w:pPr>
            <w:r w:rsidRPr="00D518FF">
              <w:rPr>
                <w:rFonts w:ascii="Aptos" w:hAnsi="Aptos"/>
                <w:color w:val="000000"/>
                <w:sz w:val="16"/>
                <w:szCs w:val="16"/>
              </w:rPr>
              <w:t>1117-29</w:t>
            </w:r>
          </w:p>
        </w:tc>
        <w:tc>
          <w:tcPr>
            <w:tcW w:w="2126" w:type="dxa"/>
            <w:shd w:val="clear" w:color="auto" w:fill="auto"/>
            <w:noWrap/>
            <w:hideMark/>
          </w:tcPr>
          <w:p w14:paraId="0FD8167F"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36293A09" w14:textId="77777777" w:rsidTr="004C6AA1">
        <w:trPr>
          <w:trHeight w:val="320"/>
        </w:trPr>
        <w:tc>
          <w:tcPr>
            <w:tcW w:w="4182" w:type="dxa"/>
            <w:shd w:val="clear" w:color="auto" w:fill="auto"/>
            <w:noWrap/>
            <w:hideMark/>
          </w:tcPr>
          <w:p w14:paraId="0FE9DB7A" w14:textId="77777777" w:rsidR="008F3151" w:rsidRPr="00D518FF" w:rsidRDefault="008F3151">
            <w:pPr>
              <w:rPr>
                <w:rFonts w:ascii="Aptos" w:hAnsi="Aptos"/>
                <w:color w:val="000000"/>
                <w:sz w:val="16"/>
                <w:szCs w:val="16"/>
              </w:rPr>
            </w:pPr>
            <w:r w:rsidRPr="00D518FF">
              <w:rPr>
                <w:rFonts w:ascii="Aptos" w:hAnsi="Aptos"/>
                <w:color w:val="000000"/>
                <w:sz w:val="16"/>
                <w:szCs w:val="16"/>
              </w:rPr>
              <w:t>A systematic review to investigate the effects of Omega-3 supplementation on depression scores in adults with cardiometabolic disease</w:t>
            </w:r>
          </w:p>
        </w:tc>
        <w:tc>
          <w:tcPr>
            <w:tcW w:w="3544" w:type="dxa"/>
            <w:shd w:val="clear" w:color="auto" w:fill="auto"/>
            <w:noWrap/>
            <w:hideMark/>
          </w:tcPr>
          <w:p w14:paraId="199584CE" w14:textId="77777777" w:rsidR="008F3151" w:rsidRPr="00D518FF" w:rsidRDefault="008F3151">
            <w:pPr>
              <w:rPr>
                <w:rFonts w:ascii="Aptos" w:hAnsi="Aptos"/>
                <w:color w:val="000000"/>
                <w:sz w:val="16"/>
                <w:szCs w:val="16"/>
              </w:rPr>
            </w:pPr>
            <w:r w:rsidRPr="00D518FF">
              <w:rPr>
                <w:rFonts w:ascii="Aptos" w:hAnsi="Aptos"/>
                <w:color w:val="000000"/>
                <w:sz w:val="16"/>
                <w:szCs w:val="16"/>
              </w:rPr>
              <w:t>Franciskos Arsenyadis, Emma Redman Ehtasham Ahmad</w:t>
            </w:r>
          </w:p>
        </w:tc>
        <w:tc>
          <w:tcPr>
            <w:tcW w:w="567" w:type="dxa"/>
            <w:shd w:val="clear" w:color="auto" w:fill="auto"/>
          </w:tcPr>
          <w:p w14:paraId="18149021"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1701" w:type="dxa"/>
            <w:shd w:val="clear" w:color="auto" w:fill="auto"/>
          </w:tcPr>
          <w:p w14:paraId="67EA0BCA"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850" w:type="dxa"/>
            <w:shd w:val="clear" w:color="auto" w:fill="auto"/>
          </w:tcPr>
          <w:p w14:paraId="18D3415E" w14:textId="77777777" w:rsidR="008F3151" w:rsidRPr="00D518FF" w:rsidRDefault="008F3151">
            <w:pPr>
              <w:rPr>
                <w:rFonts w:ascii="Aptos" w:hAnsi="Aptos"/>
                <w:color w:val="000000"/>
                <w:sz w:val="16"/>
                <w:szCs w:val="16"/>
              </w:rPr>
            </w:pPr>
            <w:r w:rsidRPr="00D518FF">
              <w:rPr>
                <w:rFonts w:ascii="Aptos" w:hAnsi="Aptos"/>
                <w:color w:val="000000"/>
                <w:sz w:val="16"/>
                <w:szCs w:val="16"/>
              </w:rPr>
              <w:t>14</w:t>
            </w:r>
          </w:p>
        </w:tc>
        <w:tc>
          <w:tcPr>
            <w:tcW w:w="567" w:type="dxa"/>
            <w:shd w:val="clear" w:color="auto" w:fill="auto"/>
          </w:tcPr>
          <w:p w14:paraId="7B7F65B9"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709" w:type="dxa"/>
            <w:shd w:val="clear" w:color="auto" w:fill="auto"/>
            <w:noWrap/>
            <w:hideMark/>
          </w:tcPr>
          <w:p w14:paraId="616E5B59" w14:textId="77777777" w:rsidR="008F3151" w:rsidRPr="00D518FF" w:rsidRDefault="008F3151">
            <w:pPr>
              <w:rPr>
                <w:rFonts w:ascii="Aptos" w:hAnsi="Aptos"/>
                <w:color w:val="000000"/>
                <w:sz w:val="16"/>
                <w:szCs w:val="16"/>
              </w:rPr>
            </w:pPr>
            <w:r w:rsidRPr="00D518FF">
              <w:rPr>
                <w:rFonts w:ascii="Aptos" w:hAnsi="Aptos"/>
                <w:color w:val="000000"/>
                <w:sz w:val="16"/>
                <w:szCs w:val="16"/>
              </w:rPr>
              <w:t>1827</w:t>
            </w:r>
          </w:p>
        </w:tc>
        <w:tc>
          <w:tcPr>
            <w:tcW w:w="2126" w:type="dxa"/>
            <w:shd w:val="clear" w:color="auto" w:fill="auto"/>
            <w:noWrap/>
            <w:hideMark/>
          </w:tcPr>
          <w:p w14:paraId="61B349F6" w14:textId="22F87537" w:rsidR="008F3151" w:rsidRPr="00D518FF" w:rsidRDefault="004B1F73">
            <w:pPr>
              <w:rPr>
                <w:rFonts w:ascii="Aptos" w:hAnsi="Aptos"/>
                <w:color w:val="000000"/>
                <w:sz w:val="16"/>
                <w:szCs w:val="16"/>
              </w:rPr>
            </w:pPr>
            <w:r>
              <w:rPr>
                <w:rFonts w:ascii="Aptos" w:hAnsi="Aptos"/>
                <w:color w:val="000000"/>
                <w:sz w:val="16"/>
                <w:szCs w:val="16"/>
              </w:rPr>
              <w:t>P</w:t>
            </w:r>
            <w:r w:rsidR="008F3151" w:rsidRPr="00D518FF">
              <w:rPr>
                <w:rFonts w:ascii="Aptos" w:hAnsi="Aptos"/>
                <w:color w:val="000000"/>
                <w:sz w:val="16"/>
                <w:szCs w:val="16"/>
              </w:rPr>
              <w:t>opulation does not meet at-risk definition</w:t>
            </w:r>
          </w:p>
        </w:tc>
      </w:tr>
      <w:tr w:rsidR="008F3151" w:rsidRPr="00D518FF" w14:paraId="172108C5" w14:textId="77777777" w:rsidTr="004C6AA1">
        <w:trPr>
          <w:trHeight w:val="320"/>
        </w:trPr>
        <w:tc>
          <w:tcPr>
            <w:tcW w:w="4182" w:type="dxa"/>
            <w:shd w:val="clear" w:color="auto" w:fill="auto"/>
            <w:noWrap/>
            <w:hideMark/>
          </w:tcPr>
          <w:p w14:paraId="66A432AD" w14:textId="77777777" w:rsidR="008F3151" w:rsidRPr="00D518FF" w:rsidRDefault="008F3151">
            <w:pPr>
              <w:rPr>
                <w:rFonts w:ascii="Aptos" w:hAnsi="Aptos"/>
                <w:color w:val="000000"/>
                <w:sz w:val="16"/>
                <w:szCs w:val="16"/>
              </w:rPr>
            </w:pPr>
            <w:r w:rsidRPr="00D518FF">
              <w:rPr>
                <w:rFonts w:ascii="Aptos" w:hAnsi="Aptos"/>
                <w:color w:val="000000"/>
                <w:sz w:val="16"/>
                <w:szCs w:val="16"/>
              </w:rPr>
              <w:t>Early pharmacological interventions for universal prevention of post-traumatic stress disorder (PTSD)</w:t>
            </w:r>
          </w:p>
        </w:tc>
        <w:tc>
          <w:tcPr>
            <w:tcW w:w="3544" w:type="dxa"/>
            <w:shd w:val="clear" w:color="auto" w:fill="auto"/>
            <w:noWrap/>
            <w:hideMark/>
          </w:tcPr>
          <w:p w14:paraId="4438F4A8" w14:textId="77777777" w:rsidR="008F3151" w:rsidRPr="00D518FF" w:rsidRDefault="008F3151">
            <w:pPr>
              <w:rPr>
                <w:rFonts w:ascii="Aptos" w:hAnsi="Aptos"/>
                <w:color w:val="000000"/>
                <w:sz w:val="16"/>
                <w:szCs w:val="16"/>
              </w:rPr>
            </w:pPr>
            <w:r w:rsidRPr="00D518FF">
              <w:rPr>
                <w:rFonts w:ascii="Aptos" w:hAnsi="Aptos"/>
                <w:color w:val="000000"/>
                <w:sz w:val="16"/>
                <w:szCs w:val="16"/>
              </w:rPr>
              <w:t>Bertolini, F.; Robertson, L.; Bisson, J. I.; Meader, N.; Churchill, R.; Ostuzzi, G.; Stein, D. J.; Williams, T.; Barbui, C.</w:t>
            </w:r>
          </w:p>
        </w:tc>
        <w:tc>
          <w:tcPr>
            <w:tcW w:w="567" w:type="dxa"/>
            <w:shd w:val="clear" w:color="auto" w:fill="auto"/>
            <w:noWrap/>
            <w:hideMark/>
          </w:tcPr>
          <w:p w14:paraId="580EBAC1"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1701" w:type="dxa"/>
            <w:shd w:val="clear" w:color="auto" w:fill="auto"/>
            <w:noWrap/>
            <w:hideMark/>
          </w:tcPr>
          <w:p w14:paraId="481F6344" w14:textId="77777777" w:rsidR="008F3151" w:rsidRPr="00D518FF" w:rsidRDefault="008F3151">
            <w:pPr>
              <w:rPr>
                <w:rFonts w:ascii="Aptos" w:hAnsi="Aptos"/>
                <w:color w:val="000000"/>
                <w:sz w:val="16"/>
                <w:szCs w:val="16"/>
              </w:rPr>
            </w:pPr>
            <w:r w:rsidRPr="00D518FF">
              <w:rPr>
                <w:rFonts w:ascii="Aptos" w:hAnsi="Aptos"/>
                <w:color w:val="000000"/>
                <w:sz w:val="16"/>
                <w:szCs w:val="16"/>
              </w:rPr>
              <w:t>The Cochrane database of systematic reviews</w:t>
            </w:r>
          </w:p>
        </w:tc>
        <w:tc>
          <w:tcPr>
            <w:tcW w:w="850" w:type="dxa"/>
            <w:shd w:val="clear" w:color="auto" w:fill="auto"/>
            <w:noWrap/>
            <w:hideMark/>
          </w:tcPr>
          <w:p w14:paraId="773009C8"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567" w:type="dxa"/>
            <w:shd w:val="clear" w:color="auto" w:fill="auto"/>
            <w:noWrap/>
            <w:hideMark/>
          </w:tcPr>
          <w:p w14:paraId="08F434F2" w14:textId="05060C90" w:rsidR="008F3151" w:rsidRPr="00D518FF" w:rsidRDefault="00F06FCF">
            <w:pPr>
              <w:rPr>
                <w:rFonts w:ascii="Aptos" w:hAnsi="Aptos"/>
                <w:color w:val="000000"/>
                <w:sz w:val="16"/>
                <w:szCs w:val="16"/>
              </w:rPr>
            </w:pPr>
            <w:r>
              <w:rPr>
                <w:rFonts w:ascii="Aptos" w:hAnsi="Aptos"/>
                <w:color w:val="000000"/>
                <w:sz w:val="16"/>
                <w:szCs w:val="16"/>
              </w:rPr>
              <w:t>2</w:t>
            </w:r>
          </w:p>
        </w:tc>
        <w:tc>
          <w:tcPr>
            <w:tcW w:w="709" w:type="dxa"/>
            <w:shd w:val="clear" w:color="auto" w:fill="auto"/>
            <w:noWrap/>
            <w:hideMark/>
          </w:tcPr>
          <w:p w14:paraId="1B9FE1FC" w14:textId="77777777" w:rsidR="008F3151" w:rsidRPr="00D518FF" w:rsidRDefault="008F3151">
            <w:pPr>
              <w:rPr>
                <w:rFonts w:ascii="Aptos" w:hAnsi="Aptos"/>
                <w:color w:val="000000"/>
                <w:sz w:val="16"/>
                <w:szCs w:val="16"/>
              </w:rPr>
            </w:pPr>
            <w:r w:rsidRPr="00D518FF">
              <w:rPr>
                <w:rFonts w:ascii="Aptos" w:hAnsi="Aptos"/>
                <w:color w:val="000000"/>
                <w:sz w:val="16"/>
                <w:szCs w:val="16"/>
              </w:rPr>
              <w:t>CD013443</w:t>
            </w:r>
          </w:p>
        </w:tc>
        <w:tc>
          <w:tcPr>
            <w:tcW w:w="2126" w:type="dxa"/>
            <w:shd w:val="clear" w:color="auto" w:fill="auto"/>
            <w:noWrap/>
            <w:hideMark/>
          </w:tcPr>
          <w:p w14:paraId="5FAD519E" w14:textId="626A22CB" w:rsidR="008F3151" w:rsidRPr="00D518FF" w:rsidRDefault="004B1F73">
            <w:pPr>
              <w:rPr>
                <w:rFonts w:ascii="Aptos" w:hAnsi="Aptos"/>
                <w:color w:val="000000"/>
                <w:sz w:val="16"/>
                <w:szCs w:val="16"/>
              </w:rPr>
            </w:pPr>
            <w:r>
              <w:rPr>
                <w:rFonts w:ascii="Aptos" w:hAnsi="Aptos"/>
                <w:color w:val="000000"/>
                <w:sz w:val="16"/>
                <w:szCs w:val="16"/>
              </w:rPr>
              <w:t>P</w:t>
            </w:r>
            <w:r w:rsidR="008F3151" w:rsidRPr="00D518FF">
              <w:rPr>
                <w:rFonts w:ascii="Aptos" w:hAnsi="Aptos"/>
                <w:color w:val="000000"/>
                <w:sz w:val="16"/>
                <w:szCs w:val="16"/>
              </w:rPr>
              <w:t>opulation does not meet at-risk definition</w:t>
            </w:r>
          </w:p>
        </w:tc>
      </w:tr>
      <w:tr w:rsidR="008F3151" w:rsidRPr="00D518FF" w14:paraId="1B22F27D" w14:textId="77777777" w:rsidTr="004C6AA1">
        <w:trPr>
          <w:trHeight w:val="320"/>
        </w:trPr>
        <w:tc>
          <w:tcPr>
            <w:tcW w:w="4182" w:type="dxa"/>
            <w:shd w:val="clear" w:color="auto" w:fill="auto"/>
            <w:noWrap/>
            <w:hideMark/>
          </w:tcPr>
          <w:p w14:paraId="695A3665" w14:textId="77777777" w:rsidR="008F3151" w:rsidRPr="00D518FF" w:rsidRDefault="008F3151">
            <w:pPr>
              <w:rPr>
                <w:rFonts w:ascii="Aptos" w:hAnsi="Aptos"/>
                <w:color w:val="000000"/>
                <w:sz w:val="16"/>
                <w:szCs w:val="16"/>
              </w:rPr>
            </w:pPr>
            <w:r w:rsidRPr="00D518FF">
              <w:rPr>
                <w:rFonts w:ascii="Aptos" w:hAnsi="Aptos"/>
                <w:color w:val="000000"/>
                <w:sz w:val="16"/>
                <w:szCs w:val="16"/>
              </w:rPr>
              <w:t>A systematic review of the evidence for the treatment of acute depression in bipolar I disorder</w:t>
            </w:r>
          </w:p>
        </w:tc>
        <w:tc>
          <w:tcPr>
            <w:tcW w:w="3544" w:type="dxa"/>
            <w:shd w:val="clear" w:color="auto" w:fill="auto"/>
            <w:noWrap/>
            <w:hideMark/>
          </w:tcPr>
          <w:p w14:paraId="44E5AFCF" w14:textId="77777777" w:rsidR="008F3151" w:rsidRPr="00D518FF" w:rsidRDefault="008F3151">
            <w:pPr>
              <w:rPr>
                <w:rFonts w:ascii="Aptos" w:hAnsi="Aptos"/>
                <w:color w:val="000000"/>
                <w:sz w:val="16"/>
                <w:szCs w:val="16"/>
              </w:rPr>
            </w:pPr>
            <w:r w:rsidRPr="00D518FF">
              <w:rPr>
                <w:rFonts w:ascii="Aptos" w:hAnsi="Aptos"/>
                <w:color w:val="000000"/>
                <w:sz w:val="16"/>
                <w:szCs w:val="16"/>
              </w:rPr>
              <w:t>Cerullo, M. A.; Strakowski, S. M.</w:t>
            </w:r>
          </w:p>
        </w:tc>
        <w:tc>
          <w:tcPr>
            <w:tcW w:w="567" w:type="dxa"/>
            <w:shd w:val="clear" w:color="auto" w:fill="auto"/>
            <w:noWrap/>
            <w:hideMark/>
          </w:tcPr>
          <w:p w14:paraId="3A96805A" w14:textId="77777777" w:rsidR="008F3151" w:rsidRPr="00D518FF" w:rsidRDefault="008F3151">
            <w:pPr>
              <w:rPr>
                <w:rFonts w:ascii="Aptos" w:hAnsi="Aptos"/>
                <w:color w:val="000000"/>
                <w:sz w:val="16"/>
                <w:szCs w:val="16"/>
              </w:rPr>
            </w:pPr>
            <w:r w:rsidRPr="00D518FF">
              <w:rPr>
                <w:rFonts w:ascii="Aptos" w:hAnsi="Aptos"/>
                <w:color w:val="000000"/>
                <w:sz w:val="16"/>
                <w:szCs w:val="16"/>
              </w:rPr>
              <w:t>2013</w:t>
            </w:r>
          </w:p>
        </w:tc>
        <w:tc>
          <w:tcPr>
            <w:tcW w:w="1701" w:type="dxa"/>
            <w:shd w:val="clear" w:color="auto" w:fill="auto"/>
            <w:noWrap/>
            <w:hideMark/>
          </w:tcPr>
          <w:p w14:paraId="3AC6C29B" w14:textId="77777777" w:rsidR="008F3151" w:rsidRPr="00D518FF" w:rsidRDefault="008F3151">
            <w:pPr>
              <w:rPr>
                <w:rFonts w:ascii="Aptos" w:hAnsi="Aptos"/>
                <w:color w:val="000000"/>
                <w:sz w:val="16"/>
                <w:szCs w:val="16"/>
              </w:rPr>
            </w:pPr>
            <w:r w:rsidRPr="00D518FF">
              <w:rPr>
                <w:rFonts w:ascii="Aptos" w:hAnsi="Aptos"/>
                <w:color w:val="000000"/>
                <w:sz w:val="16"/>
                <w:szCs w:val="16"/>
              </w:rPr>
              <w:t>CNS Spectrums</w:t>
            </w:r>
          </w:p>
        </w:tc>
        <w:tc>
          <w:tcPr>
            <w:tcW w:w="850" w:type="dxa"/>
            <w:shd w:val="clear" w:color="auto" w:fill="auto"/>
            <w:noWrap/>
            <w:hideMark/>
          </w:tcPr>
          <w:p w14:paraId="762479D7"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567" w:type="dxa"/>
            <w:shd w:val="clear" w:color="auto" w:fill="auto"/>
            <w:noWrap/>
            <w:hideMark/>
          </w:tcPr>
          <w:p w14:paraId="70631C85"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254A1E6B" w14:textId="77777777" w:rsidR="008F3151" w:rsidRPr="00D518FF" w:rsidRDefault="008F3151">
            <w:pPr>
              <w:rPr>
                <w:rFonts w:ascii="Aptos" w:hAnsi="Aptos"/>
                <w:color w:val="000000"/>
                <w:sz w:val="16"/>
                <w:szCs w:val="16"/>
              </w:rPr>
            </w:pPr>
            <w:r w:rsidRPr="00D518FF">
              <w:rPr>
                <w:rFonts w:ascii="Aptos" w:hAnsi="Aptos"/>
                <w:color w:val="000000"/>
                <w:sz w:val="16"/>
                <w:szCs w:val="16"/>
              </w:rPr>
              <w:t>199-208</w:t>
            </w:r>
          </w:p>
        </w:tc>
        <w:tc>
          <w:tcPr>
            <w:tcW w:w="2126" w:type="dxa"/>
            <w:shd w:val="clear" w:color="auto" w:fill="auto"/>
            <w:noWrap/>
            <w:hideMark/>
          </w:tcPr>
          <w:p w14:paraId="277DAB57" w14:textId="77777777" w:rsidR="008F3151" w:rsidRPr="00D518FF" w:rsidRDefault="008F3151">
            <w:pPr>
              <w:rPr>
                <w:rFonts w:ascii="Aptos" w:hAnsi="Aptos"/>
                <w:color w:val="000000"/>
                <w:sz w:val="16"/>
                <w:szCs w:val="16"/>
              </w:rPr>
            </w:pPr>
            <w:r w:rsidRPr="00D518FF">
              <w:rPr>
                <w:rFonts w:ascii="Aptos" w:hAnsi="Aptos"/>
                <w:color w:val="000000"/>
                <w:sz w:val="16"/>
                <w:szCs w:val="16"/>
              </w:rPr>
              <w:t>Wrong comparator</w:t>
            </w:r>
          </w:p>
        </w:tc>
      </w:tr>
      <w:tr w:rsidR="008F3151" w:rsidRPr="00D518FF" w14:paraId="3431F4F3" w14:textId="77777777" w:rsidTr="004C6AA1">
        <w:trPr>
          <w:trHeight w:val="320"/>
        </w:trPr>
        <w:tc>
          <w:tcPr>
            <w:tcW w:w="4182" w:type="dxa"/>
            <w:shd w:val="clear" w:color="auto" w:fill="auto"/>
            <w:noWrap/>
            <w:hideMark/>
          </w:tcPr>
          <w:p w14:paraId="26BD5CA2" w14:textId="77777777" w:rsidR="008F3151" w:rsidRPr="00D518FF" w:rsidRDefault="008F3151">
            <w:pPr>
              <w:rPr>
                <w:rFonts w:ascii="Aptos" w:hAnsi="Aptos"/>
                <w:color w:val="000000"/>
                <w:sz w:val="16"/>
                <w:szCs w:val="16"/>
              </w:rPr>
            </w:pPr>
            <w:r w:rsidRPr="00D518FF">
              <w:rPr>
                <w:rFonts w:ascii="Aptos" w:hAnsi="Aptos"/>
                <w:color w:val="000000"/>
                <w:sz w:val="16"/>
                <w:szCs w:val="16"/>
              </w:rPr>
              <w:t>Comparative Benefits and Harms of Complementary and Alternative Medicine Therapies for Initial Treatment of Major Depressive Disorder: Systematic Review and Meta-Analysis</w:t>
            </w:r>
          </w:p>
        </w:tc>
        <w:tc>
          <w:tcPr>
            <w:tcW w:w="3544" w:type="dxa"/>
            <w:shd w:val="clear" w:color="auto" w:fill="auto"/>
            <w:noWrap/>
            <w:hideMark/>
          </w:tcPr>
          <w:p w14:paraId="499787AC" w14:textId="77777777" w:rsidR="008F3151" w:rsidRPr="00D518FF" w:rsidRDefault="008F3151">
            <w:pPr>
              <w:rPr>
                <w:rFonts w:ascii="Aptos" w:hAnsi="Aptos"/>
                <w:color w:val="000000"/>
                <w:sz w:val="16"/>
                <w:szCs w:val="16"/>
              </w:rPr>
            </w:pPr>
            <w:r w:rsidRPr="00D518FF">
              <w:rPr>
                <w:rFonts w:ascii="Aptos" w:hAnsi="Aptos"/>
                <w:color w:val="000000"/>
                <w:sz w:val="16"/>
                <w:szCs w:val="16"/>
              </w:rPr>
              <w:t>Asher, G. N.; Gartlehner, G.; Gaynes, B. N.; Amick, H. R.; Forneris, C.; Morgan, L. C.; Coker-Schwimmer, E.; Boland, E.; Lux, L. J.; Gaylord, S.; Bann, C.; Pierl, C. B.; Lohr, K. N.</w:t>
            </w:r>
          </w:p>
        </w:tc>
        <w:tc>
          <w:tcPr>
            <w:tcW w:w="567" w:type="dxa"/>
            <w:shd w:val="clear" w:color="auto" w:fill="auto"/>
            <w:noWrap/>
            <w:hideMark/>
          </w:tcPr>
          <w:p w14:paraId="553C9CA3"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1701" w:type="dxa"/>
            <w:shd w:val="clear" w:color="auto" w:fill="auto"/>
            <w:noWrap/>
            <w:hideMark/>
          </w:tcPr>
          <w:p w14:paraId="1151FA2D"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alternative and complementary medicine</w:t>
            </w:r>
          </w:p>
        </w:tc>
        <w:tc>
          <w:tcPr>
            <w:tcW w:w="850" w:type="dxa"/>
            <w:shd w:val="clear" w:color="auto" w:fill="auto"/>
            <w:noWrap/>
            <w:hideMark/>
          </w:tcPr>
          <w:p w14:paraId="10F7457A" w14:textId="77777777" w:rsidR="008F3151" w:rsidRPr="00D518FF" w:rsidRDefault="008F3151">
            <w:pPr>
              <w:rPr>
                <w:rFonts w:ascii="Aptos" w:hAnsi="Aptos"/>
                <w:color w:val="000000"/>
                <w:sz w:val="16"/>
                <w:szCs w:val="16"/>
              </w:rPr>
            </w:pPr>
            <w:r w:rsidRPr="00D518FF">
              <w:rPr>
                <w:rFonts w:ascii="Aptos" w:hAnsi="Aptos"/>
                <w:color w:val="000000"/>
                <w:sz w:val="16"/>
                <w:szCs w:val="16"/>
              </w:rPr>
              <w:t>23</w:t>
            </w:r>
          </w:p>
        </w:tc>
        <w:tc>
          <w:tcPr>
            <w:tcW w:w="567" w:type="dxa"/>
            <w:shd w:val="clear" w:color="auto" w:fill="auto"/>
            <w:noWrap/>
            <w:hideMark/>
          </w:tcPr>
          <w:p w14:paraId="7931047A"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709" w:type="dxa"/>
            <w:shd w:val="clear" w:color="auto" w:fill="auto"/>
            <w:noWrap/>
            <w:hideMark/>
          </w:tcPr>
          <w:p w14:paraId="6885AE22" w14:textId="77777777" w:rsidR="008F3151" w:rsidRPr="00D518FF" w:rsidRDefault="008F3151">
            <w:pPr>
              <w:rPr>
                <w:rFonts w:ascii="Aptos" w:hAnsi="Aptos"/>
                <w:color w:val="000000"/>
                <w:sz w:val="16"/>
                <w:szCs w:val="16"/>
              </w:rPr>
            </w:pPr>
            <w:r w:rsidRPr="00D518FF">
              <w:rPr>
                <w:rFonts w:ascii="Aptos" w:hAnsi="Aptos"/>
                <w:color w:val="000000"/>
                <w:sz w:val="16"/>
                <w:szCs w:val="16"/>
              </w:rPr>
              <w:t>907-919</w:t>
            </w:r>
          </w:p>
        </w:tc>
        <w:tc>
          <w:tcPr>
            <w:tcW w:w="2126" w:type="dxa"/>
            <w:shd w:val="clear" w:color="auto" w:fill="auto"/>
            <w:noWrap/>
            <w:hideMark/>
          </w:tcPr>
          <w:p w14:paraId="6B764B41" w14:textId="77777777" w:rsidR="008F3151" w:rsidRPr="00D518FF" w:rsidRDefault="008F3151">
            <w:pPr>
              <w:rPr>
                <w:rFonts w:ascii="Aptos" w:hAnsi="Aptos"/>
                <w:color w:val="000000"/>
                <w:sz w:val="16"/>
                <w:szCs w:val="16"/>
              </w:rPr>
            </w:pPr>
            <w:r w:rsidRPr="00D518FF">
              <w:rPr>
                <w:rFonts w:ascii="Aptos" w:hAnsi="Aptos"/>
                <w:color w:val="000000"/>
                <w:sz w:val="16"/>
                <w:szCs w:val="16"/>
              </w:rPr>
              <w:t>Wrong comparator</w:t>
            </w:r>
          </w:p>
        </w:tc>
      </w:tr>
      <w:tr w:rsidR="008F3151" w:rsidRPr="00D518FF" w14:paraId="4D1A4CB6" w14:textId="77777777" w:rsidTr="004C6AA1">
        <w:trPr>
          <w:trHeight w:val="320"/>
        </w:trPr>
        <w:tc>
          <w:tcPr>
            <w:tcW w:w="4182" w:type="dxa"/>
            <w:shd w:val="clear" w:color="auto" w:fill="auto"/>
            <w:noWrap/>
            <w:hideMark/>
          </w:tcPr>
          <w:p w14:paraId="7B8EDD53" w14:textId="77777777" w:rsidR="008F3151" w:rsidRPr="00D518FF" w:rsidRDefault="008F3151">
            <w:pPr>
              <w:rPr>
                <w:rFonts w:ascii="Aptos" w:hAnsi="Aptos"/>
                <w:color w:val="000000"/>
                <w:sz w:val="16"/>
                <w:szCs w:val="16"/>
              </w:rPr>
            </w:pPr>
            <w:r w:rsidRPr="00D518FF">
              <w:rPr>
                <w:rFonts w:ascii="Aptos" w:hAnsi="Aptos"/>
                <w:color w:val="000000"/>
                <w:sz w:val="16"/>
                <w:szCs w:val="16"/>
              </w:rPr>
              <w:t>Nonpharmacologic versus pharmacologic treatment of adult patients, with major depressive disorder: A clinical practice guideline from the, American College of Physicians</w:t>
            </w:r>
          </w:p>
        </w:tc>
        <w:tc>
          <w:tcPr>
            <w:tcW w:w="3544" w:type="dxa"/>
            <w:shd w:val="clear" w:color="auto" w:fill="auto"/>
            <w:noWrap/>
            <w:hideMark/>
          </w:tcPr>
          <w:p w14:paraId="32CDAB32" w14:textId="77777777" w:rsidR="008F3151" w:rsidRPr="00D518FF" w:rsidRDefault="008F3151">
            <w:pPr>
              <w:rPr>
                <w:rFonts w:ascii="Aptos" w:hAnsi="Aptos"/>
                <w:color w:val="000000"/>
                <w:sz w:val="16"/>
                <w:szCs w:val="16"/>
              </w:rPr>
            </w:pPr>
            <w:r w:rsidRPr="00D518FF">
              <w:rPr>
                <w:rFonts w:ascii="Aptos" w:hAnsi="Aptos"/>
                <w:color w:val="000000"/>
                <w:sz w:val="16"/>
                <w:szCs w:val="16"/>
              </w:rPr>
              <w:t>Qaseem A; Barry MJ; Kansagara D</w:t>
            </w:r>
          </w:p>
        </w:tc>
        <w:tc>
          <w:tcPr>
            <w:tcW w:w="567" w:type="dxa"/>
            <w:shd w:val="clear" w:color="auto" w:fill="auto"/>
            <w:noWrap/>
            <w:hideMark/>
          </w:tcPr>
          <w:p w14:paraId="172D6253"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noWrap/>
            <w:hideMark/>
          </w:tcPr>
          <w:p w14:paraId="4321D6BB" w14:textId="77777777" w:rsidR="008F3151" w:rsidRPr="00D518FF" w:rsidRDefault="008F3151">
            <w:pPr>
              <w:rPr>
                <w:rFonts w:ascii="Aptos" w:hAnsi="Aptos"/>
                <w:color w:val="000000"/>
                <w:sz w:val="16"/>
                <w:szCs w:val="16"/>
              </w:rPr>
            </w:pPr>
            <w:r w:rsidRPr="00D518FF">
              <w:rPr>
                <w:rFonts w:ascii="Aptos" w:hAnsi="Aptos"/>
                <w:color w:val="000000"/>
                <w:sz w:val="16"/>
                <w:szCs w:val="16"/>
              </w:rPr>
              <w:t>Annals of Internal Medicine</w:t>
            </w:r>
          </w:p>
        </w:tc>
        <w:tc>
          <w:tcPr>
            <w:tcW w:w="850" w:type="dxa"/>
            <w:shd w:val="clear" w:color="auto" w:fill="auto"/>
            <w:noWrap/>
            <w:hideMark/>
          </w:tcPr>
          <w:p w14:paraId="04378FD7" w14:textId="77777777" w:rsidR="008F3151" w:rsidRPr="00D518FF" w:rsidRDefault="008F3151">
            <w:pPr>
              <w:rPr>
                <w:rFonts w:ascii="Aptos" w:hAnsi="Aptos"/>
                <w:color w:val="000000"/>
                <w:sz w:val="16"/>
                <w:szCs w:val="16"/>
              </w:rPr>
            </w:pPr>
            <w:r w:rsidRPr="00D518FF">
              <w:rPr>
                <w:rFonts w:ascii="Aptos" w:hAnsi="Aptos"/>
                <w:color w:val="000000"/>
                <w:sz w:val="16"/>
                <w:szCs w:val="16"/>
              </w:rPr>
              <w:t>164</w:t>
            </w:r>
          </w:p>
        </w:tc>
        <w:tc>
          <w:tcPr>
            <w:tcW w:w="567" w:type="dxa"/>
            <w:shd w:val="clear" w:color="auto" w:fill="auto"/>
            <w:noWrap/>
            <w:hideMark/>
          </w:tcPr>
          <w:p w14:paraId="6295DEA8"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9" w:type="dxa"/>
            <w:shd w:val="clear" w:color="auto" w:fill="auto"/>
            <w:noWrap/>
            <w:hideMark/>
          </w:tcPr>
          <w:p w14:paraId="2A8BABAC" w14:textId="77777777" w:rsidR="008F3151" w:rsidRPr="00D518FF" w:rsidRDefault="008F3151">
            <w:pPr>
              <w:rPr>
                <w:rFonts w:ascii="Aptos" w:hAnsi="Aptos"/>
                <w:color w:val="000000"/>
                <w:sz w:val="16"/>
                <w:szCs w:val="16"/>
              </w:rPr>
            </w:pPr>
            <w:r w:rsidRPr="00D518FF">
              <w:rPr>
                <w:rFonts w:ascii="Aptos" w:hAnsi="Aptos"/>
                <w:color w:val="000000"/>
                <w:sz w:val="16"/>
                <w:szCs w:val="16"/>
              </w:rPr>
              <w:t>350-9</w:t>
            </w:r>
          </w:p>
        </w:tc>
        <w:tc>
          <w:tcPr>
            <w:tcW w:w="2126" w:type="dxa"/>
            <w:shd w:val="clear" w:color="auto" w:fill="auto"/>
            <w:noWrap/>
            <w:hideMark/>
          </w:tcPr>
          <w:p w14:paraId="4B45BAC1" w14:textId="77777777" w:rsidR="008F3151" w:rsidRPr="00D518FF" w:rsidRDefault="008F3151">
            <w:pPr>
              <w:rPr>
                <w:rFonts w:ascii="Aptos" w:hAnsi="Aptos"/>
                <w:color w:val="000000"/>
                <w:sz w:val="16"/>
                <w:szCs w:val="16"/>
              </w:rPr>
            </w:pPr>
            <w:r w:rsidRPr="00D518FF">
              <w:rPr>
                <w:rFonts w:ascii="Aptos" w:hAnsi="Aptos"/>
                <w:color w:val="000000"/>
                <w:sz w:val="16"/>
                <w:szCs w:val="16"/>
              </w:rPr>
              <w:t>Wrong comparator</w:t>
            </w:r>
          </w:p>
        </w:tc>
      </w:tr>
      <w:tr w:rsidR="008F3151" w:rsidRPr="00D518FF" w14:paraId="0E872EE1" w14:textId="77777777" w:rsidTr="004C6AA1">
        <w:trPr>
          <w:trHeight w:val="340"/>
        </w:trPr>
        <w:tc>
          <w:tcPr>
            <w:tcW w:w="4182" w:type="dxa"/>
            <w:shd w:val="clear" w:color="auto" w:fill="auto"/>
            <w:noWrap/>
            <w:hideMark/>
          </w:tcPr>
          <w:p w14:paraId="04FDD0B7" w14:textId="77777777" w:rsidR="008F3151" w:rsidRPr="00D518FF" w:rsidRDefault="008F3151">
            <w:pPr>
              <w:rPr>
                <w:rFonts w:ascii="Aptos" w:hAnsi="Aptos"/>
                <w:color w:val="000000"/>
                <w:sz w:val="16"/>
                <w:szCs w:val="16"/>
              </w:rPr>
            </w:pPr>
            <w:r w:rsidRPr="00D518FF">
              <w:rPr>
                <w:rFonts w:ascii="Aptos" w:hAnsi="Aptos"/>
                <w:color w:val="000000"/>
                <w:sz w:val="16"/>
                <w:szCs w:val="16"/>
              </w:rPr>
              <w:t>A Systematic Review of Nutraceuticals for the Treatment of Bipolar Disorder: Une revue syst√©matique des nutraceutiques pour le traitement du trouble bipolaire</w:t>
            </w:r>
          </w:p>
        </w:tc>
        <w:tc>
          <w:tcPr>
            <w:tcW w:w="3544" w:type="dxa"/>
            <w:shd w:val="clear" w:color="auto" w:fill="auto"/>
            <w:noWrap/>
            <w:hideMark/>
          </w:tcPr>
          <w:p w14:paraId="183CB3DB" w14:textId="77777777" w:rsidR="008F3151" w:rsidRPr="00D518FF" w:rsidRDefault="008F3151">
            <w:pPr>
              <w:rPr>
                <w:rFonts w:ascii="Aptos" w:hAnsi="Aptos"/>
                <w:color w:val="000000"/>
                <w:sz w:val="16"/>
                <w:szCs w:val="16"/>
              </w:rPr>
            </w:pPr>
            <w:r w:rsidRPr="00D518FF">
              <w:rPr>
                <w:rFonts w:ascii="Aptos" w:hAnsi="Aptos"/>
                <w:color w:val="000000"/>
                <w:sz w:val="16"/>
                <w:szCs w:val="16"/>
              </w:rPr>
              <w:t>Ashton, M. M.; Kavanagh, B. E.; Marx, W.; Berk, M.; Sarris, J.; Ng, C. H.; Hopwood, M.; Williams, L. J.; Dean, O. M.</w:t>
            </w:r>
          </w:p>
        </w:tc>
        <w:tc>
          <w:tcPr>
            <w:tcW w:w="567" w:type="dxa"/>
            <w:shd w:val="clear" w:color="auto" w:fill="auto"/>
            <w:noWrap/>
            <w:hideMark/>
          </w:tcPr>
          <w:p w14:paraId="6BCC94F3"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701" w:type="dxa"/>
            <w:shd w:val="clear" w:color="auto" w:fill="auto"/>
            <w:noWrap/>
            <w:hideMark/>
          </w:tcPr>
          <w:p w14:paraId="227B178E" w14:textId="77777777" w:rsidR="008F3151" w:rsidRPr="00D518FF" w:rsidRDefault="008F3151">
            <w:pPr>
              <w:rPr>
                <w:rFonts w:ascii="Aptos" w:hAnsi="Aptos"/>
                <w:color w:val="000000"/>
                <w:sz w:val="16"/>
                <w:szCs w:val="16"/>
              </w:rPr>
            </w:pPr>
            <w:r w:rsidRPr="00D518FF">
              <w:rPr>
                <w:rFonts w:ascii="Aptos" w:hAnsi="Aptos"/>
                <w:color w:val="000000"/>
                <w:sz w:val="16"/>
                <w:szCs w:val="16"/>
              </w:rPr>
              <w:t>Canadian journal of psychiatry</w:t>
            </w:r>
          </w:p>
        </w:tc>
        <w:tc>
          <w:tcPr>
            <w:tcW w:w="850" w:type="dxa"/>
            <w:shd w:val="clear" w:color="auto" w:fill="auto"/>
          </w:tcPr>
          <w:p w14:paraId="67435E01" w14:textId="77777777" w:rsidR="008F3151" w:rsidRPr="00D518FF" w:rsidRDefault="008F3151">
            <w:pPr>
              <w:rPr>
                <w:rFonts w:ascii="Aptos" w:hAnsi="Aptos"/>
                <w:color w:val="000000"/>
                <w:sz w:val="16"/>
                <w:szCs w:val="16"/>
              </w:rPr>
            </w:pPr>
            <w:r w:rsidRPr="00D518FF">
              <w:rPr>
                <w:rFonts w:ascii="Aptos" w:hAnsi="Aptos"/>
                <w:color w:val="000000"/>
                <w:sz w:val="16"/>
                <w:szCs w:val="16"/>
              </w:rPr>
              <w:t>66</w:t>
            </w:r>
          </w:p>
        </w:tc>
        <w:tc>
          <w:tcPr>
            <w:tcW w:w="567" w:type="dxa"/>
            <w:shd w:val="clear" w:color="auto" w:fill="auto"/>
          </w:tcPr>
          <w:p w14:paraId="1E7A27C7"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4F54C7D9" w14:textId="77777777" w:rsidR="008F3151" w:rsidRPr="00D518FF" w:rsidRDefault="008F3151">
            <w:pPr>
              <w:rPr>
                <w:rFonts w:ascii="Aptos" w:hAnsi="Aptos"/>
                <w:color w:val="000000"/>
                <w:sz w:val="16"/>
                <w:szCs w:val="16"/>
              </w:rPr>
            </w:pPr>
            <w:r w:rsidRPr="00D518FF">
              <w:rPr>
                <w:rFonts w:ascii="Aptos" w:hAnsi="Aptos"/>
                <w:color w:val="000000"/>
                <w:sz w:val="16"/>
                <w:szCs w:val="16"/>
              </w:rPr>
              <w:t>262-273</w:t>
            </w:r>
          </w:p>
        </w:tc>
        <w:tc>
          <w:tcPr>
            <w:tcW w:w="2126" w:type="dxa"/>
            <w:shd w:val="clear" w:color="auto" w:fill="auto"/>
            <w:hideMark/>
          </w:tcPr>
          <w:p w14:paraId="02839F69"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104D643F" w14:textId="77777777" w:rsidTr="004C6AA1">
        <w:trPr>
          <w:trHeight w:val="340"/>
        </w:trPr>
        <w:tc>
          <w:tcPr>
            <w:tcW w:w="4182" w:type="dxa"/>
            <w:shd w:val="clear" w:color="auto" w:fill="auto"/>
            <w:noWrap/>
            <w:hideMark/>
          </w:tcPr>
          <w:p w14:paraId="731E15E6" w14:textId="77777777" w:rsidR="008F3151" w:rsidRPr="00D518FF" w:rsidRDefault="008F3151">
            <w:pPr>
              <w:rPr>
                <w:rFonts w:ascii="Aptos" w:hAnsi="Aptos"/>
                <w:color w:val="000000"/>
                <w:sz w:val="16"/>
                <w:szCs w:val="16"/>
              </w:rPr>
            </w:pPr>
            <w:r w:rsidRPr="00D518FF">
              <w:rPr>
                <w:rFonts w:ascii="Aptos" w:hAnsi="Aptos"/>
                <w:color w:val="000000"/>
                <w:sz w:val="16"/>
                <w:szCs w:val="16"/>
              </w:rPr>
              <w:t>An evidence synthesis to evaluate the clinical effectiveness and cost-effectiveness of interventions to prevent postnatal depression</w:t>
            </w:r>
          </w:p>
        </w:tc>
        <w:tc>
          <w:tcPr>
            <w:tcW w:w="3544" w:type="dxa"/>
            <w:shd w:val="clear" w:color="auto" w:fill="auto"/>
            <w:noWrap/>
            <w:hideMark/>
          </w:tcPr>
          <w:p w14:paraId="643B172E" w14:textId="77777777" w:rsidR="008F3151" w:rsidRPr="00D518FF" w:rsidRDefault="008F3151">
            <w:pPr>
              <w:rPr>
                <w:rFonts w:ascii="Aptos" w:hAnsi="Aptos"/>
                <w:color w:val="000000"/>
                <w:sz w:val="16"/>
                <w:szCs w:val="16"/>
              </w:rPr>
            </w:pPr>
            <w:r w:rsidRPr="00D518FF">
              <w:rPr>
                <w:rFonts w:ascii="Aptos" w:hAnsi="Aptos"/>
                <w:color w:val="000000"/>
                <w:sz w:val="16"/>
                <w:szCs w:val="16"/>
              </w:rPr>
              <w:t>Morrell, C. J., Sutcliffe, P., Booth, A., Stevens, J., Scope, A., Stevenson, M., Harvey, R., Bessey, A., Cantrell, A., Dennis, C. L., Ren, S., Ragonesi, M., Barkham, M., Churchill, D., Henshaw, C., Newstead, J., Slade, P., Spiby, H., &amp; Stewart-Brown, S.</w:t>
            </w:r>
          </w:p>
        </w:tc>
        <w:tc>
          <w:tcPr>
            <w:tcW w:w="567" w:type="dxa"/>
            <w:shd w:val="clear" w:color="auto" w:fill="auto"/>
          </w:tcPr>
          <w:p w14:paraId="49F53F04"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tcPr>
          <w:p w14:paraId="607F473B" w14:textId="77777777" w:rsidR="008F3151" w:rsidRPr="00D518FF" w:rsidRDefault="008F3151">
            <w:pPr>
              <w:rPr>
                <w:rFonts w:ascii="Aptos" w:hAnsi="Aptos"/>
                <w:color w:val="000000"/>
                <w:sz w:val="16"/>
                <w:szCs w:val="16"/>
              </w:rPr>
            </w:pPr>
            <w:r w:rsidRPr="00D518FF">
              <w:rPr>
                <w:rFonts w:ascii="Aptos" w:hAnsi="Aptos"/>
                <w:color w:val="000000"/>
                <w:sz w:val="16"/>
                <w:szCs w:val="16"/>
              </w:rPr>
              <w:t>Health Technol Assess</w:t>
            </w:r>
          </w:p>
        </w:tc>
        <w:tc>
          <w:tcPr>
            <w:tcW w:w="850" w:type="dxa"/>
            <w:shd w:val="clear" w:color="auto" w:fill="auto"/>
          </w:tcPr>
          <w:p w14:paraId="0DDC86EA" w14:textId="77777777" w:rsidR="008F3151" w:rsidRPr="00D518FF" w:rsidRDefault="008F3151">
            <w:pPr>
              <w:rPr>
                <w:rFonts w:ascii="Aptos" w:hAnsi="Aptos"/>
                <w:color w:val="000000"/>
                <w:sz w:val="16"/>
                <w:szCs w:val="16"/>
              </w:rPr>
            </w:pPr>
            <w:r w:rsidRPr="00D518FF">
              <w:rPr>
                <w:rFonts w:ascii="Aptos" w:hAnsi="Aptos"/>
                <w:color w:val="000000"/>
                <w:sz w:val="16"/>
                <w:szCs w:val="16"/>
              </w:rPr>
              <w:t>20</w:t>
            </w:r>
          </w:p>
        </w:tc>
        <w:tc>
          <w:tcPr>
            <w:tcW w:w="567" w:type="dxa"/>
            <w:shd w:val="clear" w:color="auto" w:fill="auto"/>
          </w:tcPr>
          <w:p w14:paraId="603088BC" w14:textId="77777777" w:rsidR="008F3151" w:rsidRPr="00D518FF" w:rsidRDefault="008F3151">
            <w:pPr>
              <w:rPr>
                <w:rFonts w:ascii="Aptos" w:hAnsi="Aptos"/>
                <w:color w:val="000000"/>
                <w:sz w:val="16"/>
                <w:szCs w:val="16"/>
              </w:rPr>
            </w:pPr>
            <w:r w:rsidRPr="00D518FF">
              <w:rPr>
                <w:rFonts w:ascii="Aptos" w:hAnsi="Aptos"/>
                <w:color w:val="000000"/>
                <w:sz w:val="16"/>
                <w:szCs w:val="16"/>
              </w:rPr>
              <w:t>37</w:t>
            </w:r>
          </w:p>
        </w:tc>
        <w:tc>
          <w:tcPr>
            <w:tcW w:w="709" w:type="dxa"/>
            <w:shd w:val="clear" w:color="auto" w:fill="auto"/>
          </w:tcPr>
          <w:p w14:paraId="40FA8A4F" w14:textId="77777777" w:rsidR="008F3151" w:rsidRPr="00D518FF" w:rsidRDefault="008F3151">
            <w:pPr>
              <w:rPr>
                <w:rFonts w:ascii="Aptos" w:hAnsi="Aptos"/>
                <w:color w:val="000000"/>
                <w:sz w:val="16"/>
                <w:szCs w:val="16"/>
              </w:rPr>
            </w:pPr>
            <w:r w:rsidRPr="00D518FF">
              <w:rPr>
                <w:rFonts w:ascii="Aptos" w:hAnsi="Aptos"/>
                <w:color w:val="000000"/>
                <w:sz w:val="16"/>
                <w:szCs w:val="16"/>
              </w:rPr>
              <w:t>1-414</w:t>
            </w:r>
          </w:p>
        </w:tc>
        <w:tc>
          <w:tcPr>
            <w:tcW w:w="2126" w:type="dxa"/>
            <w:shd w:val="clear" w:color="auto" w:fill="auto"/>
            <w:hideMark/>
          </w:tcPr>
          <w:p w14:paraId="6698D5C2"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333EC4F4" w14:textId="77777777" w:rsidTr="004C6AA1">
        <w:trPr>
          <w:trHeight w:val="340"/>
        </w:trPr>
        <w:tc>
          <w:tcPr>
            <w:tcW w:w="4182" w:type="dxa"/>
            <w:shd w:val="clear" w:color="auto" w:fill="auto"/>
            <w:noWrap/>
            <w:hideMark/>
          </w:tcPr>
          <w:p w14:paraId="040B8687" w14:textId="77777777" w:rsidR="008F3151" w:rsidRPr="00D518FF" w:rsidRDefault="008F3151">
            <w:pPr>
              <w:rPr>
                <w:rFonts w:ascii="Aptos" w:hAnsi="Aptos"/>
                <w:color w:val="000000"/>
                <w:sz w:val="16"/>
                <w:szCs w:val="16"/>
              </w:rPr>
            </w:pPr>
            <w:r w:rsidRPr="00D518FF">
              <w:rPr>
                <w:rFonts w:ascii="Aptos" w:hAnsi="Aptos"/>
                <w:color w:val="000000"/>
                <w:sz w:val="16"/>
                <w:szCs w:val="16"/>
              </w:rPr>
              <w:t>Anti-inflammatory agents in the treatment of bipolar depression: a systematic review and meta-analysis</w:t>
            </w:r>
          </w:p>
        </w:tc>
        <w:tc>
          <w:tcPr>
            <w:tcW w:w="3544" w:type="dxa"/>
            <w:shd w:val="clear" w:color="auto" w:fill="auto"/>
            <w:noWrap/>
            <w:hideMark/>
          </w:tcPr>
          <w:p w14:paraId="4934A104" w14:textId="77777777" w:rsidR="008F3151" w:rsidRPr="00D518FF" w:rsidRDefault="008F3151">
            <w:pPr>
              <w:rPr>
                <w:rFonts w:ascii="Aptos" w:hAnsi="Aptos"/>
                <w:color w:val="000000"/>
                <w:sz w:val="16"/>
                <w:szCs w:val="16"/>
              </w:rPr>
            </w:pPr>
            <w:r w:rsidRPr="00D518FF">
              <w:rPr>
                <w:rFonts w:ascii="Aptos" w:hAnsi="Aptos"/>
                <w:color w:val="000000"/>
                <w:sz w:val="16"/>
                <w:szCs w:val="16"/>
              </w:rPr>
              <w:t>Rosenblat, J. D.; Kakar, R.; Berk, M.; Kessing, L. V.; Vinberg, M.; Baune, B. T.; Mansur, R. B.; Brietzke, E.; Goldstein, B. I.; McIntyre, R. S.</w:t>
            </w:r>
          </w:p>
        </w:tc>
        <w:tc>
          <w:tcPr>
            <w:tcW w:w="567" w:type="dxa"/>
            <w:shd w:val="clear" w:color="auto" w:fill="auto"/>
            <w:noWrap/>
            <w:hideMark/>
          </w:tcPr>
          <w:p w14:paraId="0311E43C"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noWrap/>
            <w:hideMark/>
          </w:tcPr>
          <w:p w14:paraId="606D73BD" w14:textId="77777777" w:rsidR="008F3151" w:rsidRPr="00D518FF" w:rsidRDefault="008F3151">
            <w:pPr>
              <w:rPr>
                <w:rFonts w:ascii="Aptos" w:hAnsi="Aptos"/>
                <w:color w:val="000000"/>
                <w:sz w:val="16"/>
                <w:szCs w:val="16"/>
              </w:rPr>
            </w:pPr>
            <w:r w:rsidRPr="00D518FF">
              <w:rPr>
                <w:rFonts w:ascii="Aptos" w:hAnsi="Aptos"/>
                <w:color w:val="000000"/>
                <w:sz w:val="16"/>
                <w:szCs w:val="16"/>
              </w:rPr>
              <w:t>Bipolar disorders</w:t>
            </w:r>
          </w:p>
        </w:tc>
        <w:tc>
          <w:tcPr>
            <w:tcW w:w="850" w:type="dxa"/>
            <w:shd w:val="clear" w:color="auto" w:fill="auto"/>
            <w:noWrap/>
            <w:hideMark/>
          </w:tcPr>
          <w:p w14:paraId="61FDFE5D"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567" w:type="dxa"/>
            <w:shd w:val="clear" w:color="auto" w:fill="auto"/>
            <w:noWrap/>
            <w:hideMark/>
          </w:tcPr>
          <w:p w14:paraId="68142B6C"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68D2AED1" w14:textId="77777777" w:rsidR="008F3151" w:rsidRPr="00D518FF" w:rsidRDefault="008F3151">
            <w:pPr>
              <w:rPr>
                <w:rFonts w:ascii="Aptos" w:hAnsi="Aptos"/>
                <w:color w:val="000000"/>
                <w:sz w:val="16"/>
                <w:szCs w:val="16"/>
              </w:rPr>
            </w:pPr>
            <w:r w:rsidRPr="00D518FF">
              <w:rPr>
                <w:rFonts w:ascii="Aptos" w:hAnsi="Aptos"/>
                <w:color w:val="000000"/>
                <w:sz w:val="16"/>
                <w:szCs w:val="16"/>
              </w:rPr>
              <w:t>89-101</w:t>
            </w:r>
          </w:p>
        </w:tc>
        <w:tc>
          <w:tcPr>
            <w:tcW w:w="2126" w:type="dxa"/>
            <w:shd w:val="clear" w:color="auto" w:fill="auto"/>
            <w:hideMark/>
          </w:tcPr>
          <w:p w14:paraId="758966EF"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27EA273B" w14:textId="77777777" w:rsidTr="004C6AA1">
        <w:trPr>
          <w:trHeight w:val="340"/>
        </w:trPr>
        <w:tc>
          <w:tcPr>
            <w:tcW w:w="4182" w:type="dxa"/>
            <w:shd w:val="clear" w:color="auto" w:fill="auto"/>
            <w:noWrap/>
            <w:hideMark/>
          </w:tcPr>
          <w:p w14:paraId="0A168E4C" w14:textId="77777777" w:rsidR="008F3151" w:rsidRPr="00D518FF" w:rsidRDefault="008F3151">
            <w:pPr>
              <w:rPr>
                <w:rFonts w:ascii="Aptos" w:hAnsi="Aptos"/>
                <w:color w:val="000000"/>
                <w:sz w:val="16"/>
                <w:szCs w:val="16"/>
              </w:rPr>
            </w:pPr>
            <w:r w:rsidRPr="00D518FF">
              <w:rPr>
                <w:rFonts w:ascii="Aptos" w:hAnsi="Aptos"/>
                <w:color w:val="000000"/>
                <w:sz w:val="16"/>
                <w:szCs w:val="16"/>
              </w:rPr>
              <w:t>Comparative Efficacy and Acceptability of Anti-inflammatory Agents on Major Depressive Disorder: A Network Meta-Analysis</w:t>
            </w:r>
          </w:p>
        </w:tc>
        <w:tc>
          <w:tcPr>
            <w:tcW w:w="3544" w:type="dxa"/>
            <w:shd w:val="clear" w:color="auto" w:fill="auto"/>
            <w:noWrap/>
            <w:hideMark/>
          </w:tcPr>
          <w:p w14:paraId="1E5DC24B" w14:textId="77777777" w:rsidR="008F3151" w:rsidRPr="00D518FF" w:rsidRDefault="008F3151">
            <w:pPr>
              <w:rPr>
                <w:rFonts w:ascii="Aptos" w:hAnsi="Aptos"/>
                <w:color w:val="000000"/>
                <w:sz w:val="16"/>
                <w:szCs w:val="16"/>
              </w:rPr>
            </w:pPr>
            <w:r w:rsidRPr="00D518FF">
              <w:rPr>
                <w:rFonts w:ascii="Aptos" w:hAnsi="Aptos"/>
                <w:color w:val="000000"/>
                <w:sz w:val="16"/>
                <w:szCs w:val="16"/>
              </w:rPr>
              <w:t>Hang, X.; Zhang, Y.; Li, J.; Li, Z.; Zhang, Y.; Ye, X.; Tang, Q.; Sun, W.</w:t>
            </w:r>
          </w:p>
        </w:tc>
        <w:tc>
          <w:tcPr>
            <w:tcW w:w="567" w:type="dxa"/>
            <w:shd w:val="clear" w:color="auto" w:fill="auto"/>
            <w:noWrap/>
            <w:hideMark/>
          </w:tcPr>
          <w:p w14:paraId="0DF37211"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4F6BC034" w14:textId="77777777" w:rsidR="008F3151" w:rsidRPr="00D518FF" w:rsidRDefault="008F3151">
            <w:pPr>
              <w:rPr>
                <w:rFonts w:ascii="Aptos" w:hAnsi="Aptos"/>
                <w:color w:val="000000"/>
                <w:sz w:val="16"/>
                <w:szCs w:val="16"/>
              </w:rPr>
            </w:pPr>
            <w:r w:rsidRPr="00D518FF">
              <w:rPr>
                <w:rFonts w:ascii="Aptos" w:hAnsi="Aptos"/>
                <w:color w:val="000000"/>
                <w:sz w:val="16"/>
                <w:szCs w:val="16"/>
              </w:rPr>
              <w:t>Frontiers in pharmacology</w:t>
            </w:r>
          </w:p>
        </w:tc>
        <w:tc>
          <w:tcPr>
            <w:tcW w:w="850" w:type="dxa"/>
            <w:shd w:val="clear" w:color="auto" w:fill="auto"/>
            <w:noWrap/>
            <w:hideMark/>
          </w:tcPr>
          <w:p w14:paraId="73B97669"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567" w:type="dxa"/>
            <w:shd w:val="clear" w:color="auto" w:fill="auto"/>
            <w:noWrap/>
            <w:hideMark/>
          </w:tcPr>
          <w:p w14:paraId="2D008D16" w14:textId="77777777" w:rsidR="008F3151" w:rsidRPr="00D518FF" w:rsidRDefault="008F3151">
            <w:pPr>
              <w:rPr>
                <w:rFonts w:ascii="Aptos" w:hAnsi="Aptos"/>
                <w:color w:val="000000"/>
                <w:sz w:val="16"/>
                <w:szCs w:val="16"/>
              </w:rPr>
            </w:pPr>
          </w:p>
        </w:tc>
        <w:tc>
          <w:tcPr>
            <w:tcW w:w="709" w:type="dxa"/>
            <w:shd w:val="clear" w:color="auto" w:fill="auto"/>
            <w:noWrap/>
            <w:hideMark/>
          </w:tcPr>
          <w:p w14:paraId="0931510C" w14:textId="77777777" w:rsidR="008F3151" w:rsidRPr="00D518FF" w:rsidRDefault="008F3151">
            <w:pPr>
              <w:rPr>
                <w:rFonts w:ascii="Aptos" w:hAnsi="Aptos"/>
                <w:color w:val="000000"/>
                <w:sz w:val="16"/>
                <w:szCs w:val="16"/>
              </w:rPr>
            </w:pPr>
            <w:r w:rsidRPr="00D518FF">
              <w:rPr>
                <w:rFonts w:ascii="Aptos" w:hAnsi="Aptos"/>
                <w:color w:val="000000"/>
                <w:sz w:val="16"/>
                <w:szCs w:val="16"/>
              </w:rPr>
              <w:t>691200</w:t>
            </w:r>
          </w:p>
        </w:tc>
        <w:tc>
          <w:tcPr>
            <w:tcW w:w="2126" w:type="dxa"/>
            <w:shd w:val="clear" w:color="auto" w:fill="auto"/>
            <w:hideMark/>
          </w:tcPr>
          <w:p w14:paraId="43FEFAD9"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394AAD" w:rsidRPr="00D518FF" w14:paraId="75A96454" w14:textId="77777777" w:rsidTr="00F52F31">
        <w:trPr>
          <w:trHeight w:val="340"/>
        </w:trPr>
        <w:tc>
          <w:tcPr>
            <w:tcW w:w="4182" w:type="dxa"/>
            <w:shd w:val="clear" w:color="auto" w:fill="auto"/>
            <w:noWrap/>
            <w:hideMark/>
          </w:tcPr>
          <w:p w14:paraId="5CEFD873" w14:textId="77777777" w:rsidR="00394AAD" w:rsidRPr="00D518FF" w:rsidRDefault="00394AAD" w:rsidP="00394AAD">
            <w:pPr>
              <w:rPr>
                <w:rFonts w:ascii="Aptos" w:hAnsi="Aptos"/>
                <w:color w:val="000000"/>
                <w:sz w:val="16"/>
                <w:szCs w:val="16"/>
              </w:rPr>
            </w:pPr>
            <w:r w:rsidRPr="00D518FF">
              <w:rPr>
                <w:rFonts w:ascii="Aptos" w:hAnsi="Aptos"/>
                <w:color w:val="000000"/>
                <w:sz w:val="16"/>
                <w:szCs w:val="16"/>
              </w:rPr>
              <w:t>Dietary polyunsaturated fat for prevention and treatment of depression and anxiety</w:t>
            </w:r>
          </w:p>
        </w:tc>
        <w:tc>
          <w:tcPr>
            <w:tcW w:w="3544" w:type="dxa"/>
            <w:shd w:val="clear" w:color="auto" w:fill="auto"/>
            <w:noWrap/>
            <w:hideMark/>
          </w:tcPr>
          <w:p w14:paraId="784FA1B2" w14:textId="77777777" w:rsidR="00394AAD" w:rsidRPr="00D518FF" w:rsidRDefault="00394AAD" w:rsidP="00394AAD">
            <w:pPr>
              <w:rPr>
                <w:rFonts w:ascii="Aptos" w:hAnsi="Aptos"/>
                <w:color w:val="000000"/>
                <w:sz w:val="16"/>
                <w:szCs w:val="16"/>
              </w:rPr>
            </w:pPr>
            <w:r w:rsidRPr="00D518FF">
              <w:rPr>
                <w:rFonts w:ascii="Aptos" w:hAnsi="Aptos"/>
                <w:color w:val="000000"/>
                <w:sz w:val="16"/>
                <w:szCs w:val="16"/>
              </w:rPr>
              <w:t>Sarah Hanson, Priti Biswas Oluseyi Jimoh Alex O'Brien Lee Hooper Asmaa Abdelhamid Katherine Deane</w:t>
            </w:r>
          </w:p>
        </w:tc>
        <w:tc>
          <w:tcPr>
            <w:tcW w:w="567" w:type="dxa"/>
            <w:shd w:val="clear" w:color="auto" w:fill="auto"/>
          </w:tcPr>
          <w:p w14:paraId="21FB156A" w14:textId="36FBA3AF" w:rsidR="00394AAD" w:rsidRPr="00D518FF" w:rsidRDefault="00BB208C" w:rsidP="00394AAD">
            <w:pPr>
              <w:rPr>
                <w:rFonts w:ascii="Aptos" w:hAnsi="Aptos"/>
                <w:color w:val="000000"/>
                <w:sz w:val="16"/>
                <w:szCs w:val="16"/>
              </w:rPr>
            </w:pPr>
            <w:r>
              <w:rPr>
                <w:rFonts w:ascii="Aptos" w:hAnsi="Aptos"/>
                <w:color w:val="000000"/>
                <w:sz w:val="16"/>
                <w:szCs w:val="16"/>
              </w:rPr>
              <w:t>2017</w:t>
            </w:r>
          </w:p>
        </w:tc>
        <w:tc>
          <w:tcPr>
            <w:tcW w:w="1701" w:type="dxa"/>
            <w:shd w:val="clear" w:color="auto" w:fill="auto"/>
          </w:tcPr>
          <w:p w14:paraId="38713EC7" w14:textId="46D2014C" w:rsidR="00394AAD" w:rsidRPr="00D518FF" w:rsidRDefault="00BB208C" w:rsidP="00394AAD">
            <w:pPr>
              <w:rPr>
                <w:rFonts w:ascii="Aptos" w:hAnsi="Aptos"/>
                <w:color w:val="000000"/>
                <w:sz w:val="16"/>
                <w:szCs w:val="16"/>
              </w:rPr>
            </w:pPr>
            <w:r>
              <w:rPr>
                <w:rFonts w:ascii="Aptos" w:hAnsi="Aptos"/>
                <w:color w:val="000000"/>
                <w:sz w:val="16"/>
                <w:szCs w:val="16"/>
              </w:rPr>
              <w:t>PROSPERO</w:t>
            </w:r>
          </w:p>
        </w:tc>
        <w:tc>
          <w:tcPr>
            <w:tcW w:w="850" w:type="dxa"/>
            <w:shd w:val="clear" w:color="auto" w:fill="auto"/>
          </w:tcPr>
          <w:p w14:paraId="6B8225C4" w14:textId="7E5E8EF0" w:rsidR="00394AAD" w:rsidRPr="00D518FF" w:rsidRDefault="00BB208C" w:rsidP="00394AAD">
            <w:pPr>
              <w:rPr>
                <w:rFonts w:ascii="Aptos" w:hAnsi="Aptos"/>
                <w:color w:val="000000"/>
                <w:sz w:val="16"/>
                <w:szCs w:val="16"/>
              </w:rPr>
            </w:pPr>
            <w:r w:rsidRPr="00BB208C">
              <w:rPr>
                <w:rFonts w:ascii="Aptos" w:hAnsi="Aptos"/>
                <w:color w:val="000000"/>
                <w:sz w:val="16"/>
                <w:szCs w:val="16"/>
              </w:rPr>
              <w:t>CRD42017056092</w:t>
            </w:r>
          </w:p>
        </w:tc>
        <w:tc>
          <w:tcPr>
            <w:tcW w:w="567" w:type="dxa"/>
            <w:shd w:val="clear" w:color="auto" w:fill="auto"/>
          </w:tcPr>
          <w:p w14:paraId="7AEFC95C" w14:textId="765415E3" w:rsidR="00394AAD" w:rsidRPr="00D518FF" w:rsidRDefault="00BB208C" w:rsidP="00394AAD">
            <w:pPr>
              <w:rPr>
                <w:rFonts w:ascii="Aptos" w:hAnsi="Aptos"/>
                <w:color w:val="000000"/>
                <w:sz w:val="16"/>
                <w:szCs w:val="16"/>
              </w:rPr>
            </w:pPr>
            <w:r>
              <w:rPr>
                <w:rFonts w:ascii="Aptos" w:hAnsi="Aptos"/>
                <w:color w:val="000000"/>
                <w:sz w:val="16"/>
                <w:szCs w:val="16"/>
              </w:rPr>
              <w:t>-</w:t>
            </w:r>
          </w:p>
        </w:tc>
        <w:tc>
          <w:tcPr>
            <w:tcW w:w="709" w:type="dxa"/>
            <w:shd w:val="clear" w:color="auto" w:fill="auto"/>
          </w:tcPr>
          <w:p w14:paraId="5C0CC3AF" w14:textId="6D2A38B9" w:rsidR="00394AAD" w:rsidRPr="00D518FF" w:rsidRDefault="00BB208C" w:rsidP="00394AAD">
            <w:pPr>
              <w:rPr>
                <w:rFonts w:ascii="Aptos" w:hAnsi="Aptos"/>
                <w:color w:val="000000"/>
                <w:sz w:val="16"/>
                <w:szCs w:val="16"/>
              </w:rPr>
            </w:pPr>
            <w:r>
              <w:rPr>
                <w:rFonts w:ascii="Aptos" w:hAnsi="Aptos"/>
                <w:color w:val="000000"/>
                <w:sz w:val="16"/>
                <w:szCs w:val="16"/>
              </w:rPr>
              <w:t>-</w:t>
            </w:r>
          </w:p>
        </w:tc>
        <w:tc>
          <w:tcPr>
            <w:tcW w:w="2126" w:type="dxa"/>
            <w:shd w:val="clear" w:color="auto" w:fill="auto"/>
            <w:hideMark/>
          </w:tcPr>
          <w:p w14:paraId="70BBF4C0" w14:textId="20E961D4" w:rsidR="00394AAD" w:rsidRPr="00D518FF" w:rsidRDefault="00394AAD" w:rsidP="00394AAD">
            <w:pPr>
              <w:rPr>
                <w:rFonts w:ascii="Aptos" w:hAnsi="Aptos"/>
                <w:color w:val="000000"/>
                <w:sz w:val="16"/>
                <w:szCs w:val="16"/>
              </w:rPr>
            </w:pPr>
            <w:r w:rsidRPr="00D518FF">
              <w:rPr>
                <w:rFonts w:ascii="Aptos" w:hAnsi="Aptos"/>
                <w:color w:val="000000"/>
                <w:sz w:val="16"/>
                <w:szCs w:val="16"/>
              </w:rPr>
              <w:t>Wrong intervention</w:t>
            </w:r>
            <w:r w:rsidR="00B64244">
              <w:rPr>
                <w:rFonts w:ascii="Aptos" w:hAnsi="Aptos"/>
                <w:color w:val="000000"/>
                <w:sz w:val="16"/>
                <w:szCs w:val="16"/>
              </w:rPr>
              <w:t xml:space="preserve"> </w:t>
            </w:r>
            <w:r w:rsidR="00DC296A">
              <w:rPr>
                <w:rFonts w:ascii="Aptos" w:hAnsi="Aptos"/>
                <w:color w:val="000000"/>
                <w:sz w:val="16"/>
                <w:szCs w:val="16"/>
              </w:rPr>
              <w:t>–</w:t>
            </w:r>
            <w:r w:rsidR="00B64244">
              <w:rPr>
                <w:rFonts w:ascii="Aptos" w:hAnsi="Aptos"/>
                <w:color w:val="000000"/>
                <w:sz w:val="16"/>
                <w:szCs w:val="16"/>
              </w:rPr>
              <w:t xml:space="preserve"> </w:t>
            </w:r>
            <w:r w:rsidR="00B64244" w:rsidRPr="00B64244">
              <w:rPr>
                <w:rFonts w:ascii="Aptos" w:hAnsi="Aptos"/>
                <w:color w:val="000000"/>
                <w:sz w:val="16"/>
                <w:szCs w:val="16"/>
              </w:rPr>
              <w:t>Omega-3 outcomes not reported separately</w:t>
            </w:r>
          </w:p>
        </w:tc>
      </w:tr>
      <w:tr w:rsidR="0052055E" w:rsidRPr="00D518FF" w14:paraId="5947C671" w14:textId="77777777" w:rsidTr="00F52F31">
        <w:trPr>
          <w:trHeight w:val="340"/>
        </w:trPr>
        <w:tc>
          <w:tcPr>
            <w:tcW w:w="4182" w:type="dxa"/>
            <w:shd w:val="clear" w:color="auto" w:fill="auto"/>
            <w:noWrap/>
            <w:hideMark/>
          </w:tcPr>
          <w:p w14:paraId="7E7AF102" w14:textId="77777777" w:rsidR="0052055E" w:rsidRPr="00D518FF" w:rsidRDefault="0052055E" w:rsidP="0052055E">
            <w:pPr>
              <w:rPr>
                <w:rFonts w:ascii="Aptos" w:hAnsi="Aptos"/>
                <w:color w:val="000000"/>
                <w:sz w:val="16"/>
                <w:szCs w:val="16"/>
              </w:rPr>
            </w:pPr>
            <w:r w:rsidRPr="00D518FF">
              <w:rPr>
                <w:rFonts w:ascii="Aptos" w:hAnsi="Aptos"/>
                <w:color w:val="000000"/>
                <w:sz w:val="16"/>
                <w:szCs w:val="16"/>
              </w:rPr>
              <w:lastRenderedPageBreak/>
              <w:t>Effects of long-chain omega-3 polyunsaturated fatty acids on reducing anxiety and/or depression in adults: a systematic review and meta-analysis of randomised control trials</w:t>
            </w:r>
          </w:p>
        </w:tc>
        <w:tc>
          <w:tcPr>
            <w:tcW w:w="3544" w:type="dxa"/>
            <w:shd w:val="clear" w:color="auto" w:fill="auto"/>
            <w:noWrap/>
            <w:hideMark/>
          </w:tcPr>
          <w:p w14:paraId="4D7CDBBA" w14:textId="77777777" w:rsidR="0052055E" w:rsidRPr="00D518FF" w:rsidRDefault="0052055E" w:rsidP="0052055E">
            <w:pPr>
              <w:rPr>
                <w:rFonts w:ascii="Aptos" w:hAnsi="Aptos"/>
                <w:color w:val="000000"/>
                <w:sz w:val="16"/>
                <w:szCs w:val="16"/>
              </w:rPr>
            </w:pPr>
            <w:r w:rsidRPr="00D518FF">
              <w:rPr>
                <w:rFonts w:ascii="Aptos" w:hAnsi="Aptos"/>
                <w:color w:val="000000"/>
                <w:sz w:val="16"/>
                <w:szCs w:val="16"/>
              </w:rPr>
              <w:t>Simon Dyall, Leigh Gibson Christos Kelaiditis</w:t>
            </w:r>
          </w:p>
        </w:tc>
        <w:tc>
          <w:tcPr>
            <w:tcW w:w="567" w:type="dxa"/>
            <w:shd w:val="clear" w:color="auto" w:fill="auto"/>
          </w:tcPr>
          <w:p w14:paraId="4A064E1B" w14:textId="28576FAD" w:rsidR="0052055E" w:rsidRPr="00D518FF" w:rsidRDefault="003B50E0" w:rsidP="0052055E">
            <w:pPr>
              <w:rPr>
                <w:rFonts w:ascii="Aptos" w:hAnsi="Aptos"/>
                <w:color w:val="000000"/>
                <w:sz w:val="16"/>
                <w:szCs w:val="16"/>
              </w:rPr>
            </w:pPr>
            <w:r>
              <w:rPr>
                <w:rFonts w:ascii="Aptos" w:hAnsi="Aptos"/>
                <w:color w:val="000000"/>
                <w:sz w:val="16"/>
                <w:szCs w:val="16"/>
              </w:rPr>
              <w:t>2020</w:t>
            </w:r>
          </w:p>
        </w:tc>
        <w:tc>
          <w:tcPr>
            <w:tcW w:w="1701" w:type="dxa"/>
            <w:shd w:val="clear" w:color="auto" w:fill="auto"/>
          </w:tcPr>
          <w:p w14:paraId="6EEF2BFC" w14:textId="0B85DA8E" w:rsidR="0052055E" w:rsidRPr="00D518FF" w:rsidRDefault="003B50E0" w:rsidP="0052055E">
            <w:pPr>
              <w:rPr>
                <w:rFonts w:ascii="Aptos" w:hAnsi="Aptos"/>
                <w:color w:val="000000"/>
                <w:sz w:val="16"/>
                <w:szCs w:val="16"/>
              </w:rPr>
            </w:pPr>
            <w:r>
              <w:rPr>
                <w:rFonts w:ascii="Aptos" w:hAnsi="Aptos"/>
                <w:color w:val="000000"/>
                <w:sz w:val="16"/>
                <w:szCs w:val="16"/>
              </w:rPr>
              <w:t>PROSPERO</w:t>
            </w:r>
          </w:p>
        </w:tc>
        <w:tc>
          <w:tcPr>
            <w:tcW w:w="850" w:type="dxa"/>
            <w:shd w:val="clear" w:color="auto" w:fill="auto"/>
          </w:tcPr>
          <w:p w14:paraId="68775C01" w14:textId="0FE09513" w:rsidR="0052055E" w:rsidRPr="00D518FF" w:rsidRDefault="003B50E0" w:rsidP="0052055E">
            <w:pPr>
              <w:rPr>
                <w:rFonts w:ascii="Aptos" w:hAnsi="Aptos"/>
                <w:color w:val="000000"/>
                <w:sz w:val="16"/>
                <w:szCs w:val="16"/>
              </w:rPr>
            </w:pPr>
            <w:r w:rsidRPr="003B50E0">
              <w:rPr>
                <w:rFonts w:ascii="Aptos" w:hAnsi="Aptos"/>
                <w:color w:val="000000"/>
                <w:sz w:val="16"/>
                <w:szCs w:val="16"/>
              </w:rPr>
              <w:t>CRD42020194402</w:t>
            </w:r>
          </w:p>
        </w:tc>
        <w:tc>
          <w:tcPr>
            <w:tcW w:w="567" w:type="dxa"/>
            <w:shd w:val="clear" w:color="auto" w:fill="auto"/>
            <w:noWrap/>
            <w:hideMark/>
          </w:tcPr>
          <w:p w14:paraId="46117D23" w14:textId="037348FD" w:rsidR="0052055E" w:rsidRPr="00D518FF" w:rsidRDefault="003B50E0" w:rsidP="0052055E">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27FA7B56" w14:textId="0BC57E21" w:rsidR="0052055E" w:rsidRPr="00D518FF" w:rsidRDefault="003B50E0" w:rsidP="0052055E">
            <w:pPr>
              <w:rPr>
                <w:rFonts w:ascii="Aptos" w:hAnsi="Aptos"/>
                <w:sz w:val="16"/>
                <w:szCs w:val="16"/>
              </w:rPr>
            </w:pPr>
            <w:r>
              <w:rPr>
                <w:rFonts w:ascii="Aptos" w:hAnsi="Aptos"/>
                <w:color w:val="000000"/>
                <w:sz w:val="16"/>
                <w:szCs w:val="16"/>
              </w:rPr>
              <w:t>-</w:t>
            </w:r>
          </w:p>
        </w:tc>
        <w:tc>
          <w:tcPr>
            <w:tcW w:w="2126" w:type="dxa"/>
            <w:shd w:val="clear" w:color="auto" w:fill="auto"/>
            <w:hideMark/>
          </w:tcPr>
          <w:p w14:paraId="4F5A60FE" w14:textId="413483CC" w:rsidR="0052055E" w:rsidRPr="00D518FF" w:rsidRDefault="0052055E" w:rsidP="0052055E">
            <w:pPr>
              <w:rPr>
                <w:rFonts w:ascii="Aptos" w:hAnsi="Aptos"/>
                <w:color w:val="000000"/>
                <w:sz w:val="16"/>
                <w:szCs w:val="16"/>
              </w:rPr>
            </w:pPr>
            <w:r w:rsidRPr="00D518FF">
              <w:rPr>
                <w:rFonts w:ascii="Aptos" w:hAnsi="Aptos"/>
                <w:color w:val="000000"/>
                <w:sz w:val="16"/>
                <w:szCs w:val="16"/>
              </w:rPr>
              <w:t xml:space="preserve">Wrong </w:t>
            </w:r>
            <w:r w:rsidR="00B17D57">
              <w:rPr>
                <w:rFonts w:ascii="Aptos" w:hAnsi="Aptos"/>
                <w:color w:val="000000"/>
                <w:sz w:val="16"/>
                <w:szCs w:val="16"/>
              </w:rPr>
              <w:t>patient population – some of the population was healthy; unable to determine results for condition or at-risk group only</w:t>
            </w:r>
          </w:p>
        </w:tc>
      </w:tr>
      <w:tr w:rsidR="008F3151" w:rsidRPr="00D518FF" w14:paraId="505BC847" w14:textId="77777777" w:rsidTr="004C6AA1">
        <w:trPr>
          <w:trHeight w:val="340"/>
        </w:trPr>
        <w:tc>
          <w:tcPr>
            <w:tcW w:w="4182" w:type="dxa"/>
            <w:shd w:val="clear" w:color="auto" w:fill="auto"/>
            <w:noWrap/>
            <w:hideMark/>
          </w:tcPr>
          <w:p w14:paraId="3194B28C" w14:textId="77777777" w:rsidR="008F3151" w:rsidRPr="00D518FF" w:rsidRDefault="008F3151">
            <w:pPr>
              <w:rPr>
                <w:rFonts w:ascii="Aptos" w:hAnsi="Aptos"/>
                <w:color w:val="000000"/>
                <w:sz w:val="16"/>
                <w:szCs w:val="16"/>
              </w:rPr>
            </w:pPr>
            <w:r w:rsidRPr="00D518FF">
              <w:rPr>
                <w:rFonts w:ascii="Aptos" w:hAnsi="Aptos"/>
                <w:color w:val="000000"/>
                <w:sz w:val="16"/>
                <w:szCs w:val="16"/>
              </w:rPr>
              <w:t>Effects of n-3 Polyunsaturated Fatty Acid Supplementation in the Prevention and Treatment of Depressive Disorders-A Systematic Review and Meta-Analysis</w:t>
            </w:r>
          </w:p>
        </w:tc>
        <w:tc>
          <w:tcPr>
            <w:tcW w:w="3544" w:type="dxa"/>
            <w:shd w:val="clear" w:color="auto" w:fill="auto"/>
            <w:noWrap/>
            <w:hideMark/>
          </w:tcPr>
          <w:p w14:paraId="30926201" w14:textId="77777777" w:rsidR="008F3151" w:rsidRPr="00D518FF" w:rsidRDefault="008F3151">
            <w:pPr>
              <w:rPr>
                <w:rFonts w:ascii="Aptos" w:hAnsi="Aptos"/>
                <w:color w:val="000000"/>
                <w:sz w:val="16"/>
                <w:szCs w:val="16"/>
              </w:rPr>
            </w:pPr>
            <w:r w:rsidRPr="00D518FF">
              <w:rPr>
                <w:rFonts w:ascii="Aptos" w:hAnsi="Aptos"/>
                <w:color w:val="000000"/>
                <w:sz w:val="16"/>
                <w:szCs w:val="16"/>
              </w:rPr>
              <w:t>Wolters, M.; von der Haar, A.; Baalmann, A. K.; Wellbrock, M.; Heise, T. L.; Rach, S.</w:t>
            </w:r>
          </w:p>
        </w:tc>
        <w:tc>
          <w:tcPr>
            <w:tcW w:w="567" w:type="dxa"/>
            <w:shd w:val="clear" w:color="auto" w:fill="auto"/>
            <w:noWrap/>
            <w:hideMark/>
          </w:tcPr>
          <w:p w14:paraId="7AC67C3A"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2B98C24B"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850" w:type="dxa"/>
            <w:shd w:val="clear" w:color="auto" w:fill="auto"/>
            <w:noWrap/>
            <w:hideMark/>
          </w:tcPr>
          <w:p w14:paraId="1E628F97" w14:textId="77777777" w:rsidR="008F3151" w:rsidRPr="00D518FF" w:rsidRDefault="008F3151">
            <w:pPr>
              <w:rPr>
                <w:rFonts w:ascii="Aptos" w:hAnsi="Aptos"/>
                <w:color w:val="000000"/>
                <w:sz w:val="16"/>
                <w:szCs w:val="16"/>
              </w:rPr>
            </w:pPr>
            <w:r w:rsidRPr="00D518FF">
              <w:rPr>
                <w:rFonts w:ascii="Aptos" w:hAnsi="Aptos"/>
                <w:color w:val="000000"/>
                <w:sz w:val="16"/>
                <w:szCs w:val="16"/>
              </w:rPr>
              <w:t>13</w:t>
            </w:r>
          </w:p>
        </w:tc>
        <w:tc>
          <w:tcPr>
            <w:tcW w:w="567" w:type="dxa"/>
            <w:shd w:val="clear" w:color="auto" w:fill="auto"/>
            <w:noWrap/>
            <w:hideMark/>
          </w:tcPr>
          <w:p w14:paraId="462B4D40"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063F6F56" w14:textId="6A63A953" w:rsidR="008F3151" w:rsidRPr="00D518FF" w:rsidRDefault="002D6315">
            <w:pPr>
              <w:rPr>
                <w:rFonts w:ascii="Aptos" w:hAnsi="Aptos"/>
                <w:color w:val="000000"/>
                <w:sz w:val="16"/>
                <w:szCs w:val="16"/>
              </w:rPr>
            </w:pPr>
            <w:r>
              <w:rPr>
                <w:rFonts w:ascii="Aptos" w:hAnsi="Aptos"/>
                <w:color w:val="000000"/>
                <w:sz w:val="16"/>
                <w:szCs w:val="16"/>
              </w:rPr>
              <w:t>1070</w:t>
            </w:r>
          </w:p>
        </w:tc>
        <w:tc>
          <w:tcPr>
            <w:tcW w:w="2126" w:type="dxa"/>
            <w:shd w:val="clear" w:color="auto" w:fill="auto"/>
            <w:hideMark/>
          </w:tcPr>
          <w:p w14:paraId="4A9EFCF9" w14:textId="7238A786"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r w:rsidR="00AB6B34">
              <w:rPr>
                <w:rFonts w:ascii="Aptos" w:hAnsi="Aptos"/>
                <w:color w:val="000000"/>
                <w:sz w:val="16"/>
                <w:szCs w:val="16"/>
              </w:rPr>
              <w:t xml:space="preserve"> </w:t>
            </w:r>
            <w:r w:rsidR="00DC296A">
              <w:rPr>
                <w:rFonts w:ascii="Aptos" w:hAnsi="Aptos"/>
                <w:color w:val="000000"/>
                <w:sz w:val="16"/>
                <w:szCs w:val="16"/>
              </w:rPr>
              <w:t xml:space="preserve">- </w:t>
            </w:r>
            <w:r w:rsidR="00DC296A" w:rsidRPr="00B64244">
              <w:rPr>
                <w:rFonts w:ascii="Aptos" w:hAnsi="Aptos"/>
                <w:color w:val="000000"/>
                <w:sz w:val="16"/>
                <w:szCs w:val="16"/>
              </w:rPr>
              <w:t>Omega-3 outcomes not reported separately</w:t>
            </w:r>
            <w:r w:rsidR="00DC296A" w:rsidRPr="00AB6B34">
              <w:rPr>
                <w:rFonts w:ascii="Aptos" w:hAnsi="Aptos"/>
                <w:color w:val="000000"/>
                <w:sz w:val="16"/>
                <w:szCs w:val="16"/>
              </w:rPr>
              <w:t xml:space="preserve"> </w:t>
            </w:r>
            <w:r w:rsidR="00DC296A">
              <w:rPr>
                <w:rFonts w:ascii="Aptos" w:hAnsi="Aptos"/>
                <w:color w:val="000000"/>
                <w:sz w:val="16"/>
                <w:szCs w:val="16"/>
              </w:rPr>
              <w:t>(</w:t>
            </w:r>
            <w:r w:rsidR="00AB6B34" w:rsidRPr="00AB6B34">
              <w:rPr>
                <w:rFonts w:ascii="Aptos" w:hAnsi="Aptos"/>
                <w:color w:val="000000"/>
                <w:sz w:val="16"/>
                <w:szCs w:val="16"/>
              </w:rPr>
              <w:t>omega-3 plus non-naturopathy invention e.g., stress management</w:t>
            </w:r>
            <w:r w:rsidR="00DC296A">
              <w:rPr>
                <w:rFonts w:ascii="Aptos" w:hAnsi="Aptos"/>
                <w:color w:val="000000"/>
                <w:sz w:val="16"/>
                <w:szCs w:val="16"/>
              </w:rPr>
              <w:t xml:space="preserve">; </w:t>
            </w:r>
            <w:r w:rsidR="00AB6B34" w:rsidRPr="00AB6B34">
              <w:rPr>
                <w:rFonts w:ascii="Aptos" w:hAnsi="Aptos"/>
                <w:color w:val="000000"/>
                <w:sz w:val="16"/>
                <w:szCs w:val="16"/>
              </w:rPr>
              <w:t>omega-3 plus pharmacotherapy</w:t>
            </w:r>
            <w:r w:rsidR="00DC296A">
              <w:rPr>
                <w:rFonts w:ascii="Aptos" w:hAnsi="Aptos"/>
                <w:color w:val="000000"/>
                <w:sz w:val="16"/>
                <w:szCs w:val="16"/>
              </w:rPr>
              <w:t>)</w:t>
            </w:r>
          </w:p>
        </w:tc>
      </w:tr>
      <w:tr w:rsidR="008F3151" w:rsidRPr="00D518FF" w14:paraId="728BEA09" w14:textId="77777777" w:rsidTr="004C6AA1">
        <w:trPr>
          <w:trHeight w:val="340"/>
        </w:trPr>
        <w:tc>
          <w:tcPr>
            <w:tcW w:w="4182" w:type="dxa"/>
            <w:shd w:val="clear" w:color="auto" w:fill="auto"/>
            <w:noWrap/>
            <w:hideMark/>
          </w:tcPr>
          <w:p w14:paraId="6C1F343E" w14:textId="77777777" w:rsidR="008F3151" w:rsidRPr="00D518FF" w:rsidRDefault="008F3151">
            <w:pPr>
              <w:rPr>
                <w:rFonts w:ascii="Aptos" w:hAnsi="Aptos"/>
                <w:color w:val="000000"/>
                <w:sz w:val="16"/>
                <w:szCs w:val="16"/>
              </w:rPr>
            </w:pPr>
            <w:r w:rsidRPr="00D518FF">
              <w:rPr>
                <w:rFonts w:ascii="Aptos" w:hAnsi="Aptos"/>
                <w:color w:val="000000"/>
                <w:sz w:val="16"/>
                <w:szCs w:val="16"/>
              </w:rPr>
              <w:t>Efficacy of omega-3 fatty acid supplementation on improvement of bipolar symptoms: a systematic review</w:t>
            </w:r>
          </w:p>
        </w:tc>
        <w:tc>
          <w:tcPr>
            <w:tcW w:w="3544" w:type="dxa"/>
            <w:shd w:val="clear" w:color="auto" w:fill="auto"/>
            <w:noWrap/>
            <w:hideMark/>
          </w:tcPr>
          <w:p w14:paraId="0424104F" w14:textId="77777777" w:rsidR="008F3151" w:rsidRPr="00D518FF" w:rsidRDefault="008F3151">
            <w:pPr>
              <w:rPr>
                <w:rFonts w:ascii="Aptos" w:hAnsi="Aptos"/>
                <w:color w:val="000000"/>
                <w:sz w:val="16"/>
                <w:szCs w:val="16"/>
              </w:rPr>
            </w:pPr>
            <w:r w:rsidRPr="00D518FF">
              <w:rPr>
                <w:rFonts w:ascii="Aptos" w:hAnsi="Aptos"/>
                <w:color w:val="000000"/>
                <w:sz w:val="16"/>
                <w:szCs w:val="16"/>
              </w:rPr>
              <w:t>Turnbull, T.; Cullen-Drill, M.; Smaldone, A.</w:t>
            </w:r>
          </w:p>
        </w:tc>
        <w:tc>
          <w:tcPr>
            <w:tcW w:w="567" w:type="dxa"/>
            <w:shd w:val="clear" w:color="auto" w:fill="auto"/>
            <w:noWrap/>
            <w:hideMark/>
          </w:tcPr>
          <w:p w14:paraId="76925BD2" w14:textId="77777777" w:rsidR="008F3151" w:rsidRPr="00D518FF" w:rsidRDefault="008F3151">
            <w:pPr>
              <w:rPr>
                <w:rFonts w:ascii="Aptos" w:hAnsi="Aptos"/>
                <w:color w:val="000000"/>
                <w:sz w:val="16"/>
                <w:szCs w:val="16"/>
              </w:rPr>
            </w:pPr>
            <w:r w:rsidRPr="00D518FF">
              <w:rPr>
                <w:rFonts w:ascii="Aptos" w:hAnsi="Aptos"/>
                <w:color w:val="000000"/>
                <w:sz w:val="16"/>
                <w:szCs w:val="16"/>
              </w:rPr>
              <w:t>2008</w:t>
            </w:r>
          </w:p>
        </w:tc>
        <w:tc>
          <w:tcPr>
            <w:tcW w:w="1701" w:type="dxa"/>
            <w:shd w:val="clear" w:color="auto" w:fill="auto"/>
            <w:noWrap/>
            <w:hideMark/>
          </w:tcPr>
          <w:p w14:paraId="67D97F2C" w14:textId="77777777" w:rsidR="008F3151" w:rsidRPr="00D518FF" w:rsidRDefault="008F3151">
            <w:pPr>
              <w:rPr>
                <w:rFonts w:ascii="Aptos" w:hAnsi="Aptos"/>
                <w:color w:val="000000"/>
                <w:sz w:val="16"/>
                <w:szCs w:val="16"/>
              </w:rPr>
            </w:pPr>
            <w:r w:rsidRPr="00D518FF">
              <w:rPr>
                <w:rFonts w:ascii="Aptos" w:hAnsi="Aptos"/>
                <w:color w:val="000000"/>
                <w:sz w:val="16"/>
                <w:szCs w:val="16"/>
              </w:rPr>
              <w:t>Archives of psychiatric nursing</w:t>
            </w:r>
          </w:p>
        </w:tc>
        <w:tc>
          <w:tcPr>
            <w:tcW w:w="850" w:type="dxa"/>
            <w:shd w:val="clear" w:color="auto" w:fill="auto"/>
            <w:noWrap/>
            <w:hideMark/>
          </w:tcPr>
          <w:p w14:paraId="1DF0ACCE" w14:textId="77777777" w:rsidR="008F3151" w:rsidRPr="00D518FF" w:rsidRDefault="008F3151">
            <w:pPr>
              <w:rPr>
                <w:rFonts w:ascii="Aptos" w:hAnsi="Aptos"/>
                <w:color w:val="000000"/>
                <w:sz w:val="16"/>
                <w:szCs w:val="16"/>
              </w:rPr>
            </w:pPr>
            <w:r w:rsidRPr="00D518FF">
              <w:rPr>
                <w:rFonts w:ascii="Aptos" w:hAnsi="Aptos"/>
                <w:color w:val="000000"/>
                <w:sz w:val="16"/>
                <w:szCs w:val="16"/>
              </w:rPr>
              <w:t>22</w:t>
            </w:r>
          </w:p>
        </w:tc>
        <w:tc>
          <w:tcPr>
            <w:tcW w:w="567" w:type="dxa"/>
            <w:shd w:val="clear" w:color="auto" w:fill="auto"/>
            <w:noWrap/>
            <w:hideMark/>
          </w:tcPr>
          <w:p w14:paraId="35220AF1"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9" w:type="dxa"/>
            <w:shd w:val="clear" w:color="auto" w:fill="auto"/>
            <w:noWrap/>
            <w:hideMark/>
          </w:tcPr>
          <w:p w14:paraId="760A8A8D" w14:textId="77777777" w:rsidR="008F3151" w:rsidRPr="00D518FF" w:rsidRDefault="008F3151">
            <w:pPr>
              <w:rPr>
                <w:rFonts w:ascii="Aptos" w:hAnsi="Aptos"/>
                <w:color w:val="000000"/>
                <w:sz w:val="16"/>
                <w:szCs w:val="16"/>
              </w:rPr>
            </w:pPr>
            <w:r w:rsidRPr="00D518FF">
              <w:rPr>
                <w:rFonts w:ascii="Aptos" w:hAnsi="Aptos"/>
                <w:color w:val="000000"/>
                <w:sz w:val="16"/>
                <w:szCs w:val="16"/>
              </w:rPr>
              <w:t>305-11</w:t>
            </w:r>
          </w:p>
        </w:tc>
        <w:tc>
          <w:tcPr>
            <w:tcW w:w="2126" w:type="dxa"/>
            <w:shd w:val="clear" w:color="auto" w:fill="auto"/>
            <w:hideMark/>
          </w:tcPr>
          <w:p w14:paraId="0D723C9C" w14:textId="6EB170AD"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r w:rsidR="005828A4" w:rsidRPr="00B64244">
              <w:rPr>
                <w:rFonts w:ascii="Aptos" w:hAnsi="Aptos"/>
                <w:color w:val="000000"/>
                <w:sz w:val="16"/>
                <w:szCs w:val="16"/>
              </w:rPr>
              <w:t xml:space="preserve"> </w:t>
            </w:r>
            <w:r w:rsidR="005828A4">
              <w:rPr>
                <w:rFonts w:ascii="Aptos" w:hAnsi="Aptos"/>
                <w:color w:val="000000"/>
                <w:sz w:val="16"/>
                <w:szCs w:val="16"/>
              </w:rPr>
              <w:t xml:space="preserve">- </w:t>
            </w:r>
            <w:r w:rsidR="005828A4" w:rsidRPr="00B64244">
              <w:rPr>
                <w:rFonts w:ascii="Aptos" w:hAnsi="Aptos"/>
                <w:color w:val="000000"/>
                <w:sz w:val="16"/>
                <w:szCs w:val="16"/>
              </w:rPr>
              <w:t>Omega-3 outcomes not reported separately</w:t>
            </w:r>
            <w:r w:rsidR="005828A4">
              <w:rPr>
                <w:rFonts w:ascii="Aptos" w:hAnsi="Aptos"/>
                <w:color w:val="000000"/>
                <w:sz w:val="16"/>
                <w:szCs w:val="16"/>
              </w:rPr>
              <w:t xml:space="preserve"> (</w:t>
            </w:r>
            <w:r w:rsidR="005828A4" w:rsidRPr="00AB6B34">
              <w:rPr>
                <w:rFonts w:ascii="Aptos" w:hAnsi="Aptos"/>
                <w:color w:val="000000"/>
                <w:sz w:val="16"/>
                <w:szCs w:val="16"/>
              </w:rPr>
              <w:t>omega-3 plus pharmacotherapy</w:t>
            </w:r>
            <w:r w:rsidR="005828A4">
              <w:rPr>
                <w:rFonts w:ascii="Aptos" w:hAnsi="Aptos"/>
                <w:color w:val="000000"/>
                <w:sz w:val="16"/>
                <w:szCs w:val="16"/>
              </w:rPr>
              <w:t>)</w:t>
            </w:r>
          </w:p>
        </w:tc>
      </w:tr>
      <w:tr w:rsidR="008F3151" w:rsidRPr="00D518FF" w14:paraId="6C2CDFFC" w14:textId="77777777" w:rsidTr="004C6AA1">
        <w:trPr>
          <w:trHeight w:val="320"/>
        </w:trPr>
        <w:tc>
          <w:tcPr>
            <w:tcW w:w="4182" w:type="dxa"/>
            <w:shd w:val="clear" w:color="auto" w:fill="auto"/>
            <w:noWrap/>
            <w:hideMark/>
          </w:tcPr>
          <w:p w14:paraId="7C9E5267" w14:textId="77777777" w:rsidR="008F3151" w:rsidRPr="00D518FF" w:rsidRDefault="008F3151">
            <w:pPr>
              <w:rPr>
                <w:rFonts w:ascii="Aptos" w:hAnsi="Aptos"/>
                <w:color w:val="000000"/>
                <w:sz w:val="16"/>
                <w:szCs w:val="16"/>
              </w:rPr>
            </w:pPr>
            <w:r w:rsidRPr="00D518FF">
              <w:rPr>
                <w:rFonts w:ascii="Aptos" w:hAnsi="Aptos"/>
                <w:color w:val="000000"/>
                <w:sz w:val="16"/>
                <w:szCs w:val="16"/>
              </w:rPr>
              <w:t>High-dose omega-3 polyunsaturated fatty acid supplementation might be more superior than low-dose for major depressive disorder in early therapy period: a network meta-analysis</w:t>
            </w:r>
          </w:p>
        </w:tc>
        <w:tc>
          <w:tcPr>
            <w:tcW w:w="3544" w:type="dxa"/>
            <w:shd w:val="clear" w:color="auto" w:fill="auto"/>
            <w:noWrap/>
            <w:hideMark/>
          </w:tcPr>
          <w:p w14:paraId="60CC326D" w14:textId="77777777" w:rsidR="008F3151" w:rsidRPr="00D518FF" w:rsidRDefault="008F3151">
            <w:pPr>
              <w:rPr>
                <w:rFonts w:ascii="Aptos" w:hAnsi="Aptos"/>
                <w:color w:val="000000"/>
                <w:sz w:val="16"/>
                <w:szCs w:val="16"/>
              </w:rPr>
            </w:pPr>
            <w:r w:rsidRPr="00D518FF">
              <w:rPr>
                <w:rFonts w:ascii="Aptos" w:hAnsi="Aptos"/>
                <w:color w:val="000000"/>
                <w:sz w:val="16"/>
                <w:szCs w:val="16"/>
              </w:rPr>
              <w:t>Luo, X. D.; Feng, J. S.; Yang, Z.; Huang, Q. T.; Lin, J. D.; Yang, B.; Su, K. P.; Pan, J. Y.</w:t>
            </w:r>
          </w:p>
        </w:tc>
        <w:tc>
          <w:tcPr>
            <w:tcW w:w="567" w:type="dxa"/>
            <w:shd w:val="clear" w:color="auto" w:fill="auto"/>
            <w:noWrap/>
            <w:hideMark/>
          </w:tcPr>
          <w:p w14:paraId="14B766ED"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701" w:type="dxa"/>
            <w:shd w:val="clear" w:color="auto" w:fill="auto"/>
            <w:noWrap/>
            <w:hideMark/>
          </w:tcPr>
          <w:p w14:paraId="5AF45814" w14:textId="77777777" w:rsidR="008F3151" w:rsidRPr="00D518FF" w:rsidRDefault="008F3151">
            <w:pPr>
              <w:rPr>
                <w:rFonts w:ascii="Aptos" w:hAnsi="Aptos"/>
                <w:color w:val="000000"/>
                <w:sz w:val="16"/>
                <w:szCs w:val="16"/>
              </w:rPr>
            </w:pPr>
            <w:r w:rsidRPr="00D518FF">
              <w:rPr>
                <w:rFonts w:ascii="Aptos" w:hAnsi="Aptos"/>
                <w:color w:val="000000"/>
                <w:sz w:val="16"/>
                <w:szCs w:val="16"/>
              </w:rPr>
              <w:t>BMC psychiatry</w:t>
            </w:r>
          </w:p>
        </w:tc>
        <w:tc>
          <w:tcPr>
            <w:tcW w:w="850" w:type="dxa"/>
            <w:shd w:val="clear" w:color="auto" w:fill="auto"/>
            <w:noWrap/>
            <w:hideMark/>
          </w:tcPr>
          <w:p w14:paraId="6AE3EA21" w14:textId="77777777" w:rsidR="008F3151" w:rsidRPr="00D518FF" w:rsidRDefault="008F3151">
            <w:pPr>
              <w:rPr>
                <w:rFonts w:ascii="Aptos" w:hAnsi="Aptos"/>
                <w:color w:val="000000"/>
                <w:sz w:val="16"/>
                <w:szCs w:val="16"/>
              </w:rPr>
            </w:pPr>
            <w:r w:rsidRPr="00D518FF">
              <w:rPr>
                <w:rFonts w:ascii="Aptos" w:hAnsi="Aptos"/>
                <w:color w:val="000000"/>
                <w:sz w:val="16"/>
                <w:szCs w:val="16"/>
              </w:rPr>
              <w:t>20</w:t>
            </w:r>
          </w:p>
        </w:tc>
        <w:tc>
          <w:tcPr>
            <w:tcW w:w="567" w:type="dxa"/>
            <w:shd w:val="clear" w:color="auto" w:fill="auto"/>
            <w:noWrap/>
            <w:hideMark/>
          </w:tcPr>
          <w:p w14:paraId="4499DF49"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5E17D18E" w14:textId="77777777" w:rsidR="008F3151" w:rsidRPr="00D518FF" w:rsidRDefault="008F3151">
            <w:pPr>
              <w:rPr>
                <w:rFonts w:ascii="Aptos" w:hAnsi="Aptos"/>
                <w:color w:val="000000"/>
                <w:sz w:val="16"/>
                <w:szCs w:val="16"/>
              </w:rPr>
            </w:pPr>
            <w:r w:rsidRPr="00D518FF">
              <w:rPr>
                <w:rFonts w:ascii="Aptos" w:hAnsi="Aptos"/>
                <w:color w:val="000000"/>
                <w:sz w:val="16"/>
                <w:szCs w:val="16"/>
              </w:rPr>
              <w:t>248</w:t>
            </w:r>
          </w:p>
        </w:tc>
        <w:tc>
          <w:tcPr>
            <w:tcW w:w="2126" w:type="dxa"/>
            <w:shd w:val="clear" w:color="auto" w:fill="auto"/>
            <w:noWrap/>
            <w:hideMark/>
          </w:tcPr>
          <w:p w14:paraId="52CF0CDA" w14:textId="0137CD8D" w:rsidR="008F3151" w:rsidRPr="00D518FF" w:rsidRDefault="008F3151">
            <w:pPr>
              <w:rPr>
                <w:rFonts w:ascii="Aptos" w:hAnsi="Aptos"/>
                <w:color w:val="000000"/>
                <w:sz w:val="16"/>
                <w:szCs w:val="16"/>
              </w:rPr>
            </w:pPr>
            <w:r w:rsidRPr="00D518FF">
              <w:rPr>
                <w:rFonts w:ascii="Aptos" w:hAnsi="Aptos"/>
                <w:color w:val="000000"/>
                <w:sz w:val="16"/>
                <w:szCs w:val="16"/>
              </w:rPr>
              <w:t xml:space="preserve">Wrong </w:t>
            </w:r>
            <w:r w:rsidR="00EF460D">
              <w:rPr>
                <w:rFonts w:ascii="Aptos" w:hAnsi="Aptos"/>
                <w:color w:val="000000"/>
                <w:sz w:val="16"/>
                <w:szCs w:val="16"/>
              </w:rPr>
              <w:t>comparator</w:t>
            </w:r>
          </w:p>
        </w:tc>
      </w:tr>
      <w:tr w:rsidR="008F3151" w:rsidRPr="00D518FF" w14:paraId="338FE54E" w14:textId="77777777" w:rsidTr="004C6AA1">
        <w:trPr>
          <w:trHeight w:val="340"/>
        </w:trPr>
        <w:tc>
          <w:tcPr>
            <w:tcW w:w="4182" w:type="dxa"/>
            <w:shd w:val="clear" w:color="auto" w:fill="auto"/>
            <w:noWrap/>
            <w:hideMark/>
          </w:tcPr>
          <w:p w14:paraId="1099A9C1"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Nutritional aspects of depression in adolescents - A systematic review</w:t>
            </w:r>
          </w:p>
        </w:tc>
        <w:tc>
          <w:tcPr>
            <w:tcW w:w="3544" w:type="dxa"/>
            <w:shd w:val="clear" w:color="auto" w:fill="auto"/>
            <w:noWrap/>
            <w:hideMark/>
          </w:tcPr>
          <w:p w14:paraId="72121778" w14:textId="77777777" w:rsidR="008F3151" w:rsidRPr="00D518FF" w:rsidRDefault="008F3151">
            <w:pPr>
              <w:rPr>
                <w:rFonts w:ascii="Aptos" w:hAnsi="Aptos"/>
                <w:color w:val="000000"/>
                <w:sz w:val="16"/>
                <w:szCs w:val="16"/>
              </w:rPr>
            </w:pPr>
            <w:r w:rsidRPr="00D518FF">
              <w:rPr>
                <w:rFonts w:ascii="Aptos" w:hAnsi="Aptos"/>
                <w:color w:val="000000"/>
                <w:sz w:val="16"/>
                <w:szCs w:val="16"/>
              </w:rPr>
              <w:t>Khanna, P.; Chattu, V. K.; Aeri, B. T.</w:t>
            </w:r>
          </w:p>
        </w:tc>
        <w:tc>
          <w:tcPr>
            <w:tcW w:w="567" w:type="dxa"/>
            <w:shd w:val="clear" w:color="auto" w:fill="auto"/>
            <w:noWrap/>
            <w:hideMark/>
          </w:tcPr>
          <w:p w14:paraId="3B1B45F0"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1701" w:type="dxa"/>
            <w:shd w:val="clear" w:color="auto" w:fill="auto"/>
            <w:noWrap/>
            <w:hideMark/>
          </w:tcPr>
          <w:p w14:paraId="2056DF08"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Preventive Medicine</w:t>
            </w:r>
          </w:p>
        </w:tc>
        <w:tc>
          <w:tcPr>
            <w:tcW w:w="850" w:type="dxa"/>
            <w:shd w:val="clear" w:color="auto" w:fill="auto"/>
            <w:noWrap/>
            <w:hideMark/>
          </w:tcPr>
          <w:p w14:paraId="3FB6FD63" w14:textId="77777777" w:rsidR="008F3151" w:rsidRPr="00D518FF" w:rsidRDefault="008F3151">
            <w:pPr>
              <w:rPr>
                <w:rFonts w:ascii="Aptos" w:hAnsi="Aptos"/>
                <w:color w:val="000000"/>
                <w:sz w:val="16"/>
                <w:szCs w:val="16"/>
              </w:rPr>
            </w:pPr>
            <w:r w:rsidRPr="00D518FF">
              <w:rPr>
                <w:rFonts w:ascii="Aptos" w:hAnsi="Aptos"/>
                <w:color w:val="000000"/>
                <w:sz w:val="16"/>
                <w:szCs w:val="16"/>
              </w:rPr>
              <w:t>10</w:t>
            </w:r>
          </w:p>
        </w:tc>
        <w:tc>
          <w:tcPr>
            <w:tcW w:w="567" w:type="dxa"/>
            <w:shd w:val="clear" w:color="auto" w:fill="auto"/>
            <w:noWrap/>
            <w:hideMark/>
          </w:tcPr>
          <w:p w14:paraId="6A23A3BE"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744D95A0" w14:textId="77777777" w:rsidR="008F3151" w:rsidRPr="00D518FF" w:rsidRDefault="008F3151">
            <w:pPr>
              <w:rPr>
                <w:rFonts w:ascii="Aptos" w:hAnsi="Aptos"/>
                <w:color w:val="000000"/>
                <w:sz w:val="16"/>
                <w:szCs w:val="16"/>
              </w:rPr>
            </w:pPr>
            <w:r w:rsidRPr="00D518FF">
              <w:rPr>
                <w:rFonts w:ascii="Aptos" w:hAnsi="Aptos"/>
                <w:color w:val="000000"/>
                <w:sz w:val="16"/>
                <w:szCs w:val="16"/>
              </w:rPr>
              <w:t>1-Sep</w:t>
            </w:r>
          </w:p>
        </w:tc>
        <w:tc>
          <w:tcPr>
            <w:tcW w:w="2126" w:type="dxa"/>
            <w:shd w:val="clear" w:color="auto" w:fill="auto"/>
            <w:hideMark/>
          </w:tcPr>
          <w:p w14:paraId="5F7200A7"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26FBAC79" w14:textId="77777777" w:rsidTr="004C6AA1">
        <w:trPr>
          <w:trHeight w:val="340"/>
        </w:trPr>
        <w:tc>
          <w:tcPr>
            <w:tcW w:w="4182" w:type="dxa"/>
            <w:shd w:val="clear" w:color="auto" w:fill="auto"/>
            <w:noWrap/>
            <w:hideMark/>
          </w:tcPr>
          <w:p w14:paraId="325CA49F" w14:textId="77777777" w:rsidR="008F3151" w:rsidRPr="00D518FF" w:rsidRDefault="008F3151">
            <w:pPr>
              <w:rPr>
                <w:rFonts w:ascii="Aptos" w:hAnsi="Aptos"/>
                <w:color w:val="000000"/>
                <w:sz w:val="16"/>
                <w:szCs w:val="16"/>
              </w:rPr>
            </w:pPr>
            <w:r w:rsidRPr="00D518FF">
              <w:rPr>
                <w:rFonts w:ascii="Aptos" w:hAnsi="Aptos"/>
                <w:color w:val="000000"/>
                <w:sz w:val="16"/>
                <w:szCs w:val="16"/>
              </w:rPr>
              <w:t>Omega-3 fatty acids for bipolar disorder</w:t>
            </w:r>
          </w:p>
        </w:tc>
        <w:tc>
          <w:tcPr>
            <w:tcW w:w="3544" w:type="dxa"/>
            <w:shd w:val="clear" w:color="auto" w:fill="auto"/>
            <w:noWrap/>
            <w:hideMark/>
          </w:tcPr>
          <w:p w14:paraId="272445F3" w14:textId="77777777" w:rsidR="008F3151" w:rsidRPr="00D518FF" w:rsidRDefault="008F3151">
            <w:pPr>
              <w:rPr>
                <w:rFonts w:ascii="Aptos" w:hAnsi="Aptos"/>
                <w:color w:val="000000"/>
                <w:sz w:val="16"/>
                <w:szCs w:val="16"/>
              </w:rPr>
            </w:pPr>
            <w:r w:rsidRPr="00D518FF">
              <w:rPr>
                <w:rFonts w:ascii="Aptos" w:hAnsi="Aptos"/>
                <w:color w:val="000000"/>
                <w:sz w:val="16"/>
                <w:szCs w:val="16"/>
              </w:rPr>
              <w:t>Montgomery, P.; Richardson, A. J.</w:t>
            </w:r>
          </w:p>
        </w:tc>
        <w:tc>
          <w:tcPr>
            <w:tcW w:w="567" w:type="dxa"/>
            <w:shd w:val="clear" w:color="auto" w:fill="auto"/>
            <w:noWrap/>
            <w:hideMark/>
          </w:tcPr>
          <w:p w14:paraId="359C3B1E" w14:textId="77777777" w:rsidR="008F3151" w:rsidRPr="00D518FF" w:rsidRDefault="008F3151">
            <w:pPr>
              <w:rPr>
                <w:rFonts w:ascii="Aptos" w:hAnsi="Aptos"/>
                <w:color w:val="000000"/>
                <w:sz w:val="16"/>
                <w:szCs w:val="16"/>
              </w:rPr>
            </w:pPr>
            <w:r w:rsidRPr="00D518FF">
              <w:rPr>
                <w:rFonts w:ascii="Aptos" w:hAnsi="Aptos"/>
                <w:color w:val="000000"/>
                <w:sz w:val="16"/>
                <w:szCs w:val="16"/>
              </w:rPr>
              <w:t>2008</w:t>
            </w:r>
          </w:p>
        </w:tc>
        <w:tc>
          <w:tcPr>
            <w:tcW w:w="1701" w:type="dxa"/>
            <w:shd w:val="clear" w:color="auto" w:fill="auto"/>
            <w:noWrap/>
            <w:hideMark/>
          </w:tcPr>
          <w:p w14:paraId="4594BE72" w14:textId="77777777" w:rsidR="008F3151" w:rsidRPr="00D518FF" w:rsidRDefault="008F3151">
            <w:pPr>
              <w:rPr>
                <w:rFonts w:ascii="Aptos" w:hAnsi="Aptos"/>
                <w:color w:val="000000"/>
                <w:sz w:val="16"/>
                <w:szCs w:val="16"/>
              </w:rPr>
            </w:pPr>
            <w:r w:rsidRPr="00D518FF">
              <w:rPr>
                <w:rFonts w:ascii="Aptos" w:hAnsi="Aptos"/>
                <w:color w:val="000000"/>
                <w:sz w:val="16"/>
                <w:szCs w:val="16"/>
              </w:rPr>
              <w:t>Cochrane Database of Systematic Reviews</w:t>
            </w:r>
          </w:p>
        </w:tc>
        <w:tc>
          <w:tcPr>
            <w:tcW w:w="850" w:type="dxa"/>
            <w:shd w:val="clear" w:color="auto" w:fill="auto"/>
          </w:tcPr>
          <w:p w14:paraId="765AFF5E" w14:textId="1F1BA644" w:rsidR="008F3151" w:rsidRPr="00D518FF" w:rsidRDefault="00722337">
            <w:pPr>
              <w:rPr>
                <w:rFonts w:ascii="Aptos" w:hAnsi="Aptos"/>
                <w:color w:val="000000"/>
                <w:sz w:val="16"/>
                <w:szCs w:val="16"/>
              </w:rPr>
            </w:pPr>
            <w:r>
              <w:rPr>
                <w:rFonts w:ascii="Aptos" w:hAnsi="Aptos"/>
                <w:color w:val="000000"/>
                <w:sz w:val="16"/>
                <w:szCs w:val="16"/>
              </w:rPr>
              <w:t>-</w:t>
            </w:r>
          </w:p>
        </w:tc>
        <w:tc>
          <w:tcPr>
            <w:tcW w:w="567" w:type="dxa"/>
            <w:shd w:val="clear" w:color="auto" w:fill="auto"/>
            <w:noWrap/>
            <w:hideMark/>
          </w:tcPr>
          <w:p w14:paraId="1C039ED4"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51F0F139" w14:textId="77777777" w:rsidR="008F3151" w:rsidRPr="00D518FF" w:rsidRDefault="008F3151">
            <w:pPr>
              <w:rPr>
                <w:rFonts w:ascii="Aptos" w:hAnsi="Aptos"/>
                <w:color w:val="000000"/>
                <w:sz w:val="16"/>
                <w:szCs w:val="16"/>
              </w:rPr>
            </w:pPr>
            <w:r w:rsidRPr="00D518FF">
              <w:rPr>
                <w:rFonts w:ascii="Aptos" w:hAnsi="Aptos"/>
                <w:color w:val="000000"/>
                <w:sz w:val="16"/>
                <w:szCs w:val="16"/>
              </w:rPr>
              <w:t>CD005169</w:t>
            </w:r>
          </w:p>
        </w:tc>
        <w:tc>
          <w:tcPr>
            <w:tcW w:w="2126" w:type="dxa"/>
            <w:shd w:val="clear" w:color="auto" w:fill="auto"/>
            <w:hideMark/>
          </w:tcPr>
          <w:p w14:paraId="2362F91E" w14:textId="2C647E4E"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r w:rsidR="006674FA">
              <w:rPr>
                <w:rFonts w:ascii="Aptos" w:hAnsi="Aptos"/>
                <w:color w:val="000000"/>
                <w:sz w:val="16"/>
                <w:szCs w:val="16"/>
              </w:rPr>
              <w:t xml:space="preserve"> - </w:t>
            </w:r>
            <w:r w:rsidR="006674FA" w:rsidRPr="00B64244">
              <w:rPr>
                <w:rFonts w:ascii="Aptos" w:hAnsi="Aptos"/>
                <w:color w:val="000000"/>
                <w:sz w:val="16"/>
                <w:szCs w:val="16"/>
              </w:rPr>
              <w:t>Omega-3 outcomes not reported separately</w:t>
            </w:r>
            <w:r w:rsidR="006674FA">
              <w:rPr>
                <w:rFonts w:ascii="Aptos" w:hAnsi="Aptos"/>
                <w:color w:val="000000"/>
                <w:sz w:val="16"/>
                <w:szCs w:val="16"/>
              </w:rPr>
              <w:t xml:space="preserve"> (</w:t>
            </w:r>
            <w:r w:rsidR="006674FA" w:rsidRPr="00AB6B34">
              <w:rPr>
                <w:rFonts w:ascii="Aptos" w:hAnsi="Aptos"/>
                <w:color w:val="000000"/>
                <w:sz w:val="16"/>
                <w:szCs w:val="16"/>
              </w:rPr>
              <w:t>omega-3 plus pharmacotherapy</w:t>
            </w:r>
            <w:r w:rsidR="006674FA">
              <w:rPr>
                <w:rFonts w:ascii="Aptos" w:hAnsi="Aptos"/>
                <w:color w:val="000000"/>
                <w:sz w:val="16"/>
                <w:szCs w:val="16"/>
              </w:rPr>
              <w:t>)</w:t>
            </w:r>
          </w:p>
        </w:tc>
      </w:tr>
      <w:tr w:rsidR="008F3151" w:rsidRPr="00D518FF" w14:paraId="41E25EE1" w14:textId="77777777" w:rsidTr="004C6AA1">
        <w:trPr>
          <w:trHeight w:val="320"/>
        </w:trPr>
        <w:tc>
          <w:tcPr>
            <w:tcW w:w="4182" w:type="dxa"/>
            <w:shd w:val="clear" w:color="auto" w:fill="auto"/>
            <w:noWrap/>
            <w:hideMark/>
          </w:tcPr>
          <w:p w14:paraId="201456C1" w14:textId="77777777" w:rsidR="008F3151" w:rsidRPr="00D518FF" w:rsidRDefault="008F3151">
            <w:pPr>
              <w:rPr>
                <w:rFonts w:ascii="Aptos" w:hAnsi="Aptos"/>
                <w:color w:val="000000"/>
                <w:sz w:val="16"/>
                <w:szCs w:val="16"/>
              </w:rPr>
            </w:pPr>
            <w:r w:rsidRPr="00D518FF">
              <w:rPr>
                <w:rFonts w:ascii="Aptos" w:hAnsi="Aptos"/>
                <w:color w:val="000000"/>
                <w:sz w:val="16"/>
                <w:szCs w:val="16"/>
              </w:rPr>
              <w:t>Role of omega-3 fatty acids in the treatment of depressive disorders: A comprehensive meta-analysis of randomized clinical trials</w:t>
            </w:r>
          </w:p>
        </w:tc>
        <w:tc>
          <w:tcPr>
            <w:tcW w:w="3544" w:type="dxa"/>
            <w:shd w:val="clear" w:color="auto" w:fill="auto"/>
            <w:noWrap/>
            <w:hideMark/>
          </w:tcPr>
          <w:p w14:paraId="4750F7D0" w14:textId="77777777" w:rsidR="008F3151" w:rsidRPr="00D518FF" w:rsidRDefault="008F3151">
            <w:pPr>
              <w:rPr>
                <w:rFonts w:ascii="Aptos" w:hAnsi="Aptos"/>
                <w:color w:val="000000"/>
                <w:sz w:val="16"/>
                <w:szCs w:val="16"/>
              </w:rPr>
            </w:pPr>
            <w:r w:rsidRPr="00D518FF">
              <w:rPr>
                <w:rFonts w:ascii="Aptos" w:hAnsi="Aptos"/>
                <w:color w:val="000000"/>
                <w:sz w:val="16"/>
                <w:szCs w:val="16"/>
              </w:rPr>
              <w:t>Grosso, G.; Pajak, A.; Marventano, S.; Castellano, S.; Galvano, F.; Bucolo, C.; Drago, F.; Caraci, F.</w:t>
            </w:r>
          </w:p>
        </w:tc>
        <w:tc>
          <w:tcPr>
            <w:tcW w:w="567" w:type="dxa"/>
            <w:shd w:val="clear" w:color="auto" w:fill="auto"/>
            <w:noWrap/>
            <w:hideMark/>
          </w:tcPr>
          <w:p w14:paraId="083FCE44" w14:textId="77777777" w:rsidR="008F3151" w:rsidRPr="00D518FF" w:rsidRDefault="008F3151">
            <w:pPr>
              <w:rPr>
                <w:rFonts w:ascii="Aptos" w:hAnsi="Aptos"/>
                <w:color w:val="000000"/>
                <w:sz w:val="16"/>
                <w:szCs w:val="16"/>
              </w:rPr>
            </w:pPr>
            <w:r w:rsidRPr="00D518FF">
              <w:rPr>
                <w:rFonts w:ascii="Aptos" w:hAnsi="Aptos"/>
                <w:color w:val="000000"/>
                <w:sz w:val="16"/>
                <w:szCs w:val="16"/>
              </w:rPr>
              <w:t>2014</w:t>
            </w:r>
          </w:p>
        </w:tc>
        <w:tc>
          <w:tcPr>
            <w:tcW w:w="1701" w:type="dxa"/>
            <w:shd w:val="clear" w:color="auto" w:fill="auto"/>
            <w:noWrap/>
            <w:hideMark/>
          </w:tcPr>
          <w:p w14:paraId="12D8C92B" w14:textId="77777777" w:rsidR="008F3151" w:rsidRPr="00D518FF" w:rsidRDefault="008F3151">
            <w:pPr>
              <w:rPr>
                <w:rFonts w:ascii="Aptos" w:hAnsi="Aptos"/>
                <w:color w:val="000000"/>
                <w:sz w:val="16"/>
                <w:szCs w:val="16"/>
              </w:rPr>
            </w:pPr>
            <w:r w:rsidRPr="00D518FF">
              <w:rPr>
                <w:rFonts w:ascii="Aptos" w:hAnsi="Aptos"/>
                <w:color w:val="000000"/>
                <w:sz w:val="16"/>
                <w:szCs w:val="16"/>
              </w:rPr>
              <w:t>PloS one</w:t>
            </w:r>
          </w:p>
        </w:tc>
        <w:tc>
          <w:tcPr>
            <w:tcW w:w="850" w:type="dxa"/>
            <w:shd w:val="clear" w:color="auto" w:fill="auto"/>
            <w:noWrap/>
            <w:hideMark/>
          </w:tcPr>
          <w:p w14:paraId="21AA2E85"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567" w:type="dxa"/>
            <w:shd w:val="clear" w:color="auto" w:fill="auto"/>
            <w:noWrap/>
            <w:hideMark/>
          </w:tcPr>
          <w:p w14:paraId="18C76B20"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9" w:type="dxa"/>
            <w:shd w:val="clear" w:color="auto" w:fill="auto"/>
            <w:noWrap/>
            <w:hideMark/>
          </w:tcPr>
          <w:p w14:paraId="3565770E" w14:textId="77777777" w:rsidR="008F3151" w:rsidRPr="00D518FF" w:rsidRDefault="008F3151">
            <w:pPr>
              <w:rPr>
                <w:rFonts w:ascii="Aptos" w:hAnsi="Aptos"/>
                <w:color w:val="000000"/>
                <w:sz w:val="16"/>
                <w:szCs w:val="16"/>
              </w:rPr>
            </w:pPr>
            <w:r w:rsidRPr="00D518FF">
              <w:rPr>
                <w:rFonts w:ascii="Aptos" w:hAnsi="Aptos"/>
                <w:color w:val="000000"/>
                <w:sz w:val="16"/>
                <w:szCs w:val="16"/>
              </w:rPr>
              <w:t>e96905</w:t>
            </w:r>
          </w:p>
        </w:tc>
        <w:tc>
          <w:tcPr>
            <w:tcW w:w="2126" w:type="dxa"/>
            <w:shd w:val="clear" w:color="auto" w:fill="auto"/>
            <w:noWrap/>
            <w:hideMark/>
          </w:tcPr>
          <w:p w14:paraId="1095120E" w14:textId="13A2DA12"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r w:rsidR="002D6918">
              <w:rPr>
                <w:rFonts w:ascii="Aptos" w:hAnsi="Aptos"/>
                <w:color w:val="000000"/>
                <w:sz w:val="16"/>
                <w:szCs w:val="16"/>
              </w:rPr>
              <w:t xml:space="preserve"> - </w:t>
            </w:r>
            <w:r w:rsidR="002D6918" w:rsidRPr="002D6918">
              <w:rPr>
                <w:rFonts w:ascii="Aptos" w:hAnsi="Aptos"/>
                <w:color w:val="000000"/>
                <w:sz w:val="16"/>
                <w:szCs w:val="16"/>
              </w:rPr>
              <w:t xml:space="preserve">unable </w:t>
            </w:r>
            <w:r w:rsidR="002D6918">
              <w:rPr>
                <w:rFonts w:ascii="Aptos" w:hAnsi="Aptos"/>
                <w:color w:val="000000"/>
                <w:sz w:val="16"/>
                <w:szCs w:val="16"/>
              </w:rPr>
              <w:t xml:space="preserve">to </w:t>
            </w:r>
            <w:r w:rsidR="002D6918" w:rsidRPr="002D6918">
              <w:rPr>
                <w:rFonts w:ascii="Aptos" w:hAnsi="Aptos"/>
                <w:color w:val="000000"/>
                <w:sz w:val="16"/>
                <w:szCs w:val="16"/>
              </w:rPr>
              <w:t>separate effect</w:t>
            </w:r>
            <w:r w:rsidR="002D6918">
              <w:rPr>
                <w:rFonts w:ascii="Aptos" w:hAnsi="Aptos"/>
                <w:color w:val="000000"/>
                <w:sz w:val="16"/>
                <w:szCs w:val="16"/>
              </w:rPr>
              <w:t xml:space="preserve">s </w:t>
            </w:r>
            <w:r w:rsidR="002D6918" w:rsidRPr="002D6918">
              <w:rPr>
                <w:rFonts w:ascii="Aptos" w:hAnsi="Aptos"/>
                <w:color w:val="000000"/>
                <w:sz w:val="16"/>
                <w:szCs w:val="16"/>
              </w:rPr>
              <w:t>for any study of eligible supplement v placebo/sham from studies with eligible supplement + non-naturopathy co-intervention VS placebo/sham</w:t>
            </w:r>
          </w:p>
        </w:tc>
      </w:tr>
      <w:tr w:rsidR="008F3151" w:rsidRPr="00D518FF" w14:paraId="0E13C0B4" w14:textId="77777777" w:rsidTr="004C6AA1">
        <w:trPr>
          <w:trHeight w:val="340"/>
        </w:trPr>
        <w:tc>
          <w:tcPr>
            <w:tcW w:w="4182" w:type="dxa"/>
            <w:shd w:val="clear" w:color="auto" w:fill="auto"/>
            <w:noWrap/>
            <w:hideMark/>
          </w:tcPr>
          <w:p w14:paraId="245EB5A2"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 of adjunctive nutraceuticals in bipolar disorder: A systematic review of randomized placebo-controlled trials</w:t>
            </w:r>
          </w:p>
        </w:tc>
        <w:tc>
          <w:tcPr>
            <w:tcW w:w="3544" w:type="dxa"/>
            <w:shd w:val="clear" w:color="auto" w:fill="auto"/>
            <w:noWrap/>
            <w:hideMark/>
          </w:tcPr>
          <w:p w14:paraId="606ABDCC" w14:textId="77777777" w:rsidR="008F3151" w:rsidRPr="00D518FF" w:rsidRDefault="008F3151">
            <w:pPr>
              <w:rPr>
                <w:rFonts w:ascii="Aptos" w:hAnsi="Aptos"/>
                <w:color w:val="000000"/>
                <w:sz w:val="16"/>
                <w:szCs w:val="16"/>
              </w:rPr>
            </w:pPr>
            <w:r w:rsidRPr="00D518FF">
              <w:rPr>
                <w:rFonts w:ascii="Aptos" w:hAnsi="Aptos"/>
                <w:color w:val="000000"/>
                <w:sz w:val="16"/>
                <w:szCs w:val="16"/>
              </w:rPr>
              <w:t>Fusar-Poli, L.; Surace, T.; Vanella, A.; Meo, V.; Patania, F.; Furnari, R.; Signorelli, M. S.; Aguglia, E.</w:t>
            </w:r>
          </w:p>
        </w:tc>
        <w:tc>
          <w:tcPr>
            <w:tcW w:w="567" w:type="dxa"/>
            <w:shd w:val="clear" w:color="auto" w:fill="auto"/>
            <w:noWrap/>
            <w:hideMark/>
          </w:tcPr>
          <w:p w14:paraId="7A0032EB"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1701" w:type="dxa"/>
            <w:shd w:val="clear" w:color="auto" w:fill="auto"/>
            <w:noWrap/>
            <w:hideMark/>
          </w:tcPr>
          <w:p w14:paraId="74AE4C37"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850" w:type="dxa"/>
            <w:shd w:val="clear" w:color="auto" w:fill="auto"/>
            <w:noWrap/>
            <w:hideMark/>
          </w:tcPr>
          <w:p w14:paraId="5DAEDB15" w14:textId="77777777" w:rsidR="008F3151" w:rsidRPr="00D518FF" w:rsidRDefault="008F3151">
            <w:pPr>
              <w:rPr>
                <w:rFonts w:ascii="Aptos" w:hAnsi="Aptos"/>
                <w:color w:val="000000"/>
                <w:sz w:val="16"/>
                <w:szCs w:val="16"/>
              </w:rPr>
            </w:pPr>
            <w:r w:rsidRPr="00D518FF">
              <w:rPr>
                <w:rFonts w:ascii="Aptos" w:hAnsi="Aptos"/>
                <w:color w:val="000000"/>
                <w:sz w:val="16"/>
                <w:szCs w:val="16"/>
              </w:rPr>
              <w:t>252</w:t>
            </w:r>
          </w:p>
        </w:tc>
        <w:tc>
          <w:tcPr>
            <w:tcW w:w="567" w:type="dxa"/>
            <w:shd w:val="clear" w:color="auto" w:fill="auto"/>
            <w:noWrap/>
            <w:hideMark/>
          </w:tcPr>
          <w:p w14:paraId="18178D46" w14:textId="184B7FF2" w:rsidR="008F3151" w:rsidRPr="00D518FF" w:rsidRDefault="00722337">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5A936555" w14:textId="77777777" w:rsidR="008F3151" w:rsidRPr="00D518FF" w:rsidRDefault="008F3151">
            <w:pPr>
              <w:rPr>
                <w:rFonts w:ascii="Aptos" w:hAnsi="Aptos"/>
                <w:color w:val="000000"/>
                <w:sz w:val="16"/>
                <w:szCs w:val="16"/>
              </w:rPr>
            </w:pPr>
            <w:r w:rsidRPr="00D518FF">
              <w:rPr>
                <w:rFonts w:ascii="Aptos" w:hAnsi="Aptos"/>
                <w:color w:val="000000"/>
                <w:sz w:val="16"/>
                <w:szCs w:val="16"/>
              </w:rPr>
              <w:t>334-349</w:t>
            </w:r>
          </w:p>
        </w:tc>
        <w:tc>
          <w:tcPr>
            <w:tcW w:w="2126" w:type="dxa"/>
            <w:shd w:val="clear" w:color="auto" w:fill="auto"/>
            <w:hideMark/>
          </w:tcPr>
          <w:p w14:paraId="63A362D7"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20180D50" w14:textId="77777777" w:rsidTr="004C6AA1">
        <w:trPr>
          <w:trHeight w:val="340"/>
        </w:trPr>
        <w:tc>
          <w:tcPr>
            <w:tcW w:w="4182" w:type="dxa"/>
            <w:shd w:val="clear" w:color="auto" w:fill="auto"/>
            <w:noWrap/>
            <w:hideMark/>
          </w:tcPr>
          <w:p w14:paraId="26D470C4" w14:textId="77777777" w:rsidR="008F3151" w:rsidRPr="00D518FF" w:rsidRDefault="008F3151">
            <w:pPr>
              <w:rPr>
                <w:rFonts w:ascii="Aptos" w:hAnsi="Aptos"/>
                <w:color w:val="000000"/>
                <w:sz w:val="16"/>
                <w:szCs w:val="16"/>
              </w:rPr>
            </w:pPr>
            <w:r w:rsidRPr="00D518FF">
              <w:rPr>
                <w:rFonts w:ascii="Aptos" w:hAnsi="Aptos"/>
                <w:color w:val="000000"/>
                <w:sz w:val="16"/>
                <w:szCs w:val="16"/>
              </w:rPr>
              <w:t>Effects of omega-3 polyunsaturated fatty acids supplements on psychopathology and metabolic parameters in schizophrenia: A meta-analysis of randomized controlled trials</w:t>
            </w:r>
          </w:p>
        </w:tc>
        <w:tc>
          <w:tcPr>
            <w:tcW w:w="3544" w:type="dxa"/>
            <w:shd w:val="clear" w:color="auto" w:fill="auto"/>
            <w:noWrap/>
            <w:hideMark/>
          </w:tcPr>
          <w:p w14:paraId="3EF6CB99" w14:textId="77777777" w:rsidR="008F3151" w:rsidRPr="00D518FF" w:rsidRDefault="008F3151">
            <w:pPr>
              <w:rPr>
                <w:rFonts w:ascii="Aptos" w:hAnsi="Aptos"/>
                <w:color w:val="000000"/>
                <w:sz w:val="16"/>
                <w:szCs w:val="16"/>
              </w:rPr>
            </w:pPr>
            <w:r w:rsidRPr="00D518FF">
              <w:rPr>
                <w:rFonts w:ascii="Aptos" w:hAnsi="Aptos"/>
                <w:color w:val="000000"/>
                <w:sz w:val="16"/>
                <w:szCs w:val="16"/>
              </w:rPr>
              <w:t>Goh, K. K.; Chen, C. Y.; Chen, C. H.; Lu, M. L.</w:t>
            </w:r>
          </w:p>
        </w:tc>
        <w:tc>
          <w:tcPr>
            <w:tcW w:w="567" w:type="dxa"/>
            <w:shd w:val="clear" w:color="auto" w:fill="auto"/>
            <w:noWrap/>
            <w:hideMark/>
          </w:tcPr>
          <w:p w14:paraId="1CED6F7F"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5BDB167B"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psychopharmacology (Oxford, England)</w:t>
            </w:r>
          </w:p>
        </w:tc>
        <w:tc>
          <w:tcPr>
            <w:tcW w:w="850" w:type="dxa"/>
            <w:shd w:val="clear" w:color="auto" w:fill="auto"/>
            <w:noWrap/>
            <w:hideMark/>
          </w:tcPr>
          <w:p w14:paraId="7EFA4120" w14:textId="77777777" w:rsidR="008F3151" w:rsidRPr="00D518FF" w:rsidRDefault="008F3151">
            <w:pPr>
              <w:rPr>
                <w:rFonts w:ascii="Aptos" w:hAnsi="Aptos"/>
                <w:color w:val="000000"/>
                <w:sz w:val="16"/>
                <w:szCs w:val="16"/>
              </w:rPr>
            </w:pPr>
            <w:r w:rsidRPr="00D518FF">
              <w:rPr>
                <w:rFonts w:ascii="Aptos" w:hAnsi="Aptos"/>
                <w:color w:val="000000"/>
                <w:sz w:val="16"/>
                <w:szCs w:val="16"/>
              </w:rPr>
              <w:t>35</w:t>
            </w:r>
          </w:p>
        </w:tc>
        <w:tc>
          <w:tcPr>
            <w:tcW w:w="567" w:type="dxa"/>
            <w:shd w:val="clear" w:color="auto" w:fill="auto"/>
            <w:noWrap/>
            <w:hideMark/>
          </w:tcPr>
          <w:p w14:paraId="61A15DA9"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0693121C" w14:textId="77777777" w:rsidR="008F3151" w:rsidRPr="00D518FF" w:rsidRDefault="008F3151">
            <w:pPr>
              <w:rPr>
                <w:rFonts w:ascii="Aptos" w:hAnsi="Aptos"/>
                <w:color w:val="000000"/>
                <w:sz w:val="16"/>
                <w:szCs w:val="16"/>
              </w:rPr>
            </w:pPr>
            <w:r w:rsidRPr="00D518FF">
              <w:rPr>
                <w:rFonts w:ascii="Aptos" w:hAnsi="Aptos"/>
                <w:color w:val="000000"/>
                <w:sz w:val="16"/>
                <w:szCs w:val="16"/>
              </w:rPr>
              <w:t>2.6988E+14</w:t>
            </w:r>
          </w:p>
        </w:tc>
        <w:tc>
          <w:tcPr>
            <w:tcW w:w="2126" w:type="dxa"/>
            <w:shd w:val="clear" w:color="auto" w:fill="auto"/>
            <w:hideMark/>
          </w:tcPr>
          <w:p w14:paraId="532A7D5C" w14:textId="0CCAD866"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722337" w:rsidRPr="00D518FF" w14:paraId="1CE293BC" w14:textId="77777777" w:rsidTr="004C6AA1">
        <w:trPr>
          <w:trHeight w:val="340"/>
        </w:trPr>
        <w:tc>
          <w:tcPr>
            <w:tcW w:w="4182" w:type="dxa"/>
            <w:shd w:val="clear" w:color="auto" w:fill="auto"/>
            <w:noWrap/>
            <w:hideMark/>
          </w:tcPr>
          <w:p w14:paraId="55C37633" w14:textId="77777777" w:rsidR="00722337" w:rsidRPr="00D518FF" w:rsidRDefault="00722337">
            <w:pPr>
              <w:rPr>
                <w:rFonts w:ascii="Aptos" w:hAnsi="Aptos"/>
                <w:color w:val="000000"/>
                <w:sz w:val="16"/>
                <w:szCs w:val="16"/>
              </w:rPr>
            </w:pPr>
            <w:r w:rsidRPr="00D518FF">
              <w:rPr>
                <w:rFonts w:ascii="Aptos" w:hAnsi="Aptos"/>
                <w:color w:val="000000"/>
                <w:sz w:val="16"/>
                <w:szCs w:val="16"/>
              </w:rPr>
              <w:lastRenderedPageBreak/>
              <w:t>Non-specific effect of omega-3 fatty acid supplementation on autistic spectrum disorder: systematic review and meta-analysis</w:t>
            </w:r>
          </w:p>
        </w:tc>
        <w:tc>
          <w:tcPr>
            <w:tcW w:w="3544" w:type="dxa"/>
            <w:shd w:val="clear" w:color="auto" w:fill="auto"/>
            <w:noWrap/>
            <w:hideMark/>
          </w:tcPr>
          <w:p w14:paraId="469A6EF3" w14:textId="77777777" w:rsidR="00722337" w:rsidRPr="00D518FF" w:rsidRDefault="00722337">
            <w:pPr>
              <w:rPr>
                <w:rFonts w:ascii="Aptos" w:hAnsi="Aptos"/>
                <w:color w:val="000000"/>
                <w:sz w:val="16"/>
                <w:szCs w:val="16"/>
              </w:rPr>
            </w:pPr>
            <w:r w:rsidRPr="00D518FF">
              <w:rPr>
                <w:rFonts w:ascii="Aptos" w:hAnsi="Aptos"/>
                <w:color w:val="000000"/>
                <w:sz w:val="16"/>
                <w:szCs w:val="16"/>
              </w:rPr>
              <w:t>de Andrade Wobido, K.; de S√° Barreto da Cunha, M.; Miranda, S. S.; da Mota Santana, J.; da Silva, D. C. G.; Pereira, M.</w:t>
            </w:r>
          </w:p>
        </w:tc>
        <w:tc>
          <w:tcPr>
            <w:tcW w:w="567" w:type="dxa"/>
            <w:shd w:val="clear" w:color="auto" w:fill="auto"/>
            <w:noWrap/>
            <w:hideMark/>
          </w:tcPr>
          <w:p w14:paraId="2D9F33C0" w14:textId="19148F88" w:rsidR="00722337" w:rsidRPr="00D518FF" w:rsidRDefault="00722337">
            <w:pPr>
              <w:rPr>
                <w:rFonts w:ascii="Aptos" w:hAnsi="Aptos"/>
                <w:color w:val="000000"/>
                <w:sz w:val="16"/>
                <w:szCs w:val="16"/>
              </w:rPr>
            </w:pPr>
            <w:r w:rsidRPr="00D518FF">
              <w:rPr>
                <w:rFonts w:ascii="Aptos" w:hAnsi="Aptos"/>
                <w:color w:val="000000"/>
                <w:sz w:val="16"/>
                <w:szCs w:val="16"/>
              </w:rPr>
              <w:t>202</w:t>
            </w:r>
            <w:r w:rsidR="00B07E7A">
              <w:rPr>
                <w:rFonts w:ascii="Aptos" w:hAnsi="Aptos"/>
                <w:color w:val="000000"/>
                <w:sz w:val="16"/>
                <w:szCs w:val="16"/>
              </w:rPr>
              <w:t>2</w:t>
            </w:r>
          </w:p>
        </w:tc>
        <w:tc>
          <w:tcPr>
            <w:tcW w:w="1701" w:type="dxa"/>
            <w:shd w:val="clear" w:color="auto" w:fill="auto"/>
            <w:noWrap/>
            <w:hideMark/>
          </w:tcPr>
          <w:p w14:paraId="5D154F6C" w14:textId="77777777" w:rsidR="00722337" w:rsidRPr="00D518FF" w:rsidRDefault="00722337">
            <w:pPr>
              <w:rPr>
                <w:rFonts w:ascii="Aptos" w:hAnsi="Aptos"/>
                <w:color w:val="000000"/>
                <w:sz w:val="16"/>
                <w:szCs w:val="16"/>
              </w:rPr>
            </w:pPr>
            <w:r w:rsidRPr="00D518FF">
              <w:rPr>
                <w:rFonts w:ascii="Aptos" w:hAnsi="Aptos"/>
                <w:color w:val="000000"/>
                <w:sz w:val="16"/>
                <w:szCs w:val="16"/>
              </w:rPr>
              <w:t>Nutritional neuroscience</w:t>
            </w:r>
          </w:p>
        </w:tc>
        <w:tc>
          <w:tcPr>
            <w:tcW w:w="850" w:type="dxa"/>
            <w:shd w:val="clear" w:color="auto" w:fill="auto"/>
          </w:tcPr>
          <w:p w14:paraId="4F910D90" w14:textId="30F12809" w:rsidR="00722337" w:rsidRPr="00D518FF" w:rsidRDefault="00B07E7A">
            <w:pPr>
              <w:rPr>
                <w:rFonts w:ascii="Aptos" w:hAnsi="Aptos"/>
                <w:color w:val="000000"/>
                <w:sz w:val="16"/>
                <w:szCs w:val="16"/>
              </w:rPr>
            </w:pPr>
            <w:r>
              <w:rPr>
                <w:rFonts w:ascii="Aptos" w:hAnsi="Aptos"/>
                <w:color w:val="000000"/>
                <w:sz w:val="16"/>
                <w:szCs w:val="16"/>
              </w:rPr>
              <w:t>25</w:t>
            </w:r>
          </w:p>
        </w:tc>
        <w:tc>
          <w:tcPr>
            <w:tcW w:w="567" w:type="dxa"/>
            <w:shd w:val="clear" w:color="auto" w:fill="auto"/>
            <w:noWrap/>
            <w:hideMark/>
          </w:tcPr>
          <w:p w14:paraId="0AC22BBA" w14:textId="12D7929E" w:rsidR="00722337" w:rsidRPr="00D518FF" w:rsidRDefault="00B07E7A">
            <w:pPr>
              <w:rPr>
                <w:rFonts w:ascii="Aptos" w:hAnsi="Aptos"/>
                <w:color w:val="000000"/>
                <w:sz w:val="16"/>
                <w:szCs w:val="16"/>
              </w:rPr>
            </w:pPr>
            <w:r>
              <w:rPr>
                <w:rFonts w:ascii="Aptos" w:hAnsi="Aptos"/>
                <w:color w:val="000000"/>
                <w:sz w:val="16"/>
                <w:szCs w:val="16"/>
              </w:rPr>
              <w:t>9</w:t>
            </w:r>
          </w:p>
        </w:tc>
        <w:tc>
          <w:tcPr>
            <w:tcW w:w="709" w:type="dxa"/>
            <w:shd w:val="clear" w:color="auto" w:fill="auto"/>
            <w:noWrap/>
            <w:hideMark/>
          </w:tcPr>
          <w:p w14:paraId="56142CF3" w14:textId="20DA6D81" w:rsidR="00722337" w:rsidRPr="00D518FF" w:rsidRDefault="00B07E7A">
            <w:pPr>
              <w:rPr>
                <w:rFonts w:ascii="Aptos" w:hAnsi="Aptos"/>
                <w:color w:val="000000"/>
                <w:sz w:val="16"/>
                <w:szCs w:val="16"/>
              </w:rPr>
            </w:pPr>
            <w:r w:rsidRPr="00B07E7A">
              <w:rPr>
                <w:rFonts w:ascii="Aptos" w:hAnsi="Aptos"/>
                <w:color w:val="000000"/>
                <w:sz w:val="16"/>
                <w:szCs w:val="16"/>
              </w:rPr>
              <w:t>1995-2007</w:t>
            </w:r>
          </w:p>
        </w:tc>
        <w:tc>
          <w:tcPr>
            <w:tcW w:w="2126" w:type="dxa"/>
            <w:shd w:val="clear" w:color="auto" w:fill="auto"/>
            <w:hideMark/>
          </w:tcPr>
          <w:p w14:paraId="5F0D50D3" w14:textId="77777777" w:rsidR="00722337" w:rsidRPr="00D518FF" w:rsidRDefault="00722337">
            <w:pPr>
              <w:rPr>
                <w:rFonts w:ascii="Aptos" w:hAnsi="Aptos"/>
                <w:color w:val="000000"/>
                <w:sz w:val="16"/>
                <w:szCs w:val="16"/>
              </w:rPr>
            </w:pPr>
            <w:r w:rsidRPr="00D518FF">
              <w:rPr>
                <w:rFonts w:ascii="Aptos" w:hAnsi="Aptos"/>
                <w:color w:val="000000"/>
                <w:sz w:val="16"/>
                <w:szCs w:val="16"/>
              </w:rPr>
              <w:t>Wrong outcomes</w:t>
            </w:r>
          </w:p>
        </w:tc>
      </w:tr>
      <w:tr w:rsidR="008F3151" w:rsidRPr="00D518FF" w14:paraId="167F5941" w14:textId="77777777" w:rsidTr="004C6AA1">
        <w:trPr>
          <w:trHeight w:val="340"/>
        </w:trPr>
        <w:tc>
          <w:tcPr>
            <w:tcW w:w="4182" w:type="dxa"/>
            <w:shd w:val="clear" w:color="auto" w:fill="auto"/>
            <w:noWrap/>
            <w:hideMark/>
          </w:tcPr>
          <w:p w14:paraId="3B4A480C"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Nutritional Interventions and Cognitive-related Outcomes in Patients with Late-life Cognitive Disorders: A Systematic Review</w:t>
            </w:r>
          </w:p>
        </w:tc>
        <w:tc>
          <w:tcPr>
            <w:tcW w:w="3544" w:type="dxa"/>
            <w:shd w:val="clear" w:color="auto" w:fill="auto"/>
            <w:noWrap/>
            <w:hideMark/>
          </w:tcPr>
          <w:p w14:paraId="2BBAC968" w14:textId="77777777" w:rsidR="008F3151" w:rsidRPr="00D518FF" w:rsidRDefault="008F3151">
            <w:pPr>
              <w:rPr>
                <w:rFonts w:ascii="Aptos" w:hAnsi="Aptos"/>
                <w:color w:val="000000"/>
                <w:sz w:val="16"/>
                <w:szCs w:val="16"/>
              </w:rPr>
            </w:pPr>
            <w:r w:rsidRPr="00D518FF">
              <w:rPr>
                <w:rFonts w:ascii="Aptos" w:hAnsi="Aptos"/>
                <w:color w:val="000000"/>
                <w:sz w:val="16"/>
                <w:szCs w:val="16"/>
              </w:rPr>
              <w:t>Solfrizzi, V.; Agosti, P.; Lozupone, M.; Custodero, C.; Schilardi, A.; Valiani, V.; Santamato, A.; Sardone, R.; Dibello, V.; Di Lena, L.; Stallone, R.; Ranieri, M.; Bellomo, A.; Greco, A.; Daniele, A.; Seripa, D.; Sabb√†, C.; Logroscino, G.; Panza, F.</w:t>
            </w:r>
          </w:p>
        </w:tc>
        <w:tc>
          <w:tcPr>
            <w:tcW w:w="567" w:type="dxa"/>
            <w:shd w:val="clear" w:color="auto" w:fill="auto"/>
            <w:noWrap/>
            <w:hideMark/>
          </w:tcPr>
          <w:p w14:paraId="37CD547A"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1701" w:type="dxa"/>
            <w:shd w:val="clear" w:color="auto" w:fill="auto"/>
            <w:noWrap/>
            <w:hideMark/>
          </w:tcPr>
          <w:p w14:paraId="5B2EA0EA" w14:textId="77777777" w:rsidR="008F3151" w:rsidRPr="00D518FF" w:rsidRDefault="008F3151">
            <w:pPr>
              <w:rPr>
                <w:rFonts w:ascii="Aptos" w:hAnsi="Aptos"/>
                <w:color w:val="000000"/>
                <w:sz w:val="16"/>
                <w:szCs w:val="16"/>
              </w:rPr>
            </w:pPr>
            <w:r w:rsidRPr="00D518FF">
              <w:rPr>
                <w:rFonts w:ascii="Aptos" w:hAnsi="Aptos"/>
                <w:color w:val="000000"/>
                <w:sz w:val="16"/>
                <w:szCs w:val="16"/>
              </w:rPr>
              <w:t>Neuroscience and biobehavioral reviews</w:t>
            </w:r>
          </w:p>
        </w:tc>
        <w:tc>
          <w:tcPr>
            <w:tcW w:w="850" w:type="dxa"/>
            <w:shd w:val="clear" w:color="auto" w:fill="auto"/>
            <w:noWrap/>
            <w:hideMark/>
          </w:tcPr>
          <w:p w14:paraId="26E00D9F" w14:textId="77777777" w:rsidR="008F3151" w:rsidRPr="00D518FF" w:rsidRDefault="008F3151">
            <w:pPr>
              <w:rPr>
                <w:rFonts w:ascii="Aptos" w:hAnsi="Aptos"/>
                <w:color w:val="000000"/>
                <w:sz w:val="16"/>
                <w:szCs w:val="16"/>
              </w:rPr>
            </w:pPr>
            <w:r w:rsidRPr="00D518FF">
              <w:rPr>
                <w:rFonts w:ascii="Aptos" w:hAnsi="Aptos"/>
                <w:color w:val="000000"/>
                <w:sz w:val="16"/>
                <w:szCs w:val="16"/>
              </w:rPr>
              <w:t>95</w:t>
            </w:r>
          </w:p>
        </w:tc>
        <w:tc>
          <w:tcPr>
            <w:tcW w:w="567" w:type="dxa"/>
            <w:shd w:val="clear" w:color="auto" w:fill="auto"/>
            <w:noWrap/>
            <w:hideMark/>
          </w:tcPr>
          <w:p w14:paraId="7C7753B7" w14:textId="5CE53571" w:rsidR="008F3151" w:rsidRPr="00D518FF" w:rsidRDefault="00B07E7A">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08D39436" w14:textId="77777777" w:rsidR="008F3151" w:rsidRPr="00D518FF" w:rsidRDefault="008F3151">
            <w:pPr>
              <w:rPr>
                <w:rFonts w:ascii="Aptos" w:hAnsi="Aptos"/>
                <w:color w:val="000000"/>
                <w:sz w:val="16"/>
                <w:szCs w:val="16"/>
              </w:rPr>
            </w:pPr>
            <w:r w:rsidRPr="00D518FF">
              <w:rPr>
                <w:rFonts w:ascii="Aptos" w:hAnsi="Aptos"/>
                <w:color w:val="000000"/>
                <w:sz w:val="16"/>
                <w:szCs w:val="16"/>
              </w:rPr>
              <w:t>480-498</w:t>
            </w:r>
          </w:p>
        </w:tc>
        <w:tc>
          <w:tcPr>
            <w:tcW w:w="2126" w:type="dxa"/>
            <w:shd w:val="clear" w:color="auto" w:fill="auto"/>
            <w:hideMark/>
          </w:tcPr>
          <w:p w14:paraId="37E9917E"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8F3151" w:rsidRPr="00D518FF" w14:paraId="02EDE3E2" w14:textId="77777777" w:rsidTr="004C6AA1">
        <w:trPr>
          <w:trHeight w:val="340"/>
        </w:trPr>
        <w:tc>
          <w:tcPr>
            <w:tcW w:w="4182" w:type="dxa"/>
            <w:shd w:val="clear" w:color="auto" w:fill="auto"/>
            <w:noWrap/>
            <w:hideMark/>
          </w:tcPr>
          <w:p w14:paraId="2E8FDB38" w14:textId="77777777" w:rsidR="008F3151" w:rsidRPr="00D518FF" w:rsidRDefault="008F3151">
            <w:pPr>
              <w:rPr>
                <w:rFonts w:ascii="Aptos" w:hAnsi="Aptos"/>
                <w:color w:val="000000"/>
                <w:sz w:val="16"/>
                <w:szCs w:val="16"/>
              </w:rPr>
            </w:pPr>
            <w:r w:rsidRPr="00D518FF">
              <w:rPr>
                <w:rFonts w:ascii="Aptos" w:hAnsi="Aptos"/>
                <w:color w:val="000000"/>
                <w:sz w:val="16"/>
                <w:szCs w:val="16"/>
              </w:rPr>
              <w:t>Omega-3 polyunsaturated fatty acid supplementation and cognition: A systematic review and meta-analysis</w:t>
            </w:r>
          </w:p>
        </w:tc>
        <w:tc>
          <w:tcPr>
            <w:tcW w:w="3544" w:type="dxa"/>
            <w:shd w:val="clear" w:color="auto" w:fill="auto"/>
            <w:noWrap/>
            <w:hideMark/>
          </w:tcPr>
          <w:p w14:paraId="5FD9CD8E" w14:textId="77777777" w:rsidR="008F3151" w:rsidRPr="00D518FF" w:rsidRDefault="008F3151">
            <w:pPr>
              <w:rPr>
                <w:rFonts w:ascii="Aptos" w:hAnsi="Aptos"/>
                <w:color w:val="000000"/>
                <w:sz w:val="16"/>
                <w:szCs w:val="16"/>
              </w:rPr>
            </w:pPr>
            <w:r w:rsidRPr="00D518FF">
              <w:rPr>
                <w:rFonts w:ascii="Aptos" w:hAnsi="Aptos"/>
                <w:color w:val="000000"/>
                <w:sz w:val="16"/>
                <w:szCs w:val="16"/>
              </w:rPr>
              <w:t>Cooper, R. E.; Tye, C.; Kuntsi, J.; Vassos, E.; Asherson, P.</w:t>
            </w:r>
          </w:p>
        </w:tc>
        <w:tc>
          <w:tcPr>
            <w:tcW w:w="567" w:type="dxa"/>
            <w:shd w:val="clear" w:color="auto" w:fill="auto"/>
            <w:noWrap/>
            <w:hideMark/>
          </w:tcPr>
          <w:p w14:paraId="41AFB51A" w14:textId="77777777" w:rsidR="008F3151" w:rsidRPr="00D518FF" w:rsidRDefault="008F3151">
            <w:pPr>
              <w:rPr>
                <w:rFonts w:ascii="Aptos" w:hAnsi="Aptos"/>
                <w:color w:val="000000"/>
                <w:sz w:val="16"/>
                <w:szCs w:val="16"/>
              </w:rPr>
            </w:pPr>
            <w:r w:rsidRPr="00D518FF">
              <w:rPr>
                <w:rFonts w:ascii="Aptos" w:hAnsi="Aptos"/>
                <w:color w:val="000000"/>
                <w:sz w:val="16"/>
                <w:szCs w:val="16"/>
              </w:rPr>
              <w:t>2015</w:t>
            </w:r>
          </w:p>
        </w:tc>
        <w:tc>
          <w:tcPr>
            <w:tcW w:w="1701" w:type="dxa"/>
            <w:shd w:val="clear" w:color="auto" w:fill="auto"/>
            <w:noWrap/>
            <w:hideMark/>
          </w:tcPr>
          <w:p w14:paraId="0CC36B3C"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psychopharmacology (Oxford, England)</w:t>
            </w:r>
          </w:p>
        </w:tc>
        <w:tc>
          <w:tcPr>
            <w:tcW w:w="850" w:type="dxa"/>
            <w:shd w:val="clear" w:color="auto" w:fill="auto"/>
            <w:noWrap/>
            <w:hideMark/>
          </w:tcPr>
          <w:p w14:paraId="3FF58688" w14:textId="77777777" w:rsidR="008F3151" w:rsidRPr="00D518FF" w:rsidRDefault="008F3151">
            <w:pPr>
              <w:rPr>
                <w:rFonts w:ascii="Aptos" w:hAnsi="Aptos"/>
                <w:color w:val="000000"/>
                <w:sz w:val="16"/>
                <w:szCs w:val="16"/>
              </w:rPr>
            </w:pPr>
            <w:r w:rsidRPr="00D518FF">
              <w:rPr>
                <w:rFonts w:ascii="Aptos" w:hAnsi="Aptos"/>
                <w:color w:val="000000"/>
                <w:sz w:val="16"/>
                <w:szCs w:val="16"/>
              </w:rPr>
              <w:t>29</w:t>
            </w:r>
          </w:p>
        </w:tc>
        <w:tc>
          <w:tcPr>
            <w:tcW w:w="567" w:type="dxa"/>
            <w:shd w:val="clear" w:color="auto" w:fill="auto"/>
            <w:noWrap/>
            <w:hideMark/>
          </w:tcPr>
          <w:p w14:paraId="4936EFEA"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709" w:type="dxa"/>
            <w:shd w:val="clear" w:color="auto" w:fill="auto"/>
            <w:noWrap/>
            <w:hideMark/>
          </w:tcPr>
          <w:p w14:paraId="5B9EBC0C" w14:textId="77777777" w:rsidR="008F3151" w:rsidRPr="00D518FF" w:rsidRDefault="008F3151">
            <w:pPr>
              <w:rPr>
                <w:rFonts w:ascii="Aptos" w:hAnsi="Aptos"/>
                <w:color w:val="000000"/>
                <w:sz w:val="16"/>
                <w:szCs w:val="16"/>
              </w:rPr>
            </w:pPr>
            <w:r w:rsidRPr="00D518FF">
              <w:rPr>
                <w:rFonts w:ascii="Aptos" w:hAnsi="Aptos"/>
                <w:color w:val="000000"/>
                <w:sz w:val="16"/>
                <w:szCs w:val="16"/>
              </w:rPr>
              <w:t>753-763</w:t>
            </w:r>
          </w:p>
        </w:tc>
        <w:tc>
          <w:tcPr>
            <w:tcW w:w="2126" w:type="dxa"/>
            <w:shd w:val="clear" w:color="auto" w:fill="auto"/>
            <w:hideMark/>
          </w:tcPr>
          <w:p w14:paraId="73A1029B"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8F3151" w:rsidRPr="00D518FF" w14:paraId="09164479" w14:textId="77777777" w:rsidTr="004C6AA1">
        <w:trPr>
          <w:trHeight w:val="340"/>
        </w:trPr>
        <w:tc>
          <w:tcPr>
            <w:tcW w:w="4182" w:type="dxa"/>
            <w:shd w:val="clear" w:color="auto" w:fill="auto"/>
            <w:noWrap/>
            <w:hideMark/>
          </w:tcPr>
          <w:p w14:paraId="7B4BF40B" w14:textId="77777777" w:rsidR="008F3151" w:rsidRPr="00D518FF" w:rsidRDefault="008F3151">
            <w:pPr>
              <w:rPr>
                <w:rFonts w:ascii="Aptos" w:hAnsi="Aptos"/>
                <w:color w:val="000000"/>
                <w:sz w:val="16"/>
                <w:szCs w:val="16"/>
              </w:rPr>
            </w:pPr>
            <w:r w:rsidRPr="00D518FF">
              <w:rPr>
                <w:rFonts w:ascii="Aptos" w:hAnsi="Aptos"/>
                <w:color w:val="000000"/>
                <w:sz w:val="16"/>
                <w:szCs w:val="16"/>
              </w:rPr>
              <w:t>Supplementation of omega 3 fatty acids may improve hyperactivity, lethargy, and stereotypy in children with autism spectrum disorders: A meta-analysis of randomized controlled trials</w:t>
            </w:r>
          </w:p>
        </w:tc>
        <w:tc>
          <w:tcPr>
            <w:tcW w:w="3544" w:type="dxa"/>
            <w:shd w:val="clear" w:color="auto" w:fill="auto"/>
            <w:noWrap/>
            <w:hideMark/>
          </w:tcPr>
          <w:p w14:paraId="2BDE4AE0" w14:textId="77777777" w:rsidR="008F3151" w:rsidRPr="00D518FF" w:rsidRDefault="008F3151">
            <w:pPr>
              <w:rPr>
                <w:rFonts w:ascii="Aptos" w:hAnsi="Aptos"/>
                <w:color w:val="000000"/>
                <w:sz w:val="16"/>
                <w:szCs w:val="16"/>
              </w:rPr>
            </w:pPr>
            <w:r w:rsidRPr="00D518FF">
              <w:rPr>
                <w:rFonts w:ascii="Aptos" w:hAnsi="Aptos"/>
                <w:color w:val="000000"/>
                <w:sz w:val="16"/>
                <w:szCs w:val="16"/>
              </w:rPr>
              <w:t>Cheng, Y. S.; Tseng, P. T.; Chen, Y. W.; Stubbs, B.; Yang, W. C.; Chen, T. Y.; Wu, C. K.; Lin, P. Y.</w:t>
            </w:r>
          </w:p>
        </w:tc>
        <w:tc>
          <w:tcPr>
            <w:tcW w:w="567" w:type="dxa"/>
            <w:shd w:val="clear" w:color="auto" w:fill="auto"/>
            <w:noWrap/>
            <w:hideMark/>
          </w:tcPr>
          <w:p w14:paraId="09EB4E1E"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1701" w:type="dxa"/>
            <w:shd w:val="clear" w:color="auto" w:fill="auto"/>
            <w:noWrap/>
            <w:hideMark/>
          </w:tcPr>
          <w:p w14:paraId="2320871A" w14:textId="77777777" w:rsidR="008F3151" w:rsidRPr="00D518FF" w:rsidRDefault="008F3151">
            <w:pPr>
              <w:rPr>
                <w:rFonts w:ascii="Aptos" w:hAnsi="Aptos"/>
                <w:color w:val="000000"/>
                <w:sz w:val="16"/>
                <w:szCs w:val="16"/>
              </w:rPr>
            </w:pPr>
            <w:r w:rsidRPr="00D518FF">
              <w:rPr>
                <w:rFonts w:ascii="Aptos" w:hAnsi="Aptos"/>
                <w:color w:val="000000"/>
                <w:sz w:val="16"/>
                <w:szCs w:val="16"/>
              </w:rPr>
              <w:t>Neuropsychiatric Disease and Treatment</w:t>
            </w:r>
          </w:p>
        </w:tc>
        <w:tc>
          <w:tcPr>
            <w:tcW w:w="850" w:type="dxa"/>
            <w:shd w:val="clear" w:color="auto" w:fill="auto"/>
            <w:noWrap/>
            <w:hideMark/>
          </w:tcPr>
          <w:p w14:paraId="31EBBEBF" w14:textId="77777777" w:rsidR="008F3151" w:rsidRPr="00D518FF" w:rsidRDefault="008F3151">
            <w:pPr>
              <w:rPr>
                <w:rFonts w:ascii="Aptos" w:hAnsi="Aptos"/>
                <w:color w:val="000000"/>
                <w:sz w:val="16"/>
                <w:szCs w:val="16"/>
              </w:rPr>
            </w:pPr>
            <w:r w:rsidRPr="00D518FF">
              <w:rPr>
                <w:rFonts w:ascii="Aptos" w:hAnsi="Aptos"/>
                <w:color w:val="000000"/>
                <w:sz w:val="16"/>
                <w:szCs w:val="16"/>
              </w:rPr>
              <w:t>13</w:t>
            </w:r>
          </w:p>
        </w:tc>
        <w:tc>
          <w:tcPr>
            <w:tcW w:w="567" w:type="dxa"/>
            <w:shd w:val="clear" w:color="auto" w:fill="auto"/>
            <w:noWrap/>
            <w:hideMark/>
          </w:tcPr>
          <w:p w14:paraId="3C01781C" w14:textId="32DBDCA4" w:rsidR="008F3151" w:rsidRPr="00D518FF" w:rsidRDefault="00F37F80">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1F699208" w14:textId="77777777" w:rsidR="008F3151" w:rsidRPr="00D518FF" w:rsidRDefault="008F3151">
            <w:pPr>
              <w:rPr>
                <w:rFonts w:ascii="Aptos" w:hAnsi="Aptos"/>
                <w:color w:val="000000"/>
                <w:sz w:val="16"/>
                <w:szCs w:val="16"/>
              </w:rPr>
            </w:pPr>
            <w:r w:rsidRPr="00D518FF">
              <w:rPr>
                <w:rFonts w:ascii="Aptos" w:hAnsi="Aptos"/>
                <w:color w:val="000000"/>
                <w:sz w:val="16"/>
                <w:szCs w:val="16"/>
              </w:rPr>
              <w:t>2531-2543</w:t>
            </w:r>
          </w:p>
        </w:tc>
        <w:tc>
          <w:tcPr>
            <w:tcW w:w="2126" w:type="dxa"/>
            <w:shd w:val="clear" w:color="auto" w:fill="auto"/>
            <w:hideMark/>
          </w:tcPr>
          <w:p w14:paraId="3013F7CD"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8F3151" w:rsidRPr="00D518FF" w14:paraId="730954A3" w14:textId="77777777" w:rsidTr="004C6AA1">
        <w:trPr>
          <w:trHeight w:val="340"/>
        </w:trPr>
        <w:tc>
          <w:tcPr>
            <w:tcW w:w="4182" w:type="dxa"/>
            <w:shd w:val="clear" w:color="auto" w:fill="auto"/>
            <w:noWrap/>
            <w:hideMark/>
          </w:tcPr>
          <w:p w14:paraId="364D96FF"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 of omega-3 polyunsaturated fatty acid supplementation on emotional dysregulation, oppositional behaviour and conduct problems in ADHD: A systematic review and meta-analysis</w:t>
            </w:r>
          </w:p>
        </w:tc>
        <w:tc>
          <w:tcPr>
            <w:tcW w:w="3544" w:type="dxa"/>
            <w:shd w:val="clear" w:color="auto" w:fill="auto"/>
            <w:noWrap/>
            <w:hideMark/>
          </w:tcPr>
          <w:p w14:paraId="59A68196" w14:textId="77777777" w:rsidR="008F3151" w:rsidRPr="00D518FF" w:rsidRDefault="008F3151">
            <w:pPr>
              <w:rPr>
                <w:rFonts w:ascii="Aptos" w:hAnsi="Aptos"/>
                <w:color w:val="000000"/>
                <w:sz w:val="16"/>
                <w:szCs w:val="16"/>
              </w:rPr>
            </w:pPr>
            <w:r w:rsidRPr="00D518FF">
              <w:rPr>
                <w:rFonts w:ascii="Aptos" w:hAnsi="Aptos"/>
                <w:color w:val="000000"/>
                <w:sz w:val="16"/>
                <w:szCs w:val="16"/>
              </w:rPr>
              <w:t>Cooper, R. E.; Tye, C.; Kuntsi, J.; Vassos, E.; Asherson, P.</w:t>
            </w:r>
          </w:p>
        </w:tc>
        <w:tc>
          <w:tcPr>
            <w:tcW w:w="567" w:type="dxa"/>
            <w:shd w:val="clear" w:color="auto" w:fill="auto"/>
            <w:noWrap/>
            <w:hideMark/>
          </w:tcPr>
          <w:p w14:paraId="63C6463C"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noWrap/>
            <w:hideMark/>
          </w:tcPr>
          <w:p w14:paraId="48815778"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850" w:type="dxa"/>
            <w:shd w:val="clear" w:color="auto" w:fill="auto"/>
            <w:noWrap/>
            <w:hideMark/>
          </w:tcPr>
          <w:p w14:paraId="2505711C" w14:textId="77777777" w:rsidR="008F3151" w:rsidRPr="00D518FF" w:rsidRDefault="008F3151">
            <w:pPr>
              <w:rPr>
                <w:rFonts w:ascii="Aptos" w:hAnsi="Aptos"/>
                <w:color w:val="000000"/>
                <w:sz w:val="16"/>
                <w:szCs w:val="16"/>
              </w:rPr>
            </w:pPr>
            <w:r w:rsidRPr="00D518FF">
              <w:rPr>
                <w:rFonts w:ascii="Aptos" w:hAnsi="Aptos"/>
                <w:color w:val="000000"/>
                <w:sz w:val="16"/>
                <w:szCs w:val="16"/>
              </w:rPr>
              <w:t>190</w:t>
            </w:r>
          </w:p>
        </w:tc>
        <w:tc>
          <w:tcPr>
            <w:tcW w:w="567" w:type="dxa"/>
            <w:shd w:val="clear" w:color="auto" w:fill="auto"/>
            <w:noWrap/>
            <w:hideMark/>
          </w:tcPr>
          <w:p w14:paraId="5CD102D5" w14:textId="14E71765" w:rsidR="008F3151" w:rsidRPr="00D518FF" w:rsidRDefault="00F37F80">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5966800A" w14:textId="77777777" w:rsidR="008F3151" w:rsidRPr="00D518FF" w:rsidRDefault="008F3151">
            <w:pPr>
              <w:rPr>
                <w:rFonts w:ascii="Aptos" w:hAnsi="Aptos"/>
                <w:color w:val="000000"/>
                <w:sz w:val="16"/>
                <w:szCs w:val="16"/>
              </w:rPr>
            </w:pPr>
            <w:r w:rsidRPr="00D518FF">
              <w:rPr>
                <w:rFonts w:ascii="Aptos" w:hAnsi="Aptos"/>
                <w:color w:val="000000"/>
                <w:sz w:val="16"/>
                <w:szCs w:val="16"/>
              </w:rPr>
              <w:t>474-482</w:t>
            </w:r>
          </w:p>
        </w:tc>
        <w:tc>
          <w:tcPr>
            <w:tcW w:w="2126" w:type="dxa"/>
            <w:shd w:val="clear" w:color="auto" w:fill="auto"/>
            <w:hideMark/>
          </w:tcPr>
          <w:p w14:paraId="4C4AF798"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8F3151" w:rsidRPr="00D518FF" w14:paraId="2C4DC9DC" w14:textId="77777777" w:rsidTr="004C6AA1">
        <w:trPr>
          <w:trHeight w:val="340"/>
        </w:trPr>
        <w:tc>
          <w:tcPr>
            <w:tcW w:w="4182" w:type="dxa"/>
            <w:shd w:val="clear" w:color="auto" w:fill="auto"/>
            <w:noWrap/>
            <w:hideMark/>
          </w:tcPr>
          <w:p w14:paraId="4800E9ED" w14:textId="77777777" w:rsidR="008F3151" w:rsidRPr="00D518FF" w:rsidRDefault="008F3151">
            <w:pPr>
              <w:rPr>
                <w:rFonts w:ascii="Aptos" w:hAnsi="Aptos"/>
                <w:color w:val="000000"/>
                <w:sz w:val="16"/>
                <w:szCs w:val="16"/>
              </w:rPr>
            </w:pPr>
            <w:r w:rsidRPr="00D518FF">
              <w:rPr>
                <w:rFonts w:ascii="Aptos" w:hAnsi="Aptos"/>
                <w:color w:val="000000"/>
                <w:sz w:val="16"/>
                <w:szCs w:val="16"/>
              </w:rPr>
              <w:t>Treatment of neurocognitive symptoms in unipolar depression: A systematic review and future perspectives</w:t>
            </w:r>
          </w:p>
        </w:tc>
        <w:tc>
          <w:tcPr>
            <w:tcW w:w="3544" w:type="dxa"/>
            <w:shd w:val="clear" w:color="auto" w:fill="auto"/>
            <w:noWrap/>
            <w:hideMark/>
          </w:tcPr>
          <w:p w14:paraId="661AF48C" w14:textId="77777777" w:rsidR="008F3151" w:rsidRPr="00D518FF" w:rsidRDefault="008F3151">
            <w:pPr>
              <w:rPr>
                <w:rFonts w:ascii="Aptos" w:hAnsi="Aptos"/>
                <w:color w:val="000000"/>
                <w:sz w:val="16"/>
                <w:szCs w:val="16"/>
              </w:rPr>
            </w:pPr>
            <w:r w:rsidRPr="00D518FF">
              <w:rPr>
                <w:rFonts w:ascii="Aptos" w:hAnsi="Aptos"/>
                <w:color w:val="000000"/>
                <w:sz w:val="16"/>
                <w:szCs w:val="16"/>
              </w:rPr>
              <w:t>Salagre, E.; Sole, B.; Tomioka, Y.; Fernandes, B. S.; Hidalgo-Mazzei, D.; Garriga, M.; Jimenez, E.; Sanchez-Moreno, J.; Vieta, E.; Grande, I.</w:t>
            </w:r>
          </w:p>
        </w:tc>
        <w:tc>
          <w:tcPr>
            <w:tcW w:w="567" w:type="dxa"/>
            <w:shd w:val="clear" w:color="auto" w:fill="auto"/>
            <w:noWrap/>
            <w:hideMark/>
          </w:tcPr>
          <w:p w14:paraId="33249BB1"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1701" w:type="dxa"/>
            <w:shd w:val="clear" w:color="auto" w:fill="auto"/>
            <w:noWrap/>
            <w:hideMark/>
          </w:tcPr>
          <w:p w14:paraId="1E75A04E"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850" w:type="dxa"/>
            <w:shd w:val="clear" w:color="auto" w:fill="auto"/>
            <w:noWrap/>
            <w:hideMark/>
          </w:tcPr>
          <w:p w14:paraId="2193A35C" w14:textId="77777777" w:rsidR="008F3151" w:rsidRPr="00D518FF" w:rsidRDefault="008F3151">
            <w:pPr>
              <w:rPr>
                <w:rFonts w:ascii="Aptos" w:hAnsi="Aptos"/>
                <w:color w:val="000000"/>
                <w:sz w:val="16"/>
                <w:szCs w:val="16"/>
              </w:rPr>
            </w:pPr>
            <w:r w:rsidRPr="00D518FF">
              <w:rPr>
                <w:rFonts w:ascii="Aptos" w:hAnsi="Aptos"/>
                <w:color w:val="000000"/>
                <w:sz w:val="16"/>
                <w:szCs w:val="16"/>
              </w:rPr>
              <w:t>221</w:t>
            </w:r>
          </w:p>
        </w:tc>
        <w:tc>
          <w:tcPr>
            <w:tcW w:w="567" w:type="dxa"/>
            <w:shd w:val="clear" w:color="auto" w:fill="auto"/>
            <w:noWrap/>
            <w:hideMark/>
          </w:tcPr>
          <w:p w14:paraId="37EEBDCA" w14:textId="5A89A348" w:rsidR="008F3151" w:rsidRPr="00D518FF" w:rsidRDefault="00F37F80">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5CF3BF27" w14:textId="77777777" w:rsidR="008F3151" w:rsidRPr="00D518FF" w:rsidRDefault="008F3151">
            <w:pPr>
              <w:rPr>
                <w:rFonts w:ascii="Aptos" w:hAnsi="Aptos"/>
                <w:color w:val="000000"/>
                <w:sz w:val="16"/>
                <w:szCs w:val="16"/>
              </w:rPr>
            </w:pPr>
            <w:r w:rsidRPr="00D518FF">
              <w:rPr>
                <w:rFonts w:ascii="Aptos" w:hAnsi="Aptos"/>
                <w:color w:val="000000"/>
                <w:sz w:val="16"/>
                <w:szCs w:val="16"/>
              </w:rPr>
              <w:t>205-221</w:t>
            </w:r>
          </w:p>
        </w:tc>
        <w:tc>
          <w:tcPr>
            <w:tcW w:w="2126" w:type="dxa"/>
            <w:shd w:val="clear" w:color="auto" w:fill="auto"/>
            <w:hideMark/>
          </w:tcPr>
          <w:p w14:paraId="0DF93408"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F26576" w:rsidRPr="00D518FF" w14:paraId="56A49B43" w14:textId="77777777" w:rsidTr="004C6AA1">
        <w:trPr>
          <w:trHeight w:val="320"/>
        </w:trPr>
        <w:tc>
          <w:tcPr>
            <w:tcW w:w="4182" w:type="dxa"/>
            <w:shd w:val="clear" w:color="auto" w:fill="auto"/>
            <w:noWrap/>
            <w:hideMark/>
          </w:tcPr>
          <w:p w14:paraId="3F45C42E" w14:textId="77777777" w:rsidR="00F26576" w:rsidRPr="00D518FF" w:rsidRDefault="00F26576">
            <w:pPr>
              <w:rPr>
                <w:rFonts w:ascii="Aptos" w:hAnsi="Aptos"/>
                <w:color w:val="000000"/>
                <w:sz w:val="16"/>
                <w:szCs w:val="16"/>
              </w:rPr>
            </w:pPr>
            <w:r w:rsidRPr="00D518FF">
              <w:rPr>
                <w:rFonts w:ascii="Aptos" w:hAnsi="Aptos"/>
                <w:color w:val="000000"/>
                <w:sz w:val="16"/>
                <w:szCs w:val="16"/>
              </w:rPr>
              <w:t>A Systematic Review of Effectiveness of Omega-3 Fatty Acid Supplementation on Symptoms, Social Functions, and Neurobiological Variables in Schizophrenia</w:t>
            </w:r>
          </w:p>
        </w:tc>
        <w:tc>
          <w:tcPr>
            <w:tcW w:w="3544" w:type="dxa"/>
            <w:shd w:val="clear" w:color="auto" w:fill="auto"/>
            <w:noWrap/>
            <w:hideMark/>
          </w:tcPr>
          <w:p w14:paraId="7283E895" w14:textId="77777777" w:rsidR="00F26576" w:rsidRPr="00D518FF" w:rsidRDefault="00F26576">
            <w:pPr>
              <w:rPr>
                <w:rFonts w:ascii="Aptos" w:hAnsi="Aptos"/>
                <w:color w:val="000000"/>
                <w:sz w:val="16"/>
                <w:szCs w:val="16"/>
              </w:rPr>
            </w:pPr>
            <w:r w:rsidRPr="00D518FF">
              <w:rPr>
                <w:rFonts w:ascii="Aptos" w:hAnsi="Aptos"/>
                <w:color w:val="000000"/>
                <w:sz w:val="16"/>
                <w:szCs w:val="16"/>
              </w:rPr>
              <w:t>Hsu, M. C.; Ouyang, W. C.</w:t>
            </w:r>
          </w:p>
        </w:tc>
        <w:tc>
          <w:tcPr>
            <w:tcW w:w="567" w:type="dxa"/>
            <w:shd w:val="clear" w:color="auto" w:fill="auto"/>
            <w:noWrap/>
            <w:hideMark/>
          </w:tcPr>
          <w:p w14:paraId="497E8E18" w14:textId="77777777" w:rsidR="00F26576" w:rsidRPr="00D518FF" w:rsidRDefault="00F26576">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230AEB94" w14:textId="77777777" w:rsidR="00F26576" w:rsidRPr="00D518FF" w:rsidRDefault="00F26576">
            <w:pPr>
              <w:rPr>
                <w:rFonts w:ascii="Aptos" w:hAnsi="Aptos"/>
                <w:color w:val="000000"/>
                <w:sz w:val="16"/>
                <w:szCs w:val="16"/>
              </w:rPr>
            </w:pPr>
            <w:r w:rsidRPr="00D518FF">
              <w:rPr>
                <w:rFonts w:ascii="Aptos" w:hAnsi="Aptos"/>
                <w:color w:val="000000"/>
                <w:sz w:val="16"/>
                <w:szCs w:val="16"/>
              </w:rPr>
              <w:t>Biological Research for Nursing</w:t>
            </w:r>
          </w:p>
        </w:tc>
        <w:tc>
          <w:tcPr>
            <w:tcW w:w="850" w:type="dxa"/>
            <w:shd w:val="clear" w:color="auto" w:fill="auto"/>
          </w:tcPr>
          <w:p w14:paraId="74FC5FDC" w14:textId="4EA4D403" w:rsidR="00F26576" w:rsidRPr="00D518FF" w:rsidRDefault="00FC70F5">
            <w:pPr>
              <w:rPr>
                <w:rFonts w:ascii="Aptos" w:hAnsi="Aptos"/>
                <w:color w:val="000000"/>
                <w:sz w:val="16"/>
                <w:szCs w:val="16"/>
              </w:rPr>
            </w:pPr>
            <w:r>
              <w:rPr>
                <w:rFonts w:ascii="Aptos" w:hAnsi="Aptos"/>
                <w:color w:val="000000"/>
                <w:sz w:val="16"/>
                <w:szCs w:val="16"/>
              </w:rPr>
              <w:t>23</w:t>
            </w:r>
          </w:p>
        </w:tc>
        <w:tc>
          <w:tcPr>
            <w:tcW w:w="567" w:type="dxa"/>
            <w:shd w:val="clear" w:color="auto" w:fill="auto"/>
          </w:tcPr>
          <w:p w14:paraId="171E1333" w14:textId="28FF3AE4" w:rsidR="00F26576" w:rsidRPr="00D518FF" w:rsidRDefault="00FC70F5">
            <w:pPr>
              <w:rPr>
                <w:rFonts w:ascii="Aptos" w:hAnsi="Aptos"/>
                <w:color w:val="000000"/>
                <w:sz w:val="16"/>
                <w:szCs w:val="16"/>
              </w:rPr>
            </w:pPr>
            <w:r>
              <w:rPr>
                <w:rFonts w:ascii="Aptos" w:hAnsi="Aptos"/>
                <w:color w:val="000000"/>
                <w:sz w:val="16"/>
                <w:szCs w:val="16"/>
              </w:rPr>
              <w:t>4</w:t>
            </w:r>
          </w:p>
        </w:tc>
        <w:tc>
          <w:tcPr>
            <w:tcW w:w="709" w:type="dxa"/>
            <w:shd w:val="clear" w:color="auto" w:fill="auto"/>
            <w:noWrap/>
            <w:hideMark/>
          </w:tcPr>
          <w:p w14:paraId="77D35541" w14:textId="037C9ECC" w:rsidR="00F26576" w:rsidRPr="00D518FF" w:rsidRDefault="00FC70F5">
            <w:pPr>
              <w:rPr>
                <w:rFonts w:ascii="Aptos" w:hAnsi="Aptos"/>
                <w:color w:val="000000"/>
                <w:sz w:val="16"/>
                <w:szCs w:val="16"/>
              </w:rPr>
            </w:pPr>
            <w:r w:rsidRPr="00FC70F5">
              <w:rPr>
                <w:rFonts w:ascii="Aptos" w:hAnsi="Aptos"/>
                <w:color w:val="000000"/>
                <w:sz w:val="16"/>
                <w:szCs w:val="16"/>
              </w:rPr>
              <w:t>723-737</w:t>
            </w:r>
          </w:p>
        </w:tc>
        <w:tc>
          <w:tcPr>
            <w:tcW w:w="2126" w:type="dxa"/>
            <w:shd w:val="clear" w:color="auto" w:fill="auto"/>
            <w:noWrap/>
            <w:hideMark/>
          </w:tcPr>
          <w:p w14:paraId="017A94A1" w14:textId="77777777" w:rsidR="00F26576" w:rsidRPr="00D518FF" w:rsidRDefault="00F26576">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3CB9AE6F" w14:textId="77777777" w:rsidTr="004C6AA1">
        <w:trPr>
          <w:trHeight w:val="320"/>
        </w:trPr>
        <w:tc>
          <w:tcPr>
            <w:tcW w:w="4182" w:type="dxa"/>
            <w:shd w:val="clear" w:color="auto" w:fill="auto"/>
            <w:noWrap/>
            <w:hideMark/>
          </w:tcPr>
          <w:p w14:paraId="03E52AB8" w14:textId="77777777" w:rsidR="008F3151" w:rsidRPr="00D518FF" w:rsidRDefault="008F3151">
            <w:pPr>
              <w:rPr>
                <w:rFonts w:ascii="Aptos" w:hAnsi="Aptos"/>
                <w:color w:val="000000"/>
                <w:sz w:val="16"/>
                <w:szCs w:val="16"/>
              </w:rPr>
            </w:pPr>
            <w:r w:rsidRPr="00D518FF">
              <w:rPr>
                <w:rFonts w:ascii="Aptos" w:hAnsi="Aptos"/>
                <w:color w:val="000000"/>
                <w:sz w:val="16"/>
                <w:szCs w:val="16"/>
              </w:rPr>
              <w:t>Adjunctive Nutraceuticals for Depression: A Systematic Review and Meta-Analyses</w:t>
            </w:r>
          </w:p>
        </w:tc>
        <w:tc>
          <w:tcPr>
            <w:tcW w:w="3544" w:type="dxa"/>
            <w:shd w:val="clear" w:color="auto" w:fill="auto"/>
            <w:noWrap/>
            <w:hideMark/>
          </w:tcPr>
          <w:p w14:paraId="09A47777" w14:textId="77777777" w:rsidR="008F3151" w:rsidRPr="00D518FF" w:rsidRDefault="008F3151">
            <w:pPr>
              <w:rPr>
                <w:rFonts w:ascii="Aptos" w:hAnsi="Aptos"/>
                <w:color w:val="000000"/>
                <w:sz w:val="16"/>
                <w:szCs w:val="16"/>
              </w:rPr>
            </w:pPr>
            <w:r w:rsidRPr="00D518FF">
              <w:rPr>
                <w:rFonts w:ascii="Aptos" w:hAnsi="Aptos"/>
                <w:color w:val="000000"/>
                <w:sz w:val="16"/>
                <w:szCs w:val="16"/>
              </w:rPr>
              <w:t>Sarris, Jerome; Murphy, Jenifer; Mischoulon, David; Papakostas, George I.; Fava, Maurizio; Berk, Michael; Ng, Chee H.</w:t>
            </w:r>
          </w:p>
        </w:tc>
        <w:tc>
          <w:tcPr>
            <w:tcW w:w="567" w:type="dxa"/>
            <w:shd w:val="clear" w:color="auto" w:fill="auto"/>
            <w:noWrap/>
            <w:hideMark/>
          </w:tcPr>
          <w:p w14:paraId="0587C090"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noWrap/>
            <w:hideMark/>
          </w:tcPr>
          <w:p w14:paraId="43F30DDC" w14:textId="77777777" w:rsidR="008F3151" w:rsidRPr="00D518FF" w:rsidRDefault="008F3151">
            <w:pPr>
              <w:rPr>
                <w:rFonts w:ascii="Aptos" w:hAnsi="Aptos"/>
                <w:color w:val="000000"/>
                <w:sz w:val="16"/>
                <w:szCs w:val="16"/>
              </w:rPr>
            </w:pPr>
            <w:r w:rsidRPr="00D518FF">
              <w:rPr>
                <w:rFonts w:ascii="Aptos" w:hAnsi="Aptos"/>
                <w:color w:val="000000"/>
                <w:sz w:val="16"/>
                <w:szCs w:val="16"/>
              </w:rPr>
              <w:t>American Journal of Psychiatry</w:t>
            </w:r>
          </w:p>
        </w:tc>
        <w:tc>
          <w:tcPr>
            <w:tcW w:w="850" w:type="dxa"/>
            <w:shd w:val="clear" w:color="auto" w:fill="auto"/>
            <w:noWrap/>
            <w:hideMark/>
          </w:tcPr>
          <w:p w14:paraId="5E677794" w14:textId="77777777" w:rsidR="008F3151" w:rsidRPr="00D518FF" w:rsidRDefault="008F3151">
            <w:pPr>
              <w:rPr>
                <w:rFonts w:ascii="Aptos" w:hAnsi="Aptos"/>
                <w:color w:val="000000"/>
                <w:sz w:val="16"/>
                <w:szCs w:val="16"/>
              </w:rPr>
            </w:pPr>
            <w:r w:rsidRPr="00D518FF">
              <w:rPr>
                <w:rFonts w:ascii="Aptos" w:hAnsi="Aptos"/>
                <w:color w:val="000000"/>
                <w:sz w:val="16"/>
                <w:szCs w:val="16"/>
              </w:rPr>
              <w:t>173</w:t>
            </w:r>
          </w:p>
        </w:tc>
        <w:tc>
          <w:tcPr>
            <w:tcW w:w="567" w:type="dxa"/>
            <w:shd w:val="clear" w:color="auto" w:fill="auto"/>
            <w:noWrap/>
            <w:hideMark/>
          </w:tcPr>
          <w:p w14:paraId="42634D9F"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709" w:type="dxa"/>
            <w:shd w:val="clear" w:color="auto" w:fill="auto"/>
            <w:noWrap/>
            <w:hideMark/>
          </w:tcPr>
          <w:p w14:paraId="76A592F7" w14:textId="77777777" w:rsidR="008F3151" w:rsidRPr="00D518FF" w:rsidRDefault="008F3151">
            <w:pPr>
              <w:rPr>
                <w:rFonts w:ascii="Aptos" w:hAnsi="Aptos"/>
                <w:color w:val="000000"/>
                <w:sz w:val="16"/>
                <w:szCs w:val="16"/>
              </w:rPr>
            </w:pPr>
            <w:r w:rsidRPr="00D518FF">
              <w:rPr>
                <w:rFonts w:ascii="Aptos" w:hAnsi="Aptos"/>
                <w:color w:val="000000"/>
                <w:sz w:val="16"/>
                <w:szCs w:val="16"/>
              </w:rPr>
              <w:t>575-587</w:t>
            </w:r>
          </w:p>
        </w:tc>
        <w:tc>
          <w:tcPr>
            <w:tcW w:w="2126" w:type="dxa"/>
            <w:shd w:val="clear" w:color="auto" w:fill="auto"/>
            <w:noWrap/>
            <w:hideMark/>
          </w:tcPr>
          <w:p w14:paraId="49041580" w14:textId="2A7F469C" w:rsidR="008F3151" w:rsidRPr="00D518FF" w:rsidRDefault="008F3151">
            <w:pPr>
              <w:rPr>
                <w:rFonts w:ascii="Aptos" w:hAnsi="Aptos"/>
                <w:color w:val="000000"/>
                <w:sz w:val="16"/>
                <w:szCs w:val="16"/>
              </w:rPr>
            </w:pPr>
            <w:r w:rsidRPr="00D518FF">
              <w:rPr>
                <w:rFonts w:ascii="Aptos" w:hAnsi="Aptos"/>
                <w:color w:val="000000"/>
                <w:sz w:val="16"/>
                <w:szCs w:val="16"/>
              </w:rPr>
              <w:t xml:space="preserve">Wrong </w:t>
            </w:r>
            <w:r w:rsidR="00931762">
              <w:rPr>
                <w:rFonts w:ascii="Aptos" w:hAnsi="Aptos"/>
                <w:color w:val="000000"/>
                <w:sz w:val="16"/>
                <w:szCs w:val="16"/>
              </w:rPr>
              <w:t>intervention</w:t>
            </w:r>
          </w:p>
        </w:tc>
      </w:tr>
      <w:tr w:rsidR="008F3151" w:rsidRPr="00D518FF" w14:paraId="3EB0FC7C" w14:textId="77777777" w:rsidTr="004C6AA1">
        <w:trPr>
          <w:trHeight w:val="320"/>
        </w:trPr>
        <w:tc>
          <w:tcPr>
            <w:tcW w:w="4182" w:type="dxa"/>
            <w:shd w:val="clear" w:color="auto" w:fill="auto"/>
            <w:noWrap/>
            <w:hideMark/>
          </w:tcPr>
          <w:p w14:paraId="3A65B77C" w14:textId="77777777" w:rsidR="008F3151" w:rsidRPr="00D518FF" w:rsidRDefault="008F3151">
            <w:pPr>
              <w:rPr>
                <w:rFonts w:ascii="Aptos" w:hAnsi="Aptos"/>
                <w:color w:val="000000"/>
                <w:sz w:val="16"/>
                <w:szCs w:val="16"/>
              </w:rPr>
            </w:pPr>
            <w:r w:rsidRPr="00D518FF">
              <w:rPr>
                <w:rFonts w:ascii="Aptos" w:hAnsi="Aptos"/>
                <w:color w:val="000000"/>
                <w:sz w:val="16"/>
                <w:szCs w:val="16"/>
              </w:rPr>
              <w:t>Adjunctive nutrients in first-episode psychosis: A systematic review of efficacy, tolerability and neurobiological mechanisms</w:t>
            </w:r>
          </w:p>
        </w:tc>
        <w:tc>
          <w:tcPr>
            <w:tcW w:w="3544" w:type="dxa"/>
            <w:shd w:val="clear" w:color="auto" w:fill="auto"/>
            <w:noWrap/>
            <w:hideMark/>
          </w:tcPr>
          <w:p w14:paraId="6B3CDDBF" w14:textId="77777777" w:rsidR="008F3151" w:rsidRPr="00D518FF" w:rsidRDefault="008F3151">
            <w:pPr>
              <w:rPr>
                <w:rFonts w:ascii="Aptos" w:hAnsi="Aptos"/>
                <w:color w:val="000000"/>
                <w:sz w:val="16"/>
                <w:szCs w:val="16"/>
              </w:rPr>
            </w:pPr>
            <w:r w:rsidRPr="00D518FF">
              <w:rPr>
                <w:rFonts w:ascii="Aptos" w:hAnsi="Aptos"/>
                <w:color w:val="000000"/>
                <w:sz w:val="16"/>
                <w:szCs w:val="16"/>
              </w:rPr>
              <w:t>Firth, J.; Rosenbaum, S.; Ward, P. B.; Curtis, J.; Teasdale, S. B.; Yung, A. R.; Sarris, J.</w:t>
            </w:r>
          </w:p>
        </w:tc>
        <w:tc>
          <w:tcPr>
            <w:tcW w:w="567" w:type="dxa"/>
            <w:shd w:val="clear" w:color="auto" w:fill="auto"/>
            <w:noWrap/>
            <w:hideMark/>
          </w:tcPr>
          <w:p w14:paraId="1913D017"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1701" w:type="dxa"/>
            <w:shd w:val="clear" w:color="auto" w:fill="auto"/>
            <w:noWrap/>
            <w:hideMark/>
          </w:tcPr>
          <w:p w14:paraId="2822C4D2" w14:textId="77777777" w:rsidR="008F3151" w:rsidRPr="00D518FF" w:rsidRDefault="008F3151">
            <w:pPr>
              <w:rPr>
                <w:rFonts w:ascii="Aptos" w:hAnsi="Aptos"/>
                <w:color w:val="000000"/>
                <w:sz w:val="16"/>
                <w:szCs w:val="16"/>
              </w:rPr>
            </w:pPr>
            <w:r w:rsidRPr="00D518FF">
              <w:rPr>
                <w:rFonts w:ascii="Aptos" w:hAnsi="Aptos"/>
                <w:color w:val="000000"/>
                <w:sz w:val="16"/>
                <w:szCs w:val="16"/>
              </w:rPr>
              <w:t>Early Intervention in Psychiatry</w:t>
            </w:r>
          </w:p>
        </w:tc>
        <w:tc>
          <w:tcPr>
            <w:tcW w:w="850" w:type="dxa"/>
            <w:shd w:val="clear" w:color="auto" w:fill="auto"/>
            <w:noWrap/>
            <w:hideMark/>
          </w:tcPr>
          <w:p w14:paraId="58E5642F"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567" w:type="dxa"/>
            <w:shd w:val="clear" w:color="auto" w:fill="auto"/>
            <w:noWrap/>
            <w:hideMark/>
          </w:tcPr>
          <w:p w14:paraId="73414C3E"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9" w:type="dxa"/>
            <w:shd w:val="clear" w:color="auto" w:fill="auto"/>
            <w:noWrap/>
            <w:hideMark/>
          </w:tcPr>
          <w:p w14:paraId="2B16D951" w14:textId="77777777" w:rsidR="008F3151" w:rsidRPr="00D518FF" w:rsidRDefault="008F3151">
            <w:pPr>
              <w:rPr>
                <w:rFonts w:ascii="Aptos" w:hAnsi="Aptos"/>
                <w:color w:val="000000"/>
                <w:sz w:val="16"/>
                <w:szCs w:val="16"/>
              </w:rPr>
            </w:pPr>
            <w:r w:rsidRPr="00D518FF">
              <w:rPr>
                <w:rFonts w:ascii="Aptos" w:hAnsi="Aptos"/>
                <w:color w:val="000000"/>
                <w:sz w:val="16"/>
                <w:szCs w:val="16"/>
              </w:rPr>
              <w:t>774-783</w:t>
            </w:r>
          </w:p>
        </w:tc>
        <w:tc>
          <w:tcPr>
            <w:tcW w:w="2126" w:type="dxa"/>
            <w:shd w:val="clear" w:color="auto" w:fill="auto"/>
            <w:noWrap/>
            <w:hideMark/>
          </w:tcPr>
          <w:p w14:paraId="269BB66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26276D2F" w14:textId="77777777" w:rsidTr="004C6AA1">
        <w:trPr>
          <w:trHeight w:val="320"/>
        </w:trPr>
        <w:tc>
          <w:tcPr>
            <w:tcW w:w="4182" w:type="dxa"/>
            <w:shd w:val="clear" w:color="auto" w:fill="auto"/>
            <w:noWrap/>
            <w:hideMark/>
          </w:tcPr>
          <w:p w14:paraId="26D2F8F1" w14:textId="77777777" w:rsidR="008F3151" w:rsidRPr="00D518FF" w:rsidRDefault="008F3151">
            <w:pPr>
              <w:rPr>
                <w:rFonts w:ascii="Aptos" w:hAnsi="Aptos"/>
                <w:color w:val="000000"/>
                <w:sz w:val="16"/>
                <w:szCs w:val="16"/>
              </w:rPr>
            </w:pPr>
            <w:r w:rsidRPr="00D518FF">
              <w:rPr>
                <w:rFonts w:ascii="Aptos" w:hAnsi="Aptos"/>
                <w:color w:val="000000"/>
                <w:sz w:val="16"/>
                <w:szCs w:val="16"/>
              </w:rPr>
              <w:t>Early interventions to prevent psychosis: systematic review and meta-analysis</w:t>
            </w:r>
          </w:p>
        </w:tc>
        <w:tc>
          <w:tcPr>
            <w:tcW w:w="3544" w:type="dxa"/>
            <w:shd w:val="clear" w:color="auto" w:fill="auto"/>
            <w:noWrap/>
            <w:hideMark/>
          </w:tcPr>
          <w:p w14:paraId="06A4EB81" w14:textId="77777777" w:rsidR="008F3151" w:rsidRPr="00D518FF" w:rsidRDefault="008F3151">
            <w:pPr>
              <w:rPr>
                <w:rFonts w:ascii="Aptos" w:hAnsi="Aptos"/>
                <w:color w:val="000000"/>
                <w:sz w:val="16"/>
                <w:szCs w:val="16"/>
              </w:rPr>
            </w:pPr>
            <w:r w:rsidRPr="00D518FF">
              <w:rPr>
                <w:rFonts w:ascii="Aptos" w:hAnsi="Aptos"/>
                <w:color w:val="000000"/>
                <w:sz w:val="16"/>
                <w:szCs w:val="16"/>
              </w:rPr>
              <w:t>Stafford, M. R.; Jackson, H.; Mayo-Wilson, E.; Morrison, A. P.; Kendall, T.</w:t>
            </w:r>
          </w:p>
        </w:tc>
        <w:tc>
          <w:tcPr>
            <w:tcW w:w="567" w:type="dxa"/>
            <w:shd w:val="clear" w:color="auto" w:fill="auto"/>
            <w:noWrap/>
            <w:hideMark/>
          </w:tcPr>
          <w:p w14:paraId="7FEB5EF2" w14:textId="77777777" w:rsidR="008F3151" w:rsidRPr="00D518FF" w:rsidRDefault="008F3151">
            <w:pPr>
              <w:rPr>
                <w:rFonts w:ascii="Aptos" w:hAnsi="Aptos"/>
                <w:color w:val="000000"/>
                <w:sz w:val="16"/>
                <w:szCs w:val="16"/>
              </w:rPr>
            </w:pPr>
            <w:r w:rsidRPr="00D518FF">
              <w:rPr>
                <w:rFonts w:ascii="Aptos" w:hAnsi="Aptos"/>
                <w:color w:val="000000"/>
                <w:sz w:val="16"/>
                <w:szCs w:val="16"/>
              </w:rPr>
              <w:t>2013</w:t>
            </w:r>
          </w:p>
        </w:tc>
        <w:tc>
          <w:tcPr>
            <w:tcW w:w="1701" w:type="dxa"/>
            <w:shd w:val="clear" w:color="auto" w:fill="auto"/>
            <w:noWrap/>
            <w:hideMark/>
          </w:tcPr>
          <w:p w14:paraId="03A654C4" w14:textId="77777777" w:rsidR="008F3151" w:rsidRPr="00D518FF" w:rsidRDefault="008F3151">
            <w:pPr>
              <w:rPr>
                <w:rFonts w:ascii="Aptos" w:hAnsi="Aptos"/>
                <w:color w:val="000000"/>
                <w:sz w:val="16"/>
                <w:szCs w:val="16"/>
              </w:rPr>
            </w:pPr>
            <w:r w:rsidRPr="00D518FF">
              <w:rPr>
                <w:rFonts w:ascii="Aptos" w:hAnsi="Aptos"/>
                <w:color w:val="000000"/>
                <w:sz w:val="16"/>
                <w:szCs w:val="16"/>
              </w:rPr>
              <w:t>BMJ (Clinical research ed.)</w:t>
            </w:r>
          </w:p>
        </w:tc>
        <w:tc>
          <w:tcPr>
            <w:tcW w:w="850" w:type="dxa"/>
            <w:shd w:val="clear" w:color="auto" w:fill="auto"/>
            <w:noWrap/>
            <w:hideMark/>
          </w:tcPr>
          <w:p w14:paraId="1F0E9795" w14:textId="77777777" w:rsidR="008F3151" w:rsidRPr="00D518FF" w:rsidRDefault="008F3151">
            <w:pPr>
              <w:rPr>
                <w:rFonts w:ascii="Aptos" w:hAnsi="Aptos"/>
                <w:color w:val="000000"/>
                <w:sz w:val="16"/>
                <w:szCs w:val="16"/>
              </w:rPr>
            </w:pPr>
            <w:r w:rsidRPr="00D518FF">
              <w:rPr>
                <w:rFonts w:ascii="Aptos" w:hAnsi="Aptos"/>
                <w:color w:val="000000"/>
                <w:sz w:val="16"/>
                <w:szCs w:val="16"/>
              </w:rPr>
              <w:t>346</w:t>
            </w:r>
          </w:p>
        </w:tc>
        <w:tc>
          <w:tcPr>
            <w:tcW w:w="567" w:type="dxa"/>
            <w:shd w:val="clear" w:color="auto" w:fill="auto"/>
            <w:noWrap/>
            <w:hideMark/>
          </w:tcPr>
          <w:p w14:paraId="0DD9E156" w14:textId="77777777" w:rsidR="008F3151" w:rsidRPr="00D518FF" w:rsidRDefault="008F3151">
            <w:pPr>
              <w:rPr>
                <w:rFonts w:ascii="Aptos" w:hAnsi="Aptos"/>
                <w:color w:val="000000"/>
                <w:sz w:val="16"/>
                <w:szCs w:val="16"/>
              </w:rPr>
            </w:pPr>
            <w:r w:rsidRPr="00D518FF">
              <w:rPr>
                <w:rFonts w:ascii="Aptos" w:hAnsi="Aptos"/>
                <w:color w:val="000000"/>
                <w:sz w:val="16"/>
                <w:szCs w:val="16"/>
              </w:rPr>
              <w:t>7892</w:t>
            </w:r>
          </w:p>
        </w:tc>
        <w:tc>
          <w:tcPr>
            <w:tcW w:w="709" w:type="dxa"/>
            <w:shd w:val="clear" w:color="auto" w:fill="auto"/>
            <w:noWrap/>
            <w:hideMark/>
          </w:tcPr>
          <w:p w14:paraId="7AA6482D" w14:textId="77777777" w:rsidR="008F3151" w:rsidRPr="00D518FF" w:rsidRDefault="008F3151">
            <w:pPr>
              <w:rPr>
                <w:rFonts w:ascii="Aptos" w:hAnsi="Aptos"/>
                <w:color w:val="000000"/>
                <w:sz w:val="16"/>
                <w:szCs w:val="16"/>
              </w:rPr>
            </w:pPr>
            <w:r w:rsidRPr="00D518FF">
              <w:rPr>
                <w:rFonts w:ascii="Aptos" w:hAnsi="Aptos"/>
                <w:color w:val="000000"/>
                <w:sz w:val="16"/>
                <w:szCs w:val="16"/>
              </w:rPr>
              <w:t>f185</w:t>
            </w:r>
          </w:p>
        </w:tc>
        <w:tc>
          <w:tcPr>
            <w:tcW w:w="2126" w:type="dxa"/>
            <w:shd w:val="clear" w:color="auto" w:fill="auto"/>
            <w:noWrap/>
            <w:hideMark/>
          </w:tcPr>
          <w:p w14:paraId="582BDF6E"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5526AA16" w14:textId="77777777" w:rsidTr="004C6AA1">
        <w:trPr>
          <w:trHeight w:val="320"/>
        </w:trPr>
        <w:tc>
          <w:tcPr>
            <w:tcW w:w="4182" w:type="dxa"/>
            <w:shd w:val="clear" w:color="auto" w:fill="auto"/>
            <w:noWrap/>
            <w:hideMark/>
          </w:tcPr>
          <w:p w14:paraId="51945EF8" w14:textId="77777777" w:rsidR="008F3151" w:rsidRPr="00D518FF" w:rsidRDefault="008F3151">
            <w:pPr>
              <w:rPr>
                <w:rFonts w:ascii="Aptos" w:hAnsi="Aptos"/>
                <w:color w:val="000000"/>
                <w:sz w:val="16"/>
                <w:szCs w:val="16"/>
              </w:rPr>
            </w:pPr>
            <w:r w:rsidRPr="00D518FF">
              <w:rPr>
                <w:rFonts w:ascii="Aptos" w:hAnsi="Aptos"/>
                <w:color w:val="000000"/>
                <w:sz w:val="16"/>
                <w:szCs w:val="16"/>
              </w:rPr>
              <w:t>Efficacy and safety of anti-inflammatory agents in treatment of psychotic disorders - a comprehensive systematic review and meta-analysis</w:t>
            </w:r>
          </w:p>
        </w:tc>
        <w:tc>
          <w:tcPr>
            <w:tcW w:w="3544" w:type="dxa"/>
            <w:shd w:val="clear" w:color="auto" w:fill="auto"/>
            <w:noWrap/>
            <w:hideMark/>
          </w:tcPr>
          <w:p w14:paraId="440C2117" w14:textId="77777777" w:rsidR="008F3151" w:rsidRPr="00D518FF" w:rsidRDefault="008F3151">
            <w:pPr>
              <w:rPr>
                <w:rFonts w:ascii="Aptos" w:hAnsi="Aptos"/>
                <w:color w:val="000000"/>
                <w:sz w:val="16"/>
                <w:szCs w:val="16"/>
              </w:rPr>
            </w:pPr>
            <w:r w:rsidRPr="00D518FF">
              <w:rPr>
                <w:rFonts w:ascii="Aptos" w:hAnsi="Aptos"/>
                <w:color w:val="000000"/>
                <w:sz w:val="16"/>
                <w:szCs w:val="16"/>
              </w:rPr>
              <w:t>Jeppesen, R.; Christensen, R. H. B.; Pedersen, E. M. J.; Nordentoft, M.; Hjorth√∏j, C.; K√∂hler-Forsberg, O.; Benros, M. E.</w:t>
            </w:r>
          </w:p>
        </w:tc>
        <w:tc>
          <w:tcPr>
            <w:tcW w:w="567" w:type="dxa"/>
            <w:shd w:val="clear" w:color="auto" w:fill="auto"/>
            <w:noWrap/>
            <w:hideMark/>
          </w:tcPr>
          <w:p w14:paraId="205E56C2"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701" w:type="dxa"/>
            <w:shd w:val="clear" w:color="auto" w:fill="auto"/>
            <w:noWrap/>
            <w:hideMark/>
          </w:tcPr>
          <w:p w14:paraId="5E331D6D" w14:textId="77777777" w:rsidR="008F3151" w:rsidRPr="00D518FF" w:rsidRDefault="008F3151">
            <w:pPr>
              <w:rPr>
                <w:rFonts w:ascii="Aptos" w:hAnsi="Aptos"/>
                <w:color w:val="000000"/>
                <w:sz w:val="16"/>
                <w:szCs w:val="16"/>
              </w:rPr>
            </w:pPr>
            <w:r w:rsidRPr="00D518FF">
              <w:rPr>
                <w:rFonts w:ascii="Aptos" w:hAnsi="Aptos"/>
                <w:color w:val="000000"/>
                <w:sz w:val="16"/>
                <w:szCs w:val="16"/>
              </w:rPr>
              <w:t>Brain, behavior, and immunity</w:t>
            </w:r>
          </w:p>
        </w:tc>
        <w:tc>
          <w:tcPr>
            <w:tcW w:w="850" w:type="dxa"/>
            <w:shd w:val="clear" w:color="auto" w:fill="auto"/>
            <w:noWrap/>
            <w:hideMark/>
          </w:tcPr>
          <w:p w14:paraId="69FCCD57" w14:textId="77777777" w:rsidR="008F3151" w:rsidRPr="00D518FF" w:rsidRDefault="008F3151">
            <w:pPr>
              <w:rPr>
                <w:rFonts w:ascii="Aptos" w:hAnsi="Aptos"/>
                <w:color w:val="000000"/>
                <w:sz w:val="16"/>
                <w:szCs w:val="16"/>
              </w:rPr>
            </w:pPr>
            <w:r w:rsidRPr="00D518FF">
              <w:rPr>
                <w:rFonts w:ascii="Aptos" w:hAnsi="Aptos"/>
                <w:color w:val="000000"/>
                <w:sz w:val="16"/>
                <w:szCs w:val="16"/>
              </w:rPr>
              <w:t>90</w:t>
            </w:r>
          </w:p>
        </w:tc>
        <w:tc>
          <w:tcPr>
            <w:tcW w:w="567" w:type="dxa"/>
            <w:shd w:val="clear" w:color="auto" w:fill="auto"/>
            <w:noWrap/>
            <w:hideMark/>
          </w:tcPr>
          <w:p w14:paraId="225E6E48" w14:textId="6DD19368" w:rsidR="008F3151" w:rsidRPr="00D518FF" w:rsidRDefault="00AE1C65">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1BB9744F" w14:textId="77777777" w:rsidR="008F3151" w:rsidRPr="00D518FF" w:rsidRDefault="008F3151">
            <w:pPr>
              <w:rPr>
                <w:rFonts w:ascii="Aptos" w:hAnsi="Aptos"/>
                <w:color w:val="000000"/>
                <w:sz w:val="16"/>
                <w:szCs w:val="16"/>
              </w:rPr>
            </w:pPr>
            <w:r w:rsidRPr="00D518FF">
              <w:rPr>
                <w:rFonts w:ascii="Aptos" w:hAnsi="Aptos"/>
                <w:color w:val="000000"/>
                <w:sz w:val="16"/>
                <w:szCs w:val="16"/>
              </w:rPr>
              <w:t>364-380</w:t>
            </w:r>
          </w:p>
        </w:tc>
        <w:tc>
          <w:tcPr>
            <w:tcW w:w="2126" w:type="dxa"/>
            <w:shd w:val="clear" w:color="auto" w:fill="auto"/>
            <w:noWrap/>
            <w:hideMark/>
          </w:tcPr>
          <w:p w14:paraId="34AFBE5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71533A5B" w14:textId="77777777" w:rsidTr="004C6AA1">
        <w:trPr>
          <w:trHeight w:val="320"/>
        </w:trPr>
        <w:tc>
          <w:tcPr>
            <w:tcW w:w="4182" w:type="dxa"/>
            <w:shd w:val="clear" w:color="auto" w:fill="auto"/>
            <w:noWrap/>
            <w:hideMark/>
          </w:tcPr>
          <w:p w14:paraId="4757DF97" w14:textId="77777777" w:rsidR="008F3151" w:rsidRPr="00D518FF" w:rsidRDefault="008F3151">
            <w:pPr>
              <w:rPr>
                <w:rFonts w:ascii="Aptos" w:hAnsi="Aptos"/>
                <w:color w:val="000000"/>
                <w:sz w:val="16"/>
                <w:szCs w:val="16"/>
              </w:rPr>
            </w:pPr>
            <w:r w:rsidRPr="00D518FF">
              <w:rPr>
                <w:rFonts w:ascii="Aptos" w:hAnsi="Aptos"/>
                <w:color w:val="000000"/>
                <w:sz w:val="16"/>
                <w:szCs w:val="16"/>
              </w:rPr>
              <w:t>Efficacy and safety of polyunsaturated fatty acids supplementation in the treatment of attention deficit hyperactivity disorder (Adhd) in children and adolescents: A systematic review and meta-analysis of clinical trials</w:t>
            </w:r>
          </w:p>
        </w:tc>
        <w:tc>
          <w:tcPr>
            <w:tcW w:w="3544" w:type="dxa"/>
            <w:shd w:val="clear" w:color="auto" w:fill="auto"/>
            <w:noWrap/>
            <w:hideMark/>
          </w:tcPr>
          <w:p w14:paraId="11297648" w14:textId="77777777" w:rsidR="008F3151" w:rsidRPr="00D518FF" w:rsidRDefault="008F3151">
            <w:pPr>
              <w:rPr>
                <w:rFonts w:ascii="Aptos" w:hAnsi="Aptos"/>
                <w:color w:val="000000"/>
                <w:sz w:val="16"/>
                <w:szCs w:val="16"/>
              </w:rPr>
            </w:pPr>
            <w:r w:rsidRPr="00D518FF">
              <w:rPr>
                <w:rFonts w:ascii="Aptos" w:hAnsi="Aptos"/>
                <w:color w:val="000000"/>
                <w:sz w:val="16"/>
                <w:szCs w:val="16"/>
              </w:rPr>
              <w:t>Handel, M. N.; Rohde, J. F.; Bandak, E.; Handel, M. N.; Rohde, J. F.; Bandak, E.; Birkefoss, K.; Tendal, B.; Callesen, H. E.; Rimestad, M. L.; Lemcke, S.</w:t>
            </w:r>
          </w:p>
        </w:tc>
        <w:tc>
          <w:tcPr>
            <w:tcW w:w="567" w:type="dxa"/>
            <w:shd w:val="clear" w:color="auto" w:fill="auto"/>
            <w:noWrap/>
            <w:hideMark/>
          </w:tcPr>
          <w:p w14:paraId="7EAB5423"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0DC7B476"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Nutrients</w:t>
            </w:r>
          </w:p>
        </w:tc>
        <w:tc>
          <w:tcPr>
            <w:tcW w:w="850" w:type="dxa"/>
            <w:shd w:val="clear" w:color="auto" w:fill="auto"/>
            <w:noWrap/>
            <w:hideMark/>
          </w:tcPr>
          <w:p w14:paraId="4162BC27" w14:textId="77777777" w:rsidR="008F3151" w:rsidRPr="00D518FF" w:rsidRDefault="008F3151">
            <w:pPr>
              <w:rPr>
                <w:rFonts w:ascii="Aptos" w:hAnsi="Aptos"/>
                <w:color w:val="000000"/>
                <w:sz w:val="16"/>
                <w:szCs w:val="16"/>
              </w:rPr>
            </w:pPr>
            <w:r w:rsidRPr="00D518FF">
              <w:rPr>
                <w:rFonts w:ascii="Aptos" w:hAnsi="Aptos"/>
                <w:color w:val="000000"/>
                <w:sz w:val="16"/>
                <w:szCs w:val="16"/>
              </w:rPr>
              <w:t>13</w:t>
            </w:r>
          </w:p>
        </w:tc>
        <w:tc>
          <w:tcPr>
            <w:tcW w:w="567" w:type="dxa"/>
            <w:shd w:val="clear" w:color="auto" w:fill="auto"/>
            <w:noWrap/>
            <w:hideMark/>
          </w:tcPr>
          <w:p w14:paraId="03D9013C"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3710FED7" w14:textId="4317A5CE" w:rsidR="008F3151" w:rsidRPr="00D518FF" w:rsidRDefault="00AE1C65">
            <w:pPr>
              <w:rPr>
                <w:rFonts w:ascii="Aptos" w:hAnsi="Aptos"/>
                <w:color w:val="000000"/>
                <w:sz w:val="16"/>
                <w:szCs w:val="16"/>
              </w:rPr>
            </w:pPr>
            <w:r>
              <w:rPr>
                <w:rFonts w:ascii="Aptos" w:hAnsi="Aptos"/>
                <w:color w:val="000000"/>
                <w:sz w:val="16"/>
                <w:szCs w:val="16"/>
              </w:rPr>
              <w:t>1226</w:t>
            </w:r>
          </w:p>
        </w:tc>
        <w:tc>
          <w:tcPr>
            <w:tcW w:w="2126" w:type="dxa"/>
            <w:shd w:val="clear" w:color="auto" w:fill="auto"/>
            <w:noWrap/>
            <w:hideMark/>
          </w:tcPr>
          <w:p w14:paraId="220D3FBF"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549D1FF5" w14:textId="77777777" w:rsidTr="004C6AA1">
        <w:trPr>
          <w:trHeight w:val="320"/>
        </w:trPr>
        <w:tc>
          <w:tcPr>
            <w:tcW w:w="4182" w:type="dxa"/>
            <w:shd w:val="clear" w:color="auto" w:fill="auto"/>
            <w:noWrap/>
            <w:hideMark/>
          </w:tcPr>
          <w:p w14:paraId="20F2A933"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Impact of polyunsaturated fatty acids on patient-important outcomes in children and adolescents with autism spectrum disorder: a systematic review</w:t>
            </w:r>
          </w:p>
        </w:tc>
        <w:tc>
          <w:tcPr>
            <w:tcW w:w="3544" w:type="dxa"/>
            <w:shd w:val="clear" w:color="auto" w:fill="auto"/>
            <w:noWrap/>
            <w:hideMark/>
          </w:tcPr>
          <w:p w14:paraId="1851D1FC" w14:textId="77777777" w:rsidR="008F3151" w:rsidRPr="00D518FF" w:rsidRDefault="008F3151">
            <w:pPr>
              <w:rPr>
                <w:rFonts w:ascii="Aptos" w:hAnsi="Aptos"/>
                <w:color w:val="000000"/>
                <w:sz w:val="16"/>
                <w:szCs w:val="16"/>
              </w:rPr>
            </w:pPr>
            <w:r w:rsidRPr="00D518FF">
              <w:rPr>
                <w:rFonts w:ascii="Aptos" w:hAnsi="Aptos"/>
                <w:color w:val="000000"/>
                <w:sz w:val="16"/>
                <w:szCs w:val="16"/>
              </w:rPr>
              <w:t>De Crescenzo, F.; D'Al√≤, G. L.; Morgano, G. P.; Minozzi, S.; Mitrova, Z.; Saulle, R.; Cruciani, F.; Fulceri, F.; Davoli, M.; Scattoni, M. L.; Nardocci, F.; Sch√ºnemann, H. J.; Amato, L.; Isaca guideline working group</w:t>
            </w:r>
          </w:p>
        </w:tc>
        <w:tc>
          <w:tcPr>
            <w:tcW w:w="567" w:type="dxa"/>
            <w:shd w:val="clear" w:color="auto" w:fill="auto"/>
            <w:noWrap/>
            <w:hideMark/>
          </w:tcPr>
          <w:p w14:paraId="15F17CD4"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701" w:type="dxa"/>
            <w:shd w:val="clear" w:color="auto" w:fill="auto"/>
            <w:noWrap/>
            <w:hideMark/>
          </w:tcPr>
          <w:p w14:paraId="6C4E810B" w14:textId="77777777" w:rsidR="008F3151" w:rsidRPr="00D518FF" w:rsidRDefault="008F3151">
            <w:pPr>
              <w:rPr>
                <w:rFonts w:ascii="Aptos" w:hAnsi="Aptos"/>
                <w:color w:val="000000"/>
                <w:sz w:val="16"/>
                <w:szCs w:val="16"/>
              </w:rPr>
            </w:pPr>
            <w:r w:rsidRPr="00D518FF">
              <w:rPr>
                <w:rFonts w:ascii="Aptos" w:hAnsi="Aptos"/>
                <w:color w:val="000000"/>
                <w:sz w:val="16"/>
                <w:szCs w:val="16"/>
              </w:rPr>
              <w:t>Health and quality of life outcomes</w:t>
            </w:r>
          </w:p>
        </w:tc>
        <w:tc>
          <w:tcPr>
            <w:tcW w:w="850" w:type="dxa"/>
            <w:shd w:val="clear" w:color="auto" w:fill="auto"/>
            <w:noWrap/>
            <w:hideMark/>
          </w:tcPr>
          <w:p w14:paraId="1AB96D66"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567" w:type="dxa"/>
            <w:shd w:val="clear" w:color="auto" w:fill="auto"/>
            <w:noWrap/>
            <w:hideMark/>
          </w:tcPr>
          <w:p w14:paraId="56A692D5"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4F5BD8BC" w14:textId="77777777" w:rsidR="008F3151" w:rsidRPr="00D518FF" w:rsidRDefault="008F3151">
            <w:pPr>
              <w:rPr>
                <w:rFonts w:ascii="Aptos" w:hAnsi="Aptos"/>
                <w:color w:val="000000"/>
                <w:sz w:val="16"/>
                <w:szCs w:val="16"/>
              </w:rPr>
            </w:pPr>
            <w:r w:rsidRPr="00D518FF">
              <w:rPr>
                <w:rFonts w:ascii="Aptos" w:hAnsi="Aptos"/>
                <w:color w:val="000000"/>
                <w:sz w:val="16"/>
                <w:szCs w:val="16"/>
              </w:rPr>
              <w:t>28</w:t>
            </w:r>
          </w:p>
        </w:tc>
        <w:tc>
          <w:tcPr>
            <w:tcW w:w="2126" w:type="dxa"/>
            <w:shd w:val="clear" w:color="auto" w:fill="auto"/>
            <w:noWrap/>
            <w:hideMark/>
          </w:tcPr>
          <w:p w14:paraId="11967898"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057AFE0A" w14:textId="77777777" w:rsidTr="004C6AA1">
        <w:trPr>
          <w:trHeight w:val="320"/>
        </w:trPr>
        <w:tc>
          <w:tcPr>
            <w:tcW w:w="4182" w:type="dxa"/>
            <w:shd w:val="clear" w:color="auto" w:fill="auto"/>
            <w:noWrap/>
            <w:hideMark/>
          </w:tcPr>
          <w:p w14:paraId="2ADFD172" w14:textId="77777777" w:rsidR="008F3151" w:rsidRPr="00D518FF" w:rsidRDefault="008F3151">
            <w:pPr>
              <w:rPr>
                <w:rFonts w:ascii="Aptos" w:hAnsi="Aptos"/>
                <w:color w:val="000000"/>
                <w:sz w:val="16"/>
                <w:szCs w:val="16"/>
              </w:rPr>
            </w:pPr>
            <w:r w:rsidRPr="00D518FF">
              <w:rPr>
                <w:rFonts w:ascii="Aptos" w:hAnsi="Aptos"/>
                <w:color w:val="000000"/>
                <w:sz w:val="16"/>
                <w:szCs w:val="16"/>
              </w:rPr>
              <w:t>Marine Omega-3 Fatty Acid Supplementation for Borderline Personality Disorder: A Meta-Analysis</w:t>
            </w:r>
          </w:p>
        </w:tc>
        <w:tc>
          <w:tcPr>
            <w:tcW w:w="3544" w:type="dxa"/>
            <w:shd w:val="clear" w:color="auto" w:fill="auto"/>
            <w:noWrap/>
            <w:hideMark/>
          </w:tcPr>
          <w:p w14:paraId="6772DB47" w14:textId="77777777" w:rsidR="008F3151" w:rsidRPr="00D518FF" w:rsidRDefault="008F3151">
            <w:pPr>
              <w:rPr>
                <w:rFonts w:ascii="Aptos" w:hAnsi="Aptos"/>
                <w:color w:val="000000"/>
                <w:sz w:val="16"/>
                <w:szCs w:val="16"/>
              </w:rPr>
            </w:pPr>
            <w:r w:rsidRPr="00D518FF">
              <w:rPr>
                <w:rFonts w:ascii="Aptos" w:hAnsi="Aptos"/>
                <w:color w:val="000000"/>
                <w:sz w:val="16"/>
                <w:szCs w:val="16"/>
              </w:rPr>
              <w:t>Karaszewska, D. M.; Ingenhoven, T.; Mocking, R. J. T.</w:t>
            </w:r>
          </w:p>
        </w:tc>
        <w:tc>
          <w:tcPr>
            <w:tcW w:w="567" w:type="dxa"/>
            <w:shd w:val="clear" w:color="auto" w:fill="auto"/>
            <w:noWrap/>
            <w:hideMark/>
          </w:tcPr>
          <w:p w14:paraId="3C531CF8"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5B8B1854" w14:textId="77777777" w:rsidR="008F3151" w:rsidRPr="00D518FF" w:rsidRDefault="008F3151">
            <w:pPr>
              <w:rPr>
                <w:rFonts w:ascii="Aptos" w:hAnsi="Aptos"/>
                <w:color w:val="000000"/>
                <w:sz w:val="16"/>
                <w:szCs w:val="16"/>
              </w:rPr>
            </w:pPr>
            <w:r w:rsidRPr="00D518FF">
              <w:rPr>
                <w:rFonts w:ascii="Aptos" w:hAnsi="Aptos"/>
                <w:color w:val="000000"/>
                <w:sz w:val="16"/>
                <w:szCs w:val="16"/>
              </w:rPr>
              <w:t>The Journal of clinical psychiatry</w:t>
            </w:r>
          </w:p>
        </w:tc>
        <w:tc>
          <w:tcPr>
            <w:tcW w:w="850" w:type="dxa"/>
            <w:shd w:val="clear" w:color="auto" w:fill="auto"/>
            <w:noWrap/>
            <w:hideMark/>
          </w:tcPr>
          <w:p w14:paraId="02313E3D" w14:textId="77777777" w:rsidR="008F3151" w:rsidRPr="00D518FF" w:rsidRDefault="008F3151">
            <w:pPr>
              <w:rPr>
                <w:rFonts w:ascii="Aptos" w:hAnsi="Aptos"/>
                <w:color w:val="000000"/>
                <w:sz w:val="16"/>
                <w:szCs w:val="16"/>
              </w:rPr>
            </w:pPr>
            <w:r w:rsidRPr="00D518FF">
              <w:rPr>
                <w:rFonts w:ascii="Aptos" w:hAnsi="Aptos"/>
                <w:color w:val="000000"/>
                <w:sz w:val="16"/>
                <w:szCs w:val="16"/>
              </w:rPr>
              <w:t>82</w:t>
            </w:r>
          </w:p>
        </w:tc>
        <w:tc>
          <w:tcPr>
            <w:tcW w:w="567" w:type="dxa"/>
            <w:shd w:val="clear" w:color="auto" w:fill="auto"/>
            <w:noWrap/>
            <w:hideMark/>
          </w:tcPr>
          <w:p w14:paraId="362D56F8"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046E3367" w14:textId="59C9E684" w:rsidR="008F3151" w:rsidRPr="00D518FF" w:rsidRDefault="00AE1C65">
            <w:pPr>
              <w:rPr>
                <w:rFonts w:ascii="Aptos" w:hAnsi="Aptos"/>
                <w:color w:val="000000"/>
                <w:sz w:val="16"/>
                <w:szCs w:val="16"/>
              </w:rPr>
            </w:pPr>
            <w:r>
              <w:rPr>
                <w:rFonts w:ascii="Aptos" w:hAnsi="Aptos"/>
                <w:color w:val="000000"/>
                <w:sz w:val="16"/>
                <w:szCs w:val="16"/>
              </w:rPr>
              <w:t>-</w:t>
            </w:r>
          </w:p>
        </w:tc>
        <w:tc>
          <w:tcPr>
            <w:tcW w:w="2126" w:type="dxa"/>
            <w:shd w:val="clear" w:color="auto" w:fill="auto"/>
            <w:noWrap/>
            <w:hideMark/>
          </w:tcPr>
          <w:p w14:paraId="12B6AF97"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F26576" w:rsidRPr="00D518FF" w14:paraId="0F4D5F84" w14:textId="77777777" w:rsidTr="00887C84">
        <w:trPr>
          <w:trHeight w:val="320"/>
        </w:trPr>
        <w:tc>
          <w:tcPr>
            <w:tcW w:w="4182" w:type="dxa"/>
            <w:shd w:val="clear" w:color="auto" w:fill="auto"/>
            <w:noWrap/>
            <w:hideMark/>
          </w:tcPr>
          <w:p w14:paraId="5A70725D" w14:textId="77777777" w:rsidR="00F26576" w:rsidRPr="00D518FF" w:rsidRDefault="00F26576">
            <w:pPr>
              <w:rPr>
                <w:rFonts w:ascii="Aptos" w:hAnsi="Aptos"/>
                <w:color w:val="000000"/>
                <w:sz w:val="16"/>
                <w:szCs w:val="16"/>
              </w:rPr>
            </w:pPr>
            <w:r w:rsidRPr="00D518FF">
              <w:rPr>
                <w:rFonts w:ascii="Aptos" w:hAnsi="Aptos"/>
                <w:color w:val="000000"/>
                <w:sz w:val="16"/>
                <w:szCs w:val="16"/>
              </w:rPr>
              <w:t>Omega-3 Fatty Acid Dietary Supplements Consumed During Pregnancy and Lactation and Child Neurodevelopment: A Systematic Review</w:t>
            </w:r>
          </w:p>
        </w:tc>
        <w:tc>
          <w:tcPr>
            <w:tcW w:w="3544" w:type="dxa"/>
            <w:shd w:val="clear" w:color="auto" w:fill="auto"/>
            <w:noWrap/>
            <w:hideMark/>
          </w:tcPr>
          <w:p w14:paraId="26E0447C" w14:textId="77777777" w:rsidR="00F26576" w:rsidRPr="00D518FF" w:rsidRDefault="00F26576">
            <w:pPr>
              <w:rPr>
                <w:rFonts w:ascii="Aptos" w:hAnsi="Aptos"/>
                <w:color w:val="000000"/>
                <w:sz w:val="16"/>
                <w:szCs w:val="16"/>
              </w:rPr>
            </w:pPr>
            <w:r w:rsidRPr="00D518FF">
              <w:rPr>
                <w:rFonts w:ascii="Aptos" w:hAnsi="Aptos"/>
                <w:color w:val="000000"/>
                <w:sz w:val="16"/>
                <w:szCs w:val="16"/>
              </w:rPr>
              <w:t>Nevins, J. E. H.; Donovan, S. M.; Snetselaar, L.; Dewey, K. G.; Novotny, R.; Stang, J.; Taveras, E. M.; Kleinman, R. E.; Bailey, R. L.; Raghavan, R.; Scinto-Madonich, S. R.; Venkatramanan, S.; Butera, G.; Terry, N.; Altman, J.; Adler, M.; Obbagy, J. E.; Stoody, E. E.; de Jesus, J.</w:t>
            </w:r>
          </w:p>
        </w:tc>
        <w:tc>
          <w:tcPr>
            <w:tcW w:w="567" w:type="dxa"/>
            <w:shd w:val="clear" w:color="auto" w:fill="auto"/>
            <w:noWrap/>
            <w:hideMark/>
          </w:tcPr>
          <w:p w14:paraId="04B015B4" w14:textId="77777777" w:rsidR="00F26576" w:rsidRPr="00D518FF" w:rsidRDefault="00F26576">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08A9E900" w14:textId="77777777" w:rsidR="00F26576" w:rsidRPr="00D518FF" w:rsidRDefault="00F26576">
            <w:pPr>
              <w:rPr>
                <w:rFonts w:ascii="Aptos" w:hAnsi="Aptos"/>
                <w:color w:val="000000"/>
                <w:sz w:val="16"/>
                <w:szCs w:val="16"/>
              </w:rPr>
            </w:pPr>
            <w:r w:rsidRPr="00D518FF">
              <w:rPr>
                <w:rFonts w:ascii="Aptos" w:hAnsi="Aptos"/>
                <w:color w:val="000000"/>
                <w:sz w:val="16"/>
                <w:szCs w:val="16"/>
              </w:rPr>
              <w:t>The Journal of nutrition</w:t>
            </w:r>
          </w:p>
        </w:tc>
        <w:tc>
          <w:tcPr>
            <w:tcW w:w="850" w:type="dxa"/>
            <w:shd w:val="clear" w:color="auto" w:fill="auto"/>
          </w:tcPr>
          <w:p w14:paraId="723D46E5" w14:textId="493CDDF3" w:rsidR="00F26576" w:rsidRPr="00D518FF" w:rsidRDefault="005838F9">
            <w:pPr>
              <w:rPr>
                <w:rFonts w:ascii="Aptos" w:hAnsi="Aptos"/>
                <w:color w:val="000000"/>
                <w:sz w:val="16"/>
                <w:szCs w:val="16"/>
              </w:rPr>
            </w:pPr>
            <w:r>
              <w:rPr>
                <w:rFonts w:ascii="Aptos" w:hAnsi="Aptos"/>
                <w:color w:val="000000"/>
                <w:sz w:val="16"/>
                <w:szCs w:val="16"/>
              </w:rPr>
              <w:t>151</w:t>
            </w:r>
          </w:p>
        </w:tc>
        <w:tc>
          <w:tcPr>
            <w:tcW w:w="567" w:type="dxa"/>
            <w:shd w:val="clear" w:color="auto" w:fill="auto"/>
            <w:noWrap/>
            <w:hideMark/>
          </w:tcPr>
          <w:p w14:paraId="33D5BB59" w14:textId="2E439D18" w:rsidR="00F26576" w:rsidRPr="00D518FF" w:rsidRDefault="005838F9">
            <w:pPr>
              <w:rPr>
                <w:rFonts w:ascii="Aptos" w:hAnsi="Aptos"/>
                <w:color w:val="000000"/>
                <w:sz w:val="16"/>
                <w:szCs w:val="16"/>
              </w:rPr>
            </w:pPr>
            <w:r>
              <w:rPr>
                <w:rFonts w:ascii="Aptos" w:hAnsi="Aptos"/>
                <w:color w:val="000000"/>
                <w:sz w:val="16"/>
                <w:szCs w:val="16"/>
              </w:rPr>
              <w:t>11</w:t>
            </w:r>
          </w:p>
        </w:tc>
        <w:tc>
          <w:tcPr>
            <w:tcW w:w="709" w:type="dxa"/>
            <w:shd w:val="clear" w:color="auto" w:fill="auto"/>
            <w:noWrap/>
            <w:hideMark/>
          </w:tcPr>
          <w:p w14:paraId="29811E6C" w14:textId="0BE9C6FE" w:rsidR="00F26576" w:rsidRPr="00D518FF" w:rsidRDefault="005838F9">
            <w:pPr>
              <w:rPr>
                <w:rFonts w:ascii="Aptos" w:hAnsi="Aptos"/>
                <w:sz w:val="16"/>
                <w:szCs w:val="16"/>
              </w:rPr>
            </w:pPr>
            <w:r w:rsidRPr="005838F9">
              <w:rPr>
                <w:rFonts w:ascii="Aptos" w:hAnsi="Aptos"/>
                <w:sz w:val="16"/>
                <w:szCs w:val="16"/>
              </w:rPr>
              <w:t>3483-3494</w:t>
            </w:r>
          </w:p>
        </w:tc>
        <w:tc>
          <w:tcPr>
            <w:tcW w:w="2126" w:type="dxa"/>
            <w:shd w:val="clear" w:color="auto" w:fill="auto"/>
            <w:noWrap/>
            <w:hideMark/>
          </w:tcPr>
          <w:p w14:paraId="5978EDF3" w14:textId="77777777" w:rsidR="00F26576" w:rsidRPr="00D518FF" w:rsidRDefault="00F26576">
            <w:pPr>
              <w:rPr>
                <w:rFonts w:ascii="Aptos" w:hAnsi="Aptos"/>
                <w:color w:val="000000"/>
                <w:sz w:val="16"/>
                <w:szCs w:val="16"/>
              </w:rPr>
            </w:pPr>
            <w:r w:rsidRPr="00D518FF">
              <w:rPr>
                <w:rFonts w:ascii="Aptos" w:hAnsi="Aptos"/>
                <w:color w:val="000000"/>
                <w:sz w:val="16"/>
                <w:szCs w:val="16"/>
              </w:rPr>
              <w:t>Wrong patient population</w:t>
            </w:r>
          </w:p>
        </w:tc>
      </w:tr>
      <w:tr w:rsidR="00F26576" w:rsidRPr="00D518FF" w14:paraId="614E5DD2" w14:textId="77777777" w:rsidTr="004C6AA1">
        <w:trPr>
          <w:trHeight w:val="320"/>
        </w:trPr>
        <w:tc>
          <w:tcPr>
            <w:tcW w:w="4182" w:type="dxa"/>
            <w:shd w:val="clear" w:color="auto" w:fill="auto"/>
            <w:noWrap/>
            <w:hideMark/>
          </w:tcPr>
          <w:p w14:paraId="2656156F" w14:textId="77777777" w:rsidR="00F26576" w:rsidRPr="00D518FF" w:rsidRDefault="00F26576">
            <w:pPr>
              <w:rPr>
                <w:rFonts w:ascii="Aptos" w:hAnsi="Aptos"/>
                <w:color w:val="000000"/>
                <w:sz w:val="16"/>
                <w:szCs w:val="16"/>
              </w:rPr>
            </w:pPr>
            <w:r w:rsidRPr="00D518FF">
              <w:rPr>
                <w:rFonts w:ascii="Aptos" w:hAnsi="Aptos"/>
                <w:color w:val="000000"/>
                <w:sz w:val="16"/>
                <w:szCs w:val="16"/>
              </w:rPr>
              <w:t>Pharmacological interventions for borderline personality disorder</w:t>
            </w:r>
          </w:p>
        </w:tc>
        <w:tc>
          <w:tcPr>
            <w:tcW w:w="3544" w:type="dxa"/>
            <w:shd w:val="clear" w:color="auto" w:fill="auto"/>
            <w:noWrap/>
            <w:hideMark/>
          </w:tcPr>
          <w:p w14:paraId="4F810BEE" w14:textId="226FA262" w:rsidR="00F26576" w:rsidRPr="00D518FF" w:rsidRDefault="00AF58FE">
            <w:pPr>
              <w:rPr>
                <w:rFonts w:ascii="Aptos" w:hAnsi="Aptos"/>
                <w:color w:val="000000"/>
                <w:sz w:val="16"/>
                <w:szCs w:val="16"/>
              </w:rPr>
            </w:pPr>
            <w:r w:rsidRPr="00AF58FE">
              <w:rPr>
                <w:rFonts w:ascii="Aptos" w:hAnsi="Aptos"/>
                <w:color w:val="000000"/>
                <w:sz w:val="16"/>
                <w:szCs w:val="16"/>
              </w:rPr>
              <w:t>Stoffers</w:t>
            </w:r>
            <w:r w:rsidRPr="00AF58FE">
              <w:rPr>
                <w:rFonts w:ascii="Cambria Math" w:hAnsi="Cambria Math" w:cs="Cambria Math"/>
                <w:color w:val="000000"/>
                <w:sz w:val="16"/>
                <w:szCs w:val="16"/>
              </w:rPr>
              <w:t>‐</w:t>
            </w:r>
            <w:r w:rsidRPr="00AF58FE">
              <w:rPr>
                <w:rFonts w:ascii="Aptos" w:hAnsi="Aptos"/>
                <w:color w:val="000000"/>
                <w:sz w:val="16"/>
                <w:szCs w:val="16"/>
              </w:rPr>
              <w:t>Winterling JM, Storebø OJ, Völlm BA, Mattivi JT, Nielsen SS, Kielsholm ML, Faltinsen EG, Simonsen E, Lieb K.</w:t>
            </w:r>
          </w:p>
        </w:tc>
        <w:tc>
          <w:tcPr>
            <w:tcW w:w="567" w:type="dxa"/>
            <w:shd w:val="clear" w:color="auto" w:fill="auto"/>
            <w:noWrap/>
            <w:hideMark/>
          </w:tcPr>
          <w:p w14:paraId="24B383AD" w14:textId="77777777" w:rsidR="00F26576" w:rsidRPr="00D518FF" w:rsidRDefault="00F26576">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hideMark/>
          </w:tcPr>
          <w:p w14:paraId="4F344AAB" w14:textId="77777777" w:rsidR="00F26576" w:rsidRPr="00D518FF" w:rsidRDefault="00F26576">
            <w:pPr>
              <w:rPr>
                <w:rFonts w:ascii="Aptos" w:hAnsi="Aptos"/>
                <w:color w:val="000000"/>
                <w:sz w:val="16"/>
                <w:szCs w:val="16"/>
              </w:rPr>
            </w:pPr>
            <w:r w:rsidRPr="00D518FF">
              <w:rPr>
                <w:rFonts w:ascii="Aptos" w:hAnsi="Aptos"/>
                <w:color w:val="000000"/>
                <w:sz w:val="16"/>
                <w:szCs w:val="16"/>
              </w:rPr>
              <w:t>Cochrane database of systematic reviews (Online)</w:t>
            </w:r>
          </w:p>
        </w:tc>
        <w:tc>
          <w:tcPr>
            <w:tcW w:w="850" w:type="dxa"/>
            <w:shd w:val="clear" w:color="auto" w:fill="auto"/>
          </w:tcPr>
          <w:p w14:paraId="15CF5200" w14:textId="21AF2DAA" w:rsidR="00F26576" w:rsidRPr="00D518FF" w:rsidRDefault="00AF58FE">
            <w:pPr>
              <w:rPr>
                <w:rFonts w:ascii="Aptos" w:hAnsi="Aptos"/>
                <w:color w:val="000000"/>
                <w:sz w:val="16"/>
                <w:szCs w:val="16"/>
              </w:rPr>
            </w:pPr>
            <w:r>
              <w:rPr>
                <w:rFonts w:ascii="Aptos" w:hAnsi="Aptos"/>
                <w:color w:val="000000"/>
                <w:sz w:val="16"/>
                <w:szCs w:val="16"/>
              </w:rPr>
              <w:t>-</w:t>
            </w:r>
          </w:p>
        </w:tc>
        <w:tc>
          <w:tcPr>
            <w:tcW w:w="567" w:type="dxa"/>
            <w:shd w:val="clear" w:color="auto" w:fill="auto"/>
            <w:noWrap/>
            <w:hideMark/>
          </w:tcPr>
          <w:p w14:paraId="4D898EC9" w14:textId="77777777" w:rsidR="00F26576" w:rsidRPr="00D518FF" w:rsidRDefault="00F26576">
            <w:pPr>
              <w:rPr>
                <w:rFonts w:ascii="Aptos" w:hAnsi="Aptos"/>
                <w:color w:val="000000"/>
                <w:sz w:val="16"/>
                <w:szCs w:val="16"/>
              </w:rPr>
            </w:pPr>
            <w:r w:rsidRPr="00D518FF">
              <w:rPr>
                <w:rFonts w:ascii="Aptos" w:hAnsi="Aptos"/>
                <w:color w:val="000000"/>
                <w:sz w:val="16"/>
                <w:szCs w:val="16"/>
              </w:rPr>
              <w:t>6</w:t>
            </w:r>
          </w:p>
        </w:tc>
        <w:tc>
          <w:tcPr>
            <w:tcW w:w="709" w:type="dxa"/>
            <w:shd w:val="clear" w:color="auto" w:fill="auto"/>
            <w:noWrap/>
            <w:hideMark/>
          </w:tcPr>
          <w:p w14:paraId="3137851E" w14:textId="77777777" w:rsidR="00F26576" w:rsidRPr="00D518FF" w:rsidRDefault="00F26576">
            <w:pPr>
              <w:rPr>
                <w:rFonts w:ascii="Aptos" w:hAnsi="Aptos"/>
                <w:color w:val="000000"/>
                <w:sz w:val="16"/>
                <w:szCs w:val="16"/>
              </w:rPr>
            </w:pPr>
            <w:r w:rsidRPr="00D518FF">
              <w:rPr>
                <w:rFonts w:ascii="Aptos" w:hAnsi="Aptos"/>
                <w:color w:val="000000"/>
                <w:sz w:val="16"/>
                <w:szCs w:val="16"/>
              </w:rPr>
              <w:t>CD005653</w:t>
            </w:r>
          </w:p>
        </w:tc>
        <w:tc>
          <w:tcPr>
            <w:tcW w:w="2126" w:type="dxa"/>
            <w:shd w:val="clear" w:color="auto" w:fill="auto"/>
            <w:noWrap/>
            <w:hideMark/>
          </w:tcPr>
          <w:p w14:paraId="39FAB068" w14:textId="77777777" w:rsidR="00F26576" w:rsidRPr="00D518FF" w:rsidRDefault="00F26576">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1E441946" w14:textId="77777777" w:rsidTr="004C6AA1">
        <w:trPr>
          <w:trHeight w:val="320"/>
        </w:trPr>
        <w:tc>
          <w:tcPr>
            <w:tcW w:w="4182" w:type="dxa"/>
            <w:shd w:val="clear" w:color="auto" w:fill="auto"/>
            <w:noWrap/>
            <w:hideMark/>
          </w:tcPr>
          <w:p w14:paraId="16722B8A" w14:textId="77777777" w:rsidR="008F3151" w:rsidRPr="00D518FF" w:rsidRDefault="008F3151">
            <w:pPr>
              <w:rPr>
                <w:rFonts w:ascii="Aptos" w:hAnsi="Aptos"/>
                <w:color w:val="000000"/>
                <w:sz w:val="16"/>
                <w:szCs w:val="16"/>
              </w:rPr>
            </w:pPr>
            <w:r w:rsidRPr="00D518FF">
              <w:rPr>
                <w:rFonts w:ascii="Aptos" w:hAnsi="Aptos"/>
                <w:color w:val="000000"/>
                <w:sz w:val="16"/>
                <w:szCs w:val="16"/>
              </w:rPr>
              <w:t>Pharmacotherapy for borderline personality disorder: Cochrane systematic review of randomised trials</w:t>
            </w:r>
          </w:p>
        </w:tc>
        <w:tc>
          <w:tcPr>
            <w:tcW w:w="3544" w:type="dxa"/>
            <w:shd w:val="clear" w:color="auto" w:fill="auto"/>
            <w:noWrap/>
            <w:hideMark/>
          </w:tcPr>
          <w:p w14:paraId="34FD1657" w14:textId="55C220AB" w:rsidR="008F3151" w:rsidRPr="00D518FF" w:rsidRDefault="00785903">
            <w:pPr>
              <w:rPr>
                <w:rFonts w:ascii="Aptos" w:hAnsi="Aptos"/>
                <w:color w:val="000000"/>
                <w:sz w:val="16"/>
                <w:szCs w:val="16"/>
              </w:rPr>
            </w:pPr>
            <w:r w:rsidRPr="00785903">
              <w:rPr>
                <w:rFonts w:ascii="Aptos" w:hAnsi="Aptos"/>
                <w:color w:val="000000"/>
                <w:sz w:val="16"/>
                <w:szCs w:val="16"/>
              </w:rPr>
              <w:t>Lieb K, Völlm B, Rücker G, Timmer A, Stoffers JM.</w:t>
            </w:r>
          </w:p>
        </w:tc>
        <w:tc>
          <w:tcPr>
            <w:tcW w:w="567" w:type="dxa"/>
            <w:shd w:val="clear" w:color="auto" w:fill="auto"/>
            <w:noWrap/>
            <w:hideMark/>
          </w:tcPr>
          <w:p w14:paraId="6C4ECCD6"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hideMark/>
          </w:tcPr>
          <w:p w14:paraId="261527A7" w14:textId="77777777" w:rsidR="008F3151" w:rsidRPr="00D518FF" w:rsidRDefault="008F3151">
            <w:pPr>
              <w:rPr>
                <w:rFonts w:ascii="Aptos" w:hAnsi="Aptos"/>
                <w:color w:val="000000"/>
                <w:sz w:val="16"/>
                <w:szCs w:val="16"/>
              </w:rPr>
            </w:pPr>
            <w:r w:rsidRPr="00D518FF">
              <w:rPr>
                <w:rFonts w:ascii="Aptos" w:hAnsi="Aptos"/>
                <w:color w:val="000000"/>
                <w:sz w:val="16"/>
                <w:szCs w:val="16"/>
              </w:rPr>
              <w:t>The British journal of psychiatry : the journal of mental science</w:t>
            </w:r>
          </w:p>
        </w:tc>
        <w:tc>
          <w:tcPr>
            <w:tcW w:w="850" w:type="dxa"/>
            <w:shd w:val="clear" w:color="auto" w:fill="auto"/>
            <w:noWrap/>
            <w:hideMark/>
          </w:tcPr>
          <w:p w14:paraId="149EF987" w14:textId="77777777" w:rsidR="008F3151" w:rsidRPr="00D518FF" w:rsidRDefault="008F3151">
            <w:pPr>
              <w:rPr>
                <w:rFonts w:ascii="Aptos" w:hAnsi="Aptos"/>
                <w:color w:val="000000"/>
                <w:sz w:val="16"/>
                <w:szCs w:val="16"/>
              </w:rPr>
            </w:pPr>
            <w:r w:rsidRPr="00D518FF">
              <w:rPr>
                <w:rFonts w:ascii="Aptos" w:hAnsi="Aptos"/>
                <w:color w:val="000000"/>
                <w:sz w:val="16"/>
                <w:szCs w:val="16"/>
              </w:rPr>
              <w:t>196</w:t>
            </w:r>
          </w:p>
        </w:tc>
        <w:tc>
          <w:tcPr>
            <w:tcW w:w="567" w:type="dxa"/>
            <w:shd w:val="clear" w:color="auto" w:fill="auto"/>
            <w:noWrap/>
            <w:hideMark/>
          </w:tcPr>
          <w:p w14:paraId="31D76AF0"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302E4A30" w14:textId="65A9FAB2" w:rsidR="008F3151" w:rsidRPr="00D518FF" w:rsidRDefault="008F3151">
            <w:pPr>
              <w:rPr>
                <w:rFonts w:ascii="Aptos" w:hAnsi="Aptos"/>
                <w:color w:val="000000"/>
                <w:sz w:val="16"/>
                <w:szCs w:val="16"/>
              </w:rPr>
            </w:pPr>
            <w:r w:rsidRPr="00D518FF">
              <w:rPr>
                <w:rFonts w:ascii="Aptos" w:hAnsi="Aptos"/>
                <w:color w:val="000000"/>
                <w:sz w:val="16"/>
                <w:szCs w:val="16"/>
              </w:rPr>
              <w:t>4-</w:t>
            </w:r>
            <w:r w:rsidR="00937525">
              <w:rPr>
                <w:rFonts w:ascii="Aptos" w:hAnsi="Aptos"/>
                <w:color w:val="000000"/>
                <w:sz w:val="16"/>
                <w:szCs w:val="16"/>
              </w:rPr>
              <w:t>12</w:t>
            </w:r>
          </w:p>
        </w:tc>
        <w:tc>
          <w:tcPr>
            <w:tcW w:w="2126" w:type="dxa"/>
            <w:shd w:val="clear" w:color="auto" w:fill="auto"/>
            <w:noWrap/>
            <w:hideMark/>
          </w:tcPr>
          <w:p w14:paraId="7AE0D479"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0EB0CF29" w14:textId="77777777" w:rsidTr="004C6AA1">
        <w:trPr>
          <w:trHeight w:val="320"/>
        </w:trPr>
        <w:tc>
          <w:tcPr>
            <w:tcW w:w="4182" w:type="dxa"/>
            <w:shd w:val="clear" w:color="auto" w:fill="auto"/>
            <w:noWrap/>
            <w:hideMark/>
          </w:tcPr>
          <w:p w14:paraId="358A5AE3" w14:textId="77777777" w:rsidR="008F3151" w:rsidRPr="00D518FF" w:rsidRDefault="008F3151">
            <w:pPr>
              <w:rPr>
                <w:rFonts w:ascii="Aptos" w:hAnsi="Aptos"/>
                <w:color w:val="000000"/>
                <w:sz w:val="16"/>
                <w:szCs w:val="16"/>
              </w:rPr>
            </w:pPr>
            <w:r w:rsidRPr="00D518FF">
              <w:rPr>
                <w:rFonts w:ascii="Aptos" w:hAnsi="Aptos"/>
                <w:color w:val="000000"/>
                <w:sz w:val="16"/>
                <w:szCs w:val="16"/>
              </w:rPr>
              <w:t>Polyunsaturated fatty acids (PUFA) for attention deficit hyperactivity disorder (ADHD) in children and adolescents</w:t>
            </w:r>
          </w:p>
        </w:tc>
        <w:tc>
          <w:tcPr>
            <w:tcW w:w="3544" w:type="dxa"/>
            <w:shd w:val="clear" w:color="auto" w:fill="auto"/>
            <w:noWrap/>
            <w:hideMark/>
          </w:tcPr>
          <w:p w14:paraId="17CD82BF" w14:textId="77777777" w:rsidR="008F3151" w:rsidRPr="00D518FF" w:rsidRDefault="008F3151">
            <w:pPr>
              <w:rPr>
                <w:rFonts w:ascii="Aptos" w:hAnsi="Aptos"/>
                <w:color w:val="000000"/>
                <w:sz w:val="16"/>
                <w:szCs w:val="16"/>
              </w:rPr>
            </w:pPr>
            <w:r w:rsidRPr="00D518FF">
              <w:rPr>
                <w:rFonts w:ascii="Aptos" w:hAnsi="Aptos"/>
                <w:color w:val="000000"/>
                <w:sz w:val="16"/>
                <w:szCs w:val="16"/>
              </w:rPr>
              <w:t>Gillies, D.; Leach, M. J.; Perez Algorta, G.</w:t>
            </w:r>
          </w:p>
        </w:tc>
        <w:tc>
          <w:tcPr>
            <w:tcW w:w="567" w:type="dxa"/>
            <w:shd w:val="clear" w:color="auto" w:fill="auto"/>
            <w:noWrap/>
            <w:hideMark/>
          </w:tcPr>
          <w:p w14:paraId="421D896A" w14:textId="77777777" w:rsidR="008F3151" w:rsidRPr="00D518FF" w:rsidRDefault="008F3151">
            <w:pPr>
              <w:rPr>
                <w:rFonts w:ascii="Aptos" w:hAnsi="Aptos"/>
                <w:color w:val="000000"/>
                <w:sz w:val="16"/>
                <w:szCs w:val="16"/>
              </w:rPr>
            </w:pPr>
            <w:r w:rsidRPr="00D518FF">
              <w:rPr>
                <w:rFonts w:ascii="Aptos" w:hAnsi="Aptos"/>
                <w:color w:val="000000"/>
                <w:sz w:val="16"/>
                <w:szCs w:val="16"/>
              </w:rPr>
              <w:t>2023</w:t>
            </w:r>
          </w:p>
        </w:tc>
        <w:tc>
          <w:tcPr>
            <w:tcW w:w="1701" w:type="dxa"/>
            <w:shd w:val="clear" w:color="auto" w:fill="auto"/>
            <w:noWrap/>
            <w:hideMark/>
          </w:tcPr>
          <w:p w14:paraId="022D91E9" w14:textId="77777777" w:rsidR="008F3151" w:rsidRPr="00D518FF" w:rsidRDefault="008F3151">
            <w:pPr>
              <w:rPr>
                <w:rFonts w:ascii="Aptos" w:hAnsi="Aptos"/>
                <w:color w:val="000000"/>
                <w:sz w:val="16"/>
                <w:szCs w:val="16"/>
              </w:rPr>
            </w:pPr>
            <w:r w:rsidRPr="00D518FF">
              <w:rPr>
                <w:rFonts w:ascii="Aptos" w:hAnsi="Aptos"/>
                <w:color w:val="000000"/>
                <w:sz w:val="16"/>
                <w:szCs w:val="16"/>
              </w:rPr>
              <w:t>The Cochrane database of systematic reviews</w:t>
            </w:r>
          </w:p>
        </w:tc>
        <w:tc>
          <w:tcPr>
            <w:tcW w:w="850" w:type="dxa"/>
            <w:shd w:val="clear" w:color="auto" w:fill="auto"/>
            <w:noWrap/>
            <w:hideMark/>
          </w:tcPr>
          <w:p w14:paraId="2943486D"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567" w:type="dxa"/>
            <w:shd w:val="clear" w:color="auto" w:fill="auto"/>
            <w:noWrap/>
            <w:hideMark/>
          </w:tcPr>
          <w:p w14:paraId="153E3A98"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0F5A9E28" w14:textId="77777777" w:rsidR="008F3151" w:rsidRPr="00D518FF" w:rsidRDefault="008F3151">
            <w:pPr>
              <w:rPr>
                <w:rFonts w:ascii="Aptos" w:hAnsi="Aptos"/>
                <w:color w:val="000000"/>
                <w:sz w:val="16"/>
                <w:szCs w:val="16"/>
              </w:rPr>
            </w:pPr>
            <w:r w:rsidRPr="00D518FF">
              <w:rPr>
                <w:rFonts w:ascii="Aptos" w:hAnsi="Aptos"/>
                <w:color w:val="000000"/>
                <w:sz w:val="16"/>
                <w:szCs w:val="16"/>
              </w:rPr>
              <w:t>CD007986</w:t>
            </w:r>
          </w:p>
        </w:tc>
        <w:tc>
          <w:tcPr>
            <w:tcW w:w="2126" w:type="dxa"/>
            <w:shd w:val="clear" w:color="auto" w:fill="auto"/>
            <w:noWrap/>
            <w:hideMark/>
          </w:tcPr>
          <w:p w14:paraId="22721C3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F26576" w:rsidRPr="00D518FF" w14:paraId="21229744" w14:textId="77777777" w:rsidTr="00887C84">
        <w:trPr>
          <w:trHeight w:val="320"/>
        </w:trPr>
        <w:tc>
          <w:tcPr>
            <w:tcW w:w="4182" w:type="dxa"/>
            <w:shd w:val="clear" w:color="auto" w:fill="auto"/>
            <w:noWrap/>
            <w:hideMark/>
          </w:tcPr>
          <w:p w14:paraId="30080A53" w14:textId="77777777" w:rsidR="00F26576" w:rsidRPr="00D518FF" w:rsidRDefault="00F26576">
            <w:pPr>
              <w:rPr>
                <w:rFonts w:ascii="Aptos" w:hAnsi="Aptos"/>
                <w:color w:val="000000"/>
                <w:sz w:val="16"/>
                <w:szCs w:val="16"/>
              </w:rPr>
            </w:pPr>
            <w:r w:rsidRPr="00D518FF">
              <w:rPr>
                <w:rFonts w:ascii="Aptos" w:hAnsi="Aptos"/>
                <w:color w:val="000000"/>
                <w:sz w:val="16"/>
                <w:szCs w:val="16"/>
              </w:rPr>
              <w:t>The association between nonpharmacological interventions and quality of life in children with attention deficit hyperactivity disorder: A systematic review</w:t>
            </w:r>
          </w:p>
        </w:tc>
        <w:tc>
          <w:tcPr>
            <w:tcW w:w="3544" w:type="dxa"/>
            <w:shd w:val="clear" w:color="auto" w:fill="auto"/>
            <w:noWrap/>
            <w:hideMark/>
          </w:tcPr>
          <w:p w14:paraId="3F80CEFF" w14:textId="77777777" w:rsidR="00F26576" w:rsidRPr="00D518FF" w:rsidRDefault="00F26576">
            <w:pPr>
              <w:rPr>
                <w:rFonts w:ascii="Aptos" w:hAnsi="Aptos"/>
                <w:color w:val="000000"/>
                <w:sz w:val="16"/>
                <w:szCs w:val="16"/>
              </w:rPr>
            </w:pPr>
            <w:r w:rsidRPr="00D518FF">
              <w:rPr>
                <w:rFonts w:ascii="Aptos" w:hAnsi="Aptos"/>
                <w:color w:val="000000"/>
                <w:sz w:val="16"/>
                <w:szCs w:val="16"/>
              </w:rPr>
              <w:t>Jensen, M. L.; Vamosi, M.</w:t>
            </w:r>
          </w:p>
        </w:tc>
        <w:tc>
          <w:tcPr>
            <w:tcW w:w="567" w:type="dxa"/>
            <w:shd w:val="clear" w:color="auto" w:fill="auto"/>
            <w:noWrap/>
            <w:hideMark/>
          </w:tcPr>
          <w:p w14:paraId="4B91D2FE" w14:textId="77777777" w:rsidR="00F26576" w:rsidRPr="00D518FF" w:rsidRDefault="00F26576">
            <w:pPr>
              <w:rPr>
                <w:rFonts w:ascii="Aptos" w:hAnsi="Aptos"/>
                <w:color w:val="000000"/>
                <w:sz w:val="16"/>
                <w:szCs w:val="16"/>
              </w:rPr>
            </w:pPr>
            <w:r w:rsidRPr="00D518FF">
              <w:rPr>
                <w:rFonts w:ascii="Aptos" w:hAnsi="Aptos"/>
                <w:color w:val="000000"/>
                <w:sz w:val="16"/>
                <w:szCs w:val="16"/>
              </w:rPr>
              <w:t>2022</w:t>
            </w:r>
          </w:p>
        </w:tc>
        <w:tc>
          <w:tcPr>
            <w:tcW w:w="1701" w:type="dxa"/>
            <w:shd w:val="clear" w:color="auto" w:fill="auto"/>
            <w:noWrap/>
            <w:hideMark/>
          </w:tcPr>
          <w:p w14:paraId="279FB761" w14:textId="77777777" w:rsidR="00F26576" w:rsidRPr="00D518FF" w:rsidRDefault="00F26576">
            <w:pPr>
              <w:rPr>
                <w:rFonts w:ascii="Aptos" w:hAnsi="Aptos"/>
                <w:color w:val="000000"/>
                <w:sz w:val="16"/>
                <w:szCs w:val="16"/>
              </w:rPr>
            </w:pPr>
            <w:r w:rsidRPr="00D518FF">
              <w:rPr>
                <w:rFonts w:ascii="Aptos" w:hAnsi="Aptos"/>
                <w:color w:val="000000"/>
                <w:sz w:val="16"/>
                <w:szCs w:val="16"/>
              </w:rPr>
              <w:t>Journal of child and adolescent psychiatric nursing : official publication of the Association of Child and Adolescent Psychiatric Nurses, Inc</w:t>
            </w:r>
          </w:p>
        </w:tc>
        <w:tc>
          <w:tcPr>
            <w:tcW w:w="850" w:type="dxa"/>
            <w:shd w:val="clear" w:color="auto" w:fill="auto"/>
          </w:tcPr>
          <w:p w14:paraId="0068B485" w14:textId="7FFA7271" w:rsidR="00F26576" w:rsidRPr="00D518FF" w:rsidRDefault="00CD33D5">
            <w:pPr>
              <w:rPr>
                <w:rFonts w:ascii="Aptos" w:hAnsi="Aptos"/>
                <w:color w:val="000000"/>
                <w:sz w:val="16"/>
                <w:szCs w:val="16"/>
              </w:rPr>
            </w:pPr>
            <w:r>
              <w:rPr>
                <w:rFonts w:ascii="Aptos" w:hAnsi="Aptos"/>
                <w:color w:val="000000"/>
                <w:sz w:val="16"/>
                <w:szCs w:val="16"/>
              </w:rPr>
              <w:t>36</w:t>
            </w:r>
          </w:p>
        </w:tc>
        <w:tc>
          <w:tcPr>
            <w:tcW w:w="567" w:type="dxa"/>
            <w:shd w:val="clear" w:color="auto" w:fill="auto"/>
          </w:tcPr>
          <w:p w14:paraId="4BE213BA" w14:textId="4F18C13A" w:rsidR="00F26576" w:rsidRPr="00D518FF" w:rsidRDefault="00CD33D5">
            <w:pPr>
              <w:rPr>
                <w:rFonts w:ascii="Aptos" w:hAnsi="Aptos"/>
                <w:color w:val="000000"/>
                <w:sz w:val="16"/>
                <w:szCs w:val="16"/>
              </w:rPr>
            </w:pPr>
            <w:r>
              <w:rPr>
                <w:rFonts w:ascii="Aptos" w:hAnsi="Aptos"/>
                <w:color w:val="000000"/>
                <w:sz w:val="16"/>
                <w:szCs w:val="16"/>
              </w:rPr>
              <w:t>2</w:t>
            </w:r>
          </w:p>
        </w:tc>
        <w:tc>
          <w:tcPr>
            <w:tcW w:w="709" w:type="dxa"/>
            <w:shd w:val="clear" w:color="auto" w:fill="auto"/>
          </w:tcPr>
          <w:p w14:paraId="3458499E" w14:textId="525B20DB" w:rsidR="00F26576" w:rsidRPr="00D518FF" w:rsidRDefault="00CD33D5">
            <w:pPr>
              <w:rPr>
                <w:rFonts w:ascii="Aptos" w:hAnsi="Aptos"/>
                <w:color w:val="000000"/>
                <w:sz w:val="16"/>
                <w:szCs w:val="16"/>
              </w:rPr>
            </w:pPr>
            <w:r>
              <w:rPr>
                <w:rFonts w:ascii="Aptos" w:hAnsi="Aptos"/>
                <w:color w:val="000000"/>
                <w:sz w:val="16"/>
                <w:szCs w:val="16"/>
              </w:rPr>
              <w:t>114-123</w:t>
            </w:r>
          </w:p>
        </w:tc>
        <w:tc>
          <w:tcPr>
            <w:tcW w:w="2126" w:type="dxa"/>
            <w:shd w:val="clear" w:color="auto" w:fill="auto"/>
            <w:noWrap/>
            <w:hideMark/>
          </w:tcPr>
          <w:p w14:paraId="3A0D0917" w14:textId="77777777" w:rsidR="00F26576" w:rsidRPr="00D518FF" w:rsidRDefault="00F26576">
            <w:pPr>
              <w:rPr>
                <w:rFonts w:ascii="Aptos" w:hAnsi="Aptos"/>
                <w:color w:val="000000"/>
                <w:sz w:val="16"/>
                <w:szCs w:val="16"/>
              </w:rPr>
            </w:pPr>
            <w:r w:rsidRPr="00D518FF">
              <w:rPr>
                <w:rFonts w:ascii="Aptos" w:hAnsi="Aptos"/>
                <w:color w:val="000000"/>
                <w:sz w:val="16"/>
                <w:szCs w:val="16"/>
              </w:rPr>
              <w:t>Wrong patient population</w:t>
            </w:r>
          </w:p>
        </w:tc>
      </w:tr>
      <w:tr w:rsidR="00F26576" w:rsidRPr="00D518FF" w14:paraId="375443B7" w14:textId="77777777" w:rsidTr="00887C84">
        <w:trPr>
          <w:trHeight w:val="320"/>
        </w:trPr>
        <w:tc>
          <w:tcPr>
            <w:tcW w:w="4182" w:type="dxa"/>
            <w:shd w:val="clear" w:color="auto" w:fill="auto"/>
            <w:noWrap/>
            <w:hideMark/>
          </w:tcPr>
          <w:p w14:paraId="4711D25C" w14:textId="77777777" w:rsidR="00F26576" w:rsidRPr="00D518FF" w:rsidRDefault="00F26576">
            <w:pPr>
              <w:rPr>
                <w:rFonts w:ascii="Aptos" w:hAnsi="Aptos"/>
                <w:color w:val="000000"/>
                <w:sz w:val="16"/>
                <w:szCs w:val="16"/>
              </w:rPr>
            </w:pPr>
            <w:r w:rsidRPr="00D518FF">
              <w:rPr>
                <w:rFonts w:ascii="Aptos" w:hAnsi="Aptos"/>
                <w:color w:val="000000"/>
                <w:sz w:val="16"/>
                <w:szCs w:val="16"/>
              </w:rPr>
              <w:t>The effectiveness of omega-3 fatty acids in reducing symptoms of attention deficit hyperactivity disorder</w:t>
            </w:r>
          </w:p>
        </w:tc>
        <w:tc>
          <w:tcPr>
            <w:tcW w:w="3544" w:type="dxa"/>
            <w:shd w:val="clear" w:color="auto" w:fill="auto"/>
            <w:noWrap/>
            <w:hideMark/>
          </w:tcPr>
          <w:p w14:paraId="1C4CF0BB" w14:textId="37319268" w:rsidR="00F26576" w:rsidRPr="00D518FF" w:rsidRDefault="00A254EB">
            <w:pPr>
              <w:rPr>
                <w:rFonts w:ascii="Aptos" w:hAnsi="Aptos"/>
                <w:color w:val="000000"/>
                <w:sz w:val="16"/>
                <w:szCs w:val="16"/>
              </w:rPr>
            </w:pPr>
            <w:r w:rsidRPr="00A254EB">
              <w:rPr>
                <w:rFonts w:ascii="Aptos" w:hAnsi="Aptos"/>
                <w:color w:val="000000"/>
                <w:sz w:val="16"/>
                <w:szCs w:val="16"/>
              </w:rPr>
              <w:t>Abdullah M, Jowett B, Whittaker PJ, Patterson L. </w:t>
            </w:r>
          </w:p>
        </w:tc>
        <w:tc>
          <w:tcPr>
            <w:tcW w:w="567" w:type="dxa"/>
            <w:shd w:val="clear" w:color="auto" w:fill="auto"/>
          </w:tcPr>
          <w:p w14:paraId="4EBC06B5" w14:textId="149A1485" w:rsidR="00F26576" w:rsidRPr="00D518FF" w:rsidRDefault="00CD33D5">
            <w:pPr>
              <w:rPr>
                <w:rFonts w:ascii="Aptos" w:hAnsi="Aptos"/>
                <w:color w:val="000000"/>
                <w:sz w:val="16"/>
                <w:szCs w:val="16"/>
              </w:rPr>
            </w:pPr>
            <w:r>
              <w:rPr>
                <w:rFonts w:ascii="Aptos" w:hAnsi="Aptos"/>
                <w:color w:val="000000"/>
                <w:sz w:val="16"/>
                <w:szCs w:val="16"/>
              </w:rPr>
              <w:t>2019</w:t>
            </w:r>
          </w:p>
        </w:tc>
        <w:tc>
          <w:tcPr>
            <w:tcW w:w="1701" w:type="dxa"/>
            <w:shd w:val="clear" w:color="auto" w:fill="auto"/>
          </w:tcPr>
          <w:p w14:paraId="1E5A2041" w14:textId="00274BF3" w:rsidR="00F26576" w:rsidRPr="00D518FF" w:rsidRDefault="00A254EB" w:rsidP="00A254EB">
            <w:pPr>
              <w:rPr>
                <w:rFonts w:ascii="Aptos" w:hAnsi="Aptos"/>
                <w:color w:val="000000"/>
                <w:sz w:val="16"/>
                <w:szCs w:val="16"/>
              </w:rPr>
            </w:pPr>
            <w:r w:rsidRPr="00A254EB">
              <w:rPr>
                <w:rFonts w:ascii="Aptos" w:hAnsi="Aptos"/>
                <w:color w:val="000000"/>
                <w:sz w:val="16"/>
                <w:szCs w:val="16"/>
              </w:rPr>
              <w:t>J</w:t>
            </w:r>
            <w:r w:rsidR="009C3940">
              <w:rPr>
                <w:rFonts w:ascii="Aptos" w:hAnsi="Aptos"/>
                <w:color w:val="000000"/>
                <w:sz w:val="16"/>
                <w:szCs w:val="16"/>
              </w:rPr>
              <w:t xml:space="preserve">ournal of </w:t>
            </w:r>
            <w:r w:rsidRPr="00A254EB">
              <w:rPr>
                <w:rFonts w:ascii="Aptos" w:hAnsi="Aptos"/>
                <w:color w:val="000000"/>
                <w:sz w:val="16"/>
                <w:szCs w:val="16"/>
              </w:rPr>
              <w:t>Psychiatr</w:t>
            </w:r>
            <w:r w:rsidR="009C3940">
              <w:rPr>
                <w:rFonts w:ascii="Aptos" w:hAnsi="Aptos"/>
                <w:color w:val="000000"/>
                <w:sz w:val="16"/>
                <w:szCs w:val="16"/>
              </w:rPr>
              <w:t>ic Research</w:t>
            </w:r>
          </w:p>
        </w:tc>
        <w:tc>
          <w:tcPr>
            <w:tcW w:w="850" w:type="dxa"/>
            <w:shd w:val="clear" w:color="auto" w:fill="auto"/>
          </w:tcPr>
          <w:p w14:paraId="02941092" w14:textId="54E43075" w:rsidR="00F26576" w:rsidRPr="00D518FF" w:rsidRDefault="009C3940">
            <w:pPr>
              <w:rPr>
                <w:rFonts w:ascii="Aptos" w:hAnsi="Aptos"/>
                <w:color w:val="000000"/>
                <w:sz w:val="16"/>
                <w:szCs w:val="16"/>
              </w:rPr>
            </w:pPr>
            <w:r>
              <w:rPr>
                <w:rFonts w:ascii="Aptos" w:hAnsi="Aptos"/>
                <w:color w:val="000000"/>
                <w:sz w:val="16"/>
                <w:szCs w:val="16"/>
              </w:rPr>
              <w:t>110</w:t>
            </w:r>
          </w:p>
        </w:tc>
        <w:tc>
          <w:tcPr>
            <w:tcW w:w="567" w:type="dxa"/>
            <w:shd w:val="clear" w:color="auto" w:fill="auto"/>
          </w:tcPr>
          <w:p w14:paraId="11BFF847" w14:textId="5C12FD01" w:rsidR="00F26576" w:rsidRPr="00D518FF" w:rsidRDefault="009C3940">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0CA48201" w14:textId="644798A3" w:rsidR="00F26576" w:rsidRPr="00D518FF" w:rsidRDefault="00CD33D5">
            <w:pPr>
              <w:rPr>
                <w:rFonts w:ascii="Aptos" w:hAnsi="Aptos"/>
                <w:color w:val="000000"/>
                <w:sz w:val="16"/>
                <w:szCs w:val="16"/>
              </w:rPr>
            </w:pPr>
            <w:r w:rsidRPr="00CD33D5">
              <w:rPr>
                <w:rFonts w:ascii="Aptos" w:hAnsi="Aptos"/>
                <w:color w:val="000000"/>
                <w:sz w:val="16"/>
                <w:szCs w:val="16"/>
              </w:rPr>
              <w:t>64-73</w:t>
            </w:r>
          </w:p>
        </w:tc>
        <w:tc>
          <w:tcPr>
            <w:tcW w:w="2126" w:type="dxa"/>
            <w:shd w:val="clear" w:color="auto" w:fill="auto"/>
            <w:noWrap/>
            <w:hideMark/>
          </w:tcPr>
          <w:p w14:paraId="1E1C1B69" w14:textId="77777777" w:rsidR="00F26576" w:rsidRPr="00D518FF" w:rsidRDefault="00F26576">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538500C9" w14:textId="77777777" w:rsidTr="004C6AA1">
        <w:trPr>
          <w:trHeight w:val="320"/>
        </w:trPr>
        <w:tc>
          <w:tcPr>
            <w:tcW w:w="4182" w:type="dxa"/>
            <w:shd w:val="clear" w:color="auto" w:fill="auto"/>
            <w:noWrap/>
            <w:hideMark/>
          </w:tcPr>
          <w:p w14:paraId="36B6A2A4"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efficacy of n-3 fatty acids DHA and EPA (fish oil) for perinatal depression</w:t>
            </w:r>
          </w:p>
        </w:tc>
        <w:tc>
          <w:tcPr>
            <w:tcW w:w="3544" w:type="dxa"/>
            <w:shd w:val="clear" w:color="auto" w:fill="auto"/>
            <w:noWrap/>
            <w:hideMark/>
          </w:tcPr>
          <w:p w14:paraId="178A3B48" w14:textId="77777777" w:rsidR="008F3151" w:rsidRPr="00D518FF" w:rsidRDefault="008F3151">
            <w:pPr>
              <w:rPr>
                <w:rFonts w:ascii="Aptos" w:hAnsi="Aptos"/>
                <w:color w:val="000000"/>
                <w:sz w:val="16"/>
                <w:szCs w:val="16"/>
              </w:rPr>
            </w:pPr>
            <w:r w:rsidRPr="00D518FF">
              <w:rPr>
                <w:rFonts w:ascii="Aptos" w:hAnsi="Aptos"/>
                <w:color w:val="000000"/>
                <w:sz w:val="16"/>
                <w:szCs w:val="16"/>
              </w:rPr>
              <w:t>Jans, L. A. W.; Giltay, E. J.; Willem Van Der Does, A. J.</w:t>
            </w:r>
          </w:p>
        </w:tc>
        <w:tc>
          <w:tcPr>
            <w:tcW w:w="567" w:type="dxa"/>
            <w:shd w:val="clear" w:color="auto" w:fill="auto"/>
            <w:noWrap/>
            <w:hideMark/>
          </w:tcPr>
          <w:p w14:paraId="2D10FA7F"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hideMark/>
          </w:tcPr>
          <w:p w14:paraId="7F669C98" w14:textId="77777777" w:rsidR="008F3151" w:rsidRPr="00D518FF" w:rsidRDefault="008F3151">
            <w:pPr>
              <w:rPr>
                <w:rFonts w:ascii="Aptos" w:hAnsi="Aptos"/>
                <w:color w:val="000000"/>
                <w:sz w:val="16"/>
                <w:szCs w:val="16"/>
              </w:rPr>
            </w:pPr>
            <w:r w:rsidRPr="00D518FF">
              <w:rPr>
                <w:rFonts w:ascii="Aptos" w:hAnsi="Aptos"/>
                <w:color w:val="000000"/>
                <w:sz w:val="16"/>
                <w:szCs w:val="16"/>
              </w:rPr>
              <w:t>British Journal of Nutrition</w:t>
            </w:r>
          </w:p>
        </w:tc>
        <w:tc>
          <w:tcPr>
            <w:tcW w:w="850" w:type="dxa"/>
            <w:shd w:val="clear" w:color="auto" w:fill="auto"/>
            <w:noWrap/>
            <w:hideMark/>
          </w:tcPr>
          <w:p w14:paraId="1E9277D8" w14:textId="77777777" w:rsidR="008F3151" w:rsidRPr="00D518FF" w:rsidRDefault="008F3151">
            <w:pPr>
              <w:rPr>
                <w:rFonts w:ascii="Aptos" w:hAnsi="Aptos"/>
                <w:color w:val="000000"/>
                <w:sz w:val="16"/>
                <w:szCs w:val="16"/>
              </w:rPr>
            </w:pPr>
            <w:r w:rsidRPr="00D518FF">
              <w:rPr>
                <w:rFonts w:ascii="Aptos" w:hAnsi="Aptos"/>
                <w:color w:val="000000"/>
                <w:sz w:val="16"/>
                <w:szCs w:val="16"/>
              </w:rPr>
              <w:t>104</w:t>
            </w:r>
          </w:p>
        </w:tc>
        <w:tc>
          <w:tcPr>
            <w:tcW w:w="567" w:type="dxa"/>
            <w:shd w:val="clear" w:color="auto" w:fill="auto"/>
            <w:noWrap/>
            <w:hideMark/>
          </w:tcPr>
          <w:p w14:paraId="740C606C" w14:textId="77777777" w:rsidR="008F3151" w:rsidRPr="00D518FF" w:rsidRDefault="008F3151">
            <w:pPr>
              <w:rPr>
                <w:rFonts w:ascii="Aptos" w:hAnsi="Aptos"/>
                <w:color w:val="000000"/>
                <w:sz w:val="16"/>
                <w:szCs w:val="16"/>
              </w:rPr>
            </w:pPr>
            <w:r w:rsidRPr="00D518FF">
              <w:rPr>
                <w:rFonts w:ascii="Aptos" w:hAnsi="Aptos"/>
                <w:color w:val="000000"/>
                <w:sz w:val="16"/>
                <w:szCs w:val="16"/>
              </w:rPr>
              <w:t>11</w:t>
            </w:r>
          </w:p>
        </w:tc>
        <w:tc>
          <w:tcPr>
            <w:tcW w:w="709" w:type="dxa"/>
            <w:shd w:val="clear" w:color="auto" w:fill="auto"/>
            <w:noWrap/>
            <w:hideMark/>
          </w:tcPr>
          <w:p w14:paraId="19DC0FF7" w14:textId="77777777" w:rsidR="008F3151" w:rsidRPr="00D518FF" w:rsidRDefault="008F3151">
            <w:pPr>
              <w:rPr>
                <w:rFonts w:ascii="Aptos" w:hAnsi="Aptos"/>
                <w:color w:val="000000"/>
                <w:sz w:val="16"/>
                <w:szCs w:val="16"/>
              </w:rPr>
            </w:pPr>
            <w:r w:rsidRPr="00D518FF">
              <w:rPr>
                <w:rFonts w:ascii="Aptos" w:hAnsi="Aptos"/>
                <w:color w:val="000000"/>
                <w:sz w:val="16"/>
                <w:szCs w:val="16"/>
              </w:rPr>
              <w:t>1577-1585</w:t>
            </w:r>
          </w:p>
        </w:tc>
        <w:tc>
          <w:tcPr>
            <w:tcW w:w="2126" w:type="dxa"/>
            <w:shd w:val="clear" w:color="auto" w:fill="auto"/>
            <w:noWrap/>
            <w:hideMark/>
          </w:tcPr>
          <w:p w14:paraId="2A5D2C9B"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04CD09C6" w14:textId="77777777" w:rsidTr="004C6AA1">
        <w:trPr>
          <w:trHeight w:val="320"/>
        </w:trPr>
        <w:tc>
          <w:tcPr>
            <w:tcW w:w="4182" w:type="dxa"/>
            <w:shd w:val="clear" w:color="auto" w:fill="auto"/>
            <w:noWrap/>
            <w:hideMark/>
          </w:tcPr>
          <w:p w14:paraId="307C0DFD" w14:textId="77777777" w:rsidR="008F3151" w:rsidRPr="00D518FF" w:rsidRDefault="008F3151">
            <w:pPr>
              <w:rPr>
                <w:rFonts w:ascii="Aptos" w:hAnsi="Aptos"/>
                <w:color w:val="000000"/>
                <w:sz w:val="16"/>
                <w:szCs w:val="16"/>
              </w:rPr>
            </w:pPr>
            <w:r w:rsidRPr="00D518FF">
              <w:rPr>
                <w:rFonts w:ascii="Aptos" w:hAnsi="Aptos"/>
                <w:color w:val="000000"/>
                <w:sz w:val="16"/>
                <w:szCs w:val="16"/>
              </w:rPr>
              <w:t>The Role of Omega-3 Fatty Acids in Developmental Psychopathology: A Systematic Review on Early Psychosis, Autism, and ADHD</w:t>
            </w:r>
          </w:p>
        </w:tc>
        <w:tc>
          <w:tcPr>
            <w:tcW w:w="3544" w:type="dxa"/>
            <w:shd w:val="clear" w:color="auto" w:fill="auto"/>
            <w:noWrap/>
            <w:hideMark/>
          </w:tcPr>
          <w:p w14:paraId="22317D20" w14:textId="77777777" w:rsidR="008F3151" w:rsidRPr="00D518FF" w:rsidRDefault="008F3151">
            <w:pPr>
              <w:rPr>
                <w:rFonts w:ascii="Aptos" w:hAnsi="Aptos"/>
                <w:color w:val="000000"/>
                <w:sz w:val="16"/>
                <w:szCs w:val="16"/>
              </w:rPr>
            </w:pPr>
            <w:r w:rsidRPr="00D518FF">
              <w:rPr>
                <w:rFonts w:ascii="Aptos" w:hAnsi="Aptos"/>
                <w:color w:val="000000"/>
                <w:sz w:val="16"/>
                <w:szCs w:val="16"/>
              </w:rPr>
              <w:t>Agostoni, C.; Nobile, M.; Ciappolino, V.; Delvecchio, G.; Tesei, A.; Turolo, S.; Crippa, A.; Mazzocchi, A.; Altamura, C. A.; Brambilla, P.</w:t>
            </w:r>
          </w:p>
        </w:tc>
        <w:tc>
          <w:tcPr>
            <w:tcW w:w="567" w:type="dxa"/>
            <w:shd w:val="clear" w:color="auto" w:fill="auto"/>
            <w:noWrap/>
            <w:hideMark/>
          </w:tcPr>
          <w:p w14:paraId="5F9A02C6"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1701" w:type="dxa"/>
            <w:shd w:val="clear" w:color="auto" w:fill="auto"/>
            <w:noWrap/>
            <w:hideMark/>
          </w:tcPr>
          <w:p w14:paraId="32695114"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molecular sciences</w:t>
            </w:r>
          </w:p>
        </w:tc>
        <w:tc>
          <w:tcPr>
            <w:tcW w:w="850" w:type="dxa"/>
            <w:shd w:val="clear" w:color="auto" w:fill="auto"/>
            <w:noWrap/>
            <w:hideMark/>
          </w:tcPr>
          <w:p w14:paraId="0D583C5E"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567" w:type="dxa"/>
            <w:shd w:val="clear" w:color="auto" w:fill="auto"/>
            <w:noWrap/>
            <w:hideMark/>
          </w:tcPr>
          <w:p w14:paraId="0D109C4C"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709" w:type="dxa"/>
            <w:shd w:val="clear" w:color="auto" w:fill="auto"/>
            <w:noWrap/>
            <w:hideMark/>
          </w:tcPr>
          <w:p w14:paraId="5148C149" w14:textId="77777777" w:rsidR="008F3151" w:rsidRPr="00D518FF" w:rsidRDefault="008F3151">
            <w:pPr>
              <w:rPr>
                <w:rFonts w:ascii="Aptos" w:hAnsi="Aptos"/>
                <w:color w:val="000000"/>
                <w:sz w:val="16"/>
                <w:szCs w:val="16"/>
              </w:rPr>
            </w:pPr>
          </w:p>
        </w:tc>
        <w:tc>
          <w:tcPr>
            <w:tcW w:w="2126" w:type="dxa"/>
            <w:shd w:val="clear" w:color="auto" w:fill="auto"/>
            <w:noWrap/>
            <w:hideMark/>
          </w:tcPr>
          <w:p w14:paraId="6F2BF7C4"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662E6D95" w14:textId="77777777" w:rsidTr="004C6AA1">
        <w:trPr>
          <w:trHeight w:val="320"/>
        </w:trPr>
        <w:tc>
          <w:tcPr>
            <w:tcW w:w="4182" w:type="dxa"/>
            <w:shd w:val="clear" w:color="auto" w:fill="auto"/>
            <w:noWrap/>
            <w:hideMark/>
          </w:tcPr>
          <w:p w14:paraId="48FCB63D" w14:textId="77777777" w:rsidR="008F3151" w:rsidRPr="00D518FF" w:rsidRDefault="008F3151">
            <w:pPr>
              <w:rPr>
                <w:rFonts w:ascii="Aptos" w:hAnsi="Aptos"/>
                <w:color w:val="000000"/>
                <w:sz w:val="16"/>
                <w:szCs w:val="16"/>
              </w:rPr>
            </w:pPr>
            <w:r w:rsidRPr="00D518FF">
              <w:rPr>
                <w:rFonts w:ascii="Aptos" w:hAnsi="Aptos"/>
                <w:color w:val="000000"/>
                <w:sz w:val="16"/>
                <w:szCs w:val="16"/>
              </w:rPr>
              <w:t>Anti-Inflammatory Treatment Efficacy in Major Depressive Disorder: A Systematic Review of Meta-Analyses</w:t>
            </w:r>
          </w:p>
        </w:tc>
        <w:tc>
          <w:tcPr>
            <w:tcW w:w="3544" w:type="dxa"/>
            <w:shd w:val="clear" w:color="auto" w:fill="auto"/>
            <w:noWrap/>
            <w:hideMark/>
          </w:tcPr>
          <w:p w14:paraId="21E81CAD" w14:textId="77777777" w:rsidR="008F3151" w:rsidRPr="00D518FF" w:rsidRDefault="008F3151">
            <w:pPr>
              <w:rPr>
                <w:rFonts w:ascii="Aptos" w:hAnsi="Aptos"/>
                <w:color w:val="000000"/>
                <w:sz w:val="16"/>
                <w:szCs w:val="16"/>
              </w:rPr>
            </w:pPr>
            <w:r w:rsidRPr="00D518FF">
              <w:rPr>
                <w:rFonts w:ascii="Aptos" w:hAnsi="Aptos"/>
                <w:color w:val="000000"/>
                <w:sz w:val="16"/>
                <w:szCs w:val="16"/>
              </w:rPr>
              <w:t>Simon, M. S.; Arteaga-Henr√≠quez, G.; Fouad Algendy, A.; Siepmann, T.; Illigens, B. M. W.</w:t>
            </w:r>
          </w:p>
        </w:tc>
        <w:tc>
          <w:tcPr>
            <w:tcW w:w="567" w:type="dxa"/>
            <w:shd w:val="clear" w:color="auto" w:fill="auto"/>
            <w:noWrap/>
            <w:hideMark/>
          </w:tcPr>
          <w:p w14:paraId="60A0DC82" w14:textId="77777777" w:rsidR="008F3151" w:rsidRPr="00D518FF" w:rsidRDefault="008F3151">
            <w:pPr>
              <w:rPr>
                <w:rFonts w:ascii="Aptos" w:hAnsi="Aptos"/>
                <w:color w:val="000000"/>
                <w:sz w:val="16"/>
                <w:szCs w:val="16"/>
              </w:rPr>
            </w:pPr>
            <w:r w:rsidRPr="00D518FF">
              <w:rPr>
                <w:rFonts w:ascii="Aptos" w:hAnsi="Aptos"/>
                <w:color w:val="000000"/>
                <w:sz w:val="16"/>
                <w:szCs w:val="16"/>
              </w:rPr>
              <w:t>2023</w:t>
            </w:r>
          </w:p>
        </w:tc>
        <w:tc>
          <w:tcPr>
            <w:tcW w:w="1701" w:type="dxa"/>
            <w:shd w:val="clear" w:color="auto" w:fill="auto"/>
            <w:noWrap/>
            <w:hideMark/>
          </w:tcPr>
          <w:p w14:paraId="163841E5" w14:textId="77777777" w:rsidR="008F3151" w:rsidRPr="00D518FF" w:rsidRDefault="008F3151">
            <w:pPr>
              <w:rPr>
                <w:rFonts w:ascii="Aptos" w:hAnsi="Aptos"/>
                <w:color w:val="000000"/>
                <w:sz w:val="16"/>
                <w:szCs w:val="16"/>
              </w:rPr>
            </w:pPr>
            <w:r w:rsidRPr="00D518FF">
              <w:rPr>
                <w:rFonts w:ascii="Aptos" w:hAnsi="Aptos"/>
                <w:color w:val="000000"/>
                <w:sz w:val="16"/>
                <w:szCs w:val="16"/>
              </w:rPr>
              <w:t>Neuropsychiatric Disease and Treatment</w:t>
            </w:r>
          </w:p>
        </w:tc>
        <w:tc>
          <w:tcPr>
            <w:tcW w:w="850" w:type="dxa"/>
            <w:shd w:val="clear" w:color="auto" w:fill="auto"/>
            <w:noWrap/>
            <w:hideMark/>
          </w:tcPr>
          <w:p w14:paraId="0744996E" w14:textId="77777777" w:rsidR="008F3151" w:rsidRPr="00D518FF" w:rsidRDefault="008F3151">
            <w:pPr>
              <w:rPr>
                <w:rFonts w:ascii="Aptos" w:hAnsi="Aptos"/>
                <w:color w:val="000000"/>
                <w:sz w:val="16"/>
                <w:szCs w:val="16"/>
              </w:rPr>
            </w:pPr>
            <w:r w:rsidRPr="00D518FF">
              <w:rPr>
                <w:rFonts w:ascii="Aptos" w:hAnsi="Aptos"/>
                <w:color w:val="000000"/>
                <w:sz w:val="16"/>
                <w:szCs w:val="16"/>
              </w:rPr>
              <w:t>19</w:t>
            </w:r>
          </w:p>
        </w:tc>
        <w:tc>
          <w:tcPr>
            <w:tcW w:w="567" w:type="dxa"/>
            <w:shd w:val="clear" w:color="auto" w:fill="auto"/>
            <w:noWrap/>
            <w:hideMark/>
          </w:tcPr>
          <w:p w14:paraId="6DBEBD04" w14:textId="019A89E0" w:rsidR="008F3151" w:rsidRPr="00D518FF" w:rsidRDefault="00554D66">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49663B2A" w14:textId="380FF3D4" w:rsidR="008F3151" w:rsidRPr="00D518FF" w:rsidRDefault="00554D66">
            <w:pPr>
              <w:rPr>
                <w:rFonts w:ascii="Aptos" w:hAnsi="Aptos"/>
                <w:color w:val="000000"/>
                <w:sz w:val="16"/>
                <w:szCs w:val="16"/>
              </w:rPr>
            </w:pPr>
            <w:r>
              <w:rPr>
                <w:rFonts w:ascii="Aptos" w:hAnsi="Aptos"/>
                <w:color w:val="000000"/>
                <w:sz w:val="16"/>
                <w:szCs w:val="16"/>
              </w:rPr>
              <w:t>1</w:t>
            </w:r>
            <w:r w:rsidR="008F3151" w:rsidRPr="00D518FF">
              <w:rPr>
                <w:rFonts w:ascii="Aptos" w:hAnsi="Aptos"/>
                <w:color w:val="000000"/>
                <w:sz w:val="16"/>
                <w:szCs w:val="16"/>
              </w:rPr>
              <w:t>-25</w:t>
            </w:r>
          </w:p>
        </w:tc>
        <w:tc>
          <w:tcPr>
            <w:tcW w:w="2126" w:type="dxa"/>
            <w:shd w:val="clear" w:color="auto" w:fill="auto"/>
            <w:noWrap/>
            <w:hideMark/>
          </w:tcPr>
          <w:p w14:paraId="71F885B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type</w:t>
            </w:r>
          </w:p>
        </w:tc>
      </w:tr>
      <w:tr w:rsidR="008F3151" w:rsidRPr="00D518FF" w14:paraId="283ACE82" w14:textId="77777777" w:rsidTr="00887C84">
        <w:trPr>
          <w:trHeight w:val="320"/>
        </w:trPr>
        <w:tc>
          <w:tcPr>
            <w:tcW w:w="4182" w:type="dxa"/>
            <w:shd w:val="clear" w:color="auto" w:fill="auto"/>
            <w:noWrap/>
            <w:hideMark/>
          </w:tcPr>
          <w:p w14:paraId="1E2EDEA6" w14:textId="77777777" w:rsidR="008F3151" w:rsidRPr="00D518FF" w:rsidRDefault="008F3151">
            <w:pPr>
              <w:rPr>
                <w:rFonts w:ascii="Aptos" w:hAnsi="Aptos"/>
                <w:color w:val="000000"/>
                <w:sz w:val="16"/>
                <w:szCs w:val="16"/>
              </w:rPr>
            </w:pPr>
            <w:r w:rsidRPr="00D518FF">
              <w:rPr>
                <w:rFonts w:ascii="Aptos" w:hAnsi="Aptos"/>
                <w:color w:val="000000"/>
                <w:sz w:val="16"/>
                <w:szCs w:val="16"/>
              </w:rPr>
              <w:t>Clinical guidelines for the prescription of adjunctive drugs to optimize the benefit/risk ratio of antipsychotics in schizophrenia: a meta-review with GRADE recommendations</w:t>
            </w:r>
          </w:p>
        </w:tc>
        <w:tc>
          <w:tcPr>
            <w:tcW w:w="3544" w:type="dxa"/>
            <w:shd w:val="clear" w:color="auto" w:fill="auto"/>
            <w:noWrap/>
            <w:hideMark/>
          </w:tcPr>
          <w:p w14:paraId="072040E7" w14:textId="31CC8ECF" w:rsidR="008F3151" w:rsidRPr="00D518FF" w:rsidRDefault="00DD42DA">
            <w:pPr>
              <w:rPr>
                <w:rFonts w:ascii="Aptos" w:hAnsi="Aptos"/>
                <w:color w:val="000000"/>
                <w:sz w:val="16"/>
                <w:szCs w:val="16"/>
              </w:rPr>
            </w:pPr>
            <w:r w:rsidRPr="00DD42DA">
              <w:rPr>
                <w:rFonts w:ascii="Aptos" w:hAnsi="Aptos"/>
                <w:color w:val="000000"/>
                <w:sz w:val="16"/>
                <w:szCs w:val="16"/>
              </w:rPr>
              <w:t>Fond G, Mallet J, Urbach M, Benros ME, Berk M, Billeci M, Boyer L, Correll CU, Fornaro M, Kulkarni J, Leboyer M, Llorca PM, Misdrahi D, Rey R, Schürhoff F, Solmi M, Sommer IEC, Stahl SM, Pignon B, Berna F. </w:t>
            </w:r>
          </w:p>
        </w:tc>
        <w:tc>
          <w:tcPr>
            <w:tcW w:w="567" w:type="dxa"/>
            <w:shd w:val="clear" w:color="auto" w:fill="auto"/>
          </w:tcPr>
          <w:p w14:paraId="7B66930A" w14:textId="39EFA5AC" w:rsidR="008F3151" w:rsidRPr="00D518FF" w:rsidRDefault="00554D66">
            <w:pPr>
              <w:rPr>
                <w:rFonts w:ascii="Aptos" w:hAnsi="Aptos"/>
                <w:color w:val="000000"/>
                <w:sz w:val="16"/>
                <w:szCs w:val="16"/>
              </w:rPr>
            </w:pPr>
            <w:r>
              <w:rPr>
                <w:rFonts w:ascii="Aptos" w:hAnsi="Aptos"/>
                <w:color w:val="000000"/>
                <w:sz w:val="16"/>
                <w:szCs w:val="16"/>
              </w:rPr>
              <w:t>2023</w:t>
            </w:r>
          </w:p>
        </w:tc>
        <w:tc>
          <w:tcPr>
            <w:tcW w:w="1701" w:type="dxa"/>
            <w:shd w:val="clear" w:color="auto" w:fill="auto"/>
          </w:tcPr>
          <w:p w14:paraId="2923DE85" w14:textId="05007A96" w:rsidR="008F3151" w:rsidRPr="00D518FF" w:rsidRDefault="00DD42DA">
            <w:pPr>
              <w:rPr>
                <w:rFonts w:ascii="Aptos" w:hAnsi="Aptos"/>
                <w:color w:val="000000"/>
                <w:sz w:val="16"/>
                <w:szCs w:val="16"/>
              </w:rPr>
            </w:pPr>
            <w:hyperlink r:id="rId27" w:history="1">
              <w:r w:rsidRPr="00DD42DA">
                <w:rPr>
                  <w:rStyle w:val="Hyperlink"/>
                  <w:rFonts w:ascii="Aptos" w:hAnsi="Aptos"/>
                  <w:sz w:val="16"/>
                  <w:szCs w:val="16"/>
                </w:rPr>
                <w:t>BMJ Ment Health</w:t>
              </w:r>
            </w:hyperlink>
          </w:p>
        </w:tc>
        <w:tc>
          <w:tcPr>
            <w:tcW w:w="850" w:type="dxa"/>
            <w:shd w:val="clear" w:color="auto" w:fill="auto"/>
          </w:tcPr>
          <w:p w14:paraId="601C5FC4" w14:textId="7DEB19F6" w:rsidR="008F3151" w:rsidRPr="00D518FF" w:rsidRDefault="00554D66">
            <w:pPr>
              <w:rPr>
                <w:rFonts w:ascii="Aptos" w:hAnsi="Aptos"/>
                <w:color w:val="000000"/>
                <w:sz w:val="16"/>
                <w:szCs w:val="16"/>
              </w:rPr>
            </w:pPr>
            <w:r>
              <w:rPr>
                <w:rFonts w:ascii="Aptos" w:hAnsi="Aptos"/>
                <w:color w:val="000000"/>
                <w:sz w:val="16"/>
                <w:szCs w:val="16"/>
              </w:rPr>
              <w:t>26</w:t>
            </w:r>
          </w:p>
        </w:tc>
        <w:tc>
          <w:tcPr>
            <w:tcW w:w="567" w:type="dxa"/>
            <w:shd w:val="clear" w:color="auto" w:fill="auto"/>
          </w:tcPr>
          <w:p w14:paraId="3B92DF09" w14:textId="3B40EFF5" w:rsidR="008F3151" w:rsidRPr="00D518FF" w:rsidRDefault="00554D66">
            <w:pPr>
              <w:rPr>
                <w:rFonts w:ascii="Aptos" w:hAnsi="Aptos"/>
                <w:color w:val="000000"/>
                <w:sz w:val="16"/>
                <w:szCs w:val="16"/>
              </w:rPr>
            </w:pPr>
            <w:r>
              <w:rPr>
                <w:rFonts w:ascii="Aptos" w:hAnsi="Aptos"/>
                <w:color w:val="000000"/>
                <w:sz w:val="16"/>
                <w:szCs w:val="16"/>
              </w:rPr>
              <w:t>1</w:t>
            </w:r>
          </w:p>
        </w:tc>
        <w:tc>
          <w:tcPr>
            <w:tcW w:w="709" w:type="dxa"/>
            <w:shd w:val="clear" w:color="auto" w:fill="auto"/>
          </w:tcPr>
          <w:p w14:paraId="0C832747" w14:textId="0F7F1AC2" w:rsidR="008F3151" w:rsidRPr="00D518FF" w:rsidRDefault="00554D66">
            <w:pPr>
              <w:rPr>
                <w:rFonts w:ascii="Aptos" w:hAnsi="Aptos"/>
                <w:color w:val="000000"/>
                <w:sz w:val="16"/>
                <w:szCs w:val="16"/>
              </w:rPr>
            </w:pPr>
            <w:r w:rsidRPr="00554D66">
              <w:rPr>
                <w:rFonts w:ascii="Aptos" w:hAnsi="Aptos"/>
                <w:color w:val="000000"/>
                <w:sz w:val="16"/>
                <w:szCs w:val="16"/>
              </w:rPr>
              <w:t>e300771</w:t>
            </w:r>
          </w:p>
        </w:tc>
        <w:tc>
          <w:tcPr>
            <w:tcW w:w="2126" w:type="dxa"/>
            <w:shd w:val="clear" w:color="auto" w:fill="auto"/>
            <w:noWrap/>
            <w:hideMark/>
          </w:tcPr>
          <w:p w14:paraId="1E867B74"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type</w:t>
            </w:r>
          </w:p>
        </w:tc>
      </w:tr>
      <w:tr w:rsidR="008F3151" w:rsidRPr="00D518FF" w14:paraId="0FA897A5" w14:textId="77777777" w:rsidTr="004C6AA1">
        <w:trPr>
          <w:trHeight w:val="320"/>
        </w:trPr>
        <w:tc>
          <w:tcPr>
            <w:tcW w:w="4182" w:type="dxa"/>
            <w:shd w:val="clear" w:color="auto" w:fill="auto"/>
            <w:noWrap/>
            <w:hideMark/>
          </w:tcPr>
          <w:p w14:paraId="731121FF"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Dietary n-3 PUFA, fish consumption and depression: A systematic review and meta-analysis of observational studies</w:t>
            </w:r>
          </w:p>
        </w:tc>
        <w:tc>
          <w:tcPr>
            <w:tcW w:w="3544" w:type="dxa"/>
            <w:shd w:val="clear" w:color="auto" w:fill="auto"/>
            <w:noWrap/>
            <w:hideMark/>
          </w:tcPr>
          <w:p w14:paraId="73522C7E" w14:textId="77777777" w:rsidR="008F3151" w:rsidRPr="00D518FF" w:rsidRDefault="008F3151">
            <w:pPr>
              <w:rPr>
                <w:rFonts w:ascii="Aptos" w:hAnsi="Aptos"/>
                <w:color w:val="000000"/>
                <w:sz w:val="16"/>
                <w:szCs w:val="16"/>
              </w:rPr>
            </w:pPr>
            <w:r w:rsidRPr="00D518FF">
              <w:rPr>
                <w:rFonts w:ascii="Aptos" w:hAnsi="Aptos"/>
                <w:color w:val="000000"/>
                <w:sz w:val="16"/>
                <w:szCs w:val="16"/>
              </w:rPr>
              <w:t>Grosso, G.; Micek, A.; Marventano, S.; Castellano, S.; Mistretta, A.; Pajak, A.; Galvano, F.</w:t>
            </w:r>
          </w:p>
        </w:tc>
        <w:tc>
          <w:tcPr>
            <w:tcW w:w="567" w:type="dxa"/>
            <w:shd w:val="clear" w:color="auto" w:fill="auto"/>
            <w:noWrap/>
            <w:hideMark/>
          </w:tcPr>
          <w:p w14:paraId="3281DD87"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noWrap/>
            <w:hideMark/>
          </w:tcPr>
          <w:p w14:paraId="3B1C5258"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Affective Disorders</w:t>
            </w:r>
          </w:p>
        </w:tc>
        <w:tc>
          <w:tcPr>
            <w:tcW w:w="850" w:type="dxa"/>
            <w:shd w:val="clear" w:color="auto" w:fill="auto"/>
            <w:noWrap/>
            <w:hideMark/>
          </w:tcPr>
          <w:p w14:paraId="488FCCB0" w14:textId="77777777" w:rsidR="008F3151" w:rsidRPr="00D518FF" w:rsidRDefault="008F3151">
            <w:pPr>
              <w:rPr>
                <w:rFonts w:ascii="Aptos" w:hAnsi="Aptos"/>
                <w:color w:val="000000"/>
                <w:sz w:val="16"/>
                <w:szCs w:val="16"/>
              </w:rPr>
            </w:pPr>
            <w:r w:rsidRPr="00D518FF">
              <w:rPr>
                <w:rFonts w:ascii="Aptos" w:hAnsi="Aptos"/>
                <w:color w:val="000000"/>
                <w:sz w:val="16"/>
                <w:szCs w:val="16"/>
              </w:rPr>
              <w:t>205</w:t>
            </w:r>
          </w:p>
        </w:tc>
        <w:tc>
          <w:tcPr>
            <w:tcW w:w="567" w:type="dxa"/>
            <w:shd w:val="clear" w:color="auto" w:fill="auto"/>
            <w:noWrap/>
            <w:hideMark/>
          </w:tcPr>
          <w:p w14:paraId="4FAC6A28" w14:textId="77777777" w:rsidR="008F3151" w:rsidRPr="00D518FF" w:rsidRDefault="008F3151">
            <w:pPr>
              <w:rPr>
                <w:rFonts w:ascii="Aptos" w:hAnsi="Aptos"/>
                <w:color w:val="000000"/>
                <w:sz w:val="16"/>
                <w:szCs w:val="16"/>
              </w:rPr>
            </w:pPr>
          </w:p>
        </w:tc>
        <w:tc>
          <w:tcPr>
            <w:tcW w:w="709" w:type="dxa"/>
            <w:shd w:val="clear" w:color="auto" w:fill="auto"/>
            <w:noWrap/>
            <w:hideMark/>
          </w:tcPr>
          <w:p w14:paraId="247161CA" w14:textId="77777777" w:rsidR="008F3151" w:rsidRPr="00D518FF" w:rsidRDefault="008F3151">
            <w:pPr>
              <w:rPr>
                <w:rFonts w:ascii="Aptos" w:hAnsi="Aptos"/>
                <w:color w:val="000000"/>
                <w:sz w:val="16"/>
                <w:szCs w:val="16"/>
              </w:rPr>
            </w:pPr>
            <w:r w:rsidRPr="00D518FF">
              <w:rPr>
                <w:rFonts w:ascii="Aptos" w:hAnsi="Aptos"/>
                <w:color w:val="000000"/>
                <w:sz w:val="16"/>
                <w:szCs w:val="16"/>
              </w:rPr>
              <w:t>269-281</w:t>
            </w:r>
          </w:p>
        </w:tc>
        <w:tc>
          <w:tcPr>
            <w:tcW w:w="2126" w:type="dxa"/>
            <w:shd w:val="clear" w:color="auto" w:fill="auto"/>
            <w:noWrap/>
            <w:hideMark/>
          </w:tcPr>
          <w:p w14:paraId="2CC15362"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type</w:t>
            </w:r>
          </w:p>
        </w:tc>
      </w:tr>
      <w:tr w:rsidR="008F3151" w:rsidRPr="00D518FF" w14:paraId="7A0F7578" w14:textId="77777777" w:rsidTr="00887C84">
        <w:trPr>
          <w:trHeight w:val="320"/>
        </w:trPr>
        <w:tc>
          <w:tcPr>
            <w:tcW w:w="4182" w:type="dxa"/>
            <w:shd w:val="clear" w:color="auto" w:fill="auto"/>
            <w:noWrap/>
            <w:hideMark/>
          </w:tcPr>
          <w:p w14:paraId="51CE3B87" w14:textId="77777777" w:rsidR="008F3151" w:rsidRPr="00D518FF" w:rsidRDefault="008F3151">
            <w:pPr>
              <w:rPr>
                <w:rFonts w:ascii="Aptos" w:hAnsi="Aptos"/>
                <w:color w:val="000000"/>
                <w:sz w:val="16"/>
                <w:szCs w:val="16"/>
              </w:rPr>
            </w:pPr>
            <w:r w:rsidRPr="00D518FF">
              <w:rPr>
                <w:rFonts w:ascii="Aptos" w:hAnsi="Aptos"/>
                <w:color w:val="000000"/>
                <w:sz w:val="16"/>
                <w:szCs w:val="16"/>
              </w:rPr>
              <w:t>Early pharmacological interventions for preventing post-traumatic stress disorder (PTSD): a network meta-analysis [Cochrane protocol]</w:t>
            </w:r>
          </w:p>
        </w:tc>
        <w:tc>
          <w:tcPr>
            <w:tcW w:w="3544" w:type="dxa"/>
            <w:shd w:val="clear" w:color="auto" w:fill="auto"/>
            <w:noWrap/>
            <w:hideMark/>
          </w:tcPr>
          <w:p w14:paraId="6FCE98C9" w14:textId="74A063B3" w:rsidR="008F3151" w:rsidRPr="00D518FF" w:rsidRDefault="001D1679">
            <w:pPr>
              <w:rPr>
                <w:rFonts w:ascii="Aptos" w:hAnsi="Aptos"/>
                <w:color w:val="000000"/>
                <w:sz w:val="16"/>
                <w:szCs w:val="16"/>
              </w:rPr>
            </w:pPr>
            <w:r w:rsidRPr="001D1679">
              <w:rPr>
                <w:rFonts w:ascii="Aptos" w:hAnsi="Aptos"/>
                <w:color w:val="000000"/>
                <w:sz w:val="16"/>
                <w:szCs w:val="16"/>
              </w:rPr>
              <w:t>Bertolini F, Robertson L, Ostuzzi G, Meader N, Bisson JI, Churchill R, Barbui C. </w:t>
            </w:r>
          </w:p>
        </w:tc>
        <w:tc>
          <w:tcPr>
            <w:tcW w:w="567" w:type="dxa"/>
            <w:shd w:val="clear" w:color="auto" w:fill="auto"/>
          </w:tcPr>
          <w:p w14:paraId="63C842B1" w14:textId="63CA9A1B" w:rsidR="008F3151" w:rsidRPr="00D518FF" w:rsidRDefault="001D1679">
            <w:pPr>
              <w:rPr>
                <w:rFonts w:ascii="Aptos" w:hAnsi="Aptos"/>
                <w:color w:val="000000"/>
                <w:sz w:val="16"/>
                <w:szCs w:val="16"/>
              </w:rPr>
            </w:pPr>
            <w:r>
              <w:rPr>
                <w:rFonts w:ascii="Aptos" w:hAnsi="Aptos"/>
                <w:color w:val="000000"/>
                <w:sz w:val="16"/>
                <w:szCs w:val="16"/>
              </w:rPr>
              <w:t>2019</w:t>
            </w:r>
          </w:p>
        </w:tc>
        <w:tc>
          <w:tcPr>
            <w:tcW w:w="1701" w:type="dxa"/>
            <w:shd w:val="clear" w:color="auto" w:fill="auto"/>
          </w:tcPr>
          <w:p w14:paraId="14B35AE4" w14:textId="4036D6FF" w:rsidR="008F3151" w:rsidRPr="00D518FF" w:rsidRDefault="001D1679">
            <w:pPr>
              <w:rPr>
                <w:rFonts w:ascii="Aptos" w:hAnsi="Aptos"/>
                <w:color w:val="000000"/>
                <w:sz w:val="16"/>
                <w:szCs w:val="16"/>
              </w:rPr>
            </w:pPr>
            <w:hyperlink r:id="rId28" w:history="1">
              <w:r w:rsidRPr="001D1679">
                <w:rPr>
                  <w:rStyle w:val="Hyperlink"/>
                  <w:rFonts w:ascii="Aptos" w:hAnsi="Aptos"/>
                  <w:sz w:val="16"/>
                  <w:szCs w:val="16"/>
                </w:rPr>
                <w:t>Cochrane Database Syst Rev</w:t>
              </w:r>
            </w:hyperlink>
          </w:p>
        </w:tc>
        <w:tc>
          <w:tcPr>
            <w:tcW w:w="850" w:type="dxa"/>
            <w:shd w:val="clear" w:color="auto" w:fill="auto"/>
          </w:tcPr>
          <w:p w14:paraId="3FB2A775" w14:textId="70D3E42B" w:rsidR="008F3151" w:rsidRPr="00D518FF" w:rsidRDefault="001D1679">
            <w:pPr>
              <w:rPr>
                <w:rFonts w:ascii="Aptos" w:hAnsi="Aptos"/>
                <w:color w:val="000000"/>
                <w:sz w:val="16"/>
                <w:szCs w:val="16"/>
              </w:rPr>
            </w:pPr>
            <w:r>
              <w:rPr>
                <w:rFonts w:ascii="Aptos" w:hAnsi="Aptos"/>
                <w:color w:val="000000"/>
                <w:sz w:val="16"/>
                <w:szCs w:val="16"/>
              </w:rPr>
              <w:t>10</w:t>
            </w:r>
          </w:p>
        </w:tc>
        <w:tc>
          <w:tcPr>
            <w:tcW w:w="567" w:type="dxa"/>
            <w:shd w:val="clear" w:color="auto" w:fill="auto"/>
          </w:tcPr>
          <w:p w14:paraId="43CF0A0C" w14:textId="20222222" w:rsidR="008F3151" w:rsidRPr="00D518FF" w:rsidRDefault="001D1679">
            <w:pPr>
              <w:rPr>
                <w:rFonts w:ascii="Aptos" w:hAnsi="Aptos"/>
                <w:color w:val="000000"/>
                <w:sz w:val="16"/>
                <w:szCs w:val="16"/>
              </w:rPr>
            </w:pPr>
            <w:r>
              <w:rPr>
                <w:rFonts w:ascii="Aptos" w:hAnsi="Aptos"/>
                <w:color w:val="000000"/>
                <w:sz w:val="16"/>
                <w:szCs w:val="16"/>
              </w:rPr>
              <w:t>-</w:t>
            </w:r>
          </w:p>
        </w:tc>
        <w:tc>
          <w:tcPr>
            <w:tcW w:w="709" w:type="dxa"/>
            <w:shd w:val="clear" w:color="auto" w:fill="auto"/>
          </w:tcPr>
          <w:p w14:paraId="78C14054" w14:textId="7F68534E" w:rsidR="008F3151" w:rsidRPr="00D518FF" w:rsidRDefault="001D1679">
            <w:pPr>
              <w:rPr>
                <w:rFonts w:ascii="Aptos" w:hAnsi="Aptos"/>
                <w:color w:val="000000"/>
                <w:sz w:val="16"/>
                <w:szCs w:val="16"/>
              </w:rPr>
            </w:pPr>
            <w:r w:rsidRPr="001D1679">
              <w:rPr>
                <w:rFonts w:ascii="Aptos" w:hAnsi="Aptos"/>
                <w:color w:val="000000"/>
                <w:sz w:val="16"/>
                <w:szCs w:val="16"/>
              </w:rPr>
              <w:t>CD013443</w:t>
            </w:r>
          </w:p>
        </w:tc>
        <w:tc>
          <w:tcPr>
            <w:tcW w:w="2126" w:type="dxa"/>
            <w:shd w:val="clear" w:color="auto" w:fill="auto"/>
            <w:noWrap/>
            <w:hideMark/>
          </w:tcPr>
          <w:p w14:paraId="28CDCBC8"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type</w:t>
            </w:r>
          </w:p>
        </w:tc>
      </w:tr>
      <w:tr w:rsidR="008F3151" w:rsidRPr="00D518FF" w14:paraId="5054E541" w14:textId="77777777" w:rsidTr="004C6AA1">
        <w:trPr>
          <w:trHeight w:val="320"/>
        </w:trPr>
        <w:tc>
          <w:tcPr>
            <w:tcW w:w="4182" w:type="dxa"/>
            <w:shd w:val="clear" w:color="auto" w:fill="auto"/>
            <w:noWrap/>
            <w:hideMark/>
          </w:tcPr>
          <w:p w14:paraId="3E1A772D" w14:textId="77777777" w:rsidR="008F3151" w:rsidRPr="00D518FF" w:rsidRDefault="008F3151">
            <w:pPr>
              <w:rPr>
                <w:rFonts w:ascii="Aptos" w:hAnsi="Aptos"/>
                <w:color w:val="000000"/>
                <w:sz w:val="16"/>
                <w:szCs w:val="16"/>
              </w:rPr>
            </w:pPr>
            <w:r w:rsidRPr="00D518FF">
              <w:rPr>
                <w:rFonts w:ascii="Aptos" w:hAnsi="Aptos"/>
                <w:color w:val="000000"/>
                <w:sz w:val="16"/>
                <w:szCs w:val="16"/>
              </w:rPr>
              <w:t>Eicosapentaenoic acid appears to be the key omega-3 fatty acid component associated with efficacy in major depressive disorder: a critique of Bloch and Hannestad and updated meta-analysis</w:t>
            </w:r>
          </w:p>
        </w:tc>
        <w:tc>
          <w:tcPr>
            <w:tcW w:w="3544" w:type="dxa"/>
            <w:shd w:val="clear" w:color="auto" w:fill="auto"/>
            <w:noWrap/>
            <w:hideMark/>
          </w:tcPr>
          <w:p w14:paraId="185AD97C" w14:textId="77777777" w:rsidR="008F3151" w:rsidRPr="00D518FF" w:rsidRDefault="008F3151">
            <w:pPr>
              <w:rPr>
                <w:rFonts w:ascii="Aptos" w:hAnsi="Aptos"/>
                <w:color w:val="000000"/>
                <w:sz w:val="16"/>
                <w:szCs w:val="16"/>
              </w:rPr>
            </w:pPr>
            <w:r w:rsidRPr="00D518FF">
              <w:rPr>
                <w:rFonts w:ascii="Aptos" w:hAnsi="Aptos"/>
                <w:color w:val="000000"/>
                <w:sz w:val="16"/>
                <w:szCs w:val="16"/>
              </w:rPr>
              <w:t>Martins, J. G.; Bentsen, H.; Puri, B. K.</w:t>
            </w:r>
          </w:p>
        </w:tc>
        <w:tc>
          <w:tcPr>
            <w:tcW w:w="567" w:type="dxa"/>
            <w:shd w:val="clear" w:color="auto" w:fill="auto"/>
            <w:noWrap/>
            <w:hideMark/>
          </w:tcPr>
          <w:p w14:paraId="70561F3E" w14:textId="77777777" w:rsidR="008F3151" w:rsidRPr="00D518FF" w:rsidRDefault="008F3151">
            <w:pPr>
              <w:rPr>
                <w:rFonts w:ascii="Aptos" w:hAnsi="Aptos"/>
                <w:color w:val="000000"/>
                <w:sz w:val="16"/>
                <w:szCs w:val="16"/>
              </w:rPr>
            </w:pPr>
            <w:r w:rsidRPr="00D518FF">
              <w:rPr>
                <w:rFonts w:ascii="Aptos" w:hAnsi="Aptos"/>
                <w:color w:val="000000"/>
                <w:sz w:val="16"/>
                <w:szCs w:val="16"/>
              </w:rPr>
              <w:t>2012</w:t>
            </w:r>
          </w:p>
        </w:tc>
        <w:tc>
          <w:tcPr>
            <w:tcW w:w="1701" w:type="dxa"/>
            <w:shd w:val="clear" w:color="auto" w:fill="auto"/>
            <w:noWrap/>
            <w:hideMark/>
          </w:tcPr>
          <w:p w14:paraId="32F98C61" w14:textId="77777777" w:rsidR="008F3151" w:rsidRPr="00D518FF" w:rsidRDefault="008F3151">
            <w:pPr>
              <w:rPr>
                <w:rFonts w:ascii="Aptos" w:hAnsi="Aptos"/>
                <w:color w:val="000000"/>
                <w:sz w:val="16"/>
                <w:szCs w:val="16"/>
              </w:rPr>
            </w:pPr>
            <w:r w:rsidRPr="00D518FF">
              <w:rPr>
                <w:rFonts w:ascii="Aptos" w:hAnsi="Aptos"/>
                <w:color w:val="000000"/>
                <w:sz w:val="16"/>
                <w:szCs w:val="16"/>
              </w:rPr>
              <w:t>Molecular psychiatry</w:t>
            </w:r>
          </w:p>
        </w:tc>
        <w:tc>
          <w:tcPr>
            <w:tcW w:w="850" w:type="dxa"/>
            <w:shd w:val="clear" w:color="auto" w:fill="auto"/>
            <w:noWrap/>
            <w:hideMark/>
          </w:tcPr>
          <w:p w14:paraId="2A8B2CA6"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567" w:type="dxa"/>
            <w:shd w:val="clear" w:color="auto" w:fill="auto"/>
            <w:noWrap/>
            <w:hideMark/>
          </w:tcPr>
          <w:p w14:paraId="383C93C1"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709" w:type="dxa"/>
            <w:shd w:val="clear" w:color="auto" w:fill="auto"/>
            <w:noWrap/>
            <w:hideMark/>
          </w:tcPr>
          <w:p w14:paraId="06FD167A" w14:textId="77777777" w:rsidR="008F3151" w:rsidRPr="00D518FF" w:rsidRDefault="008F3151">
            <w:pPr>
              <w:rPr>
                <w:rFonts w:ascii="Aptos" w:hAnsi="Aptos"/>
                <w:color w:val="000000"/>
                <w:sz w:val="16"/>
                <w:szCs w:val="16"/>
              </w:rPr>
            </w:pPr>
            <w:r w:rsidRPr="00D518FF">
              <w:rPr>
                <w:rFonts w:ascii="Aptos" w:hAnsi="Aptos"/>
                <w:color w:val="000000"/>
                <w:sz w:val="16"/>
                <w:szCs w:val="16"/>
              </w:rPr>
              <w:t>1144-9; discussion 1163-7</w:t>
            </w:r>
          </w:p>
        </w:tc>
        <w:tc>
          <w:tcPr>
            <w:tcW w:w="2126" w:type="dxa"/>
            <w:shd w:val="clear" w:color="auto" w:fill="auto"/>
            <w:noWrap/>
            <w:hideMark/>
          </w:tcPr>
          <w:p w14:paraId="3654051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type</w:t>
            </w:r>
          </w:p>
        </w:tc>
      </w:tr>
      <w:tr w:rsidR="008F3151" w:rsidRPr="00D518FF" w14:paraId="263BBACF" w14:textId="77777777" w:rsidTr="004C6AA1">
        <w:trPr>
          <w:trHeight w:val="320"/>
        </w:trPr>
        <w:tc>
          <w:tcPr>
            <w:tcW w:w="4182" w:type="dxa"/>
            <w:shd w:val="clear" w:color="auto" w:fill="auto"/>
            <w:noWrap/>
            <w:hideMark/>
          </w:tcPr>
          <w:p w14:paraId="63EBBF89" w14:textId="77777777" w:rsidR="008F3151" w:rsidRPr="00D518FF" w:rsidRDefault="008F3151">
            <w:pPr>
              <w:rPr>
                <w:rFonts w:ascii="Aptos" w:hAnsi="Aptos"/>
                <w:color w:val="000000"/>
                <w:sz w:val="16"/>
                <w:szCs w:val="16"/>
              </w:rPr>
            </w:pPr>
            <w:r w:rsidRPr="00D518FF">
              <w:rPr>
                <w:rFonts w:ascii="Aptos" w:hAnsi="Aptos"/>
                <w:color w:val="000000"/>
                <w:sz w:val="16"/>
                <w:szCs w:val="16"/>
              </w:rPr>
              <w:t>Evidence of the Importance of Dietary Habits Regarding Depressive Symptoms and Depression</w:t>
            </w:r>
          </w:p>
        </w:tc>
        <w:tc>
          <w:tcPr>
            <w:tcW w:w="3544" w:type="dxa"/>
            <w:shd w:val="clear" w:color="auto" w:fill="auto"/>
            <w:noWrap/>
            <w:hideMark/>
          </w:tcPr>
          <w:p w14:paraId="661FCB33" w14:textId="77777777" w:rsidR="008F3151" w:rsidRPr="00D518FF" w:rsidRDefault="008F3151">
            <w:pPr>
              <w:rPr>
                <w:rFonts w:ascii="Aptos" w:hAnsi="Aptos"/>
                <w:color w:val="000000"/>
                <w:sz w:val="16"/>
                <w:szCs w:val="16"/>
              </w:rPr>
            </w:pPr>
            <w:r w:rsidRPr="00D518FF">
              <w:rPr>
                <w:rFonts w:ascii="Aptos" w:hAnsi="Aptos"/>
                <w:color w:val="000000"/>
                <w:sz w:val="16"/>
                <w:szCs w:val="16"/>
              </w:rPr>
              <w:t>Ljungberg, T.; Bondza, E.; Lethin, C.</w:t>
            </w:r>
          </w:p>
        </w:tc>
        <w:tc>
          <w:tcPr>
            <w:tcW w:w="567" w:type="dxa"/>
            <w:shd w:val="clear" w:color="auto" w:fill="auto"/>
            <w:noWrap/>
            <w:hideMark/>
          </w:tcPr>
          <w:p w14:paraId="6CC35AF6"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701" w:type="dxa"/>
            <w:shd w:val="clear" w:color="auto" w:fill="auto"/>
            <w:noWrap/>
            <w:hideMark/>
          </w:tcPr>
          <w:p w14:paraId="1D857DBD"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environmental research and public health</w:t>
            </w:r>
          </w:p>
        </w:tc>
        <w:tc>
          <w:tcPr>
            <w:tcW w:w="850" w:type="dxa"/>
            <w:shd w:val="clear" w:color="auto" w:fill="auto"/>
            <w:noWrap/>
            <w:hideMark/>
          </w:tcPr>
          <w:p w14:paraId="25358491"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567" w:type="dxa"/>
            <w:shd w:val="clear" w:color="auto" w:fill="auto"/>
            <w:noWrap/>
            <w:hideMark/>
          </w:tcPr>
          <w:p w14:paraId="112B7E67"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9" w:type="dxa"/>
            <w:shd w:val="clear" w:color="auto" w:fill="auto"/>
            <w:noWrap/>
            <w:hideMark/>
          </w:tcPr>
          <w:p w14:paraId="4C9CF315" w14:textId="6DBEE335" w:rsidR="008F3151" w:rsidRPr="00D518FF" w:rsidRDefault="003F77FD">
            <w:pPr>
              <w:rPr>
                <w:rFonts w:ascii="Aptos" w:hAnsi="Aptos"/>
                <w:color w:val="000000"/>
                <w:sz w:val="16"/>
                <w:szCs w:val="16"/>
              </w:rPr>
            </w:pPr>
            <w:r w:rsidRPr="003F77FD">
              <w:rPr>
                <w:rFonts w:ascii="Aptos" w:hAnsi="Aptos"/>
                <w:color w:val="000000"/>
                <w:sz w:val="16"/>
                <w:szCs w:val="16"/>
              </w:rPr>
              <w:t>1616</w:t>
            </w:r>
          </w:p>
        </w:tc>
        <w:tc>
          <w:tcPr>
            <w:tcW w:w="2126" w:type="dxa"/>
            <w:shd w:val="clear" w:color="auto" w:fill="auto"/>
            <w:noWrap/>
            <w:hideMark/>
          </w:tcPr>
          <w:p w14:paraId="3C265947"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type</w:t>
            </w:r>
          </w:p>
        </w:tc>
      </w:tr>
      <w:tr w:rsidR="007B2DD8" w:rsidRPr="00D518FF" w14:paraId="025EEB9E" w14:textId="77777777" w:rsidTr="00887C84">
        <w:trPr>
          <w:trHeight w:val="320"/>
        </w:trPr>
        <w:tc>
          <w:tcPr>
            <w:tcW w:w="4182" w:type="dxa"/>
            <w:shd w:val="clear" w:color="auto" w:fill="auto"/>
            <w:noWrap/>
            <w:hideMark/>
          </w:tcPr>
          <w:p w14:paraId="5C7A4BA6"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Nonpharmacological Versus Pharmacological Treatments for Adult Patients With Major Depressive Disorder - An Update of the 2014 Comparative Effectiveness Review</w:t>
            </w:r>
          </w:p>
        </w:tc>
        <w:tc>
          <w:tcPr>
            <w:tcW w:w="3544" w:type="dxa"/>
            <w:shd w:val="clear" w:color="auto" w:fill="auto"/>
            <w:noWrap/>
            <w:hideMark/>
          </w:tcPr>
          <w:p w14:paraId="6635DD36" w14:textId="51ADA2CA" w:rsidR="007B2DD8" w:rsidRPr="00D518FF" w:rsidRDefault="007B2DD8" w:rsidP="007B2DD8">
            <w:pPr>
              <w:rPr>
                <w:rFonts w:ascii="Aptos" w:hAnsi="Aptos"/>
                <w:color w:val="000000"/>
                <w:sz w:val="16"/>
                <w:szCs w:val="16"/>
              </w:rPr>
            </w:pPr>
            <w:r w:rsidRPr="007B2DD8">
              <w:rPr>
                <w:rFonts w:ascii="Aptos" w:hAnsi="Aptos"/>
                <w:color w:val="000000"/>
                <w:sz w:val="16"/>
                <w:szCs w:val="16"/>
              </w:rPr>
              <w:t>Gartlehner G, Gaynes BN, Amick HR, Asher G, Morgan LC, Coker-Schwimmer E, Forneris C, Boland E, Lux LJ, Gaylord S, Bann C, Pierl CB, Lohr KN.</w:t>
            </w:r>
          </w:p>
        </w:tc>
        <w:tc>
          <w:tcPr>
            <w:tcW w:w="567" w:type="dxa"/>
            <w:shd w:val="clear" w:color="auto" w:fill="auto"/>
          </w:tcPr>
          <w:p w14:paraId="3B745834" w14:textId="5D2128C4" w:rsidR="007B2DD8" w:rsidRPr="00D518FF" w:rsidRDefault="007B2DD8" w:rsidP="007B2DD8">
            <w:pPr>
              <w:rPr>
                <w:rFonts w:ascii="Aptos" w:hAnsi="Aptos"/>
                <w:color w:val="000000"/>
                <w:sz w:val="16"/>
                <w:szCs w:val="16"/>
              </w:rPr>
            </w:pPr>
            <w:r>
              <w:rPr>
                <w:rFonts w:ascii="Aptos" w:hAnsi="Aptos"/>
                <w:color w:val="000000"/>
                <w:sz w:val="16"/>
                <w:szCs w:val="16"/>
              </w:rPr>
              <w:t>2015</w:t>
            </w:r>
          </w:p>
        </w:tc>
        <w:tc>
          <w:tcPr>
            <w:tcW w:w="1701" w:type="dxa"/>
            <w:shd w:val="clear" w:color="auto" w:fill="auto"/>
          </w:tcPr>
          <w:p w14:paraId="796898D5" w14:textId="36B4E97D" w:rsidR="007B2DD8" w:rsidRPr="00D518FF" w:rsidRDefault="003F77FD" w:rsidP="007B2DD8">
            <w:pPr>
              <w:rPr>
                <w:rFonts w:ascii="Aptos" w:hAnsi="Aptos"/>
                <w:color w:val="000000"/>
                <w:sz w:val="16"/>
                <w:szCs w:val="16"/>
              </w:rPr>
            </w:pPr>
            <w:hyperlink r:id="rId29" w:history="1">
              <w:r w:rsidRPr="003F77FD">
                <w:rPr>
                  <w:rStyle w:val="Hyperlink"/>
                  <w:rFonts w:ascii="Aptos" w:hAnsi="Aptos"/>
                  <w:sz w:val="16"/>
                  <w:szCs w:val="16"/>
                </w:rPr>
                <w:t>AHRQ Comparative Effectiveness Reviews.</w:t>
              </w:r>
            </w:hyperlink>
          </w:p>
        </w:tc>
        <w:tc>
          <w:tcPr>
            <w:tcW w:w="850" w:type="dxa"/>
            <w:shd w:val="clear" w:color="auto" w:fill="auto"/>
          </w:tcPr>
          <w:p w14:paraId="3CBC0A55" w14:textId="1D6535E8" w:rsidR="007B2DD8" w:rsidRPr="00D518FF" w:rsidRDefault="007B2DD8" w:rsidP="007B2DD8">
            <w:pPr>
              <w:rPr>
                <w:rFonts w:ascii="Aptos" w:hAnsi="Aptos"/>
                <w:color w:val="000000"/>
                <w:sz w:val="16"/>
                <w:szCs w:val="16"/>
              </w:rPr>
            </w:pPr>
            <w:r>
              <w:rPr>
                <w:rFonts w:ascii="Aptos" w:hAnsi="Aptos"/>
                <w:color w:val="000000"/>
                <w:sz w:val="16"/>
                <w:szCs w:val="16"/>
              </w:rPr>
              <w:t>15</w:t>
            </w:r>
          </w:p>
        </w:tc>
        <w:tc>
          <w:tcPr>
            <w:tcW w:w="567" w:type="dxa"/>
            <w:shd w:val="clear" w:color="auto" w:fill="auto"/>
          </w:tcPr>
          <w:p w14:paraId="14E52863" w14:textId="199CAE51" w:rsidR="007B2DD8" w:rsidRPr="00D518FF" w:rsidRDefault="007B2DD8" w:rsidP="007B2DD8">
            <w:pPr>
              <w:rPr>
                <w:rFonts w:ascii="Aptos" w:hAnsi="Aptos"/>
                <w:color w:val="000000"/>
                <w:sz w:val="16"/>
                <w:szCs w:val="16"/>
              </w:rPr>
            </w:pPr>
            <w:r>
              <w:rPr>
                <w:rFonts w:ascii="Aptos" w:hAnsi="Aptos"/>
                <w:color w:val="000000"/>
                <w:sz w:val="16"/>
                <w:szCs w:val="16"/>
              </w:rPr>
              <w:t>16</w:t>
            </w:r>
          </w:p>
        </w:tc>
        <w:tc>
          <w:tcPr>
            <w:tcW w:w="709" w:type="dxa"/>
            <w:shd w:val="clear" w:color="auto" w:fill="auto"/>
          </w:tcPr>
          <w:p w14:paraId="5AB4FED6" w14:textId="0D0D0E5D" w:rsidR="007B2DD8" w:rsidRPr="00D518FF" w:rsidRDefault="007B2DD8" w:rsidP="007B2DD8">
            <w:pPr>
              <w:rPr>
                <w:rFonts w:ascii="Aptos" w:hAnsi="Aptos"/>
                <w:color w:val="000000"/>
                <w:sz w:val="16"/>
                <w:szCs w:val="16"/>
              </w:rPr>
            </w:pPr>
            <w:r w:rsidRPr="007B2DD8">
              <w:rPr>
                <w:rFonts w:ascii="Aptos" w:hAnsi="Aptos"/>
                <w:color w:val="000000"/>
                <w:sz w:val="16"/>
                <w:szCs w:val="16"/>
              </w:rPr>
              <w:t>EHC031-EF</w:t>
            </w:r>
          </w:p>
        </w:tc>
        <w:tc>
          <w:tcPr>
            <w:tcW w:w="2126" w:type="dxa"/>
            <w:shd w:val="clear" w:color="auto" w:fill="auto"/>
            <w:noWrap/>
            <w:hideMark/>
          </w:tcPr>
          <w:p w14:paraId="6CA14848"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Wrong study type</w:t>
            </w:r>
          </w:p>
        </w:tc>
      </w:tr>
      <w:tr w:rsidR="007B2DD8" w:rsidRPr="00D518FF" w14:paraId="7B43EFAD" w14:textId="77777777" w:rsidTr="00887C84">
        <w:trPr>
          <w:trHeight w:val="320"/>
        </w:trPr>
        <w:tc>
          <w:tcPr>
            <w:tcW w:w="4182" w:type="dxa"/>
            <w:shd w:val="clear" w:color="auto" w:fill="auto"/>
            <w:noWrap/>
            <w:hideMark/>
          </w:tcPr>
          <w:p w14:paraId="0E81D0D0"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Omega-3 fatty acids for treating residual depressive symptoms in adult patients with bipolar disorder: A systematic review and meta-analysis of double-blind randomized, placebo-controlled trials</w:t>
            </w:r>
          </w:p>
        </w:tc>
        <w:tc>
          <w:tcPr>
            <w:tcW w:w="3544" w:type="dxa"/>
            <w:shd w:val="clear" w:color="auto" w:fill="auto"/>
            <w:noWrap/>
            <w:hideMark/>
          </w:tcPr>
          <w:p w14:paraId="253468D3"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Kishi, T.; Sakuma, K.; Okuya, M.; Ikeda, M.; Iwata, N.</w:t>
            </w:r>
          </w:p>
        </w:tc>
        <w:tc>
          <w:tcPr>
            <w:tcW w:w="567" w:type="dxa"/>
            <w:shd w:val="clear" w:color="auto" w:fill="auto"/>
            <w:noWrap/>
            <w:hideMark/>
          </w:tcPr>
          <w:p w14:paraId="66A6260A"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2021</w:t>
            </w:r>
          </w:p>
        </w:tc>
        <w:tc>
          <w:tcPr>
            <w:tcW w:w="1701" w:type="dxa"/>
            <w:shd w:val="clear" w:color="auto" w:fill="auto"/>
            <w:noWrap/>
            <w:hideMark/>
          </w:tcPr>
          <w:p w14:paraId="1B76212E"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Bipolar disorders</w:t>
            </w:r>
          </w:p>
        </w:tc>
        <w:tc>
          <w:tcPr>
            <w:tcW w:w="850" w:type="dxa"/>
            <w:shd w:val="clear" w:color="auto" w:fill="auto"/>
          </w:tcPr>
          <w:p w14:paraId="0F0E411A" w14:textId="3320D834" w:rsidR="007B2DD8" w:rsidRPr="00D518FF" w:rsidRDefault="003F6541" w:rsidP="007B2DD8">
            <w:pPr>
              <w:rPr>
                <w:rFonts w:ascii="Aptos" w:hAnsi="Aptos"/>
                <w:color w:val="000000"/>
                <w:sz w:val="16"/>
                <w:szCs w:val="16"/>
              </w:rPr>
            </w:pPr>
            <w:r>
              <w:rPr>
                <w:rFonts w:ascii="Aptos" w:hAnsi="Aptos"/>
                <w:color w:val="000000"/>
                <w:sz w:val="16"/>
                <w:szCs w:val="16"/>
              </w:rPr>
              <w:t>23</w:t>
            </w:r>
          </w:p>
        </w:tc>
        <w:tc>
          <w:tcPr>
            <w:tcW w:w="567" w:type="dxa"/>
            <w:shd w:val="clear" w:color="auto" w:fill="auto"/>
            <w:noWrap/>
            <w:hideMark/>
          </w:tcPr>
          <w:p w14:paraId="30E43267" w14:textId="077E4A1E" w:rsidR="007B2DD8" w:rsidRPr="00D518FF" w:rsidRDefault="003F6541" w:rsidP="007B2DD8">
            <w:pPr>
              <w:rPr>
                <w:rFonts w:ascii="Aptos" w:hAnsi="Aptos"/>
                <w:color w:val="000000"/>
                <w:sz w:val="16"/>
                <w:szCs w:val="16"/>
              </w:rPr>
            </w:pPr>
            <w:r>
              <w:rPr>
                <w:rFonts w:ascii="Aptos" w:hAnsi="Aptos"/>
                <w:color w:val="000000"/>
                <w:sz w:val="16"/>
                <w:szCs w:val="16"/>
              </w:rPr>
              <w:t>7</w:t>
            </w:r>
          </w:p>
        </w:tc>
        <w:tc>
          <w:tcPr>
            <w:tcW w:w="709" w:type="dxa"/>
            <w:shd w:val="clear" w:color="auto" w:fill="auto"/>
            <w:noWrap/>
            <w:hideMark/>
          </w:tcPr>
          <w:p w14:paraId="3D6E567C" w14:textId="428433F3" w:rsidR="007B2DD8" w:rsidRPr="00D518FF" w:rsidRDefault="003F6541" w:rsidP="007B2DD8">
            <w:pPr>
              <w:rPr>
                <w:rFonts w:ascii="Aptos" w:hAnsi="Aptos"/>
                <w:sz w:val="16"/>
                <w:szCs w:val="16"/>
              </w:rPr>
            </w:pPr>
            <w:r w:rsidRPr="003F6541">
              <w:rPr>
                <w:rFonts w:ascii="Aptos" w:hAnsi="Aptos"/>
                <w:sz w:val="16"/>
                <w:szCs w:val="16"/>
              </w:rPr>
              <w:t>730-731</w:t>
            </w:r>
          </w:p>
        </w:tc>
        <w:tc>
          <w:tcPr>
            <w:tcW w:w="2126" w:type="dxa"/>
            <w:shd w:val="clear" w:color="auto" w:fill="auto"/>
            <w:noWrap/>
            <w:hideMark/>
          </w:tcPr>
          <w:p w14:paraId="4CF8AE4F"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Wrong study type</w:t>
            </w:r>
          </w:p>
        </w:tc>
      </w:tr>
      <w:tr w:rsidR="007B2DD8" w:rsidRPr="00D518FF" w14:paraId="12D04B1F" w14:textId="77777777" w:rsidTr="004C6AA1">
        <w:trPr>
          <w:trHeight w:val="320"/>
        </w:trPr>
        <w:tc>
          <w:tcPr>
            <w:tcW w:w="4182" w:type="dxa"/>
            <w:shd w:val="clear" w:color="auto" w:fill="auto"/>
            <w:noWrap/>
            <w:hideMark/>
          </w:tcPr>
          <w:p w14:paraId="784EBE06"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Supplementation with Omega-3 Fatty Acids in Psychiatric Disorders: A Review of Literature Data</w:t>
            </w:r>
          </w:p>
        </w:tc>
        <w:tc>
          <w:tcPr>
            <w:tcW w:w="3544" w:type="dxa"/>
            <w:shd w:val="clear" w:color="auto" w:fill="auto"/>
            <w:noWrap/>
            <w:hideMark/>
          </w:tcPr>
          <w:p w14:paraId="7FDCE7E2"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Bozzatello, P.; Brignolo, E.; De Grandi, E.; Bellino, S.</w:t>
            </w:r>
          </w:p>
        </w:tc>
        <w:tc>
          <w:tcPr>
            <w:tcW w:w="567" w:type="dxa"/>
            <w:shd w:val="clear" w:color="auto" w:fill="auto"/>
            <w:noWrap/>
            <w:hideMark/>
          </w:tcPr>
          <w:p w14:paraId="58B8C51B"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2016</w:t>
            </w:r>
          </w:p>
        </w:tc>
        <w:tc>
          <w:tcPr>
            <w:tcW w:w="1701" w:type="dxa"/>
            <w:shd w:val="clear" w:color="auto" w:fill="auto"/>
            <w:noWrap/>
            <w:hideMark/>
          </w:tcPr>
          <w:p w14:paraId="436E8E53"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Journal of clinical medicine</w:t>
            </w:r>
          </w:p>
        </w:tc>
        <w:tc>
          <w:tcPr>
            <w:tcW w:w="850" w:type="dxa"/>
            <w:shd w:val="clear" w:color="auto" w:fill="auto"/>
            <w:noWrap/>
            <w:hideMark/>
          </w:tcPr>
          <w:p w14:paraId="0356E71D"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5</w:t>
            </w:r>
          </w:p>
        </w:tc>
        <w:tc>
          <w:tcPr>
            <w:tcW w:w="567" w:type="dxa"/>
            <w:shd w:val="clear" w:color="auto" w:fill="auto"/>
            <w:noWrap/>
            <w:hideMark/>
          </w:tcPr>
          <w:p w14:paraId="37ECF8A9"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8</w:t>
            </w:r>
          </w:p>
        </w:tc>
        <w:tc>
          <w:tcPr>
            <w:tcW w:w="709" w:type="dxa"/>
            <w:shd w:val="clear" w:color="auto" w:fill="auto"/>
            <w:noWrap/>
            <w:hideMark/>
          </w:tcPr>
          <w:p w14:paraId="190C3CEB" w14:textId="18595630" w:rsidR="007B2DD8" w:rsidRPr="00D518FF" w:rsidRDefault="003F6541" w:rsidP="007B2DD8">
            <w:pPr>
              <w:rPr>
                <w:rFonts w:ascii="Aptos" w:hAnsi="Aptos"/>
                <w:color w:val="000000"/>
                <w:sz w:val="16"/>
                <w:szCs w:val="16"/>
              </w:rPr>
            </w:pPr>
            <w:r>
              <w:rPr>
                <w:rFonts w:ascii="Aptos" w:hAnsi="Aptos"/>
                <w:color w:val="000000"/>
                <w:sz w:val="16"/>
                <w:szCs w:val="16"/>
              </w:rPr>
              <w:t>67</w:t>
            </w:r>
          </w:p>
        </w:tc>
        <w:tc>
          <w:tcPr>
            <w:tcW w:w="2126" w:type="dxa"/>
            <w:shd w:val="clear" w:color="auto" w:fill="auto"/>
            <w:noWrap/>
            <w:hideMark/>
          </w:tcPr>
          <w:p w14:paraId="0589CED4"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Wrong study type</w:t>
            </w:r>
          </w:p>
        </w:tc>
      </w:tr>
      <w:tr w:rsidR="007B2DD8" w:rsidRPr="00D518FF" w14:paraId="000D7ED2" w14:textId="77777777" w:rsidTr="004C6AA1">
        <w:trPr>
          <w:trHeight w:val="320"/>
        </w:trPr>
        <w:tc>
          <w:tcPr>
            <w:tcW w:w="4182" w:type="dxa"/>
            <w:shd w:val="clear" w:color="auto" w:fill="auto"/>
            <w:noWrap/>
            <w:hideMark/>
          </w:tcPr>
          <w:p w14:paraId="5BDEAF43"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The health benefits of omega-3 polyunsaturated fatty acids: A review of the evidence</w:t>
            </w:r>
          </w:p>
        </w:tc>
        <w:tc>
          <w:tcPr>
            <w:tcW w:w="3544" w:type="dxa"/>
            <w:shd w:val="clear" w:color="auto" w:fill="auto"/>
            <w:noWrap/>
            <w:hideMark/>
          </w:tcPr>
          <w:p w14:paraId="08F696BA"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Ruxton, C. H. S.; Reed, S. C.; Simpson, J. A.; Millington, K. J.</w:t>
            </w:r>
          </w:p>
        </w:tc>
        <w:tc>
          <w:tcPr>
            <w:tcW w:w="567" w:type="dxa"/>
            <w:shd w:val="clear" w:color="auto" w:fill="auto"/>
            <w:noWrap/>
            <w:hideMark/>
          </w:tcPr>
          <w:p w14:paraId="77011AEF"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2007</w:t>
            </w:r>
          </w:p>
        </w:tc>
        <w:tc>
          <w:tcPr>
            <w:tcW w:w="1701" w:type="dxa"/>
            <w:shd w:val="clear" w:color="auto" w:fill="auto"/>
            <w:noWrap/>
            <w:hideMark/>
          </w:tcPr>
          <w:p w14:paraId="007339F7"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Journal of Human Nutrition and Dietetics</w:t>
            </w:r>
          </w:p>
        </w:tc>
        <w:tc>
          <w:tcPr>
            <w:tcW w:w="850" w:type="dxa"/>
            <w:shd w:val="clear" w:color="auto" w:fill="auto"/>
            <w:noWrap/>
            <w:hideMark/>
          </w:tcPr>
          <w:p w14:paraId="5F836503"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20</w:t>
            </w:r>
          </w:p>
        </w:tc>
        <w:tc>
          <w:tcPr>
            <w:tcW w:w="567" w:type="dxa"/>
            <w:shd w:val="clear" w:color="auto" w:fill="auto"/>
            <w:noWrap/>
            <w:hideMark/>
          </w:tcPr>
          <w:p w14:paraId="4EC70B57"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450AF973"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275-285</w:t>
            </w:r>
          </w:p>
        </w:tc>
        <w:tc>
          <w:tcPr>
            <w:tcW w:w="2126" w:type="dxa"/>
            <w:shd w:val="clear" w:color="auto" w:fill="auto"/>
            <w:noWrap/>
            <w:hideMark/>
          </w:tcPr>
          <w:p w14:paraId="51107962"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Wrong study type</w:t>
            </w:r>
          </w:p>
        </w:tc>
      </w:tr>
      <w:tr w:rsidR="007B2DD8" w:rsidRPr="00D518FF" w14:paraId="65B07313" w14:textId="77777777" w:rsidTr="004C6AA1">
        <w:trPr>
          <w:trHeight w:val="320"/>
        </w:trPr>
        <w:tc>
          <w:tcPr>
            <w:tcW w:w="4182" w:type="dxa"/>
            <w:shd w:val="clear" w:color="auto" w:fill="auto"/>
            <w:noWrap/>
            <w:hideMark/>
          </w:tcPr>
          <w:p w14:paraId="20C6E614"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Trim the fat: the role of omega-3 fatty acids in psychopharmacology</w:t>
            </w:r>
          </w:p>
        </w:tc>
        <w:tc>
          <w:tcPr>
            <w:tcW w:w="3544" w:type="dxa"/>
            <w:shd w:val="clear" w:color="auto" w:fill="auto"/>
            <w:noWrap/>
            <w:hideMark/>
          </w:tcPr>
          <w:p w14:paraId="0975520E"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Nasir, M.; Bloch, M. H.</w:t>
            </w:r>
          </w:p>
        </w:tc>
        <w:tc>
          <w:tcPr>
            <w:tcW w:w="567" w:type="dxa"/>
            <w:shd w:val="clear" w:color="auto" w:fill="auto"/>
            <w:noWrap/>
            <w:hideMark/>
          </w:tcPr>
          <w:p w14:paraId="74D99A74"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2019</w:t>
            </w:r>
          </w:p>
        </w:tc>
        <w:tc>
          <w:tcPr>
            <w:tcW w:w="1701" w:type="dxa"/>
            <w:shd w:val="clear" w:color="auto" w:fill="auto"/>
            <w:noWrap/>
            <w:hideMark/>
          </w:tcPr>
          <w:p w14:paraId="5B075D42"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Therapeutic Advances in Psychopharmacology</w:t>
            </w:r>
          </w:p>
        </w:tc>
        <w:tc>
          <w:tcPr>
            <w:tcW w:w="850" w:type="dxa"/>
            <w:shd w:val="clear" w:color="auto" w:fill="auto"/>
            <w:noWrap/>
            <w:hideMark/>
          </w:tcPr>
          <w:p w14:paraId="44919667"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9</w:t>
            </w:r>
          </w:p>
        </w:tc>
        <w:tc>
          <w:tcPr>
            <w:tcW w:w="567" w:type="dxa"/>
            <w:shd w:val="clear" w:color="auto" w:fill="auto"/>
            <w:noWrap/>
            <w:hideMark/>
          </w:tcPr>
          <w:p w14:paraId="2043B6B3" w14:textId="194CFB5C" w:rsidR="007B2DD8" w:rsidRPr="00D518FF" w:rsidRDefault="003F6541" w:rsidP="007B2DD8">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60C4BD3A" w14:textId="19B68384" w:rsidR="007B2DD8" w:rsidRPr="00D518FF" w:rsidRDefault="003F6541" w:rsidP="007B2DD8">
            <w:pPr>
              <w:rPr>
                <w:rFonts w:ascii="Aptos" w:hAnsi="Aptos"/>
                <w:sz w:val="16"/>
                <w:szCs w:val="16"/>
              </w:rPr>
            </w:pPr>
            <w:r w:rsidRPr="003F6541">
              <w:rPr>
                <w:rFonts w:ascii="Aptos" w:hAnsi="Aptos"/>
                <w:sz w:val="16"/>
                <w:szCs w:val="16"/>
              </w:rPr>
              <w:t>2045125319869791</w:t>
            </w:r>
          </w:p>
        </w:tc>
        <w:tc>
          <w:tcPr>
            <w:tcW w:w="2126" w:type="dxa"/>
            <w:shd w:val="clear" w:color="auto" w:fill="auto"/>
            <w:noWrap/>
            <w:hideMark/>
          </w:tcPr>
          <w:p w14:paraId="769C4FDB"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Wrong study type</w:t>
            </w:r>
          </w:p>
        </w:tc>
      </w:tr>
      <w:tr w:rsidR="007B2DD8" w:rsidRPr="00D518FF" w14:paraId="5F80557D" w14:textId="77777777" w:rsidTr="004C6AA1">
        <w:trPr>
          <w:trHeight w:val="320"/>
        </w:trPr>
        <w:tc>
          <w:tcPr>
            <w:tcW w:w="4182" w:type="dxa"/>
            <w:shd w:val="clear" w:color="auto" w:fill="auto"/>
            <w:noWrap/>
            <w:hideMark/>
          </w:tcPr>
          <w:p w14:paraId="3D3B9D1C"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Unsaturated Fatty Acids in Mental Disorders: An Umbrella Review of Meta-Analyses</w:t>
            </w:r>
          </w:p>
        </w:tc>
        <w:tc>
          <w:tcPr>
            <w:tcW w:w="3544" w:type="dxa"/>
            <w:shd w:val="clear" w:color="auto" w:fill="auto"/>
            <w:noWrap/>
            <w:hideMark/>
          </w:tcPr>
          <w:p w14:paraId="330702A8"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Gao, X.; Su, X.; Han, X.; Wen, H.; Cheng, C.; Zhang, S.; Li, W.; Cai, J.; Zheng, L.; Ma, J.; Liao, M.; Ni, W.; Liu, T.; Liu, D.; Ma, W.; Han, S.; Zhu, S.; Ye, Y.; Zeng, F. F.</w:t>
            </w:r>
          </w:p>
        </w:tc>
        <w:tc>
          <w:tcPr>
            <w:tcW w:w="567" w:type="dxa"/>
            <w:shd w:val="clear" w:color="auto" w:fill="auto"/>
            <w:noWrap/>
            <w:hideMark/>
          </w:tcPr>
          <w:p w14:paraId="2EFDA573"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2022</w:t>
            </w:r>
          </w:p>
        </w:tc>
        <w:tc>
          <w:tcPr>
            <w:tcW w:w="1701" w:type="dxa"/>
            <w:shd w:val="clear" w:color="auto" w:fill="auto"/>
            <w:noWrap/>
            <w:hideMark/>
          </w:tcPr>
          <w:p w14:paraId="53C0EC04"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Advances in Nutrition</w:t>
            </w:r>
          </w:p>
        </w:tc>
        <w:tc>
          <w:tcPr>
            <w:tcW w:w="850" w:type="dxa"/>
            <w:shd w:val="clear" w:color="auto" w:fill="auto"/>
            <w:noWrap/>
            <w:hideMark/>
          </w:tcPr>
          <w:p w14:paraId="2B2B3AFC"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13</w:t>
            </w:r>
          </w:p>
        </w:tc>
        <w:tc>
          <w:tcPr>
            <w:tcW w:w="567" w:type="dxa"/>
            <w:shd w:val="clear" w:color="auto" w:fill="auto"/>
            <w:noWrap/>
            <w:hideMark/>
          </w:tcPr>
          <w:p w14:paraId="34828DBE"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6</w:t>
            </w:r>
          </w:p>
        </w:tc>
        <w:tc>
          <w:tcPr>
            <w:tcW w:w="709" w:type="dxa"/>
            <w:shd w:val="clear" w:color="auto" w:fill="auto"/>
            <w:noWrap/>
            <w:hideMark/>
          </w:tcPr>
          <w:p w14:paraId="0F8494B5"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2217-2236</w:t>
            </w:r>
          </w:p>
        </w:tc>
        <w:tc>
          <w:tcPr>
            <w:tcW w:w="2126" w:type="dxa"/>
            <w:shd w:val="clear" w:color="auto" w:fill="auto"/>
            <w:noWrap/>
            <w:hideMark/>
          </w:tcPr>
          <w:p w14:paraId="6C499FB2" w14:textId="77777777" w:rsidR="007B2DD8" w:rsidRPr="00D518FF" w:rsidRDefault="007B2DD8" w:rsidP="007B2DD8">
            <w:pPr>
              <w:rPr>
                <w:rFonts w:ascii="Aptos" w:hAnsi="Aptos"/>
                <w:color w:val="000000"/>
                <w:sz w:val="16"/>
                <w:szCs w:val="16"/>
              </w:rPr>
            </w:pPr>
            <w:r w:rsidRPr="00D518FF">
              <w:rPr>
                <w:rFonts w:ascii="Aptos" w:hAnsi="Aptos"/>
                <w:color w:val="000000"/>
                <w:sz w:val="16"/>
                <w:szCs w:val="16"/>
              </w:rPr>
              <w:t>Wrong study type</w:t>
            </w:r>
          </w:p>
        </w:tc>
      </w:tr>
    </w:tbl>
    <w:p w14:paraId="595C96EB" w14:textId="77777777" w:rsidR="008F3151" w:rsidRPr="00D518FF" w:rsidRDefault="008F3151" w:rsidP="008F3151">
      <w:pPr>
        <w:pStyle w:val="BodyText"/>
        <w:rPr>
          <w:rFonts w:ascii="Aptos" w:hAnsi="Aptos"/>
        </w:rPr>
      </w:pPr>
    </w:p>
    <w:p w14:paraId="23591289" w14:textId="148FA9FF" w:rsidR="001C32D3" w:rsidRDefault="001C32D3" w:rsidP="001042C2">
      <w:pPr>
        <w:pStyle w:val="Caption"/>
      </w:pPr>
      <w:bookmarkStart w:id="118" w:name="_Toc185254533"/>
      <w:r>
        <w:t xml:space="preserve">Table </w:t>
      </w:r>
      <w:r w:rsidR="00DC4767">
        <w:fldChar w:fldCharType="begin" w:fldLock="1"/>
      </w:r>
      <w:r w:rsidR="00DC4767">
        <w:instrText xml:space="preserve"> STYLEREF 1 \s </w:instrText>
      </w:r>
      <w:r w:rsidR="00DC4767">
        <w:fldChar w:fldCharType="separate"/>
      </w:r>
      <w:r w:rsidR="00DC4767">
        <w:rPr>
          <w:noProof/>
        </w:rPr>
        <w:t>C</w:t>
      </w:r>
      <w:r w:rsidR="00DC4767">
        <w:rPr>
          <w:noProof/>
        </w:rPr>
        <w:fldChar w:fldCharType="end"/>
      </w:r>
      <w:r w:rsidR="00DC4767">
        <w:noBreakHyphen/>
      </w:r>
      <w:r w:rsidR="00DC4767">
        <w:fldChar w:fldCharType="begin"/>
      </w:r>
      <w:r w:rsidR="00DC4767">
        <w:instrText xml:space="preserve"> SEQ Table \* ARABIC \s 1 </w:instrText>
      </w:r>
      <w:r w:rsidR="00DC4767">
        <w:fldChar w:fldCharType="separate"/>
      </w:r>
      <w:r w:rsidR="00C426C6">
        <w:rPr>
          <w:noProof/>
        </w:rPr>
        <w:t>6</w:t>
      </w:r>
      <w:r w:rsidR="00DC4767">
        <w:rPr>
          <w:noProof/>
        </w:rPr>
        <w:fldChar w:fldCharType="end"/>
      </w:r>
      <w:r>
        <w:t xml:space="preserve">. </w:t>
      </w:r>
      <w:r w:rsidRPr="00D518FF">
        <w:t>Excluded reviews, reason for exclusion – Dysmenorrhea, cruciferous indoles (indole-3-carbinol, di-indolylmethane)</w:t>
      </w:r>
      <w:r>
        <w:t>.</w:t>
      </w:r>
      <w:bookmarkEnd w:id="118"/>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248"/>
        <w:gridCol w:w="3544"/>
        <w:gridCol w:w="567"/>
        <w:gridCol w:w="1701"/>
        <w:gridCol w:w="850"/>
        <w:gridCol w:w="567"/>
        <w:gridCol w:w="819"/>
        <w:gridCol w:w="2016"/>
      </w:tblGrid>
      <w:tr w:rsidR="004C6AA1" w:rsidRPr="00D518FF" w14:paraId="11D5E073" w14:textId="77777777" w:rsidTr="004C6AA1">
        <w:trPr>
          <w:trHeight w:val="67"/>
        </w:trPr>
        <w:tc>
          <w:tcPr>
            <w:tcW w:w="4248" w:type="dxa"/>
            <w:shd w:val="clear" w:color="auto" w:fill="D9D9D9" w:themeFill="background1" w:themeFillShade="D9"/>
            <w:noWrap/>
            <w:hideMark/>
          </w:tcPr>
          <w:p w14:paraId="0C66FD75"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Title</w:t>
            </w:r>
          </w:p>
        </w:tc>
        <w:tc>
          <w:tcPr>
            <w:tcW w:w="3544" w:type="dxa"/>
            <w:shd w:val="clear" w:color="auto" w:fill="D9D9D9" w:themeFill="background1" w:themeFillShade="D9"/>
            <w:noWrap/>
            <w:hideMark/>
          </w:tcPr>
          <w:p w14:paraId="66162341"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Authors</w:t>
            </w:r>
          </w:p>
        </w:tc>
        <w:tc>
          <w:tcPr>
            <w:tcW w:w="567" w:type="dxa"/>
            <w:shd w:val="clear" w:color="auto" w:fill="D9D9D9" w:themeFill="background1" w:themeFillShade="D9"/>
            <w:noWrap/>
            <w:hideMark/>
          </w:tcPr>
          <w:p w14:paraId="7A5365D4"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Year</w:t>
            </w:r>
          </w:p>
        </w:tc>
        <w:tc>
          <w:tcPr>
            <w:tcW w:w="1701" w:type="dxa"/>
            <w:shd w:val="clear" w:color="auto" w:fill="D9D9D9" w:themeFill="background1" w:themeFillShade="D9"/>
            <w:noWrap/>
            <w:hideMark/>
          </w:tcPr>
          <w:p w14:paraId="6C766176"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Journal</w:t>
            </w:r>
          </w:p>
        </w:tc>
        <w:tc>
          <w:tcPr>
            <w:tcW w:w="850" w:type="dxa"/>
            <w:shd w:val="clear" w:color="auto" w:fill="D9D9D9" w:themeFill="background1" w:themeFillShade="D9"/>
            <w:noWrap/>
            <w:hideMark/>
          </w:tcPr>
          <w:p w14:paraId="1485D7FE"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Volume</w:t>
            </w:r>
          </w:p>
        </w:tc>
        <w:tc>
          <w:tcPr>
            <w:tcW w:w="567" w:type="dxa"/>
            <w:shd w:val="clear" w:color="auto" w:fill="D9D9D9" w:themeFill="background1" w:themeFillShade="D9"/>
            <w:noWrap/>
            <w:hideMark/>
          </w:tcPr>
          <w:p w14:paraId="6DBBE2F1"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Issue</w:t>
            </w:r>
          </w:p>
        </w:tc>
        <w:tc>
          <w:tcPr>
            <w:tcW w:w="819" w:type="dxa"/>
            <w:shd w:val="clear" w:color="auto" w:fill="D9D9D9" w:themeFill="background1" w:themeFillShade="D9"/>
            <w:noWrap/>
            <w:hideMark/>
          </w:tcPr>
          <w:p w14:paraId="5BFE362E"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Pages</w:t>
            </w:r>
          </w:p>
        </w:tc>
        <w:tc>
          <w:tcPr>
            <w:tcW w:w="2016" w:type="dxa"/>
            <w:shd w:val="clear" w:color="auto" w:fill="D9D9D9" w:themeFill="background1" w:themeFillShade="D9"/>
            <w:noWrap/>
            <w:hideMark/>
          </w:tcPr>
          <w:p w14:paraId="42715BA7"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Exclusion reason</w:t>
            </w:r>
          </w:p>
        </w:tc>
      </w:tr>
      <w:tr w:rsidR="008F3151" w:rsidRPr="00D518FF" w14:paraId="5D9138F2" w14:textId="77777777" w:rsidTr="004C6AA1">
        <w:trPr>
          <w:trHeight w:val="320"/>
        </w:trPr>
        <w:tc>
          <w:tcPr>
            <w:tcW w:w="4248" w:type="dxa"/>
            <w:shd w:val="clear" w:color="auto" w:fill="auto"/>
            <w:noWrap/>
          </w:tcPr>
          <w:p w14:paraId="551059E4"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Nutritional Supplements and Complementary Therapies in Polycystic Ovary Syndrome</w:t>
            </w:r>
          </w:p>
        </w:tc>
        <w:tc>
          <w:tcPr>
            <w:tcW w:w="3544" w:type="dxa"/>
            <w:shd w:val="clear" w:color="auto" w:fill="auto"/>
            <w:noWrap/>
          </w:tcPr>
          <w:p w14:paraId="6F556FEB"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Alesi, S.; Ee, C.; Moran, L. J.; Rao, V.; Mousa, A.</w:t>
            </w:r>
          </w:p>
        </w:tc>
        <w:tc>
          <w:tcPr>
            <w:tcW w:w="567" w:type="dxa"/>
            <w:shd w:val="clear" w:color="auto" w:fill="auto"/>
            <w:noWrap/>
          </w:tcPr>
          <w:p w14:paraId="3BB38062"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2022</w:t>
            </w:r>
          </w:p>
        </w:tc>
        <w:tc>
          <w:tcPr>
            <w:tcW w:w="1701" w:type="dxa"/>
            <w:shd w:val="clear" w:color="auto" w:fill="auto"/>
            <w:noWrap/>
          </w:tcPr>
          <w:p w14:paraId="70510CBC"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Advances in Nutrition</w:t>
            </w:r>
          </w:p>
        </w:tc>
        <w:tc>
          <w:tcPr>
            <w:tcW w:w="850" w:type="dxa"/>
            <w:shd w:val="clear" w:color="auto" w:fill="auto"/>
            <w:noWrap/>
          </w:tcPr>
          <w:p w14:paraId="70628008"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13</w:t>
            </w:r>
          </w:p>
        </w:tc>
        <w:tc>
          <w:tcPr>
            <w:tcW w:w="567" w:type="dxa"/>
            <w:shd w:val="clear" w:color="auto" w:fill="auto"/>
            <w:noWrap/>
          </w:tcPr>
          <w:p w14:paraId="0DD696F0"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4</w:t>
            </w:r>
          </w:p>
        </w:tc>
        <w:tc>
          <w:tcPr>
            <w:tcW w:w="819" w:type="dxa"/>
            <w:shd w:val="clear" w:color="auto" w:fill="auto"/>
            <w:noWrap/>
          </w:tcPr>
          <w:p w14:paraId="7C693B8B"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1243-1266</w:t>
            </w:r>
          </w:p>
        </w:tc>
        <w:tc>
          <w:tcPr>
            <w:tcW w:w="2016" w:type="dxa"/>
            <w:shd w:val="clear" w:color="auto" w:fill="auto"/>
            <w:noWrap/>
          </w:tcPr>
          <w:p w14:paraId="6C1E32D6"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8F3151" w:rsidRPr="00D518FF" w14:paraId="028B3CA0" w14:textId="77777777" w:rsidTr="004C6AA1">
        <w:trPr>
          <w:trHeight w:val="320"/>
        </w:trPr>
        <w:tc>
          <w:tcPr>
            <w:tcW w:w="4248" w:type="dxa"/>
            <w:shd w:val="clear" w:color="auto" w:fill="auto"/>
            <w:noWrap/>
          </w:tcPr>
          <w:p w14:paraId="274289D6"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lastRenderedPageBreak/>
              <w:t>Chinese herbal medicine for primary dysmenorrhoea</w:t>
            </w:r>
          </w:p>
        </w:tc>
        <w:tc>
          <w:tcPr>
            <w:tcW w:w="3544" w:type="dxa"/>
            <w:shd w:val="clear" w:color="auto" w:fill="auto"/>
            <w:noWrap/>
          </w:tcPr>
          <w:p w14:paraId="3EAE9C20"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Zhu, X.; Proctor, M.; Bensoussan, A.; Wu, E.; Smith, C. A.</w:t>
            </w:r>
          </w:p>
        </w:tc>
        <w:tc>
          <w:tcPr>
            <w:tcW w:w="567" w:type="dxa"/>
            <w:shd w:val="clear" w:color="auto" w:fill="auto"/>
            <w:noWrap/>
          </w:tcPr>
          <w:p w14:paraId="4BA8591B"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2008</w:t>
            </w:r>
          </w:p>
        </w:tc>
        <w:tc>
          <w:tcPr>
            <w:tcW w:w="1701" w:type="dxa"/>
            <w:shd w:val="clear" w:color="auto" w:fill="auto"/>
            <w:noWrap/>
          </w:tcPr>
          <w:p w14:paraId="146F46B7"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Cochrane Database of Systematic Reviews</w:t>
            </w:r>
          </w:p>
        </w:tc>
        <w:tc>
          <w:tcPr>
            <w:tcW w:w="850" w:type="dxa"/>
            <w:shd w:val="clear" w:color="auto" w:fill="auto"/>
            <w:noWrap/>
          </w:tcPr>
          <w:p w14:paraId="0BF88F29" w14:textId="6FA5142C" w:rsidR="008F3151" w:rsidRPr="00D518FF" w:rsidRDefault="00B97872" w:rsidP="0095325C">
            <w:pPr>
              <w:rPr>
                <w:rFonts w:ascii="Aptos" w:hAnsi="Aptos"/>
                <w:color w:val="000000"/>
                <w:sz w:val="16"/>
                <w:szCs w:val="16"/>
              </w:rPr>
            </w:pPr>
            <w:r>
              <w:rPr>
                <w:rFonts w:ascii="Aptos" w:hAnsi="Aptos"/>
                <w:color w:val="000000"/>
                <w:sz w:val="16"/>
                <w:szCs w:val="16"/>
              </w:rPr>
              <w:t>16</w:t>
            </w:r>
          </w:p>
        </w:tc>
        <w:tc>
          <w:tcPr>
            <w:tcW w:w="567" w:type="dxa"/>
            <w:shd w:val="clear" w:color="auto" w:fill="auto"/>
            <w:noWrap/>
          </w:tcPr>
          <w:p w14:paraId="5998BF9B" w14:textId="0DEEF41A" w:rsidR="008F3151" w:rsidRPr="00D518FF" w:rsidRDefault="00B97872" w:rsidP="0095325C">
            <w:pPr>
              <w:rPr>
                <w:rFonts w:ascii="Aptos" w:hAnsi="Aptos"/>
                <w:color w:val="000000"/>
                <w:sz w:val="16"/>
                <w:szCs w:val="16"/>
              </w:rPr>
            </w:pPr>
            <w:r>
              <w:rPr>
                <w:rFonts w:ascii="Aptos" w:hAnsi="Aptos"/>
                <w:color w:val="000000"/>
                <w:sz w:val="16"/>
                <w:szCs w:val="16"/>
              </w:rPr>
              <w:t>2</w:t>
            </w:r>
          </w:p>
        </w:tc>
        <w:tc>
          <w:tcPr>
            <w:tcW w:w="819" w:type="dxa"/>
            <w:shd w:val="clear" w:color="auto" w:fill="auto"/>
            <w:noWrap/>
          </w:tcPr>
          <w:p w14:paraId="53FB817D" w14:textId="27CA6257" w:rsidR="008F3151" w:rsidRPr="00D518FF" w:rsidRDefault="00B97872" w:rsidP="0095325C">
            <w:pPr>
              <w:rPr>
                <w:rFonts w:ascii="Aptos" w:hAnsi="Aptos"/>
                <w:color w:val="000000"/>
                <w:sz w:val="16"/>
                <w:szCs w:val="16"/>
              </w:rPr>
            </w:pPr>
            <w:r w:rsidRPr="00B97872">
              <w:rPr>
                <w:rFonts w:ascii="Aptos" w:hAnsi="Aptos"/>
                <w:color w:val="000000"/>
                <w:sz w:val="16"/>
                <w:szCs w:val="16"/>
              </w:rPr>
              <w:t>CD005288</w:t>
            </w:r>
          </w:p>
        </w:tc>
        <w:tc>
          <w:tcPr>
            <w:tcW w:w="2016" w:type="dxa"/>
            <w:shd w:val="clear" w:color="auto" w:fill="auto"/>
            <w:noWrap/>
          </w:tcPr>
          <w:p w14:paraId="72A36CA0"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Wrong intervention</w:t>
            </w:r>
          </w:p>
        </w:tc>
      </w:tr>
    </w:tbl>
    <w:p w14:paraId="32A17B66" w14:textId="77777777" w:rsidR="008F3151" w:rsidRPr="00D518FF" w:rsidRDefault="008F3151" w:rsidP="008F3151">
      <w:pPr>
        <w:pStyle w:val="BodyText"/>
        <w:rPr>
          <w:rFonts w:ascii="Aptos" w:hAnsi="Aptos"/>
        </w:rPr>
      </w:pPr>
    </w:p>
    <w:p w14:paraId="58763B82" w14:textId="15349484" w:rsidR="001C32D3" w:rsidRPr="004C6AA1" w:rsidRDefault="001C32D3" w:rsidP="004C6AA1">
      <w:pPr>
        <w:pStyle w:val="Caption"/>
        <w:spacing w:before="240"/>
        <w:rPr>
          <w:rFonts w:ascii="Aptos" w:hAnsi="Aptos"/>
        </w:rPr>
      </w:pPr>
      <w:bookmarkStart w:id="119" w:name="_Toc185254534"/>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7</w:t>
      </w:r>
      <w:r w:rsidR="00DC4767" w:rsidRPr="004C6AA1">
        <w:rPr>
          <w:rFonts w:ascii="Aptos" w:hAnsi="Aptos"/>
        </w:rPr>
        <w:fldChar w:fldCharType="end"/>
      </w:r>
      <w:r w:rsidRPr="004C6AA1">
        <w:rPr>
          <w:rFonts w:ascii="Aptos" w:hAnsi="Aptos"/>
        </w:rPr>
        <w:t>. Excluded reviews, reason for exclusion – PMS, cruciferous indoles (indole-3-carbinol, di-indolylmethane).</w:t>
      </w:r>
      <w:bookmarkEnd w:id="119"/>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248"/>
        <w:gridCol w:w="3544"/>
        <w:gridCol w:w="567"/>
        <w:gridCol w:w="1701"/>
        <w:gridCol w:w="850"/>
        <w:gridCol w:w="567"/>
        <w:gridCol w:w="851"/>
        <w:gridCol w:w="1984"/>
      </w:tblGrid>
      <w:tr w:rsidR="008F3151" w:rsidRPr="00D518FF" w14:paraId="14F34516" w14:textId="77777777" w:rsidTr="004C6AA1">
        <w:trPr>
          <w:trHeight w:val="67"/>
        </w:trPr>
        <w:tc>
          <w:tcPr>
            <w:tcW w:w="4248" w:type="dxa"/>
            <w:shd w:val="clear" w:color="auto" w:fill="D9D9D9" w:themeFill="background1" w:themeFillShade="D9"/>
            <w:noWrap/>
            <w:hideMark/>
          </w:tcPr>
          <w:p w14:paraId="5FE3BD2A"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Title</w:t>
            </w:r>
          </w:p>
        </w:tc>
        <w:tc>
          <w:tcPr>
            <w:tcW w:w="3544" w:type="dxa"/>
            <w:shd w:val="clear" w:color="auto" w:fill="D9D9D9" w:themeFill="background1" w:themeFillShade="D9"/>
            <w:noWrap/>
            <w:hideMark/>
          </w:tcPr>
          <w:p w14:paraId="3EDCE8C6"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Authors</w:t>
            </w:r>
          </w:p>
        </w:tc>
        <w:tc>
          <w:tcPr>
            <w:tcW w:w="567" w:type="dxa"/>
            <w:shd w:val="clear" w:color="auto" w:fill="D9D9D9" w:themeFill="background1" w:themeFillShade="D9"/>
            <w:noWrap/>
            <w:hideMark/>
          </w:tcPr>
          <w:p w14:paraId="3BDAB8B7"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Year</w:t>
            </w:r>
          </w:p>
        </w:tc>
        <w:tc>
          <w:tcPr>
            <w:tcW w:w="1701" w:type="dxa"/>
            <w:shd w:val="clear" w:color="auto" w:fill="D9D9D9" w:themeFill="background1" w:themeFillShade="D9"/>
            <w:noWrap/>
            <w:hideMark/>
          </w:tcPr>
          <w:p w14:paraId="50ED1494"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Journal</w:t>
            </w:r>
          </w:p>
        </w:tc>
        <w:tc>
          <w:tcPr>
            <w:tcW w:w="850" w:type="dxa"/>
            <w:shd w:val="clear" w:color="auto" w:fill="D9D9D9" w:themeFill="background1" w:themeFillShade="D9"/>
            <w:noWrap/>
            <w:hideMark/>
          </w:tcPr>
          <w:p w14:paraId="323B5246"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Volume</w:t>
            </w:r>
          </w:p>
        </w:tc>
        <w:tc>
          <w:tcPr>
            <w:tcW w:w="567" w:type="dxa"/>
            <w:shd w:val="clear" w:color="auto" w:fill="D9D9D9" w:themeFill="background1" w:themeFillShade="D9"/>
            <w:noWrap/>
            <w:hideMark/>
          </w:tcPr>
          <w:p w14:paraId="28D01F79"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Issue</w:t>
            </w:r>
          </w:p>
        </w:tc>
        <w:tc>
          <w:tcPr>
            <w:tcW w:w="851" w:type="dxa"/>
            <w:shd w:val="clear" w:color="auto" w:fill="D9D9D9" w:themeFill="background1" w:themeFillShade="D9"/>
            <w:noWrap/>
            <w:hideMark/>
          </w:tcPr>
          <w:p w14:paraId="535428D7"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Pages</w:t>
            </w:r>
          </w:p>
        </w:tc>
        <w:tc>
          <w:tcPr>
            <w:tcW w:w="1984" w:type="dxa"/>
            <w:shd w:val="clear" w:color="auto" w:fill="D9D9D9" w:themeFill="background1" w:themeFillShade="D9"/>
            <w:noWrap/>
            <w:hideMark/>
          </w:tcPr>
          <w:p w14:paraId="5EAFAFAC" w14:textId="77777777" w:rsidR="008F3151" w:rsidRPr="00D518FF" w:rsidRDefault="008F3151" w:rsidP="0095325C">
            <w:pPr>
              <w:rPr>
                <w:rFonts w:ascii="Aptos" w:hAnsi="Aptos" w:cs="Arial"/>
                <w:b/>
                <w:bCs/>
                <w:sz w:val="16"/>
                <w:szCs w:val="16"/>
              </w:rPr>
            </w:pPr>
            <w:r w:rsidRPr="00D518FF">
              <w:rPr>
                <w:rFonts w:ascii="Aptos" w:hAnsi="Aptos" w:cs="Arial"/>
                <w:b/>
                <w:bCs/>
                <w:sz w:val="16"/>
                <w:szCs w:val="16"/>
              </w:rPr>
              <w:t>Exclusion reason</w:t>
            </w:r>
          </w:p>
        </w:tc>
      </w:tr>
      <w:tr w:rsidR="008F3151" w:rsidRPr="00D518FF" w14:paraId="2FA4F8E0" w14:textId="77777777" w:rsidTr="004C6AA1">
        <w:trPr>
          <w:trHeight w:val="320"/>
        </w:trPr>
        <w:tc>
          <w:tcPr>
            <w:tcW w:w="4248" w:type="dxa"/>
            <w:shd w:val="clear" w:color="auto" w:fill="auto"/>
            <w:noWrap/>
          </w:tcPr>
          <w:p w14:paraId="53AE0A2C"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Nutritional and herbal supplements for anxiety and anxiety-related disorders: Systematic review</w:t>
            </w:r>
          </w:p>
        </w:tc>
        <w:tc>
          <w:tcPr>
            <w:tcW w:w="3544" w:type="dxa"/>
            <w:shd w:val="clear" w:color="auto" w:fill="auto"/>
            <w:noWrap/>
          </w:tcPr>
          <w:p w14:paraId="56C92821"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Lakhan, S. E.; Vieira, K. F.</w:t>
            </w:r>
          </w:p>
        </w:tc>
        <w:tc>
          <w:tcPr>
            <w:tcW w:w="567" w:type="dxa"/>
            <w:shd w:val="clear" w:color="auto" w:fill="auto"/>
            <w:noWrap/>
          </w:tcPr>
          <w:p w14:paraId="7E155446"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2010</w:t>
            </w:r>
          </w:p>
        </w:tc>
        <w:tc>
          <w:tcPr>
            <w:tcW w:w="1701" w:type="dxa"/>
            <w:shd w:val="clear" w:color="auto" w:fill="auto"/>
            <w:noWrap/>
          </w:tcPr>
          <w:p w14:paraId="134EFCEA"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Nutrition journal</w:t>
            </w:r>
          </w:p>
        </w:tc>
        <w:tc>
          <w:tcPr>
            <w:tcW w:w="850" w:type="dxa"/>
            <w:shd w:val="clear" w:color="auto" w:fill="auto"/>
            <w:noWrap/>
          </w:tcPr>
          <w:p w14:paraId="58495DAB"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9</w:t>
            </w:r>
          </w:p>
        </w:tc>
        <w:tc>
          <w:tcPr>
            <w:tcW w:w="567" w:type="dxa"/>
            <w:shd w:val="clear" w:color="auto" w:fill="auto"/>
            <w:noWrap/>
          </w:tcPr>
          <w:p w14:paraId="119B5FF6"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1</w:t>
            </w:r>
          </w:p>
        </w:tc>
        <w:tc>
          <w:tcPr>
            <w:tcW w:w="851" w:type="dxa"/>
            <w:shd w:val="clear" w:color="auto" w:fill="auto"/>
            <w:noWrap/>
          </w:tcPr>
          <w:p w14:paraId="10BD16FE"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42</w:t>
            </w:r>
          </w:p>
        </w:tc>
        <w:tc>
          <w:tcPr>
            <w:tcW w:w="1984" w:type="dxa"/>
            <w:shd w:val="clear" w:color="auto" w:fill="auto"/>
            <w:noWrap/>
          </w:tcPr>
          <w:p w14:paraId="4127D1B6"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4134E844" w14:textId="77777777" w:rsidTr="004C6AA1">
        <w:trPr>
          <w:trHeight w:val="320"/>
        </w:trPr>
        <w:tc>
          <w:tcPr>
            <w:tcW w:w="4248" w:type="dxa"/>
            <w:shd w:val="clear" w:color="auto" w:fill="auto"/>
            <w:noWrap/>
          </w:tcPr>
          <w:p w14:paraId="66EC8755"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A Comprehensive Review of Treatment Options for Premenstrual Syndrome and Premenstrual Dysphoric Disorder</w:t>
            </w:r>
          </w:p>
        </w:tc>
        <w:tc>
          <w:tcPr>
            <w:tcW w:w="3544" w:type="dxa"/>
            <w:shd w:val="clear" w:color="auto" w:fill="auto"/>
            <w:noWrap/>
          </w:tcPr>
          <w:p w14:paraId="1B10BF8B"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Maharaj, S.; Trevino, K.</w:t>
            </w:r>
          </w:p>
        </w:tc>
        <w:tc>
          <w:tcPr>
            <w:tcW w:w="567" w:type="dxa"/>
            <w:shd w:val="clear" w:color="auto" w:fill="auto"/>
            <w:noWrap/>
          </w:tcPr>
          <w:p w14:paraId="6C90EE0B"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2015</w:t>
            </w:r>
          </w:p>
        </w:tc>
        <w:tc>
          <w:tcPr>
            <w:tcW w:w="1701" w:type="dxa"/>
            <w:shd w:val="clear" w:color="auto" w:fill="auto"/>
            <w:noWrap/>
          </w:tcPr>
          <w:p w14:paraId="0F08FED4"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Journal of Psychiatric Practice</w:t>
            </w:r>
          </w:p>
        </w:tc>
        <w:tc>
          <w:tcPr>
            <w:tcW w:w="850" w:type="dxa"/>
            <w:shd w:val="clear" w:color="auto" w:fill="auto"/>
            <w:noWrap/>
          </w:tcPr>
          <w:p w14:paraId="6724D4F8"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21</w:t>
            </w:r>
          </w:p>
        </w:tc>
        <w:tc>
          <w:tcPr>
            <w:tcW w:w="567" w:type="dxa"/>
            <w:shd w:val="clear" w:color="auto" w:fill="auto"/>
            <w:noWrap/>
          </w:tcPr>
          <w:p w14:paraId="0B0B12A7"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5</w:t>
            </w:r>
          </w:p>
        </w:tc>
        <w:tc>
          <w:tcPr>
            <w:tcW w:w="851" w:type="dxa"/>
            <w:shd w:val="clear" w:color="auto" w:fill="auto"/>
            <w:noWrap/>
          </w:tcPr>
          <w:p w14:paraId="42D73B01"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334-350</w:t>
            </w:r>
          </w:p>
        </w:tc>
        <w:tc>
          <w:tcPr>
            <w:tcW w:w="1984" w:type="dxa"/>
            <w:shd w:val="clear" w:color="auto" w:fill="auto"/>
            <w:noWrap/>
          </w:tcPr>
          <w:p w14:paraId="55FF60E4" w14:textId="77777777" w:rsidR="008F3151" w:rsidRPr="00D518FF" w:rsidRDefault="008F3151" w:rsidP="0095325C">
            <w:pPr>
              <w:rPr>
                <w:rFonts w:ascii="Aptos" w:hAnsi="Aptos"/>
                <w:color w:val="000000"/>
                <w:sz w:val="16"/>
                <w:szCs w:val="16"/>
              </w:rPr>
            </w:pPr>
            <w:r w:rsidRPr="00D518FF">
              <w:rPr>
                <w:rFonts w:ascii="Aptos" w:hAnsi="Aptos"/>
                <w:color w:val="000000"/>
                <w:sz w:val="16"/>
                <w:szCs w:val="16"/>
              </w:rPr>
              <w:t>Wrong intervention</w:t>
            </w:r>
          </w:p>
        </w:tc>
      </w:tr>
    </w:tbl>
    <w:p w14:paraId="25BF3F96" w14:textId="77777777" w:rsidR="008F3151" w:rsidRPr="00D518FF" w:rsidRDefault="008F3151" w:rsidP="008F3151">
      <w:pPr>
        <w:pStyle w:val="BodyText"/>
        <w:rPr>
          <w:rFonts w:ascii="Aptos" w:hAnsi="Aptos"/>
        </w:rPr>
      </w:pPr>
    </w:p>
    <w:p w14:paraId="4C09CC98" w14:textId="2BBEA17D" w:rsidR="001C32D3" w:rsidRPr="004C6AA1" w:rsidRDefault="001C32D3" w:rsidP="004C6AA1">
      <w:pPr>
        <w:pStyle w:val="Caption"/>
        <w:spacing w:before="240"/>
        <w:rPr>
          <w:rFonts w:ascii="Aptos" w:hAnsi="Aptos"/>
        </w:rPr>
      </w:pPr>
      <w:bookmarkStart w:id="120" w:name="_Toc185254535"/>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8</w:t>
      </w:r>
      <w:r w:rsidR="00DC4767" w:rsidRPr="004C6AA1">
        <w:rPr>
          <w:rFonts w:ascii="Aptos" w:hAnsi="Aptos"/>
        </w:rPr>
        <w:fldChar w:fldCharType="end"/>
      </w:r>
      <w:r w:rsidRPr="004C6AA1">
        <w:rPr>
          <w:rFonts w:ascii="Aptos" w:hAnsi="Aptos"/>
        </w:rPr>
        <w:t>. Excluded reviews, reason for exclusion – Atopic disorders (including eczema, dermatitis, allergic rhinitis, allergies), zinc).</w:t>
      </w:r>
      <w:bookmarkEnd w:id="120"/>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248"/>
        <w:gridCol w:w="3544"/>
        <w:gridCol w:w="468"/>
        <w:gridCol w:w="1307"/>
        <w:gridCol w:w="709"/>
        <w:gridCol w:w="709"/>
        <w:gridCol w:w="1343"/>
        <w:gridCol w:w="1984"/>
      </w:tblGrid>
      <w:tr w:rsidR="0095325C" w:rsidRPr="00D518FF" w14:paraId="2FD86679" w14:textId="77777777" w:rsidTr="004C6AA1">
        <w:trPr>
          <w:trHeight w:val="35"/>
        </w:trPr>
        <w:tc>
          <w:tcPr>
            <w:tcW w:w="4248" w:type="dxa"/>
            <w:shd w:val="clear" w:color="auto" w:fill="D9D9D9" w:themeFill="background1" w:themeFillShade="D9"/>
            <w:noWrap/>
            <w:hideMark/>
          </w:tcPr>
          <w:p w14:paraId="0A1B54AD" w14:textId="77777777" w:rsidR="0095325C" w:rsidRPr="00D518FF" w:rsidRDefault="0095325C" w:rsidP="0095325C">
            <w:pPr>
              <w:rPr>
                <w:rFonts w:ascii="Aptos" w:hAnsi="Aptos"/>
                <w:b/>
                <w:bCs/>
                <w:color w:val="000000"/>
                <w:sz w:val="16"/>
                <w:szCs w:val="16"/>
              </w:rPr>
            </w:pPr>
            <w:r w:rsidRPr="00D518FF">
              <w:rPr>
                <w:rFonts w:ascii="Aptos" w:hAnsi="Aptos"/>
                <w:b/>
                <w:bCs/>
                <w:color w:val="000000"/>
                <w:sz w:val="16"/>
                <w:szCs w:val="16"/>
              </w:rPr>
              <w:t>Title</w:t>
            </w:r>
          </w:p>
        </w:tc>
        <w:tc>
          <w:tcPr>
            <w:tcW w:w="3544" w:type="dxa"/>
            <w:shd w:val="clear" w:color="auto" w:fill="D9D9D9" w:themeFill="background1" w:themeFillShade="D9"/>
            <w:noWrap/>
            <w:hideMark/>
          </w:tcPr>
          <w:p w14:paraId="558C2D04" w14:textId="77777777" w:rsidR="0095325C" w:rsidRPr="00D518FF" w:rsidRDefault="0095325C" w:rsidP="0095325C">
            <w:pPr>
              <w:rPr>
                <w:rFonts w:ascii="Aptos" w:hAnsi="Aptos"/>
                <w:b/>
                <w:bCs/>
                <w:color w:val="000000"/>
                <w:sz w:val="16"/>
                <w:szCs w:val="16"/>
              </w:rPr>
            </w:pPr>
            <w:r w:rsidRPr="00D518FF">
              <w:rPr>
                <w:rFonts w:ascii="Aptos" w:hAnsi="Aptos"/>
                <w:b/>
                <w:bCs/>
                <w:color w:val="000000"/>
                <w:sz w:val="16"/>
                <w:szCs w:val="16"/>
              </w:rPr>
              <w:t>Authors</w:t>
            </w:r>
          </w:p>
        </w:tc>
        <w:tc>
          <w:tcPr>
            <w:tcW w:w="468" w:type="dxa"/>
            <w:shd w:val="clear" w:color="auto" w:fill="D9D9D9" w:themeFill="background1" w:themeFillShade="D9"/>
          </w:tcPr>
          <w:p w14:paraId="5738D302" w14:textId="7BCC701E" w:rsidR="0095325C" w:rsidRDefault="0095325C" w:rsidP="0095325C">
            <w:pPr>
              <w:rPr>
                <w:rFonts w:ascii="Aptos" w:hAnsi="Aptos"/>
                <w:b/>
                <w:bCs/>
                <w:color w:val="000000"/>
                <w:sz w:val="16"/>
                <w:szCs w:val="16"/>
              </w:rPr>
            </w:pPr>
            <w:r w:rsidRPr="00D518FF">
              <w:rPr>
                <w:rFonts w:ascii="Aptos" w:hAnsi="Aptos"/>
                <w:b/>
                <w:bCs/>
                <w:color w:val="000000"/>
                <w:sz w:val="16"/>
                <w:szCs w:val="16"/>
              </w:rPr>
              <w:t>Year</w:t>
            </w:r>
          </w:p>
        </w:tc>
        <w:tc>
          <w:tcPr>
            <w:tcW w:w="1307" w:type="dxa"/>
            <w:shd w:val="clear" w:color="auto" w:fill="D9D9D9" w:themeFill="background1" w:themeFillShade="D9"/>
          </w:tcPr>
          <w:p w14:paraId="31555E62" w14:textId="1EDE74F0" w:rsidR="0095325C" w:rsidRPr="00D518FF" w:rsidRDefault="0095325C" w:rsidP="0095325C">
            <w:pPr>
              <w:rPr>
                <w:rFonts w:ascii="Aptos" w:hAnsi="Aptos"/>
                <w:b/>
                <w:bCs/>
                <w:color w:val="000000"/>
                <w:sz w:val="16"/>
                <w:szCs w:val="16"/>
              </w:rPr>
            </w:pPr>
            <w:r>
              <w:rPr>
                <w:rFonts w:ascii="Aptos" w:hAnsi="Aptos"/>
                <w:b/>
                <w:bCs/>
                <w:color w:val="000000"/>
                <w:sz w:val="16"/>
                <w:szCs w:val="16"/>
              </w:rPr>
              <w:t>Journal</w:t>
            </w:r>
          </w:p>
        </w:tc>
        <w:tc>
          <w:tcPr>
            <w:tcW w:w="709" w:type="dxa"/>
            <w:shd w:val="clear" w:color="auto" w:fill="D9D9D9" w:themeFill="background1" w:themeFillShade="D9"/>
            <w:noWrap/>
            <w:hideMark/>
          </w:tcPr>
          <w:p w14:paraId="2883545C" w14:textId="77777777" w:rsidR="0095325C" w:rsidRPr="00D518FF" w:rsidRDefault="0095325C" w:rsidP="0095325C">
            <w:pPr>
              <w:rPr>
                <w:rFonts w:ascii="Aptos" w:hAnsi="Aptos"/>
                <w:b/>
                <w:bCs/>
                <w:color w:val="000000"/>
                <w:sz w:val="16"/>
                <w:szCs w:val="16"/>
              </w:rPr>
            </w:pPr>
            <w:r w:rsidRPr="00D518FF">
              <w:rPr>
                <w:rFonts w:ascii="Aptos" w:hAnsi="Aptos"/>
                <w:b/>
                <w:bCs/>
                <w:color w:val="000000"/>
                <w:sz w:val="16"/>
                <w:szCs w:val="16"/>
              </w:rPr>
              <w:t>Volume</w:t>
            </w:r>
          </w:p>
        </w:tc>
        <w:tc>
          <w:tcPr>
            <w:tcW w:w="709" w:type="dxa"/>
            <w:shd w:val="clear" w:color="auto" w:fill="D9D9D9" w:themeFill="background1" w:themeFillShade="D9"/>
            <w:noWrap/>
            <w:hideMark/>
          </w:tcPr>
          <w:p w14:paraId="514820D1" w14:textId="77777777" w:rsidR="0095325C" w:rsidRPr="00D518FF" w:rsidRDefault="0095325C" w:rsidP="0095325C">
            <w:pPr>
              <w:rPr>
                <w:rFonts w:ascii="Aptos" w:hAnsi="Aptos"/>
                <w:b/>
                <w:bCs/>
                <w:color w:val="000000"/>
                <w:sz w:val="16"/>
                <w:szCs w:val="16"/>
              </w:rPr>
            </w:pPr>
            <w:r w:rsidRPr="00D518FF">
              <w:rPr>
                <w:rFonts w:ascii="Aptos" w:hAnsi="Aptos"/>
                <w:b/>
                <w:bCs/>
                <w:color w:val="000000"/>
                <w:sz w:val="16"/>
                <w:szCs w:val="16"/>
              </w:rPr>
              <w:t>Issue</w:t>
            </w:r>
          </w:p>
        </w:tc>
        <w:tc>
          <w:tcPr>
            <w:tcW w:w="1343" w:type="dxa"/>
            <w:shd w:val="clear" w:color="auto" w:fill="D9D9D9" w:themeFill="background1" w:themeFillShade="D9"/>
            <w:noWrap/>
            <w:hideMark/>
          </w:tcPr>
          <w:p w14:paraId="571FD222" w14:textId="77777777" w:rsidR="0095325C" w:rsidRPr="00D518FF" w:rsidRDefault="0095325C" w:rsidP="0095325C">
            <w:pPr>
              <w:rPr>
                <w:rFonts w:ascii="Aptos" w:hAnsi="Aptos"/>
                <w:b/>
                <w:bCs/>
                <w:color w:val="000000"/>
                <w:sz w:val="16"/>
                <w:szCs w:val="16"/>
              </w:rPr>
            </w:pPr>
            <w:r w:rsidRPr="00D518FF">
              <w:rPr>
                <w:rFonts w:ascii="Aptos" w:hAnsi="Aptos"/>
                <w:b/>
                <w:bCs/>
                <w:color w:val="000000"/>
                <w:sz w:val="16"/>
                <w:szCs w:val="16"/>
              </w:rPr>
              <w:t>Pages</w:t>
            </w:r>
          </w:p>
        </w:tc>
        <w:tc>
          <w:tcPr>
            <w:tcW w:w="1984" w:type="dxa"/>
            <w:shd w:val="clear" w:color="auto" w:fill="D9D9D9" w:themeFill="background1" w:themeFillShade="D9"/>
            <w:noWrap/>
            <w:hideMark/>
          </w:tcPr>
          <w:p w14:paraId="7ACD44E1" w14:textId="028818FC" w:rsidR="0095325C" w:rsidRPr="00D518FF" w:rsidRDefault="0095325C" w:rsidP="0095325C">
            <w:pPr>
              <w:rPr>
                <w:rFonts w:ascii="Aptos" w:hAnsi="Aptos"/>
                <w:b/>
                <w:bCs/>
                <w:color w:val="000000"/>
                <w:sz w:val="16"/>
                <w:szCs w:val="16"/>
              </w:rPr>
            </w:pPr>
            <w:r w:rsidRPr="00D518FF">
              <w:rPr>
                <w:rFonts w:ascii="Aptos" w:hAnsi="Aptos" w:cs="Arial"/>
                <w:b/>
                <w:bCs/>
                <w:sz w:val="16"/>
                <w:szCs w:val="16"/>
              </w:rPr>
              <w:t>Exclusion reason</w:t>
            </w:r>
          </w:p>
        </w:tc>
      </w:tr>
      <w:tr w:rsidR="0095325C" w:rsidRPr="00D518FF" w14:paraId="0045A8F8" w14:textId="77777777" w:rsidTr="004C6AA1">
        <w:trPr>
          <w:trHeight w:val="340"/>
        </w:trPr>
        <w:tc>
          <w:tcPr>
            <w:tcW w:w="4248" w:type="dxa"/>
            <w:shd w:val="clear" w:color="auto" w:fill="auto"/>
            <w:noWrap/>
            <w:hideMark/>
          </w:tcPr>
          <w:p w14:paraId="1BDFF7D1"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Micronutrients in Atopic Dermatitis: A Systematic Review</w:t>
            </w:r>
          </w:p>
        </w:tc>
        <w:tc>
          <w:tcPr>
            <w:tcW w:w="3544" w:type="dxa"/>
            <w:shd w:val="clear" w:color="auto" w:fill="auto"/>
            <w:noWrap/>
            <w:hideMark/>
          </w:tcPr>
          <w:p w14:paraId="7A32C7D1"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Vaughn, A. R.; Foolad, N.; Maarouf, M.; Tran, K. A.; Shi, V. Y.</w:t>
            </w:r>
          </w:p>
        </w:tc>
        <w:tc>
          <w:tcPr>
            <w:tcW w:w="468" w:type="dxa"/>
          </w:tcPr>
          <w:p w14:paraId="4B8C38E3" w14:textId="6CF62EB9" w:rsidR="0095325C" w:rsidRPr="00FE3F20" w:rsidRDefault="0095325C" w:rsidP="0095325C">
            <w:pPr>
              <w:rPr>
                <w:rFonts w:ascii="Aptos" w:hAnsi="Aptos"/>
                <w:color w:val="000000"/>
                <w:sz w:val="16"/>
                <w:szCs w:val="16"/>
              </w:rPr>
            </w:pPr>
            <w:r w:rsidRPr="00D518FF">
              <w:rPr>
                <w:rFonts w:ascii="Aptos" w:hAnsi="Aptos"/>
                <w:color w:val="000000"/>
                <w:sz w:val="16"/>
                <w:szCs w:val="16"/>
              </w:rPr>
              <w:t>2019</w:t>
            </w:r>
          </w:p>
        </w:tc>
        <w:tc>
          <w:tcPr>
            <w:tcW w:w="1307" w:type="dxa"/>
          </w:tcPr>
          <w:p w14:paraId="628F6986" w14:textId="792640AE" w:rsidR="0095325C" w:rsidRPr="00D518FF" w:rsidRDefault="0095325C" w:rsidP="0095325C">
            <w:pPr>
              <w:rPr>
                <w:rFonts w:ascii="Aptos" w:hAnsi="Aptos"/>
                <w:color w:val="000000"/>
                <w:sz w:val="16"/>
                <w:szCs w:val="16"/>
              </w:rPr>
            </w:pPr>
            <w:r w:rsidRPr="00FE3F20">
              <w:rPr>
                <w:rFonts w:ascii="Aptos" w:hAnsi="Aptos"/>
                <w:color w:val="000000"/>
                <w:sz w:val="16"/>
                <w:szCs w:val="16"/>
              </w:rPr>
              <w:t>J Altern Complement Med</w:t>
            </w:r>
          </w:p>
        </w:tc>
        <w:tc>
          <w:tcPr>
            <w:tcW w:w="709" w:type="dxa"/>
            <w:shd w:val="clear" w:color="auto" w:fill="auto"/>
            <w:noWrap/>
            <w:hideMark/>
          </w:tcPr>
          <w:p w14:paraId="74CD9BF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25</w:t>
            </w:r>
          </w:p>
        </w:tc>
        <w:tc>
          <w:tcPr>
            <w:tcW w:w="709" w:type="dxa"/>
            <w:shd w:val="clear" w:color="auto" w:fill="auto"/>
            <w:noWrap/>
            <w:hideMark/>
          </w:tcPr>
          <w:p w14:paraId="0EE6598F"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6</w:t>
            </w:r>
          </w:p>
        </w:tc>
        <w:tc>
          <w:tcPr>
            <w:tcW w:w="1343" w:type="dxa"/>
            <w:shd w:val="clear" w:color="auto" w:fill="auto"/>
            <w:noWrap/>
            <w:hideMark/>
          </w:tcPr>
          <w:p w14:paraId="36068736"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567-577</w:t>
            </w:r>
          </w:p>
        </w:tc>
        <w:tc>
          <w:tcPr>
            <w:tcW w:w="1984" w:type="dxa"/>
            <w:shd w:val="clear" w:color="auto" w:fill="auto"/>
            <w:noWrap/>
            <w:hideMark/>
          </w:tcPr>
          <w:p w14:paraId="337DE84D"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5325C" w:rsidRPr="00D518FF" w14:paraId="31824AD5" w14:textId="77777777" w:rsidTr="004C6AA1">
        <w:trPr>
          <w:trHeight w:val="340"/>
        </w:trPr>
        <w:tc>
          <w:tcPr>
            <w:tcW w:w="4248" w:type="dxa"/>
            <w:shd w:val="clear" w:color="auto" w:fill="auto"/>
            <w:noWrap/>
            <w:hideMark/>
          </w:tcPr>
          <w:p w14:paraId="0B6FE127"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Clinical practice guidelines for the prevention and treatment of acute and late radiation reactions from the MASCC Skin Toxicity Study Group</w:t>
            </w:r>
          </w:p>
        </w:tc>
        <w:tc>
          <w:tcPr>
            <w:tcW w:w="3544" w:type="dxa"/>
            <w:shd w:val="clear" w:color="auto" w:fill="auto"/>
            <w:noWrap/>
            <w:hideMark/>
          </w:tcPr>
          <w:p w14:paraId="5E1D4B57"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Wong, R. K. S.; Bensadoun, R. J.; Boers-Doets, C. B.; Bryce, J.; Chan, A.; Epstein, J. B.; Eaby-Sandy, B.; Lacouture, M. E.</w:t>
            </w:r>
          </w:p>
        </w:tc>
        <w:tc>
          <w:tcPr>
            <w:tcW w:w="468" w:type="dxa"/>
          </w:tcPr>
          <w:p w14:paraId="2E968DD1" w14:textId="3B6B6AC4" w:rsidR="0095325C" w:rsidRPr="00FE3F20" w:rsidRDefault="0095325C" w:rsidP="0095325C">
            <w:pPr>
              <w:rPr>
                <w:rFonts w:ascii="Aptos" w:hAnsi="Aptos"/>
                <w:color w:val="000000"/>
                <w:sz w:val="16"/>
                <w:szCs w:val="16"/>
              </w:rPr>
            </w:pPr>
            <w:r w:rsidRPr="00D518FF">
              <w:rPr>
                <w:rFonts w:ascii="Aptos" w:hAnsi="Aptos"/>
                <w:color w:val="000000"/>
                <w:sz w:val="16"/>
                <w:szCs w:val="16"/>
              </w:rPr>
              <w:t>2013</w:t>
            </w:r>
          </w:p>
        </w:tc>
        <w:tc>
          <w:tcPr>
            <w:tcW w:w="1307" w:type="dxa"/>
          </w:tcPr>
          <w:p w14:paraId="3BBE7C5F" w14:textId="08332EC9" w:rsidR="0095325C" w:rsidRPr="00D518FF" w:rsidRDefault="0095325C" w:rsidP="0095325C">
            <w:pPr>
              <w:rPr>
                <w:rFonts w:ascii="Aptos" w:hAnsi="Aptos"/>
                <w:color w:val="000000"/>
                <w:sz w:val="16"/>
                <w:szCs w:val="16"/>
              </w:rPr>
            </w:pPr>
            <w:r w:rsidRPr="00FE3F20">
              <w:rPr>
                <w:rFonts w:ascii="Aptos" w:hAnsi="Aptos"/>
                <w:color w:val="000000"/>
                <w:sz w:val="16"/>
                <w:szCs w:val="16"/>
              </w:rPr>
              <w:t>Support Care Cancer</w:t>
            </w:r>
          </w:p>
        </w:tc>
        <w:tc>
          <w:tcPr>
            <w:tcW w:w="709" w:type="dxa"/>
            <w:shd w:val="clear" w:color="auto" w:fill="auto"/>
            <w:noWrap/>
            <w:hideMark/>
          </w:tcPr>
          <w:p w14:paraId="499DD6A5"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21</w:t>
            </w:r>
          </w:p>
        </w:tc>
        <w:tc>
          <w:tcPr>
            <w:tcW w:w="709" w:type="dxa"/>
            <w:shd w:val="clear" w:color="auto" w:fill="auto"/>
            <w:noWrap/>
            <w:hideMark/>
          </w:tcPr>
          <w:p w14:paraId="47405FF1"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10</w:t>
            </w:r>
          </w:p>
        </w:tc>
        <w:tc>
          <w:tcPr>
            <w:tcW w:w="1343" w:type="dxa"/>
            <w:shd w:val="clear" w:color="auto" w:fill="auto"/>
            <w:noWrap/>
            <w:hideMark/>
          </w:tcPr>
          <w:p w14:paraId="0BAD7EE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2933-2948</w:t>
            </w:r>
          </w:p>
        </w:tc>
        <w:tc>
          <w:tcPr>
            <w:tcW w:w="1984" w:type="dxa"/>
            <w:shd w:val="clear" w:color="auto" w:fill="auto"/>
            <w:noWrap/>
            <w:hideMark/>
          </w:tcPr>
          <w:p w14:paraId="19E9983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71C68920" w14:textId="77777777" w:rsidTr="004C6AA1">
        <w:trPr>
          <w:trHeight w:val="340"/>
        </w:trPr>
        <w:tc>
          <w:tcPr>
            <w:tcW w:w="4248" w:type="dxa"/>
            <w:shd w:val="clear" w:color="auto" w:fill="auto"/>
            <w:noWrap/>
            <w:hideMark/>
          </w:tcPr>
          <w:p w14:paraId="6E7D8BB7"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Counteracting side effects of combined oral contraceptives through the administration of specific micronutrients</w:t>
            </w:r>
          </w:p>
        </w:tc>
        <w:tc>
          <w:tcPr>
            <w:tcW w:w="3544" w:type="dxa"/>
            <w:shd w:val="clear" w:color="auto" w:fill="auto"/>
            <w:noWrap/>
            <w:hideMark/>
          </w:tcPr>
          <w:p w14:paraId="6165F07A"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Basciani, S.; Porcaro, G.</w:t>
            </w:r>
          </w:p>
        </w:tc>
        <w:tc>
          <w:tcPr>
            <w:tcW w:w="468" w:type="dxa"/>
          </w:tcPr>
          <w:p w14:paraId="482092A8" w14:textId="22EBA8E9" w:rsidR="0095325C" w:rsidRPr="00F51024" w:rsidRDefault="0095325C" w:rsidP="0095325C">
            <w:pPr>
              <w:rPr>
                <w:rFonts w:ascii="Aptos" w:hAnsi="Aptos"/>
                <w:color w:val="000000"/>
                <w:sz w:val="16"/>
                <w:szCs w:val="16"/>
              </w:rPr>
            </w:pPr>
            <w:r w:rsidRPr="00D518FF">
              <w:rPr>
                <w:rFonts w:ascii="Aptos" w:hAnsi="Aptos"/>
                <w:color w:val="000000"/>
                <w:sz w:val="16"/>
                <w:szCs w:val="16"/>
              </w:rPr>
              <w:t>2022</w:t>
            </w:r>
          </w:p>
        </w:tc>
        <w:tc>
          <w:tcPr>
            <w:tcW w:w="1307" w:type="dxa"/>
          </w:tcPr>
          <w:p w14:paraId="3505EA54" w14:textId="38985C7A" w:rsidR="0095325C" w:rsidRPr="00D518FF" w:rsidRDefault="0095325C" w:rsidP="0095325C">
            <w:pPr>
              <w:rPr>
                <w:rFonts w:ascii="Aptos" w:hAnsi="Aptos"/>
                <w:color w:val="000000"/>
                <w:sz w:val="16"/>
                <w:szCs w:val="16"/>
              </w:rPr>
            </w:pPr>
            <w:r w:rsidRPr="00F51024">
              <w:rPr>
                <w:rFonts w:ascii="Aptos" w:hAnsi="Aptos"/>
                <w:color w:val="000000"/>
                <w:sz w:val="16"/>
                <w:szCs w:val="16"/>
              </w:rPr>
              <w:t>Eur Rev Med Pharmacol Sci</w:t>
            </w:r>
          </w:p>
        </w:tc>
        <w:tc>
          <w:tcPr>
            <w:tcW w:w="709" w:type="dxa"/>
            <w:shd w:val="clear" w:color="auto" w:fill="auto"/>
            <w:noWrap/>
            <w:hideMark/>
          </w:tcPr>
          <w:p w14:paraId="62092526"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26</w:t>
            </w:r>
          </w:p>
        </w:tc>
        <w:tc>
          <w:tcPr>
            <w:tcW w:w="709" w:type="dxa"/>
            <w:shd w:val="clear" w:color="auto" w:fill="auto"/>
            <w:noWrap/>
            <w:hideMark/>
          </w:tcPr>
          <w:p w14:paraId="13E304E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13</w:t>
            </w:r>
          </w:p>
        </w:tc>
        <w:tc>
          <w:tcPr>
            <w:tcW w:w="1343" w:type="dxa"/>
            <w:shd w:val="clear" w:color="auto" w:fill="auto"/>
            <w:noWrap/>
            <w:hideMark/>
          </w:tcPr>
          <w:p w14:paraId="073F496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4846-4862</w:t>
            </w:r>
          </w:p>
        </w:tc>
        <w:tc>
          <w:tcPr>
            <w:tcW w:w="1984" w:type="dxa"/>
            <w:shd w:val="clear" w:color="auto" w:fill="auto"/>
            <w:noWrap/>
            <w:hideMark/>
          </w:tcPr>
          <w:p w14:paraId="21EF3B66"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2FCF4B09" w14:textId="77777777" w:rsidTr="004C6AA1">
        <w:trPr>
          <w:trHeight w:val="340"/>
        </w:trPr>
        <w:tc>
          <w:tcPr>
            <w:tcW w:w="4248" w:type="dxa"/>
            <w:shd w:val="clear" w:color="auto" w:fill="auto"/>
            <w:noWrap/>
            <w:hideMark/>
          </w:tcPr>
          <w:p w14:paraId="68877EF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Maternal nutrition during pregnancy and risk of asthma, wheeze and atopic diseases during childhood: a systematic review and meta-analysis</w:t>
            </w:r>
          </w:p>
        </w:tc>
        <w:tc>
          <w:tcPr>
            <w:tcW w:w="3544" w:type="dxa"/>
            <w:shd w:val="clear" w:color="auto" w:fill="auto"/>
            <w:noWrap/>
            <w:hideMark/>
          </w:tcPr>
          <w:p w14:paraId="311FC58B"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Beckhaus, A. A.; Garcia-Marcos, L.; Forno, E.; Pacheco-Gonzalez, R. M.; Celed√≥n, J. C.; Castro-Rodriguez, J. A.</w:t>
            </w:r>
          </w:p>
        </w:tc>
        <w:tc>
          <w:tcPr>
            <w:tcW w:w="468" w:type="dxa"/>
          </w:tcPr>
          <w:p w14:paraId="5B6D574F" w14:textId="45BBC5F7" w:rsidR="0095325C" w:rsidRDefault="0095325C" w:rsidP="0095325C">
            <w:pPr>
              <w:rPr>
                <w:rFonts w:ascii="Aptos" w:hAnsi="Aptos"/>
                <w:color w:val="000000"/>
                <w:sz w:val="16"/>
                <w:szCs w:val="16"/>
              </w:rPr>
            </w:pPr>
            <w:r w:rsidRPr="00D518FF">
              <w:rPr>
                <w:rFonts w:ascii="Aptos" w:hAnsi="Aptos"/>
                <w:color w:val="000000"/>
                <w:sz w:val="16"/>
                <w:szCs w:val="16"/>
              </w:rPr>
              <w:t>2015</w:t>
            </w:r>
          </w:p>
        </w:tc>
        <w:tc>
          <w:tcPr>
            <w:tcW w:w="1307" w:type="dxa"/>
          </w:tcPr>
          <w:p w14:paraId="2C0C72F0" w14:textId="0B8DD692" w:rsidR="0095325C" w:rsidRPr="00D518FF" w:rsidRDefault="0095325C" w:rsidP="0095325C">
            <w:pPr>
              <w:rPr>
                <w:rFonts w:ascii="Aptos" w:hAnsi="Aptos"/>
                <w:color w:val="000000"/>
                <w:sz w:val="16"/>
                <w:szCs w:val="16"/>
              </w:rPr>
            </w:pPr>
            <w:r>
              <w:rPr>
                <w:rFonts w:ascii="Aptos" w:hAnsi="Aptos"/>
                <w:color w:val="000000"/>
                <w:sz w:val="16"/>
                <w:szCs w:val="16"/>
              </w:rPr>
              <w:t>Allergy</w:t>
            </w:r>
          </w:p>
        </w:tc>
        <w:tc>
          <w:tcPr>
            <w:tcW w:w="709" w:type="dxa"/>
            <w:shd w:val="clear" w:color="auto" w:fill="auto"/>
            <w:noWrap/>
            <w:hideMark/>
          </w:tcPr>
          <w:p w14:paraId="7608895F"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70</w:t>
            </w:r>
          </w:p>
        </w:tc>
        <w:tc>
          <w:tcPr>
            <w:tcW w:w="709" w:type="dxa"/>
            <w:shd w:val="clear" w:color="auto" w:fill="auto"/>
            <w:noWrap/>
            <w:hideMark/>
          </w:tcPr>
          <w:p w14:paraId="408AEE28"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12</w:t>
            </w:r>
          </w:p>
        </w:tc>
        <w:tc>
          <w:tcPr>
            <w:tcW w:w="1343" w:type="dxa"/>
            <w:shd w:val="clear" w:color="auto" w:fill="auto"/>
            <w:noWrap/>
            <w:hideMark/>
          </w:tcPr>
          <w:p w14:paraId="2CDF5D0F"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1588-604</w:t>
            </w:r>
          </w:p>
        </w:tc>
        <w:tc>
          <w:tcPr>
            <w:tcW w:w="1984" w:type="dxa"/>
            <w:shd w:val="clear" w:color="auto" w:fill="auto"/>
            <w:noWrap/>
            <w:hideMark/>
          </w:tcPr>
          <w:p w14:paraId="1001CAD7"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3056C228" w14:textId="77777777" w:rsidTr="004C6AA1">
        <w:trPr>
          <w:trHeight w:val="340"/>
        </w:trPr>
        <w:tc>
          <w:tcPr>
            <w:tcW w:w="4248" w:type="dxa"/>
            <w:shd w:val="clear" w:color="auto" w:fill="auto"/>
            <w:noWrap/>
            <w:hideMark/>
          </w:tcPr>
          <w:p w14:paraId="3E7E6333"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Prevention and treatment of acute radiation-induced skin reactions: a systematic review and meta-analysis of randomized controlled trials</w:t>
            </w:r>
          </w:p>
        </w:tc>
        <w:tc>
          <w:tcPr>
            <w:tcW w:w="3544" w:type="dxa"/>
            <w:shd w:val="clear" w:color="auto" w:fill="auto"/>
            <w:noWrap/>
            <w:hideMark/>
          </w:tcPr>
          <w:p w14:paraId="11B06795"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Chan, R. J.; Webster, J.; Chung, B.; Marquart, L.; Ahmed, M.; Garantziotis, S.</w:t>
            </w:r>
          </w:p>
        </w:tc>
        <w:tc>
          <w:tcPr>
            <w:tcW w:w="468" w:type="dxa"/>
          </w:tcPr>
          <w:p w14:paraId="5B7DA014" w14:textId="4FA66DF8" w:rsidR="0095325C" w:rsidRPr="00FF2C80" w:rsidRDefault="0095325C" w:rsidP="0095325C">
            <w:pPr>
              <w:rPr>
                <w:rFonts w:ascii="Aptos" w:hAnsi="Aptos"/>
                <w:color w:val="000000"/>
                <w:sz w:val="16"/>
                <w:szCs w:val="16"/>
              </w:rPr>
            </w:pPr>
            <w:r w:rsidRPr="00D518FF">
              <w:rPr>
                <w:rFonts w:ascii="Aptos" w:hAnsi="Aptos"/>
                <w:color w:val="000000"/>
                <w:sz w:val="16"/>
                <w:szCs w:val="16"/>
              </w:rPr>
              <w:t>2014</w:t>
            </w:r>
          </w:p>
        </w:tc>
        <w:tc>
          <w:tcPr>
            <w:tcW w:w="1307" w:type="dxa"/>
          </w:tcPr>
          <w:p w14:paraId="5347DBBB" w14:textId="0DA70529" w:rsidR="0095325C" w:rsidRPr="00D518FF" w:rsidRDefault="0095325C" w:rsidP="0095325C">
            <w:pPr>
              <w:rPr>
                <w:rFonts w:ascii="Aptos" w:hAnsi="Aptos"/>
                <w:color w:val="000000"/>
                <w:sz w:val="16"/>
                <w:szCs w:val="16"/>
              </w:rPr>
            </w:pPr>
            <w:hyperlink r:id="rId30" w:history="1">
              <w:r w:rsidRPr="0095325C">
                <w:rPr>
                  <w:rFonts w:ascii="Aptos" w:hAnsi="Aptos"/>
                  <w:color w:val="000000"/>
                  <w:sz w:val="16"/>
                  <w:szCs w:val="16"/>
                </w:rPr>
                <w:t>BMC Cancer</w:t>
              </w:r>
            </w:hyperlink>
            <w:r w:rsidRPr="00FF2C80">
              <w:rPr>
                <w:rFonts w:ascii="Aptos" w:hAnsi="Aptos"/>
                <w:color w:val="000000"/>
                <w:sz w:val="16"/>
                <w:szCs w:val="16"/>
              </w:rPr>
              <w:t> </w:t>
            </w:r>
            <w:r w:rsidRPr="000256D8">
              <w:rPr>
                <w:rFonts w:ascii="Aptos" w:hAnsi="Aptos"/>
                <w:color w:val="000000"/>
                <w:sz w:val="16"/>
                <w:szCs w:val="16"/>
              </w:rPr>
              <w:t>volume </w:t>
            </w:r>
          </w:p>
        </w:tc>
        <w:tc>
          <w:tcPr>
            <w:tcW w:w="709" w:type="dxa"/>
            <w:shd w:val="clear" w:color="auto" w:fill="auto"/>
            <w:noWrap/>
            <w:hideMark/>
          </w:tcPr>
          <w:p w14:paraId="248CFDCC"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14</w:t>
            </w:r>
          </w:p>
        </w:tc>
        <w:tc>
          <w:tcPr>
            <w:tcW w:w="709" w:type="dxa"/>
            <w:shd w:val="clear" w:color="auto" w:fill="auto"/>
            <w:noWrap/>
            <w:hideMark/>
          </w:tcPr>
          <w:p w14:paraId="4FF15120"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w:t>
            </w:r>
          </w:p>
        </w:tc>
        <w:tc>
          <w:tcPr>
            <w:tcW w:w="1343" w:type="dxa"/>
            <w:shd w:val="clear" w:color="auto" w:fill="auto"/>
            <w:noWrap/>
            <w:hideMark/>
          </w:tcPr>
          <w:p w14:paraId="77C2268B"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53</w:t>
            </w:r>
          </w:p>
        </w:tc>
        <w:tc>
          <w:tcPr>
            <w:tcW w:w="1984" w:type="dxa"/>
            <w:shd w:val="clear" w:color="auto" w:fill="auto"/>
            <w:noWrap/>
            <w:hideMark/>
          </w:tcPr>
          <w:p w14:paraId="6E4D8E3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4697502E" w14:textId="77777777" w:rsidTr="004C6AA1">
        <w:trPr>
          <w:trHeight w:val="340"/>
        </w:trPr>
        <w:tc>
          <w:tcPr>
            <w:tcW w:w="4248" w:type="dxa"/>
            <w:shd w:val="clear" w:color="auto" w:fill="auto"/>
            <w:noWrap/>
            <w:hideMark/>
          </w:tcPr>
          <w:p w14:paraId="0B634616"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Serum zinc level and children`s asthma: A systematic and meta-analysis review article</w:t>
            </w:r>
          </w:p>
        </w:tc>
        <w:tc>
          <w:tcPr>
            <w:tcW w:w="3544" w:type="dxa"/>
            <w:shd w:val="clear" w:color="auto" w:fill="auto"/>
            <w:noWrap/>
            <w:hideMark/>
          </w:tcPr>
          <w:p w14:paraId="7A846D6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Ghaffari, J.; Alizadeh-Navaei, R.; Dabaghzadeh, A.; Ghaffari, N.</w:t>
            </w:r>
          </w:p>
        </w:tc>
        <w:tc>
          <w:tcPr>
            <w:tcW w:w="468" w:type="dxa"/>
          </w:tcPr>
          <w:p w14:paraId="6E8B5C5E" w14:textId="3ED5A9BF" w:rsidR="0095325C" w:rsidRPr="00FF2C80" w:rsidRDefault="0095325C" w:rsidP="0095325C">
            <w:pPr>
              <w:rPr>
                <w:rFonts w:ascii="Aptos" w:hAnsi="Aptos"/>
                <w:color w:val="000000"/>
                <w:sz w:val="16"/>
                <w:szCs w:val="16"/>
              </w:rPr>
            </w:pPr>
            <w:r w:rsidRPr="00D518FF">
              <w:rPr>
                <w:rFonts w:ascii="Aptos" w:hAnsi="Aptos"/>
                <w:color w:val="000000"/>
                <w:sz w:val="16"/>
                <w:szCs w:val="16"/>
              </w:rPr>
              <w:t>2021</w:t>
            </w:r>
          </w:p>
        </w:tc>
        <w:tc>
          <w:tcPr>
            <w:tcW w:w="1307" w:type="dxa"/>
          </w:tcPr>
          <w:p w14:paraId="578AADCC" w14:textId="4049E963" w:rsidR="0095325C" w:rsidRPr="00D518FF" w:rsidRDefault="0095325C" w:rsidP="0095325C">
            <w:pPr>
              <w:rPr>
                <w:rFonts w:ascii="Aptos" w:hAnsi="Aptos"/>
                <w:color w:val="000000"/>
                <w:sz w:val="16"/>
                <w:szCs w:val="16"/>
              </w:rPr>
            </w:pPr>
            <w:r w:rsidRPr="00FF2C80">
              <w:rPr>
                <w:rFonts w:ascii="Aptos" w:hAnsi="Aptos"/>
                <w:color w:val="000000"/>
                <w:sz w:val="16"/>
                <w:szCs w:val="16"/>
              </w:rPr>
              <w:t>Caspian J Intern Med</w:t>
            </w:r>
          </w:p>
        </w:tc>
        <w:tc>
          <w:tcPr>
            <w:tcW w:w="709" w:type="dxa"/>
            <w:shd w:val="clear" w:color="auto" w:fill="auto"/>
            <w:noWrap/>
            <w:hideMark/>
          </w:tcPr>
          <w:p w14:paraId="62E1AE46"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12</w:t>
            </w:r>
          </w:p>
        </w:tc>
        <w:tc>
          <w:tcPr>
            <w:tcW w:w="709" w:type="dxa"/>
            <w:shd w:val="clear" w:color="auto" w:fill="auto"/>
            <w:noWrap/>
            <w:hideMark/>
          </w:tcPr>
          <w:p w14:paraId="06E7AE9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3</w:t>
            </w:r>
          </w:p>
        </w:tc>
        <w:tc>
          <w:tcPr>
            <w:tcW w:w="1343" w:type="dxa"/>
            <w:shd w:val="clear" w:color="auto" w:fill="auto"/>
            <w:noWrap/>
            <w:hideMark/>
          </w:tcPr>
          <w:p w14:paraId="01228831"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236-242</w:t>
            </w:r>
          </w:p>
        </w:tc>
        <w:tc>
          <w:tcPr>
            <w:tcW w:w="1984" w:type="dxa"/>
            <w:shd w:val="clear" w:color="auto" w:fill="auto"/>
            <w:noWrap/>
            <w:hideMark/>
          </w:tcPr>
          <w:p w14:paraId="24CF7A66"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95325C" w:rsidRPr="00D518FF" w14:paraId="5F157720" w14:textId="77777777" w:rsidTr="004C6AA1">
        <w:trPr>
          <w:trHeight w:val="340"/>
        </w:trPr>
        <w:tc>
          <w:tcPr>
            <w:tcW w:w="4248" w:type="dxa"/>
            <w:shd w:val="clear" w:color="auto" w:fill="auto"/>
            <w:noWrap/>
            <w:hideMark/>
          </w:tcPr>
          <w:p w14:paraId="35EBD1BC"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Zinc as a complementary treatment for cancer patients: a systematic review</w:t>
            </w:r>
          </w:p>
        </w:tc>
        <w:tc>
          <w:tcPr>
            <w:tcW w:w="3544" w:type="dxa"/>
            <w:shd w:val="clear" w:color="auto" w:fill="auto"/>
            <w:noWrap/>
            <w:hideMark/>
          </w:tcPr>
          <w:p w14:paraId="32D9F35D" w14:textId="53CC08AB" w:rsidR="0095325C" w:rsidRPr="00D518FF" w:rsidRDefault="0095325C" w:rsidP="0095325C">
            <w:pPr>
              <w:rPr>
                <w:rFonts w:ascii="Aptos" w:hAnsi="Aptos"/>
                <w:color w:val="000000"/>
                <w:sz w:val="16"/>
                <w:szCs w:val="16"/>
              </w:rPr>
            </w:pPr>
            <w:r w:rsidRPr="006344F7">
              <w:rPr>
                <w:rFonts w:ascii="Aptos" w:hAnsi="Aptos"/>
                <w:color w:val="000000"/>
                <w:sz w:val="16"/>
                <w:szCs w:val="16"/>
              </w:rPr>
              <w:t>Hoppe C, Kutschan S, Dörfler J, Büntzel J, Büntzel J, Huebner J. </w:t>
            </w:r>
          </w:p>
        </w:tc>
        <w:tc>
          <w:tcPr>
            <w:tcW w:w="468" w:type="dxa"/>
          </w:tcPr>
          <w:p w14:paraId="4BB1AEE8" w14:textId="25DDD862" w:rsidR="0095325C" w:rsidRPr="00653E8D" w:rsidRDefault="0095325C" w:rsidP="0095325C">
            <w:pPr>
              <w:rPr>
                <w:rFonts w:ascii="Aptos" w:hAnsi="Aptos"/>
                <w:color w:val="000000"/>
                <w:sz w:val="16"/>
                <w:szCs w:val="16"/>
              </w:rPr>
            </w:pPr>
            <w:r w:rsidRPr="00D518FF">
              <w:rPr>
                <w:rFonts w:ascii="Aptos" w:hAnsi="Aptos"/>
                <w:color w:val="000000"/>
                <w:sz w:val="16"/>
                <w:szCs w:val="16"/>
              </w:rPr>
              <w:t>2021</w:t>
            </w:r>
          </w:p>
        </w:tc>
        <w:tc>
          <w:tcPr>
            <w:tcW w:w="1307" w:type="dxa"/>
          </w:tcPr>
          <w:p w14:paraId="1DAA6C6C" w14:textId="340F580D" w:rsidR="0095325C" w:rsidRPr="00653E8D" w:rsidRDefault="0095325C" w:rsidP="0095325C">
            <w:pPr>
              <w:rPr>
                <w:rFonts w:ascii="Aptos" w:hAnsi="Aptos"/>
                <w:color w:val="000000"/>
                <w:sz w:val="16"/>
                <w:szCs w:val="16"/>
              </w:rPr>
            </w:pPr>
            <w:r w:rsidRPr="00653E8D">
              <w:rPr>
                <w:rFonts w:ascii="Aptos" w:hAnsi="Aptos"/>
                <w:color w:val="000000"/>
                <w:sz w:val="16"/>
                <w:szCs w:val="16"/>
              </w:rPr>
              <w:t>Clin Exp Med</w:t>
            </w:r>
          </w:p>
        </w:tc>
        <w:tc>
          <w:tcPr>
            <w:tcW w:w="709" w:type="dxa"/>
            <w:shd w:val="clear" w:color="auto" w:fill="auto"/>
            <w:noWrap/>
            <w:hideMark/>
          </w:tcPr>
          <w:p w14:paraId="0C658808" w14:textId="1E7DB7DF" w:rsidR="0095325C" w:rsidRPr="00D518FF" w:rsidRDefault="0095325C" w:rsidP="0095325C">
            <w:pPr>
              <w:rPr>
                <w:rFonts w:ascii="Aptos" w:hAnsi="Aptos"/>
                <w:color w:val="000000"/>
                <w:sz w:val="16"/>
                <w:szCs w:val="16"/>
              </w:rPr>
            </w:pPr>
            <w:r>
              <w:rPr>
                <w:rFonts w:ascii="Aptos" w:hAnsi="Aptos"/>
                <w:color w:val="000000"/>
                <w:sz w:val="16"/>
                <w:szCs w:val="16"/>
              </w:rPr>
              <w:t>21</w:t>
            </w:r>
          </w:p>
        </w:tc>
        <w:tc>
          <w:tcPr>
            <w:tcW w:w="709" w:type="dxa"/>
            <w:shd w:val="clear" w:color="auto" w:fill="auto"/>
            <w:noWrap/>
            <w:hideMark/>
          </w:tcPr>
          <w:p w14:paraId="2E2043E5" w14:textId="01F4B9E9" w:rsidR="0095325C" w:rsidRPr="00D518FF" w:rsidRDefault="0095325C" w:rsidP="0095325C">
            <w:pPr>
              <w:rPr>
                <w:rFonts w:ascii="Aptos" w:hAnsi="Aptos"/>
                <w:color w:val="000000"/>
                <w:sz w:val="16"/>
                <w:szCs w:val="16"/>
              </w:rPr>
            </w:pPr>
            <w:r>
              <w:rPr>
                <w:rFonts w:ascii="Aptos" w:hAnsi="Aptos"/>
                <w:color w:val="000000"/>
                <w:sz w:val="16"/>
                <w:szCs w:val="16"/>
              </w:rPr>
              <w:t>2</w:t>
            </w:r>
          </w:p>
        </w:tc>
        <w:tc>
          <w:tcPr>
            <w:tcW w:w="1343" w:type="dxa"/>
            <w:shd w:val="clear" w:color="auto" w:fill="auto"/>
            <w:noWrap/>
            <w:hideMark/>
          </w:tcPr>
          <w:p w14:paraId="26D96962" w14:textId="56CFC03A" w:rsidR="0095325C" w:rsidRPr="00D518FF" w:rsidRDefault="0095325C" w:rsidP="0095325C">
            <w:pPr>
              <w:rPr>
                <w:rFonts w:ascii="Aptos" w:hAnsi="Aptos"/>
                <w:color w:val="000000"/>
                <w:sz w:val="16"/>
                <w:szCs w:val="16"/>
              </w:rPr>
            </w:pPr>
            <w:r w:rsidRPr="006344F7">
              <w:rPr>
                <w:rFonts w:ascii="Aptos" w:hAnsi="Aptos"/>
                <w:color w:val="000000"/>
                <w:sz w:val="16"/>
                <w:szCs w:val="16"/>
              </w:rPr>
              <w:t>297-313</w:t>
            </w:r>
          </w:p>
        </w:tc>
        <w:tc>
          <w:tcPr>
            <w:tcW w:w="1984" w:type="dxa"/>
            <w:shd w:val="clear" w:color="auto" w:fill="auto"/>
            <w:noWrap/>
            <w:hideMark/>
          </w:tcPr>
          <w:p w14:paraId="7DAC891F"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3C531EDC" w14:textId="77777777" w:rsidTr="004C6AA1">
        <w:trPr>
          <w:trHeight w:val="340"/>
        </w:trPr>
        <w:tc>
          <w:tcPr>
            <w:tcW w:w="4248" w:type="dxa"/>
            <w:shd w:val="clear" w:color="auto" w:fill="auto"/>
            <w:noWrap/>
            <w:hideMark/>
          </w:tcPr>
          <w:p w14:paraId="5587F30C"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Nutrients and foods for the primary prevention of asthma and allergy: systematic review and meta-analysis</w:t>
            </w:r>
          </w:p>
        </w:tc>
        <w:tc>
          <w:tcPr>
            <w:tcW w:w="3544" w:type="dxa"/>
            <w:shd w:val="clear" w:color="auto" w:fill="auto"/>
            <w:noWrap/>
            <w:hideMark/>
          </w:tcPr>
          <w:p w14:paraId="5B83E6D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Nurmatov, U.; Devereux, G.; Sheikh, A.</w:t>
            </w:r>
          </w:p>
        </w:tc>
        <w:tc>
          <w:tcPr>
            <w:tcW w:w="468" w:type="dxa"/>
          </w:tcPr>
          <w:p w14:paraId="50F896B2" w14:textId="4AC2F2D4" w:rsidR="0095325C" w:rsidRPr="00653E8D" w:rsidRDefault="0095325C" w:rsidP="0095325C">
            <w:pPr>
              <w:rPr>
                <w:rFonts w:ascii="Aptos" w:hAnsi="Aptos"/>
                <w:color w:val="000000"/>
                <w:sz w:val="16"/>
                <w:szCs w:val="16"/>
              </w:rPr>
            </w:pPr>
            <w:r w:rsidRPr="00D518FF">
              <w:rPr>
                <w:rFonts w:ascii="Aptos" w:hAnsi="Aptos"/>
                <w:color w:val="000000"/>
                <w:sz w:val="16"/>
                <w:szCs w:val="16"/>
              </w:rPr>
              <w:t>2011</w:t>
            </w:r>
          </w:p>
        </w:tc>
        <w:tc>
          <w:tcPr>
            <w:tcW w:w="1307" w:type="dxa"/>
          </w:tcPr>
          <w:p w14:paraId="3BD8461E" w14:textId="3BC007D0" w:rsidR="0095325C" w:rsidRPr="00653E8D" w:rsidRDefault="0095325C" w:rsidP="0095325C">
            <w:pPr>
              <w:rPr>
                <w:rFonts w:ascii="Aptos" w:hAnsi="Aptos"/>
                <w:color w:val="000000"/>
                <w:sz w:val="16"/>
                <w:szCs w:val="16"/>
              </w:rPr>
            </w:pPr>
            <w:r w:rsidRPr="00653E8D">
              <w:rPr>
                <w:rFonts w:ascii="Aptos" w:hAnsi="Aptos"/>
                <w:color w:val="000000"/>
                <w:sz w:val="16"/>
                <w:szCs w:val="16"/>
              </w:rPr>
              <w:t>J Allergy Clin Immunol</w:t>
            </w:r>
          </w:p>
        </w:tc>
        <w:tc>
          <w:tcPr>
            <w:tcW w:w="709" w:type="dxa"/>
            <w:shd w:val="clear" w:color="auto" w:fill="auto"/>
            <w:noWrap/>
            <w:hideMark/>
          </w:tcPr>
          <w:p w14:paraId="71344835"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127</w:t>
            </w:r>
          </w:p>
        </w:tc>
        <w:tc>
          <w:tcPr>
            <w:tcW w:w="709" w:type="dxa"/>
            <w:shd w:val="clear" w:color="auto" w:fill="auto"/>
            <w:noWrap/>
            <w:hideMark/>
          </w:tcPr>
          <w:p w14:paraId="7DC3145C"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3</w:t>
            </w:r>
          </w:p>
        </w:tc>
        <w:tc>
          <w:tcPr>
            <w:tcW w:w="1343" w:type="dxa"/>
            <w:shd w:val="clear" w:color="auto" w:fill="auto"/>
            <w:noWrap/>
            <w:hideMark/>
          </w:tcPr>
          <w:p w14:paraId="3FF0F80C"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724-33.e1-30</w:t>
            </w:r>
          </w:p>
        </w:tc>
        <w:tc>
          <w:tcPr>
            <w:tcW w:w="1984" w:type="dxa"/>
            <w:shd w:val="clear" w:color="auto" w:fill="auto"/>
            <w:noWrap/>
            <w:hideMark/>
          </w:tcPr>
          <w:p w14:paraId="1A68AA1F"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67886C2B" w14:textId="77777777" w:rsidTr="004C6AA1">
        <w:trPr>
          <w:trHeight w:val="320"/>
        </w:trPr>
        <w:tc>
          <w:tcPr>
            <w:tcW w:w="4248" w:type="dxa"/>
            <w:shd w:val="clear" w:color="auto" w:fill="auto"/>
            <w:noWrap/>
            <w:hideMark/>
          </w:tcPr>
          <w:p w14:paraId="5BD3AF38"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An evidence-based review of systemic treatments for itch</w:t>
            </w:r>
          </w:p>
        </w:tc>
        <w:tc>
          <w:tcPr>
            <w:tcW w:w="3544" w:type="dxa"/>
            <w:shd w:val="clear" w:color="auto" w:fill="auto"/>
            <w:noWrap/>
            <w:hideMark/>
          </w:tcPr>
          <w:p w14:paraId="62F5D441"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Pongcharoen, P.; Fleischer, A. B.</w:t>
            </w:r>
          </w:p>
        </w:tc>
        <w:tc>
          <w:tcPr>
            <w:tcW w:w="468" w:type="dxa"/>
          </w:tcPr>
          <w:p w14:paraId="52852EA7" w14:textId="33EA96F1" w:rsidR="0095325C" w:rsidRPr="0090472A" w:rsidRDefault="0095325C" w:rsidP="0095325C">
            <w:pPr>
              <w:rPr>
                <w:rFonts w:ascii="Aptos" w:hAnsi="Aptos"/>
                <w:color w:val="000000"/>
                <w:sz w:val="16"/>
                <w:szCs w:val="16"/>
              </w:rPr>
            </w:pPr>
            <w:r w:rsidRPr="00D518FF">
              <w:rPr>
                <w:rFonts w:ascii="Aptos" w:hAnsi="Aptos"/>
                <w:color w:val="000000"/>
                <w:sz w:val="16"/>
                <w:szCs w:val="16"/>
              </w:rPr>
              <w:t>2016</w:t>
            </w:r>
          </w:p>
        </w:tc>
        <w:tc>
          <w:tcPr>
            <w:tcW w:w="1307" w:type="dxa"/>
          </w:tcPr>
          <w:p w14:paraId="57CEBAF8" w14:textId="09C7D6B9" w:rsidR="0095325C" w:rsidRPr="00D518FF" w:rsidRDefault="0095325C" w:rsidP="0095325C">
            <w:pPr>
              <w:rPr>
                <w:rFonts w:ascii="Aptos" w:hAnsi="Aptos"/>
                <w:color w:val="000000"/>
                <w:sz w:val="16"/>
                <w:szCs w:val="16"/>
              </w:rPr>
            </w:pPr>
            <w:r w:rsidRPr="0090472A">
              <w:rPr>
                <w:rFonts w:ascii="Aptos" w:hAnsi="Aptos"/>
                <w:color w:val="000000"/>
                <w:sz w:val="16"/>
                <w:szCs w:val="16"/>
              </w:rPr>
              <w:t>Eur J Pain</w:t>
            </w:r>
          </w:p>
        </w:tc>
        <w:tc>
          <w:tcPr>
            <w:tcW w:w="709" w:type="dxa"/>
            <w:shd w:val="clear" w:color="auto" w:fill="auto"/>
            <w:noWrap/>
            <w:hideMark/>
          </w:tcPr>
          <w:p w14:paraId="2A9D734C"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20</w:t>
            </w:r>
          </w:p>
        </w:tc>
        <w:tc>
          <w:tcPr>
            <w:tcW w:w="709" w:type="dxa"/>
            <w:shd w:val="clear" w:color="auto" w:fill="auto"/>
            <w:noWrap/>
            <w:hideMark/>
          </w:tcPr>
          <w:p w14:paraId="755CE1D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1</w:t>
            </w:r>
          </w:p>
        </w:tc>
        <w:tc>
          <w:tcPr>
            <w:tcW w:w="1343" w:type="dxa"/>
            <w:shd w:val="clear" w:color="auto" w:fill="auto"/>
            <w:noWrap/>
            <w:hideMark/>
          </w:tcPr>
          <w:p w14:paraId="07507D3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24-31</w:t>
            </w:r>
          </w:p>
        </w:tc>
        <w:tc>
          <w:tcPr>
            <w:tcW w:w="1984" w:type="dxa"/>
            <w:shd w:val="clear" w:color="auto" w:fill="auto"/>
            <w:noWrap/>
            <w:hideMark/>
          </w:tcPr>
          <w:p w14:paraId="35DFD8A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5D26F55D" w14:textId="77777777" w:rsidTr="00887C84">
        <w:trPr>
          <w:trHeight w:val="360"/>
        </w:trPr>
        <w:tc>
          <w:tcPr>
            <w:tcW w:w="4248" w:type="dxa"/>
            <w:shd w:val="clear" w:color="auto" w:fill="auto"/>
            <w:noWrap/>
            <w:hideMark/>
          </w:tcPr>
          <w:p w14:paraId="77AA891B"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lastRenderedPageBreak/>
              <w:t>Use of Fatty Acids, Vitamins and Minerals, and Probiotics in Alleviating Symptoms of Atopic Dermatitis: A Systematic Review</w:t>
            </w:r>
          </w:p>
        </w:tc>
        <w:tc>
          <w:tcPr>
            <w:tcW w:w="3544" w:type="dxa"/>
            <w:shd w:val="clear" w:color="auto" w:fill="auto"/>
            <w:noWrap/>
            <w:hideMark/>
          </w:tcPr>
          <w:p w14:paraId="0532680C" w14:textId="68824DA5" w:rsidR="0095325C" w:rsidRPr="00D518FF" w:rsidRDefault="0095325C" w:rsidP="0095325C">
            <w:pPr>
              <w:rPr>
                <w:rFonts w:ascii="Aptos" w:hAnsi="Aptos"/>
                <w:color w:val="000000"/>
                <w:sz w:val="16"/>
                <w:szCs w:val="16"/>
              </w:rPr>
            </w:pPr>
            <w:r w:rsidRPr="00777CF7">
              <w:rPr>
                <w:rFonts w:ascii="Aptos" w:hAnsi="Aptos"/>
                <w:color w:val="000000"/>
                <w:sz w:val="16"/>
                <w:szCs w:val="16"/>
              </w:rPr>
              <w:t>Labib A, Golpanian RS, Aickara D, Smith P, Yosipovitch G. </w:t>
            </w:r>
          </w:p>
        </w:tc>
        <w:tc>
          <w:tcPr>
            <w:tcW w:w="468" w:type="dxa"/>
          </w:tcPr>
          <w:p w14:paraId="07E52721" w14:textId="49AD72EB" w:rsidR="0095325C" w:rsidRPr="00777CF7" w:rsidRDefault="0095325C" w:rsidP="0095325C">
            <w:pPr>
              <w:rPr>
                <w:rFonts w:ascii="Aptos" w:hAnsi="Aptos"/>
                <w:color w:val="000000"/>
                <w:sz w:val="16"/>
                <w:szCs w:val="16"/>
              </w:rPr>
            </w:pPr>
            <w:r>
              <w:rPr>
                <w:rFonts w:ascii="Aptos" w:hAnsi="Aptos"/>
                <w:color w:val="000000"/>
                <w:sz w:val="16"/>
                <w:szCs w:val="16"/>
              </w:rPr>
              <w:t>2023</w:t>
            </w:r>
          </w:p>
        </w:tc>
        <w:tc>
          <w:tcPr>
            <w:tcW w:w="1307" w:type="dxa"/>
          </w:tcPr>
          <w:p w14:paraId="262633E3" w14:textId="0D2963C5" w:rsidR="0095325C" w:rsidRPr="0090472A" w:rsidRDefault="0095325C" w:rsidP="0095325C">
            <w:pPr>
              <w:rPr>
                <w:rFonts w:ascii="Aptos" w:hAnsi="Aptos"/>
                <w:color w:val="000000"/>
                <w:sz w:val="16"/>
                <w:szCs w:val="16"/>
              </w:rPr>
            </w:pPr>
            <w:r w:rsidRPr="00777CF7">
              <w:rPr>
                <w:rFonts w:ascii="Aptos" w:hAnsi="Aptos"/>
                <w:color w:val="000000"/>
                <w:sz w:val="16"/>
                <w:szCs w:val="16"/>
              </w:rPr>
              <w:t>Pediatr Dermatol</w:t>
            </w:r>
          </w:p>
        </w:tc>
        <w:tc>
          <w:tcPr>
            <w:tcW w:w="709" w:type="dxa"/>
            <w:shd w:val="clear" w:color="auto" w:fill="auto"/>
          </w:tcPr>
          <w:p w14:paraId="454FE3A3" w14:textId="6692A48A" w:rsidR="0095325C" w:rsidRPr="00D518FF" w:rsidRDefault="0095325C" w:rsidP="0095325C">
            <w:pPr>
              <w:rPr>
                <w:rFonts w:ascii="Aptos" w:hAnsi="Aptos"/>
                <w:color w:val="000000"/>
                <w:sz w:val="16"/>
                <w:szCs w:val="16"/>
              </w:rPr>
            </w:pPr>
            <w:r>
              <w:rPr>
                <w:rFonts w:ascii="Aptos" w:hAnsi="Aptos"/>
                <w:color w:val="000000"/>
                <w:sz w:val="16"/>
                <w:szCs w:val="16"/>
              </w:rPr>
              <w:t>40</w:t>
            </w:r>
          </w:p>
        </w:tc>
        <w:tc>
          <w:tcPr>
            <w:tcW w:w="709" w:type="dxa"/>
            <w:shd w:val="clear" w:color="auto" w:fill="auto"/>
          </w:tcPr>
          <w:p w14:paraId="24DCADF3" w14:textId="22BF31C7" w:rsidR="0095325C" w:rsidRPr="00D518FF" w:rsidRDefault="0095325C" w:rsidP="0095325C">
            <w:pPr>
              <w:rPr>
                <w:rFonts w:ascii="Aptos" w:hAnsi="Aptos"/>
                <w:color w:val="000000"/>
                <w:sz w:val="16"/>
                <w:szCs w:val="16"/>
              </w:rPr>
            </w:pPr>
            <w:r>
              <w:rPr>
                <w:rFonts w:ascii="Aptos" w:hAnsi="Aptos"/>
                <w:color w:val="000000"/>
                <w:sz w:val="16"/>
                <w:szCs w:val="16"/>
              </w:rPr>
              <w:t>1</w:t>
            </w:r>
          </w:p>
        </w:tc>
        <w:tc>
          <w:tcPr>
            <w:tcW w:w="1343" w:type="dxa"/>
            <w:shd w:val="clear" w:color="auto" w:fill="auto"/>
          </w:tcPr>
          <w:p w14:paraId="645AC8B1" w14:textId="178FDA13" w:rsidR="0095325C" w:rsidRPr="00D518FF" w:rsidRDefault="0095325C" w:rsidP="0095325C">
            <w:pPr>
              <w:rPr>
                <w:rFonts w:ascii="Aptos" w:hAnsi="Aptos"/>
                <w:color w:val="000000"/>
                <w:sz w:val="16"/>
                <w:szCs w:val="16"/>
              </w:rPr>
            </w:pPr>
            <w:r>
              <w:rPr>
                <w:rFonts w:ascii="Aptos" w:hAnsi="Aptos"/>
                <w:color w:val="000000"/>
                <w:sz w:val="16"/>
                <w:szCs w:val="16"/>
              </w:rPr>
              <w:t>44</w:t>
            </w:r>
            <w:r w:rsidR="00C1202B">
              <w:rPr>
                <w:rFonts w:ascii="Aptos" w:hAnsi="Aptos"/>
                <w:color w:val="000000"/>
                <w:sz w:val="16"/>
                <w:szCs w:val="16"/>
              </w:rPr>
              <w:t>-</w:t>
            </w:r>
            <w:r>
              <w:rPr>
                <w:rFonts w:ascii="Aptos" w:hAnsi="Aptos"/>
                <w:color w:val="000000"/>
                <w:sz w:val="16"/>
                <w:szCs w:val="16"/>
              </w:rPr>
              <w:t>49</w:t>
            </w:r>
          </w:p>
        </w:tc>
        <w:tc>
          <w:tcPr>
            <w:tcW w:w="1984" w:type="dxa"/>
            <w:shd w:val="clear" w:color="auto" w:fill="auto"/>
            <w:hideMark/>
          </w:tcPr>
          <w:p w14:paraId="09D2201F"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comparator</w:t>
            </w:r>
          </w:p>
        </w:tc>
      </w:tr>
      <w:tr w:rsidR="0095325C" w:rsidRPr="00D518FF" w14:paraId="5F139064" w14:textId="77777777" w:rsidTr="00887C84">
        <w:trPr>
          <w:trHeight w:val="340"/>
        </w:trPr>
        <w:tc>
          <w:tcPr>
            <w:tcW w:w="4248" w:type="dxa"/>
            <w:shd w:val="clear" w:color="auto" w:fill="auto"/>
            <w:noWrap/>
            <w:hideMark/>
          </w:tcPr>
          <w:p w14:paraId="3A9FE227"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A meta-analytic review of pharmaceutical and non-pharmaceutical therapies for diaper dermatitis in infants</w:t>
            </w:r>
          </w:p>
        </w:tc>
        <w:tc>
          <w:tcPr>
            <w:tcW w:w="3544" w:type="dxa"/>
            <w:shd w:val="clear" w:color="auto" w:fill="auto"/>
            <w:noWrap/>
            <w:hideMark/>
          </w:tcPr>
          <w:p w14:paraId="05920F10" w14:textId="51DCBDA7" w:rsidR="0095325C" w:rsidRPr="00D518FF" w:rsidRDefault="0095325C" w:rsidP="0095325C">
            <w:pPr>
              <w:rPr>
                <w:rFonts w:ascii="Aptos" w:hAnsi="Aptos"/>
                <w:color w:val="000000"/>
                <w:sz w:val="16"/>
                <w:szCs w:val="16"/>
              </w:rPr>
            </w:pPr>
            <w:r w:rsidRPr="00D518FF">
              <w:rPr>
                <w:rFonts w:ascii="Aptos" w:hAnsi="Aptos"/>
                <w:color w:val="000000"/>
                <w:sz w:val="16"/>
                <w:szCs w:val="16"/>
              </w:rPr>
              <w:t>Fahad A. Alamri, Samar Amer Faten A. Alradini Shaker Alomary Ahmed A. Alahmari Yasir S. Almuzaini Safa Boujemaa</w:t>
            </w:r>
          </w:p>
        </w:tc>
        <w:tc>
          <w:tcPr>
            <w:tcW w:w="468" w:type="dxa"/>
          </w:tcPr>
          <w:p w14:paraId="42E0D7C5" w14:textId="1E1E7345" w:rsidR="0095325C" w:rsidRDefault="0095325C" w:rsidP="0095325C">
            <w:pPr>
              <w:rPr>
                <w:rFonts w:ascii="Aptos" w:hAnsi="Aptos"/>
                <w:color w:val="000000"/>
                <w:sz w:val="16"/>
                <w:szCs w:val="16"/>
              </w:rPr>
            </w:pPr>
            <w:r>
              <w:rPr>
                <w:rFonts w:ascii="Aptos" w:hAnsi="Aptos"/>
                <w:color w:val="000000"/>
                <w:sz w:val="16"/>
                <w:szCs w:val="16"/>
              </w:rPr>
              <w:t>2023</w:t>
            </w:r>
          </w:p>
        </w:tc>
        <w:tc>
          <w:tcPr>
            <w:tcW w:w="1307" w:type="dxa"/>
          </w:tcPr>
          <w:p w14:paraId="38A9A616" w14:textId="1FC77BB0" w:rsidR="0095325C" w:rsidRPr="00D518FF" w:rsidRDefault="0095325C" w:rsidP="0095325C">
            <w:pPr>
              <w:rPr>
                <w:rFonts w:ascii="Aptos" w:hAnsi="Aptos"/>
                <w:color w:val="000000"/>
                <w:sz w:val="16"/>
                <w:szCs w:val="16"/>
              </w:rPr>
            </w:pPr>
            <w:r>
              <w:rPr>
                <w:rFonts w:ascii="Aptos" w:hAnsi="Aptos"/>
                <w:color w:val="000000"/>
                <w:sz w:val="16"/>
                <w:szCs w:val="16"/>
              </w:rPr>
              <w:t>PROSPERO</w:t>
            </w:r>
          </w:p>
        </w:tc>
        <w:tc>
          <w:tcPr>
            <w:tcW w:w="709" w:type="dxa"/>
            <w:shd w:val="clear" w:color="auto" w:fill="auto"/>
          </w:tcPr>
          <w:p w14:paraId="15358B99" w14:textId="261FDF5E" w:rsidR="0095325C" w:rsidRPr="00D518FF" w:rsidRDefault="0095325C" w:rsidP="0095325C">
            <w:pPr>
              <w:rPr>
                <w:rFonts w:ascii="Aptos" w:hAnsi="Aptos"/>
                <w:color w:val="000000"/>
                <w:sz w:val="16"/>
                <w:szCs w:val="16"/>
              </w:rPr>
            </w:pPr>
            <w:r>
              <w:rPr>
                <w:rFonts w:ascii="Aptos" w:hAnsi="Aptos"/>
                <w:color w:val="000000"/>
                <w:sz w:val="16"/>
                <w:szCs w:val="16"/>
              </w:rPr>
              <w:t>-</w:t>
            </w:r>
          </w:p>
        </w:tc>
        <w:tc>
          <w:tcPr>
            <w:tcW w:w="709" w:type="dxa"/>
            <w:shd w:val="clear" w:color="auto" w:fill="auto"/>
          </w:tcPr>
          <w:p w14:paraId="423929E0" w14:textId="2E5A0D45" w:rsidR="0095325C" w:rsidRPr="00D518FF" w:rsidRDefault="0095325C" w:rsidP="0095325C">
            <w:pPr>
              <w:rPr>
                <w:rFonts w:ascii="Aptos" w:hAnsi="Aptos"/>
                <w:color w:val="000000"/>
                <w:sz w:val="16"/>
                <w:szCs w:val="16"/>
              </w:rPr>
            </w:pPr>
            <w:r>
              <w:rPr>
                <w:rFonts w:ascii="Aptos" w:hAnsi="Aptos"/>
                <w:color w:val="000000"/>
                <w:sz w:val="16"/>
                <w:szCs w:val="16"/>
              </w:rPr>
              <w:t>-</w:t>
            </w:r>
          </w:p>
        </w:tc>
        <w:tc>
          <w:tcPr>
            <w:tcW w:w="1343" w:type="dxa"/>
            <w:shd w:val="clear" w:color="auto" w:fill="auto"/>
          </w:tcPr>
          <w:p w14:paraId="22B3C531" w14:textId="382546A0" w:rsidR="0095325C" w:rsidRPr="00D518FF" w:rsidRDefault="0095325C" w:rsidP="0095325C">
            <w:pPr>
              <w:rPr>
                <w:rFonts w:ascii="Aptos" w:hAnsi="Aptos"/>
                <w:color w:val="000000"/>
                <w:sz w:val="16"/>
                <w:szCs w:val="16"/>
              </w:rPr>
            </w:pPr>
            <w:r w:rsidRPr="00E83576">
              <w:rPr>
                <w:rFonts w:ascii="Aptos" w:hAnsi="Aptos"/>
                <w:color w:val="000000"/>
                <w:sz w:val="16"/>
                <w:szCs w:val="16"/>
              </w:rPr>
              <w:t>CRD42023393866</w:t>
            </w:r>
          </w:p>
        </w:tc>
        <w:tc>
          <w:tcPr>
            <w:tcW w:w="1984" w:type="dxa"/>
            <w:shd w:val="clear" w:color="auto" w:fill="auto"/>
            <w:noWrap/>
            <w:hideMark/>
          </w:tcPr>
          <w:p w14:paraId="65A0A62A"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53120FB7" w14:textId="77777777" w:rsidTr="00887C84">
        <w:trPr>
          <w:trHeight w:val="340"/>
        </w:trPr>
        <w:tc>
          <w:tcPr>
            <w:tcW w:w="4248" w:type="dxa"/>
            <w:shd w:val="clear" w:color="auto" w:fill="auto"/>
            <w:noWrap/>
            <w:hideMark/>
          </w:tcPr>
          <w:p w14:paraId="0C974531"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A systematic review of methods to minimise skin reactions (radiation dermatitis) in patients undergoing external beam photon, electron and proton beam radiotherapy</w:t>
            </w:r>
          </w:p>
        </w:tc>
        <w:tc>
          <w:tcPr>
            <w:tcW w:w="3544" w:type="dxa"/>
            <w:shd w:val="clear" w:color="auto" w:fill="auto"/>
            <w:noWrap/>
            <w:hideMark/>
          </w:tcPr>
          <w:p w14:paraId="348B597C"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Heidi Probst, Gemma Burke Sara Faithfull</w:t>
            </w:r>
          </w:p>
        </w:tc>
        <w:tc>
          <w:tcPr>
            <w:tcW w:w="468" w:type="dxa"/>
          </w:tcPr>
          <w:p w14:paraId="7B5B7166" w14:textId="1138E600" w:rsidR="0095325C" w:rsidRDefault="0095325C" w:rsidP="0095325C">
            <w:pPr>
              <w:rPr>
                <w:rFonts w:ascii="Aptos" w:hAnsi="Aptos"/>
                <w:color w:val="000000"/>
                <w:sz w:val="16"/>
                <w:szCs w:val="16"/>
              </w:rPr>
            </w:pPr>
            <w:r>
              <w:rPr>
                <w:rFonts w:ascii="Aptos" w:hAnsi="Aptos"/>
                <w:color w:val="000000"/>
                <w:sz w:val="16"/>
                <w:szCs w:val="16"/>
              </w:rPr>
              <w:t>2019</w:t>
            </w:r>
          </w:p>
        </w:tc>
        <w:tc>
          <w:tcPr>
            <w:tcW w:w="1307" w:type="dxa"/>
          </w:tcPr>
          <w:p w14:paraId="50C3D507" w14:textId="1DC72176" w:rsidR="0095325C" w:rsidRPr="00D518FF" w:rsidRDefault="0095325C" w:rsidP="0095325C">
            <w:pPr>
              <w:rPr>
                <w:rFonts w:ascii="Aptos" w:hAnsi="Aptos"/>
                <w:color w:val="000000"/>
                <w:sz w:val="16"/>
                <w:szCs w:val="16"/>
              </w:rPr>
            </w:pPr>
            <w:r>
              <w:rPr>
                <w:rFonts w:ascii="Aptos" w:hAnsi="Aptos"/>
                <w:color w:val="000000"/>
                <w:sz w:val="16"/>
                <w:szCs w:val="16"/>
              </w:rPr>
              <w:t>PROSPERO</w:t>
            </w:r>
          </w:p>
        </w:tc>
        <w:tc>
          <w:tcPr>
            <w:tcW w:w="709" w:type="dxa"/>
            <w:shd w:val="clear" w:color="auto" w:fill="auto"/>
          </w:tcPr>
          <w:p w14:paraId="26654BA9" w14:textId="7BD9FC77" w:rsidR="0095325C" w:rsidRPr="00D518FF" w:rsidRDefault="0095325C" w:rsidP="0095325C">
            <w:pPr>
              <w:rPr>
                <w:rFonts w:ascii="Aptos" w:hAnsi="Aptos"/>
                <w:color w:val="000000"/>
                <w:sz w:val="16"/>
                <w:szCs w:val="16"/>
              </w:rPr>
            </w:pPr>
            <w:r>
              <w:rPr>
                <w:rFonts w:ascii="Aptos" w:hAnsi="Aptos"/>
                <w:color w:val="000000"/>
                <w:sz w:val="16"/>
                <w:szCs w:val="16"/>
              </w:rPr>
              <w:t>-</w:t>
            </w:r>
          </w:p>
        </w:tc>
        <w:tc>
          <w:tcPr>
            <w:tcW w:w="709" w:type="dxa"/>
            <w:shd w:val="clear" w:color="auto" w:fill="auto"/>
          </w:tcPr>
          <w:p w14:paraId="22461BC1" w14:textId="74B76B52" w:rsidR="0095325C" w:rsidRPr="00D518FF" w:rsidRDefault="0095325C" w:rsidP="0095325C">
            <w:pPr>
              <w:rPr>
                <w:rFonts w:ascii="Aptos" w:hAnsi="Aptos"/>
                <w:color w:val="000000"/>
                <w:sz w:val="16"/>
                <w:szCs w:val="16"/>
              </w:rPr>
            </w:pPr>
            <w:r>
              <w:rPr>
                <w:rFonts w:ascii="Aptos" w:hAnsi="Aptos"/>
                <w:color w:val="000000"/>
                <w:sz w:val="16"/>
                <w:szCs w:val="16"/>
              </w:rPr>
              <w:t>-</w:t>
            </w:r>
          </w:p>
        </w:tc>
        <w:tc>
          <w:tcPr>
            <w:tcW w:w="1343" w:type="dxa"/>
            <w:shd w:val="clear" w:color="auto" w:fill="auto"/>
            <w:noWrap/>
          </w:tcPr>
          <w:p w14:paraId="76A3825E" w14:textId="5E835A02" w:rsidR="0095325C" w:rsidRPr="00D518FF" w:rsidRDefault="0095325C" w:rsidP="0095325C">
            <w:pPr>
              <w:rPr>
                <w:rFonts w:ascii="Aptos" w:hAnsi="Aptos"/>
                <w:color w:val="000000"/>
                <w:sz w:val="16"/>
                <w:szCs w:val="16"/>
              </w:rPr>
            </w:pPr>
            <w:r w:rsidRPr="007B3B12">
              <w:rPr>
                <w:rFonts w:ascii="Aptos" w:hAnsi="Aptos"/>
                <w:color w:val="000000"/>
                <w:sz w:val="16"/>
                <w:szCs w:val="16"/>
              </w:rPr>
              <w:t>CRD42019148161</w:t>
            </w:r>
          </w:p>
        </w:tc>
        <w:tc>
          <w:tcPr>
            <w:tcW w:w="1984" w:type="dxa"/>
            <w:shd w:val="clear" w:color="auto" w:fill="auto"/>
            <w:noWrap/>
            <w:hideMark/>
          </w:tcPr>
          <w:p w14:paraId="79CD4662"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52106C73" w14:textId="77777777" w:rsidTr="00887C84">
        <w:trPr>
          <w:trHeight w:val="340"/>
        </w:trPr>
        <w:tc>
          <w:tcPr>
            <w:tcW w:w="4248" w:type="dxa"/>
            <w:shd w:val="clear" w:color="auto" w:fill="auto"/>
            <w:noWrap/>
            <w:hideMark/>
          </w:tcPr>
          <w:p w14:paraId="76F1D1E5"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Treatment strategies for Infant Diaper Dermatitis- A Systematic Review and Network Meta-analysis</w:t>
            </w:r>
          </w:p>
        </w:tc>
        <w:tc>
          <w:tcPr>
            <w:tcW w:w="3544" w:type="dxa"/>
            <w:shd w:val="clear" w:color="auto" w:fill="auto"/>
            <w:noWrap/>
            <w:hideMark/>
          </w:tcPr>
          <w:p w14:paraId="287AF9D7"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Rajendra Prasad Anne, Abhishek Aaradhya Vinay Keshavmurthy Nishant Jaiswal</w:t>
            </w:r>
          </w:p>
        </w:tc>
        <w:tc>
          <w:tcPr>
            <w:tcW w:w="468" w:type="dxa"/>
          </w:tcPr>
          <w:p w14:paraId="1BFD973C" w14:textId="4EDC4FDD" w:rsidR="0095325C" w:rsidRDefault="0095325C" w:rsidP="0095325C">
            <w:pPr>
              <w:rPr>
                <w:rFonts w:ascii="Aptos" w:hAnsi="Aptos"/>
                <w:color w:val="000000"/>
                <w:sz w:val="16"/>
                <w:szCs w:val="16"/>
              </w:rPr>
            </w:pPr>
            <w:r>
              <w:rPr>
                <w:rFonts w:ascii="Aptos" w:hAnsi="Aptos"/>
                <w:color w:val="000000"/>
                <w:sz w:val="16"/>
                <w:szCs w:val="16"/>
              </w:rPr>
              <w:t>NR</w:t>
            </w:r>
          </w:p>
        </w:tc>
        <w:tc>
          <w:tcPr>
            <w:tcW w:w="1307" w:type="dxa"/>
          </w:tcPr>
          <w:p w14:paraId="5D8C854C" w14:textId="71D53921" w:rsidR="0095325C" w:rsidRPr="00D518FF" w:rsidRDefault="0095325C" w:rsidP="0095325C">
            <w:pPr>
              <w:rPr>
                <w:rFonts w:ascii="Aptos" w:hAnsi="Aptos"/>
                <w:color w:val="000000"/>
                <w:sz w:val="16"/>
                <w:szCs w:val="16"/>
              </w:rPr>
            </w:pPr>
            <w:r>
              <w:rPr>
                <w:rFonts w:ascii="Aptos" w:hAnsi="Aptos"/>
                <w:color w:val="000000"/>
                <w:sz w:val="16"/>
                <w:szCs w:val="16"/>
              </w:rPr>
              <w:t>NR</w:t>
            </w:r>
          </w:p>
        </w:tc>
        <w:tc>
          <w:tcPr>
            <w:tcW w:w="709" w:type="dxa"/>
            <w:shd w:val="clear" w:color="auto" w:fill="auto"/>
          </w:tcPr>
          <w:p w14:paraId="01344939" w14:textId="50412A10" w:rsidR="0095325C" w:rsidRPr="00D518FF" w:rsidRDefault="0095325C" w:rsidP="0095325C">
            <w:pPr>
              <w:rPr>
                <w:rFonts w:ascii="Aptos" w:hAnsi="Aptos"/>
                <w:color w:val="000000"/>
                <w:sz w:val="16"/>
                <w:szCs w:val="16"/>
              </w:rPr>
            </w:pPr>
            <w:r>
              <w:rPr>
                <w:rFonts w:ascii="Aptos" w:hAnsi="Aptos"/>
                <w:color w:val="000000"/>
                <w:sz w:val="16"/>
                <w:szCs w:val="16"/>
              </w:rPr>
              <w:t>NR</w:t>
            </w:r>
          </w:p>
        </w:tc>
        <w:tc>
          <w:tcPr>
            <w:tcW w:w="709" w:type="dxa"/>
            <w:shd w:val="clear" w:color="auto" w:fill="auto"/>
          </w:tcPr>
          <w:p w14:paraId="75E81AD2" w14:textId="7BE1046F" w:rsidR="0095325C" w:rsidRPr="00D518FF" w:rsidRDefault="0095325C" w:rsidP="0095325C">
            <w:pPr>
              <w:rPr>
                <w:rFonts w:ascii="Aptos" w:hAnsi="Aptos"/>
                <w:color w:val="000000"/>
                <w:sz w:val="16"/>
                <w:szCs w:val="16"/>
              </w:rPr>
            </w:pPr>
            <w:r>
              <w:rPr>
                <w:rFonts w:ascii="Aptos" w:hAnsi="Aptos"/>
                <w:color w:val="000000"/>
                <w:sz w:val="16"/>
                <w:szCs w:val="16"/>
              </w:rPr>
              <w:t>NR</w:t>
            </w:r>
          </w:p>
        </w:tc>
        <w:tc>
          <w:tcPr>
            <w:tcW w:w="1343" w:type="dxa"/>
            <w:shd w:val="clear" w:color="auto" w:fill="auto"/>
          </w:tcPr>
          <w:p w14:paraId="360E260B" w14:textId="093C728D" w:rsidR="0095325C" w:rsidRPr="00D518FF" w:rsidRDefault="0095325C" w:rsidP="0095325C">
            <w:pPr>
              <w:rPr>
                <w:rFonts w:ascii="Aptos" w:hAnsi="Aptos"/>
                <w:color w:val="000000"/>
                <w:sz w:val="16"/>
                <w:szCs w:val="16"/>
              </w:rPr>
            </w:pPr>
            <w:r>
              <w:rPr>
                <w:rFonts w:ascii="Aptos" w:hAnsi="Aptos"/>
                <w:color w:val="000000"/>
                <w:sz w:val="16"/>
                <w:szCs w:val="16"/>
              </w:rPr>
              <w:t>NR</w:t>
            </w:r>
          </w:p>
        </w:tc>
        <w:tc>
          <w:tcPr>
            <w:tcW w:w="1984" w:type="dxa"/>
            <w:shd w:val="clear" w:color="auto" w:fill="auto"/>
            <w:noWrap/>
            <w:hideMark/>
          </w:tcPr>
          <w:p w14:paraId="57D6448B"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patient population</w:t>
            </w:r>
          </w:p>
        </w:tc>
      </w:tr>
      <w:tr w:rsidR="0095325C" w:rsidRPr="00D518FF" w14:paraId="3BD6C3B9" w14:textId="77777777" w:rsidTr="00887C84">
        <w:trPr>
          <w:trHeight w:val="320"/>
        </w:trPr>
        <w:tc>
          <w:tcPr>
            <w:tcW w:w="4248" w:type="dxa"/>
            <w:shd w:val="clear" w:color="auto" w:fill="auto"/>
            <w:noWrap/>
            <w:hideMark/>
          </w:tcPr>
          <w:p w14:paraId="5B1D5D74"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Blended interventions to reduce the disease burden of COPD and asthma patients: a systematic review</w:t>
            </w:r>
          </w:p>
        </w:tc>
        <w:tc>
          <w:tcPr>
            <w:tcW w:w="3544" w:type="dxa"/>
            <w:shd w:val="clear" w:color="auto" w:fill="auto"/>
            <w:noWrap/>
            <w:hideMark/>
          </w:tcPr>
          <w:p w14:paraId="13DD729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Xiaoyue Song, Niels Chavannes Rianne Kleij Robbert Gobbens Cynthia Hallensleben Weihong Zhang Zongliang Jiang</w:t>
            </w:r>
          </w:p>
        </w:tc>
        <w:tc>
          <w:tcPr>
            <w:tcW w:w="468" w:type="dxa"/>
          </w:tcPr>
          <w:p w14:paraId="1B7B531C" w14:textId="74F09E29" w:rsidR="0095325C" w:rsidRPr="006E3745" w:rsidRDefault="0095325C" w:rsidP="0095325C">
            <w:pPr>
              <w:rPr>
                <w:rFonts w:ascii="Aptos" w:hAnsi="Aptos"/>
                <w:color w:val="000000"/>
                <w:sz w:val="16"/>
                <w:szCs w:val="16"/>
              </w:rPr>
            </w:pPr>
            <w:r>
              <w:rPr>
                <w:rFonts w:ascii="Aptos" w:hAnsi="Aptos"/>
                <w:color w:val="000000"/>
                <w:sz w:val="16"/>
                <w:szCs w:val="16"/>
              </w:rPr>
              <w:t>2021</w:t>
            </w:r>
          </w:p>
        </w:tc>
        <w:tc>
          <w:tcPr>
            <w:tcW w:w="1307" w:type="dxa"/>
          </w:tcPr>
          <w:p w14:paraId="2E374AC7" w14:textId="67A40C5E" w:rsidR="0095325C" w:rsidRPr="00D518FF" w:rsidRDefault="0095325C" w:rsidP="0095325C">
            <w:pPr>
              <w:rPr>
                <w:rFonts w:ascii="Aptos" w:hAnsi="Aptos"/>
                <w:color w:val="000000"/>
                <w:sz w:val="16"/>
                <w:szCs w:val="16"/>
              </w:rPr>
            </w:pPr>
            <w:r w:rsidRPr="006E3745">
              <w:rPr>
                <w:rFonts w:ascii="Aptos" w:hAnsi="Aptos"/>
                <w:color w:val="000000"/>
                <w:sz w:val="16"/>
                <w:szCs w:val="16"/>
              </w:rPr>
              <w:t>J Med Internet Res</w:t>
            </w:r>
          </w:p>
        </w:tc>
        <w:tc>
          <w:tcPr>
            <w:tcW w:w="709" w:type="dxa"/>
            <w:shd w:val="clear" w:color="auto" w:fill="auto"/>
          </w:tcPr>
          <w:p w14:paraId="05D55533" w14:textId="426442A1" w:rsidR="0095325C" w:rsidRPr="00D518FF" w:rsidRDefault="0095325C" w:rsidP="0095325C">
            <w:pPr>
              <w:rPr>
                <w:rFonts w:ascii="Aptos" w:hAnsi="Aptos"/>
                <w:color w:val="000000"/>
                <w:sz w:val="16"/>
                <w:szCs w:val="16"/>
              </w:rPr>
            </w:pPr>
            <w:r>
              <w:rPr>
                <w:rFonts w:ascii="Aptos" w:hAnsi="Aptos"/>
                <w:color w:val="000000"/>
                <w:sz w:val="16"/>
                <w:szCs w:val="16"/>
              </w:rPr>
              <w:t>23</w:t>
            </w:r>
          </w:p>
        </w:tc>
        <w:tc>
          <w:tcPr>
            <w:tcW w:w="709" w:type="dxa"/>
            <w:shd w:val="clear" w:color="auto" w:fill="auto"/>
          </w:tcPr>
          <w:p w14:paraId="4F567B1A" w14:textId="1B5CE9EA" w:rsidR="0095325C" w:rsidRPr="00D518FF" w:rsidRDefault="0095325C" w:rsidP="0095325C">
            <w:pPr>
              <w:rPr>
                <w:rFonts w:ascii="Aptos" w:hAnsi="Aptos"/>
                <w:color w:val="000000"/>
                <w:sz w:val="16"/>
                <w:szCs w:val="16"/>
              </w:rPr>
            </w:pPr>
            <w:r>
              <w:rPr>
                <w:rFonts w:ascii="Aptos" w:hAnsi="Aptos"/>
                <w:color w:val="000000"/>
                <w:sz w:val="16"/>
                <w:szCs w:val="16"/>
              </w:rPr>
              <w:t>3</w:t>
            </w:r>
          </w:p>
        </w:tc>
        <w:tc>
          <w:tcPr>
            <w:tcW w:w="1343" w:type="dxa"/>
            <w:shd w:val="clear" w:color="auto" w:fill="auto"/>
          </w:tcPr>
          <w:p w14:paraId="109717A4" w14:textId="2C7A2E2E" w:rsidR="0095325C" w:rsidRPr="00D518FF" w:rsidRDefault="0095325C" w:rsidP="0095325C">
            <w:pPr>
              <w:rPr>
                <w:rFonts w:ascii="Aptos" w:hAnsi="Aptos"/>
                <w:color w:val="000000"/>
                <w:sz w:val="16"/>
                <w:szCs w:val="16"/>
              </w:rPr>
            </w:pPr>
            <w:r w:rsidRPr="006E3745">
              <w:rPr>
                <w:rFonts w:ascii="Aptos" w:hAnsi="Aptos"/>
                <w:color w:val="000000"/>
                <w:sz w:val="16"/>
                <w:szCs w:val="16"/>
              </w:rPr>
              <w:t>e24602</w:t>
            </w:r>
          </w:p>
        </w:tc>
        <w:tc>
          <w:tcPr>
            <w:tcW w:w="1984" w:type="dxa"/>
            <w:shd w:val="clear" w:color="auto" w:fill="auto"/>
            <w:noWrap/>
            <w:hideMark/>
          </w:tcPr>
          <w:p w14:paraId="0F72A2A8"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intervention</w:t>
            </w:r>
          </w:p>
        </w:tc>
      </w:tr>
      <w:tr w:rsidR="0095325C" w:rsidRPr="00D518FF" w14:paraId="07482952" w14:textId="77777777" w:rsidTr="004C6AA1">
        <w:trPr>
          <w:trHeight w:val="320"/>
        </w:trPr>
        <w:tc>
          <w:tcPr>
            <w:tcW w:w="4248" w:type="dxa"/>
            <w:shd w:val="clear" w:color="auto" w:fill="auto"/>
            <w:noWrap/>
            <w:hideMark/>
          </w:tcPr>
          <w:p w14:paraId="391F6EFE"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Association Between Circulating Zinc and Risk for Childhood Asthma and Wheezing: A Meta-analysis on 21 Articles and 2205 Children</w:t>
            </w:r>
          </w:p>
        </w:tc>
        <w:tc>
          <w:tcPr>
            <w:tcW w:w="3544" w:type="dxa"/>
            <w:shd w:val="clear" w:color="auto" w:fill="auto"/>
            <w:noWrap/>
            <w:hideMark/>
          </w:tcPr>
          <w:p w14:paraId="05F1D780"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Xue, Mei; Wang, Qiong; Pang, Bo; Zhang, Xiaoqian; Zhang, Yicheng; Deng, Xiangling; Zhang, Zhixin; Niu, Wenquan</w:t>
            </w:r>
          </w:p>
        </w:tc>
        <w:tc>
          <w:tcPr>
            <w:tcW w:w="468" w:type="dxa"/>
          </w:tcPr>
          <w:p w14:paraId="57600F61" w14:textId="4DF072AB" w:rsidR="0095325C" w:rsidRPr="006D7B72" w:rsidRDefault="0095325C" w:rsidP="0095325C">
            <w:pPr>
              <w:rPr>
                <w:rFonts w:ascii="Aptos" w:hAnsi="Aptos"/>
                <w:color w:val="000000"/>
                <w:sz w:val="16"/>
                <w:szCs w:val="16"/>
              </w:rPr>
            </w:pPr>
            <w:r w:rsidRPr="00D518FF">
              <w:rPr>
                <w:rFonts w:ascii="Aptos" w:hAnsi="Aptos"/>
                <w:color w:val="000000"/>
                <w:sz w:val="16"/>
                <w:szCs w:val="16"/>
              </w:rPr>
              <w:t>2024</w:t>
            </w:r>
          </w:p>
        </w:tc>
        <w:tc>
          <w:tcPr>
            <w:tcW w:w="1307" w:type="dxa"/>
          </w:tcPr>
          <w:p w14:paraId="40193FA6" w14:textId="69CC22CD" w:rsidR="0095325C" w:rsidRPr="006D7B72" w:rsidRDefault="0095325C" w:rsidP="0095325C">
            <w:pPr>
              <w:rPr>
                <w:rFonts w:ascii="Aptos" w:hAnsi="Aptos"/>
                <w:color w:val="000000"/>
                <w:sz w:val="16"/>
                <w:szCs w:val="16"/>
              </w:rPr>
            </w:pPr>
            <w:r w:rsidRPr="006D7B72">
              <w:rPr>
                <w:rFonts w:ascii="Aptos" w:hAnsi="Aptos"/>
                <w:color w:val="000000"/>
                <w:sz w:val="16"/>
                <w:szCs w:val="16"/>
              </w:rPr>
              <w:t>Biol Trace Elem Res</w:t>
            </w:r>
          </w:p>
        </w:tc>
        <w:tc>
          <w:tcPr>
            <w:tcW w:w="709" w:type="dxa"/>
            <w:shd w:val="clear" w:color="auto" w:fill="auto"/>
            <w:noWrap/>
            <w:hideMark/>
          </w:tcPr>
          <w:p w14:paraId="50345B37"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202</w:t>
            </w:r>
          </w:p>
        </w:tc>
        <w:tc>
          <w:tcPr>
            <w:tcW w:w="709" w:type="dxa"/>
            <w:shd w:val="clear" w:color="auto" w:fill="auto"/>
            <w:noWrap/>
            <w:hideMark/>
          </w:tcPr>
          <w:p w14:paraId="039C3CDA"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2</w:t>
            </w:r>
          </w:p>
        </w:tc>
        <w:tc>
          <w:tcPr>
            <w:tcW w:w="1343" w:type="dxa"/>
            <w:shd w:val="clear" w:color="auto" w:fill="auto"/>
            <w:noWrap/>
            <w:hideMark/>
          </w:tcPr>
          <w:p w14:paraId="1BD731F1"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442-453</w:t>
            </w:r>
          </w:p>
        </w:tc>
        <w:tc>
          <w:tcPr>
            <w:tcW w:w="1984" w:type="dxa"/>
            <w:shd w:val="clear" w:color="auto" w:fill="auto"/>
            <w:noWrap/>
            <w:hideMark/>
          </w:tcPr>
          <w:p w14:paraId="29A3AD9D" w14:textId="77777777" w:rsidR="0095325C" w:rsidRPr="00D518FF" w:rsidRDefault="0095325C" w:rsidP="0095325C">
            <w:pPr>
              <w:rPr>
                <w:rFonts w:ascii="Aptos" w:hAnsi="Aptos"/>
                <w:color w:val="000000"/>
                <w:sz w:val="16"/>
                <w:szCs w:val="16"/>
              </w:rPr>
            </w:pPr>
            <w:r w:rsidRPr="00D518FF">
              <w:rPr>
                <w:rFonts w:ascii="Aptos" w:hAnsi="Aptos"/>
                <w:color w:val="000000"/>
                <w:sz w:val="16"/>
                <w:szCs w:val="16"/>
              </w:rPr>
              <w:t>Wrong study design</w:t>
            </w:r>
          </w:p>
        </w:tc>
      </w:tr>
    </w:tbl>
    <w:p w14:paraId="7665D4A0" w14:textId="77777777" w:rsidR="008F3151" w:rsidRPr="00D518FF" w:rsidRDefault="008F3151" w:rsidP="008F3151">
      <w:pPr>
        <w:pStyle w:val="2024TABLECAPTION"/>
        <w:spacing w:before="120"/>
        <w:rPr>
          <w:rFonts w:ascii="Aptos" w:hAnsi="Aptos"/>
        </w:rPr>
      </w:pPr>
    </w:p>
    <w:p w14:paraId="5A7913DC" w14:textId="5B1ABC0C" w:rsidR="001042C2" w:rsidRPr="004C6AA1" w:rsidRDefault="001042C2" w:rsidP="004C6AA1">
      <w:pPr>
        <w:pStyle w:val="Caption"/>
        <w:spacing w:before="240"/>
        <w:rPr>
          <w:rFonts w:ascii="Aptos" w:hAnsi="Aptos"/>
        </w:rPr>
      </w:pPr>
      <w:bookmarkStart w:id="121" w:name="_Toc185254536"/>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9</w:t>
      </w:r>
      <w:r w:rsidR="00DC4767" w:rsidRPr="004C6AA1">
        <w:rPr>
          <w:rFonts w:ascii="Aptos" w:hAnsi="Aptos"/>
        </w:rPr>
        <w:fldChar w:fldCharType="end"/>
      </w:r>
      <w:r w:rsidRPr="004C6AA1">
        <w:rPr>
          <w:rFonts w:ascii="Aptos" w:hAnsi="Aptos"/>
        </w:rPr>
        <w:t>. Excluded reviews, reason for exclusion – fatigue/antioxidants.</w:t>
      </w:r>
      <w:bookmarkEnd w:id="121"/>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248"/>
        <w:gridCol w:w="3544"/>
        <w:gridCol w:w="567"/>
        <w:gridCol w:w="1169"/>
        <w:gridCol w:w="815"/>
        <w:gridCol w:w="709"/>
        <w:gridCol w:w="1343"/>
        <w:gridCol w:w="1917"/>
      </w:tblGrid>
      <w:tr w:rsidR="004C6AA1" w:rsidRPr="00D518FF" w14:paraId="339E0370" w14:textId="77777777" w:rsidTr="004C6AA1">
        <w:trPr>
          <w:trHeight w:val="35"/>
        </w:trPr>
        <w:tc>
          <w:tcPr>
            <w:tcW w:w="4248" w:type="dxa"/>
            <w:shd w:val="clear" w:color="auto" w:fill="D9D9D9" w:themeFill="background1" w:themeFillShade="D9"/>
            <w:noWrap/>
            <w:hideMark/>
          </w:tcPr>
          <w:p w14:paraId="14BAC207"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Title</w:t>
            </w:r>
          </w:p>
        </w:tc>
        <w:tc>
          <w:tcPr>
            <w:tcW w:w="3544" w:type="dxa"/>
            <w:shd w:val="clear" w:color="auto" w:fill="D9D9D9" w:themeFill="background1" w:themeFillShade="D9"/>
            <w:noWrap/>
            <w:hideMark/>
          </w:tcPr>
          <w:p w14:paraId="5BB2470E"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Authors</w:t>
            </w:r>
          </w:p>
        </w:tc>
        <w:tc>
          <w:tcPr>
            <w:tcW w:w="567" w:type="dxa"/>
            <w:shd w:val="clear" w:color="auto" w:fill="D9D9D9" w:themeFill="background1" w:themeFillShade="D9"/>
            <w:noWrap/>
            <w:hideMark/>
          </w:tcPr>
          <w:p w14:paraId="615CCCFC"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Year</w:t>
            </w:r>
          </w:p>
        </w:tc>
        <w:tc>
          <w:tcPr>
            <w:tcW w:w="1169" w:type="dxa"/>
            <w:shd w:val="clear" w:color="auto" w:fill="D9D9D9" w:themeFill="background1" w:themeFillShade="D9"/>
            <w:noWrap/>
            <w:hideMark/>
          </w:tcPr>
          <w:p w14:paraId="4030C4C6"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Journal</w:t>
            </w:r>
          </w:p>
        </w:tc>
        <w:tc>
          <w:tcPr>
            <w:tcW w:w="815" w:type="dxa"/>
            <w:shd w:val="clear" w:color="auto" w:fill="D9D9D9" w:themeFill="background1" w:themeFillShade="D9"/>
            <w:noWrap/>
            <w:hideMark/>
          </w:tcPr>
          <w:p w14:paraId="29F9C8FB"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Volume</w:t>
            </w:r>
          </w:p>
        </w:tc>
        <w:tc>
          <w:tcPr>
            <w:tcW w:w="709" w:type="dxa"/>
            <w:shd w:val="clear" w:color="auto" w:fill="D9D9D9" w:themeFill="background1" w:themeFillShade="D9"/>
            <w:noWrap/>
            <w:hideMark/>
          </w:tcPr>
          <w:p w14:paraId="6EA011FC"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Issue</w:t>
            </w:r>
          </w:p>
        </w:tc>
        <w:tc>
          <w:tcPr>
            <w:tcW w:w="1343" w:type="dxa"/>
            <w:shd w:val="clear" w:color="auto" w:fill="D9D9D9" w:themeFill="background1" w:themeFillShade="D9"/>
            <w:noWrap/>
            <w:hideMark/>
          </w:tcPr>
          <w:p w14:paraId="0DDED15C"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Pages</w:t>
            </w:r>
          </w:p>
        </w:tc>
        <w:tc>
          <w:tcPr>
            <w:tcW w:w="1917" w:type="dxa"/>
            <w:shd w:val="clear" w:color="auto" w:fill="D9D9D9" w:themeFill="background1" w:themeFillShade="D9"/>
            <w:noWrap/>
            <w:hideMark/>
          </w:tcPr>
          <w:p w14:paraId="38125D9C" w14:textId="1E4A15A3" w:rsidR="000256D8" w:rsidRPr="00D518FF" w:rsidRDefault="000256D8" w:rsidP="000256D8">
            <w:pPr>
              <w:rPr>
                <w:rFonts w:ascii="Aptos" w:hAnsi="Aptos"/>
                <w:b/>
                <w:bCs/>
                <w:color w:val="000000"/>
                <w:sz w:val="16"/>
                <w:szCs w:val="16"/>
              </w:rPr>
            </w:pPr>
            <w:r w:rsidRPr="00D518FF">
              <w:rPr>
                <w:rFonts w:ascii="Aptos" w:hAnsi="Aptos" w:cs="Arial"/>
                <w:b/>
                <w:bCs/>
                <w:sz w:val="16"/>
                <w:szCs w:val="16"/>
              </w:rPr>
              <w:t>Exclusion reason</w:t>
            </w:r>
          </w:p>
        </w:tc>
      </w:tr>
      <w:tr w:rsidR="000256D8" w:rsidRPr="00D518FF" w14:paraId="0461072B" w14:textId="77777777" w:rsidTr="004C6AA1">
        <w:trPr>
          <w:trHeight w:val="320"/>
        </w:trPr>
        <w:tc>
          <w:tcPr>
            <w:tcW w:w="4248" w:type="dxa"/>
            <w:shd w:val="clear" w:color="auto" w:fill="auto"/>
            <w:noWrap/>
            <w:hideMark/>
          </w:tcPr>
          <w:p w14:paraId="4FF6AA6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Efficacy of interventions for improving health in patients with multiple sclerosis on insomnia symptoms and sleep quality: A systematic review of randomized controlled trials</w:t>
            </w:r>
          </w:p>
        </w:tc>
        <w:tc>
          <w:tcPr>
            <w:tcW w:w="3544" w:type="dxa"/>
            <w:shd w:val="clear" w:color="auto" w:fill="auto"/>
            <w:noWrap/>
            <w:hideMark/>
          </w:tcPr>
          <w:p w14:paraId="44F39BD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Bacaro, V.; Buonanno, C.; Mancini, F.; Baglioni, C.</w:t>
            </w:r>
          </w:p>
        </w:tc>
        <w:tc>
          <w:tcPr>
            <w:tcW w:w="567" w:type="dxa"/>
            <w:shd w:val="clear" w:color="auto" w:fill="auto"/>
            <w:noWrap/>
            <w:hideMark/>
          </w:tcPr>
          <w:p w14:paraId="50AE54F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2021</w:t>
            </w:r>
          </w:p>
        </w:tc>
        <w:tc>
          <w:tcPr>
            <w:tcW w:w="1169" w:type="dxa"/>
            <w:shd w:val="clear" w:color="auto" w:fill="auto"/>
            <w:noWrap/>
            <w:hideMark/>
          </w:tcPr>
          <w:p w14:paraId="4AFE0A4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Journal of Behavioral and Cognitive Therapy</w:t>
            </w:r>
          </w:p>
        </w:tc>
        <w:tc>
          <w:tcPr>
            <w:tcW w:w="815" w:type="dxa"/>
            <w:shd w:val="clear" w:color="auto" w:fill="auto"/>
            <w:noWrap/>
            <w:hideMark/>
          </w:tcPr>
          <w:p w14:paraId="0EDD266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31</w:t>
            </w:r>
          </w:p>
        </w:tc>
        <w:tc>
          <w:tcPr>
            <w:tcW w:w="709" w:type="dxa"/>
            <w:shd w:val="clear" w:color="auto" w:fill="auto"/>
            <w:noWrap/>
            <w:hideMark/>
          </w:tcPr>
          <w:p w14:paraId="55160FE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w:t>
            </w:r>
          </w:p>
        </w:tc>
        <w:tc>
          <w:tcPr>
            <w:tcW w:w="1343" w:type="dxa"/>
            <w:shd w:val="clear" w:color="auto" w:fill="auto"/>
            <w:noWrap/>
            <w:hideMark/>
          </w:tcPr>
          <w:p w14:paraId="4A6C373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137-145</w:t>
            </w:r>
          </w:p>
        </w:tc>
        <w:tc>
          <w:tcPr>
            <w:tcW w:w="1917" w:type="dxa"/>
            <w:shd w:val="clear" w:color="auto" w:fill="auto"/>
            <w:noWrap/>
            <w:hideMark/>
          </w:tcPr>
          <w:p w14:paraId="348F9C0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intervention</w:t>
            </w:r>
          </w:p>
        </w:tc>
      </w:tr>
      <w:tr w:rsidR="000256D8" w:rsidRPr="00D518FF" w14:paraId="6BC1CA95" w14:textId="77777777" w:rsidTr="004C6AA1">
        <w:trPr>
          <w:trHeight w:val="320"/>
        </w:trPr>
        <w:tc>
          <w:tcPr>
            <w:tcW w:w="4248" w:type="dxa"/>
            <w:shd w:val="clear" w:color="auto" w:fill="auto"/>
            <w:noWrap/>
          </w:tcPr>
          <w:p w14:paraId="195CBB9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Antioxidant Supplements and Breast Cancer: A Systematic Review and Meta-Analysis </w:t>
            </w:r>
          </w:p>
        </w:tc>
        <w:tc>
          <w:tcPr>
            <w:tcW w:w="3544" w:type="dxa"/>
            <w:shd w:val="clear" w:color="auto" w:fill="auto"/>
            <w:noWrap/>
          </w:tcPr>
          <w:p w14:paraId="15944CF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Moradi-Joo, Mohammad; Heidari, Saeed; Seyed-Nezhad, Maryam; Akbari, Mohammad Esmaeil; Moosavi, Ahmad; Davoodi, Sayed Hossein</w:t>
            </w:r>
          </w:p>
        </w:tc>
        <w:tc>
          <w:tcPr>
            <w:tcW w:w="567" w:type="dxa"/>
            <w:shd w:val="clear" w:color="auto" w:fill="auto"/>
            <w:noWrap/>
          </w:tcPr>
          <w:p w14:paraId="75598EC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2018</w:t>
            </w:r>
          </w:p>
        </w:tc>
        <w:tc>
          <w:tcPr>
            <w:tcW w:w="1169" w:type="dxa"/>
            <w:shd w:val="clear" w:color="auto" w:fill="auto"/>
            <w:noWrap/>
          </w:tcPr>
          <w:p w14:paraId="07C7231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International Journal of Cancer Management </w:t>
            </w:r>
          </w:p>
        </w:tc>
        <w:tc>
          <w:tcPr>
            <w:tcW w:w="815" w:type="dxa"/>
            <w:shd w:val="clear" w:color="auto" w:fill="auto"/>
            <w:noWrap/>
          </w:tcPr>
          <w:p w14:paraId="7D9AD9A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11</w:t>
            </w:r>
          </w:p>
        </w:tc>
        <w:tc>
          <w:tcPr>
            <w:tcW w:w="709" w:type="dxa"/>
            <w:shd w:val="clear" w:color="auto" w:fill="auto"/>
            <w:noWrap/>
          </w:tcPr>
          <w:p w14:paraId="389C34B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4</w:t>
            </w:r>
          </w:p>
        </w:tc>
        <w:tc>
          <w:tcPr>
            <w:tcW w:w="1343" w:type="dxa"/>
            <w:shd w:val="clear" w:color="auto" w:fill="auto"/>
            <w:noWrap/>
          </w:tcPr>
          <w:p w14:paraId="5B9ECC3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1-11</w:t>
            </w:r>
          </w:p>
        </w:tc>
        <w:tc>
          <w:tcPr>
            <w:tcW w:w="1917" w:type="dxa"/>
            <w:shd w:val="clear" w:color="auto" w:fill="auto"/>
            <w:noWrap/>
          </w:tcPr>
          <w:p w14:paraId="760CFFE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intervention</w:t>
            </w:r>
          </w:p>
        </w:tc>
      </w:tr>
      <w:tr w:rsidR="000256D8" w:rsidRPr="00D518FF" w14:paraId="785A836E" w14:textId="77777777" w:rsidTr="004C6AA1">
        <w:trPr>
          <w:trHeight w:val="320"/>
        </w:trPr>
        <w:tc>
          <w:tcPr>
            <w:tcW w:w="4248" w:type="dxa"/>
            <w:shd w:val="clear" w:color="auto" w:fill="auto"/>
            <w:noWrap/>
            <w:hideMark/>
          </w:tcPr>
          <w:p w14:paraId="0485A09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Effects of coenzyme Q10 on statin-induced myopathy: A meta-analysis of randomized controlled trials</w:t>
            </w:r>
          </w:p>
        </w:tc>
        <w:tc>
          <w:tcPr>
            <w:tcW w:w="3544" w:type="dxa"/>
            <w:shd w:val="clear" w:color="auto" w:fill="auto"/>
            <w:noWrap/>
            <w:hideMark/>
          </w:tcPr>
          <w:p w14:paraId="156F122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Banach, M.; Serban, C.; Sahebkar, A.; Ursoniu, S.; Rysz, J.; Muntner, P.; Toth, P. P.; Jones, S. R.; Rizzo, M.; Glasser, S. P.; Lip, G. Y. H.; Dragan, S.; Mikhailidis, D. P.</w:t>
            </w:r>
          </w:p>
        </w:tc>
        <w:tc>
          <w:tcPr>
            <w:tcW w:w="567" w:type="dxa"/>
            <w:shd w:val="clear" w:color="auto" w:fill="auto"/>
            <w:noWrap/>
            <w:hideMark/>
          </w:tcPr>
          <w:p w14:paraId="6117623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2015</w:t>
            </w:r>
          </w:p>
        </w:tc>
        <w:tc>
          <w:tcPr>
            <w:tcW w:w="1169" w:type="dxa"/>
            <w:shd w:val="clear" w:color="auto" w:fill="auto"/>
            <w:noWrap/>
            <w:hideMark/>
          </w:tcPr>
          <w:p w14:paraId="591EC25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Mayo Clinic proceedings</w:t>
            </w:r>
          </w:p>
        </w:tc>
        <w:tc>
          <w:tcPr>
            <w:tcW w:w="815" w:type="dxa"/>
            <w:shd w:val="clear" w:color="auto" w:fill="auto"/>
            <w:noWrap/>
            <w:hideMark/>
          </w:tcPr>
          <w:p w14:paraId="0C12B44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90</w:t>
            </w:r>
          </w:p>
        </w:tc>
        <w:tc>
          <w:tcPr>
            <w:tcW w:w="709" w:type="dxa"/>
            <w:shd w:val="clear" w:color="auto" w:fill="auto"/>
            <w:noWrap/>
            <w:hideMark/>
          </w:tcPr>
          <w:p w14:paraId="449B3A3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w:t>
            </w:r>
          </w:p>
        </w:tc>
        <w:tc>
          <w:tcPr>
            <w:tcW w:w="1343" w:type="dxa"/>
            <w:shd w:val="clear" w:color="auto" w:fill="auto"/>
            <w:noWrap/>
            <w:hideMark/>
          </w:tcPr>
          <w:p w14:paraId="12147CA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24-34</w:t>
            </w:r>
          </w:p>
        </w:tc>
        <w:tc>
          <w:tcPr>
            <w:tcW w:w="1917" w:type="dxa"/>
            <w:shd w:val="clear" w:color="auto" w:fill="auto"/>
            <w:noWrap/>
            <w:hideMark/>
          </w:tcPr>
          <w:p w14:paraId="36FF39D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outcomes</w:t>
            </w:r>
          </w:p>
        </w:tc>
      </w:tr>
      <w:tr w:rsidR="000256D8" w:rsidRPr="00D518FF" w14:paraId="12F02D6C" w14:textId="77777777" w:rsidTr="004C6AA1">
        <w:trPr>
          <w:trHeight w:val="320"/>
        </w:trPr>
        <w:tc>
          <w:tcPr>
            <w:tcW w:w="4248" w:type="dxa"/>
            <w:shd w:val="clear" w:color="auto" w:fill="auto"/>
            <w:noWrap/>
            <w:hideMark/>
          </w:tcPr>
          <w:p w14:paraId="4371181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Impact of Dietary Antioxidants on Sport Performance: A Review</w:t>
            </w:r>
          </w:p>
        </w:tc>
        <w:tc>
          <w:tcPr>
            <w:tcW w:w="3544" w:type="dxa"/>
            <w:shd w:val="clear" w:color="auto" w:fill="auto"/>
            <w:noWrap/>
            <w:hideMark/>
          </w:tcPr>
          <w:p w14:paraId="64B6BB7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Braakhuis, A. J.; Hopkins, W. G.</w:t>
            </w:r>
          </w:p>
        </w:tc>
        <w:tc>
          <w:tcPr>
            <w:tcW w:w="567" w:type="dxa"/>
            <w:shd w:val="clear" w:color="auto" w:fill="auto"/>
            <w:noWrap/>
            <w:hideMark/>
          </w:tcPr>
          <w:p w14:paraId="5142C78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2015</w:t>
            </w:r>
          </w:p>
        </w:tc>
        <w:tc>
          <w:tcPr>
            <w:tcW w:w="1169" w:type="dxa"/>
            <w:shd w:val="clear" w:color="auto" w:fill="auto"/>
            <w:noWrap/>
            <w:hideMark/>
          </w:tcPr>
          <w:p w14:paraId="09EC82B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Sports Medicine</w:t>
            </w:r>
          </w:p>
        </w:tc>
        <w:tc>
          <w:tcPr>
            <w:tcW w:w="815" w:type="dxa"/>
            <w:shd w:val="clear" w:color="auto" w:fill="auto"/>
            <w:noWrap/>
            <w:hideMark/>
          </w:tcPr>
          <w:p w14:paraId="515EB08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45</w:t>
            </w:r>
          </w:p>
        </w:tc>
        <w:tc>
          <w:tcPr>
            <w:tcW w:w="709" w:type="dxa"/>
            <w:shd w:val="clear" w:color="auto" w:fill="auto"/>
            <w:noWrap/>
            <w:hideMark/>
          </w:tcPr>
          <w:p w14:paraId="38A7A21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7</w:t>
            </w:r>
          </w:p>
        </w:tc>
        <w:tc>
          <w:tcPr>
            <w:tcW w:w="1343" w:type="dxa"/>
            <w:shd w:val="clear" w:color="auto" w:fill="auto"/>
            <w:noWrap/>
            <w:hideMark/>
          </w:tcPr>
          <w:p w14:paraId="1201D47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939-955</w:t>
            </w:r>
          </w:p>
        </w:tc>
        <w:tc>
          <w:tcPr>
            <w:tcW w:w="1917" w:type="dxa"/>
            <w:shd w:val="clear" w:color="auto" w:fill="auto"/>
            <w:hideMark/>
          </w:tcPr>
          <w:p w14:paraId="6B400AE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428FB847" w14:textId="77777777" w:rsidTr="004C6AA1">
        <w:trPr>
          <w:trHeight w:val="320"/>
        </w:trPr>
        <w:tc>
          <w:tcPr>
            <w:tcW w:w="4248" w:type="dxa"/>
            <w:shd w:val="clear" w:color="auto" w:fill="auto"/>
            <w:noWrap/>
            <w:hideMark/>
          </w:tcPr>
          <w:p w14:paraId="230B3D8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Nutrition and diet in the clinical management of multiple sclerosis</w:t>
            </w:r>
          </w:p>
        </w:tc>
        <w:tc>
          <w:tcPr>
            <w:tcW w:w="3544" w:type="dxa"/>
            <w:shd w:val="clear" w:color="auto" w:fill="auto"/>
            <w:noWrap/>
            <w:hideMark/>
          </w:tcPr>
          <w:p w14:paraId="014383B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Payne, A.</w:t>
            </w:r>
          </w:p>
        </w:tc>
        <w:tc>
          <w:tcPr>
            <w:tcW w:w="567" w:type="dxa"/>
            <w:shd w:val="clear" w:color="auto" w:fill="auto"/>
            <w:noWrap/>
            <w:hideMark/>
          </w:tcPr>
          <w:p w14:paraId="161FBA2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2001</w:t>
            </w:r>
          </w:p>
        </w:tc>
        <w:tc>
          <w:tcPr>
            <w:tcW w:w="1169" w:type="dxa"/>
            <w:shd w:val="clear" w:color="auto" w:fill="auto"/>
            <w:noWrap/>
            <w:hideMark/>
          </w:tcPr>
          <w:p w14:paraId="5A351B0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Journal of Human Nutrition and Dietetics</w:t>
            </w:r>
          </w:p>
        </w:tc>
        <w:tc>
          <w:tcPr>
            <w:tcW w:w="815" w:type="dxa"/>
            <w:shd w:val="clear" w:color="auto" w:fill="auto"/>
            <w:noWrap/>
            <w:hideMark/>
          </w:tcPr>
          <w:p w14:paraId="425A84A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14</w:t>
            </w:r>
          </w:p>
        </w:tc>
        <w:tc>
          <w:tcPr>
            <w:tcW w:w="709" w:type="dxa"/>
            <w:shd w:val="clear" w:color="auto" w:fill="auto"/>
            <w:noWrap/>
            <w:hideMark/>
          </w:tcPr>
          <w:p w14:paraId="259F667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5</w:t>
            </w:r>
          </w:p>
        </w:tc>
        <w:tc>
          <w:tcPr>
            <w:tcW w:w="1343" w:type="dxa"/>
            <w:shd w:val="clear" w:color="auto" w:fill="auto"/>
            <w:noWrap/>
            <w:hideMark/>
          </w:tcPr>
          <w:p w14:paraId="6F29AEE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349-357</w:t>
            </w:r>
          </w:p>
        </w:tc>
        <w:tc>
          <w:tcPr>
            <w:tcW w:w="1917" w:type="dxa"/>
            <w:shd w:val="clear" w:color="auto" w:fill="auto"/>
            <w:noWrap/>
            <w:hideMark/>
          </w:tcPr>
          <w:p w14:paraId="2D26BF9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21074641" w14:textId="77777777" w:rsidTr="004C6AA1">
        <w:trPr>
          <w:trHeight w:val="320"/>
        </w:trPr>
        <w:tc>
          <w:tcPr>
            <w:tcW w:w="4248" w:type="dxa"/>
            <w:shd w:val="clear" w:color="auto" w:fill="auto"/>
            <w:noWrap/>
            <w:hideMark/>
          </w:tcPr>
          <w:p w14:paraId="1E9D41C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lastRenderedPageBreak/>
              <w:t>Effects of coenzyme Q10 on statin-induced myopathy: An updated meta-analysis of randomized controlled trials</w:t>
            </w:r>
          </w:p>
        </w:tc>
        <w:tc>
          <w:tcPr>
            <w:tcW w:w="3544" w:type="dxa"/>
            <w:shd w:val="clear" w:color="auto" w:fill="auto"/>
            <w:noWrap/>
            <w:hideMark/>
          </w:tcPr>
          <w:p w14:paraId="11F13BC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Qu, H.; Guo, M.; Chai, H.; Wang, W. T.; Ga, Z. Y.; Shi, D. Z.</w:t>
            </w:r>
          </w:p>
        </w:tc>
        <w:tc>
          <w:tcPr>
            <w:tcW w:w="567" w:type="dxa"/>
            <w:shd w:val="clear" w:color="auto" w:fill="auto"/>
            <w:noWrap/>
            <w:hideMark/>
          </w:tcPr>
          <w:p w14:paraId="6E8FC60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2018</w:t>
            </w:r>
          </w:p>
        </w:tc>
        <w:tc>
          <w:tcPr>
            <w:tcW w:w="1169" w:type="dxa"/>
            <w:shd w:val="clear" w:color="auto" w:fill="auto"/>
            <w:noWrap/>
            <w:hideMark/>
          </w:tcPr>
          <w:p w14:paraId="1CAD720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Journal of the American Heart Association</w:t>
            </w:r>
          </w:p>
        </w:tc>
        <w:tc>
          <w:tcPr>
            <w:tcW w:w="815" w:type="dxa"/>
            <w:shd w:val="clear" w:color="auto" w:fill="auto"/>
            <w:noWrap/>
            <w:hideMark/>
          </w:tcPr>
          <w:p w14:paraId="44FC753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7</w:t>
            </w:r>
          </w:p>
        </w:tc>
        <w:tc>
          <w:tcPr>
            <w:tcW w:w="709" w:type="dxa"/>
            <w:shd w:val="clear" w:color="auto" w:fill="auto"/>
            <w:noWrap/>
            <w:hideMark/>
          </w:tcPr>
          <w:p w14:paraId="242AD1A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19</w:t>
            </w:r>
          </w:p>
        </w:tc>
        <w:tc>
          <w:tcPr>
            <w:tcW w:w="1343" w:type="dxa"/>
            <w:shd w:val="clear" w:color="auto" w:fill="auto"/>
            <w:noWrap/>
            <w:hideMark/>
          </w:tcPr>
          <w:p w14:paraId="19B9860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e009835</w:t>
            </w:r>
          </w:p>
        </w:tc>
        <w:tc>
          <w:tcPr>
            <w:tcW w:w="1917" w:type="dxa"/>
            <w:shd w:val="clear" w:color="auto" w:fill="auto"/>
            <w:noWrap/>
            <w:hideMark/>
          </w:tcPr>
          <w:p w14:paraId="7D57814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outcomes</w:t>
            </w:r>
          </w:p>
        </w:tc>
      </w:tr>
      <w:tr w:rsidR="000256D8" w:rsidRPr="00D518FF" w14:paraId="1BCF6A44" w14:textId="77777777" w:rsidTr="004C6AA1">
        <w:trPr>
          <w:trHeight w:val="320"/>
        </w:trPr>
        <w:tc>
          <w:tcPr>
            <w:tcW w:w="4248" w:type="dxa"/>
            <w:shd w:val="clear" w:color="auto" w:fill="auto"/>
            <w:noWrap/>
            <w:hideMark/>
          </w:tcPr>
          <w:p w14:paraId="2F1EEDC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Recent Developments in the Role of Coenzyme Q10 for Coronary Heart Disease: a Systematic Review</w:t>
            </w:r>
          </w:p>
        </w:tc>
        <w:tc>
          <w:tcPr>
            <w:tcW w:w="3544" w:type="dxa"/>
            <w:shd w:val="clear" w:color="auto" w:fill="auto"/>
            <w:noWrap/>
            <w:hideMark/>
          </w:tcPr>
          <w:p w14:paraId="5094ADA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Ayers, J.; Cook, J.; Koenig, R. A.; Sisson, E. M.; Dixon, D. L.</w:t>
            </w:r>
          </w:p>
        </w:tc>
        <w:tc>
          <w:tcPr>
            <w:tcW w:w="567" w:type="dxa"/>
            <w:shd w:val="clear" w:color="auto" w:fill="auto"/>
            <w:noWrap/>
            <w:hideMark/>
          </w:tcPr>
          <w:p w14:paraId="72D7C38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2018</w:t>
            </w:r>
          </w:p>
        </w:tc>
        <w:tc>
          <w:tcPr>
            <w:tcW w:w="1169" w:type="dxa"/>
            <w:shd w:val="clear" w:color="auto" w:fill="auto"/>
            <w:noWrap/>
            <w:hideMark/>
          </w:tcPr>
          <w:p w14:paraId="5A73F6C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Current atherosclerosis reports</w:t>
            </w:r>
          </w:p>
        </w:tc>
        <w:tc>
          <w:tcPr>
            <w:tcW w:w="815" w:type="dxa"/>
            <w:shd w:val="clear" w:color="auto" w:fill="auto"/>
            <w:noWrap/>
            <w:hideMark/>
          </w:tcPr>
          <w:p w14:paraId="2DCF95C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w:t>
            </w:r>
          </w:p>
        </w:tc>
        <w:tc>
          <w:tcPr>
            <w:tcW w:w="709" w:type="dxa"/>
            <w:shd w:val="clear" w:color="auto" w:fill="auto"/>
            <w:noWrap/>
            <w:hideMark/>
          </w:tcPr>
          <w:p w14:paraId="0FB29AF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6</w:t>
            </w:r>
          </w:p>
        </w:tc>
        <w:tc>
          <w:tcPr>
            <w:tcW w:w="1343" w:type="dxa"/>
            <w:shd w:val="clear" w:color="auto" w:fill="auto"/>
            <w:noWrap/>
            <w:hideMark/>
          </w:tcPr>
          <w:p w14:paraId="51EF9FC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29</w:t>
            </w:r>
          </w:p>
        </w:tc>
        <w:tc>
          <w:tcPr>
            <w:tcW w:w="1917" w:type="dxa"/>
            <w:shd w:val="clear" w:color="auto" w:fill="auto"/>
            <w:noWrap/>
            <w:hideMark/>
          </w:tcPr>
          <w:p w14:paraId="70D0F83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54FAC615" w14:textId="77777777" w:rsidTr="004C6AA1">
        <w:trPr>
          <w:trHeight w:val="320"/>
        </w:trPr>
        <w:tc>
          <w:tcPr>
            <w:tcW w:w="4248" w:type="dxa"/>
            <w:shd w:val="clear" w:color="auto" w:fill="auto"/>
            <w:noWrap/>
            <w:hideMark/>
          </w:tcPr>
          <w:p w14:paraId="7F2C782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Effect of Antioxidant Supplementation on Markers of Oxidative Stress and Muscle Damage after Strength Exercise: A Systematic Review</w:t>
            </w:r>
          </w:p>
        </w:tc>
        <w:tc>
          <w:tcPr>
            <w:tcW w:w="3544" w:type="dxa"/>
            <w:shd w:val="clear" w:color="auto" w:fill="auto"/>
            <w:noWrap/>
            <w:hideMark/>
          </w:tcPr>
          <w:p w14:paraId="680AA55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Canals-Garz√≥n, C.; Guisado-Barrilao, R.; Mart√≠nez-Garc√≠a, D.; Chirosa-R√≠os, I. J.; Jerez-Mayorga, D.; Guisado-Requena, I. M.</w:t>
            </w:r>
          </w:p>
        </w:tc>
        <w:tc>
          <w:tcPr>
            <w:tcW w:w="567" w:type="dxa"/>
            <w:shd w:val="clear" w:color="auto" w:fill="auto"/>
            <w:noWrap/>
            <w:hideMark/>
          </w:tcPr>
          <w:p w14:paraId="7B7602E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2022</w:t>
            </w:r>
          </w:p>
        </w:tc>
        <w:tc>
          <w:tcPr>
            <w:tcW w:w="1169" w:type="dxa"/>
            <w:shd w:val="clear" w:color="auto" w:fill="auto"/>
            <w:noWrap/>
            <w:hideMark/>
          </w:tcPr>
          <w:p w14:paraId="795A1AE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International journal of environmental research and public health</w:t>
            </w:r>
          </w:p>
        </w:tc>
        <w:tc>
          <w:tcPr>
            <w:tcW w:w="815" w:type="dxa"/>
            <w:shd w:val="clear" w:color="auto" w:fill="auto"/>
            <w:noWrap/>
            <w:hideMark/>
          </w:tcPr>
          <w:p w14:paraId="10C6F8B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19</w:t>
            </w:r>
          </w:p>
        </w:tc>
        <w:tc>
          <w:tcPr>
            <w:tcW w:w="709" w:type="dxa"/>
            <w:shd w:val="clear" w:color="auto" w:fill="auto"/>
            <w:noWrap/>
            <w:hideMark/>
          </w:tcPr>
          <w:p w14:paraId="3C416F5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3</w:t>
            </w:r>
          </w:p>
        </w:tc>
        <w:tc>
          <w:tcPr>
            <w:tcW w:w="1343" w:type="dxa"/>
            <w:shd w:val="clear" w:color="auto" w:fill="auto"/>
            <w:noWrap/>
            <w:hideMark/>
          </w:tcPr>
          <w:p w14:paraId="3559EA33" w14:textId="24E85ECD" w:rsidR="000256D8" w:rsidRPr="00D518FF" w:rsidRDefault="000256D8" w:rsidP="000256D8">
            <w:pPr>
              <w:rPr>
                <w:rFonts w:ascii="Aptos" w:hAnsi="Aptos"/>
                <w:color w:val="000000"/>
                <w:sz w:val="16"/>
                <w:szCs w:val="16"/>
              </w:rPr>
            </w:pPr>
            <w:r>
              <w:rPr>
                <w:rFonts w:ascii="Aptos" w:hAnsi="Aptos"/>
                <w:color w:val="000000"/>
                <w:sz w:val="16"/>
                <w:szCs w:val="16"/>
              </w:rPr>
              <w:t>1803</w:t>
            </w:r>
          </w:p>
        </w:tc>
        <w:tc>
          <w:tcPr>
            <w:tcW w:w="1917" w:type="dxa"/>
            <w:shd w:val="clear" w:color="auto" w:fill="auto"/>
            <w:noWrap/>
            <w:hideMark/>
          </w:tcPr>
          <w:p w14:paraId="557A6ED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489BCFF4" w14:textId="77777777" w:rsidTr="004C6AA1">
        <w:trPr>
          <w:trHeight w:val="320"/>
        </w:trPr>
        <w:tc>
          <w:tcPr>
            <w:tcW w:w="4248" w:type="dxa"/>
            <w:shd w:val="clear" w:color="auto" w:fill="auto"/>
            <w:noWrap/>
            <w:hideMark/>
          </w:tcPr>
          <w:p w14:paraId="338DF24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Effect of Coenzyme Q10 on statin-associated myalgia and adherence to statin therapy: A systematic review and meta-analysis</w:t>
            </w:r>
          </w:p>
        </w:tc>
        <w:tc>
          <w:tcPr>
            <w:tcW w:w="3544" w:type="dxa"/>
            <w:shd w:val="clear" w:color="auto" w:fill="auto"/>
            <w:noWrap/>
            <w:hideMark/>
          </w:tcPr>
          <w:p w14:paraId="6793DDF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Kennedy, C.; Koller, Y.; Surkova, E.</w:t>
            </w:r>
          </w:p>
        </w:tc>
        <w:tc>
          <w:tcPr>
            <w:tcW w:w="567" w:type="dxa"/>
            <w:shd w:val="clear" w:color="auto" w:fill="auto"/>
            <w:noWrap/>
            <w:hideMark/>
          </w:tcPr>
          <w:p w14:paraId="2EB8111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2020</w:t>
            </w:r>
          </w:p>
        </w:tc>
        <w:tc>
          <w:tcPr>
            <w:tcW w:w="1169" w:type="dxa"/>
            <w:shd w:val="clear" w:color="auto" w:fill="auto"/>
            <w:noWrap/>
            <w:hideMark/>
          </w:tcPr>
          <w:p w14:paraId="6674ABE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Atherosclerosis</w:t>
            </w:r>
          </w:p>
        </w:tc>
        <w:tc>
          <w:tcPr>
            <w:tcW w:w="815" w:type="dxa"/>
            <w:shd w:val="clear" w:color="auto" w:fill="auto"/>
            <w:noWrap/>
            <w:hideMark/>
          </w:tcPr>
          <w:p w14:paraId="24F44D4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299</w:t>
            </w:r>
          </w:p>
        </w:tc>
        <w:tc>
          <w:tcPr>
            <w:tcW w:w="709" w:type="dxa"/>
            <w:shd w:val="clear" w:color="auto" w:fill="auto"/>
            <w:noWrap/>
            <w:hideMark/>
          </w:tcPr>
          <w:p w14:paraId="4B45A71C" w14:textId="32FD0425" w:rsidR="000256D8" w:rsidRPr="00D518FF" w:rsidRDefault="000256D8" w:rsidP="000256D8">
            <w:pPr>
              <w:rPr>
                <w:rFonts w:ascii="Aptos" w:hAnsi="Aptos"/>
                <w:color w:val="000000"/>
                <w:sz w:val="16"/>
                <w:szCs w:val="16"/>
              </w:rPr>
            </w:pPr>
            <w:r>
              <w:rPr>
                <w:rFonts w:ascii="Aptos" w:hAnsi="Aptos"/>
                <w:color w:val="000000"/>
                <w:sz w:val="16"/>
                <w:szCs w:val="16"/>
              </w:rPr>
              <w:t>-</w:t>
            </w:r>
          </w:p>
        </w:tc>
        <w:tc>
          <w:tcPr>
            <w:tcW w:w="1343" w:type="dxa"/>
            <w:shd w:val="clear" w:color="auto" w:fill="auto"/>
            <w:noWrap/>
            <w:hideMark/>
          </w:tcPr>
          <w:p w14:paraId="4A28C2D9" w14:textId="2CEAEAD2" w:rsidR="000256D8" w:rsidRPr="00D518FF" w:rsidRDefault="000256D8" w:rsidP="000256D8">
            <w:pPr>
              <w:rPr>
                <w:rFonts w:ascii="Aptos" w:hAnsi="Aptos"/>
                <w:color w:val="000000"/>
                <w:sz w:val="16"/>
                <w:szCs w:val="16"/>
              </w:rPr>
            </w:pPr>
            <w:r w:rsidRPr="00D518FF">
              <w:rPr>
                <w:rFonts w:ascii="Aptos" w:hAnsi="Aptos"/>
                <w:color w:val="000000"/>
                <w:sz w:val="16"/>
                <w:szCs w:val="16"/>
              </w:rPr>
              <w:t>1-</w:t>
            </w:r>
            <w:r>
              <w:rPr>
                <w:rFonts w:ascii="Aptos" w:hAnsi="Aptos"/>
                <w:color w:val="000000"/>
                <w:sz w:val="16"/>
                <w:szCs w:val="16"/>
              </w:rPr>
              <w:t>8</w:t>
            </w:r>
          </w:p>
        </w:tc>
        <w:tc>
          <w:tcPr>
            <w:tcW w:w="1917" w:type="dxa"/>
            <w:shd w:val="clear" w:color="auto" w:fill="auto"/>
            <w:noWrap/>
            <w:hideMark/>
          </w:tcPr>
          <w:p w14:paraId="18C7EB5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outcomes</w:t>
            </w:r>
          </w:p>
        </w:tc>
      </w:tr>
      <w:tr w:rsidR="000256D8" w:rsidRPr="00D518FF" w14:paraId="7AF66022" w14:textId="77777777" w:rsidTr="004C6AA1">
        <w:trPr>
          <w:trHeight w:val="320"/>
        </w:trPr>
        <w:tc>
          <w:tcPr>
            <w:tcW w:w="4248" w:type="dxa"/>
            <w:shd w:val="clear" w:color="auto" w:fill="auto"/>
            <w:noWrap/>
            <w:hideMark/>
          </w:tcPr>
          <w:p w14:paraId="1C85A6B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Dietary Interventions in the Management of Fibromyalgia: A Systematic Review and Best-Evidence Synthesis</w:t>
            </w:r>
          </w:p>
        </w:tc>
        <w:tc>
          <w:tcPr>
            <w:tcW w:w="3544" w:type="dxa"/>
            <w:shd w:val="clear" w:color="auto" w:fill="auto"/>
            <w:noWrap/>
            <w:hideMark/>
          </w:tcPr>
          <w:p w14:paraId="4E58D97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Lowry, E.; Marley, J.; McVeigh, J. G.; McSorley, E.; Allsopp, P.; Kerr, D.</w:t>
            </w:r>
          </w:p>
        </w:tc>
        <w:tc>
          <w:tcPr>
            <w:tcW w:w="567" w:type="dxa"/>
            <w:shd w:val="clear" w:color="auto" w:fill="auto"/>
            <w:noWrap/>
            <w:hideMark/>
          </w:tcPr>
          <w:p w14:paraId="419AE20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2020</w:t>
            </w:r>
          </w:p>
        </w:tc>
        <w:tc>
          <w:tcPr>
            <w:tcW w:w="1169" w:type="dxa"/>
            <w:shd w:val="clear" w:color="auto" w:fill="auto"/>
            <w:noWrap/>
            <w:hideMark/>
          </w:tcPr>
          <w:p w14:paraId="6DDCEFF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Nutrients</w:t>
            </w:r>
          </w:p>
        </w:tc>
        <w:tc>
          <w:tcPr>
            <w:tcW w:w="815" w:type="dxa"/>
            <w:shd w:val="clear" w:color="auto" w:fill="auto"/>
            <w:noWrap/>
            <w:hideMark/>
          </w:tcPr>
          <w:p w14:paraId="4FEDD78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12</w:t>
            </w:r>
          </w:p>
        </w:tc>
        <w:tc>
          <w:tcPr>
            <w:tcW w:w="709" w:type="dxa"/>
            <w:shd w:val="clear" w:color="auto" w:fill="auto"/>
            <w:noWrap/>
            <w:hideMark/>
          </w:tcPr>
          <w:p w14:paraId="7271398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9</w:t>
            </w:r>
          </w:p>
        </w:tc>
        <w:tc>
          <w:tcPr>
            <w:tcW w:w="1343" w:type="dxa"/>
            <w:shd w:val="clear" w:color="auto" w:fill="auto"/>
            <w:noWrap/>
            <w:hideMark/>
          </w:tcPr>
          <w:p w14:paraId="7CB86BFE" w14:textId="49A88108" w:rsidR="000256D8" w:rsidRPr="00D518FF" w:rsidRDefault="000256D8" w:rsidP="000256D8">
            <w:pPr>
              <w:rPr>
                <w:rFonts w:ascii="Aptos" w:hAnsi="Aptos"/>
                <w:color w:val="000000"/>
                <w:sz w:val="16"/>
                <w:szCs w:val="16"/>
              </w:rPr>
            </w:pPr>
            <w:r>
              <w:rPr>
                <w:rFonts w:ascii="Aptos" w:hAnsi="Aptos"/>
                <w:color w:val="000000"/>
                <w:sz w:val="16"/>
                <w:szCs w:val="16"/>
              </w:rPr>
              <w:t>2664</w:t>
            </w:r>
          </w:p>
        </w:tc>
        <w:tc>
          <w:tcPr>
            <w:tcW w:w="1917" w:type="dxa"/>
            <w:shd w:val="clear" w:color="auto" w:fill="auto"/>
            <w:noWrap/>
            <w:hideMark/>
          </w:tcPr>
          <w:p w14:paraId="4A13F6F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outcomes</w:t>
            </w:r>
          </w:p>
        </w:tc>
      </w:tr>
      <w:tr w:rsidR="000256D8" w:rsidRPr="00D518FF" w14:paraId="502AF8E5" w14:textId="77777777" w:rsidTr="004C6AA1">
        <w:trPr>
          <w:trHeight w:val="320"/>
        </w:trPr>
        <w:tc>
          <w:tcPr>
            <w:tcW w:w="4248" w:type="dxa"/>
            <w:shd w:val="clear" w:color="auto" w:fill="auto"/>
            <w:noWrap/>
            <w:hideMark/>
          </w:tcPr>
          <w:p w14:paraId="58D2E29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Antioxidants for Treatment of Duchenne Muscular Dystrophy: A Systematic Review and Meta-Analysis</w:t>
            </w:r>
          </w:p>
        </w:tc>
        <w:tc>
          <w:tcPr>
            <w:tcW w:w="3544" w:type="dxa"/>
            <w:shd w:val="clear" w:color="auto" w:fill="auto"/>
            <w:noWrap/>
            <w:hideMark/>
          </w:tcPr>
          <w:p w14:paraId="2D4BF74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Ren, S.; Yao, C.; Liu, Y.; Feng, G.; Dong, X.; Gao, B.; Qian, S.</w:t>
            </w:r>
          </w:p>
        </w:tc>
        <w:tc>
          <w:tcPr>
            <w:tcW w:w="567" w:type="dxa"/>
            <w:shd w:val="clear" w:color="auto" w:fill="auto"/>
            <w:noWrap/>
            <w:hideMark/>
          </w:tcPr>
          <w:p w14:paraId="565B182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2022</w:t>
            </w:r>
          </w:p>
        </w:tc>
        <w:tc>
          <w:tcPr>
            <w:tcW w:w="1169" w:type="dxa"/>
            <w:shd w:val="clear" w:color="auto" w:fill="auto"/>
            <w:noWrap/>
            <w:hideMark/>
          </w:tcPr>
          <w:p w14:paraId="7BDF4E4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European neurology</w:t>
            </w:r>
          </w:p>
        </w:tc>
        <w:tc>
          <w:tcPr>
            <w:tcW w:w="815" w:type="dxa"/>
            <w:shd w:val="clear" w:color="auto" w:fill="auto"/>
          </w:tcPr>
          <w:p w14:paraId="7FBA0EBE" w14:textId="6A9BF03B" w:rsidR="000256D8" w:rsidRPr="00D518FF" w:rsidRDefault="000256D8" w:rsidP="000256D8">
            <w:pPr>
              <w:rPr>
                <w:rFonts w:ascii="Aptos" w:hAnsi="Aptos"/>
                <w:color w:val="000000"/>
                <w:sz w:val="16"/>
                <w:szCs w:val="16"/>
              </w:rPr>
            </w:pPr>
            <w:r>
              <w:rPr>
                <w:rFonts w:ascii="Aptos" w:hAnsi="Aptos"/>
                <w:color w:val="000000"/>
                <w:sz w:val="16"/>
                <w:szCs w:val="16"/>
              </w:rPr>
              <w:t>85</w:t>
            </w:r>
          </w:p>
        </w:tc>
        <w:tc>
          <w:tcPr>
            <w:tcW w:w="709" w:type="dxa"/>
            <w:shd w:val="clear" w:color="auto" w:fill="auto"/>
            <w:noWrap/>
            <w:hideMark/>
          </w:tcPr>
          <w:p w14:paraId="1FD47DEB" w14:textId="7B5C083B" w:rsidR="000256D8" w:rsidRPr="00D518FF" w:rsidRDefault="000256D8" w:rsidP="000256D8">
            <w:pPr>
              <w:rPr>
                <w:rFonts w:ascii="Aptos" w:hAnsi="Aptos"/>
                <w:color w:val="000000"/>
                <w:sz w:val="16"/>
                <w:szCs w:val="16"/>
              </w:rPr>
            </w:pPr>
            <w:r>
              <w:rPr>
                <w:rFonts w:ascii="Aptos" w:hAnsi="Aptos"/>
                <w:color w:val="000000"/>
                <w:sz w:val="16"/>
                <w:szCs w:val="16"/>
              </w:rPr>
              <w:t>5</w:t>
            </w:r>
          </w:p>
        </w:tc>
        <w:tc>
          <w:tcPr>
            <w:tcW w:w="1343" w:type="dxa"/>
            <w:shd w:val="clear" w:color="auto" w:fill="auto"/>
            <w:noWrap/>
            <w:hideMark/>
          </w:tcPr>
          <w:p w14:paraId="35EF739E" w14:textId="2AAEDBD2" w:rsidR="000256D8" w:rsidRPr="00D518FF" w:rsidRDefault="000256D8" w:rsidP="000256D8">
            <w:pPr>
              <w:rPr>
                <w:rFonts w:ascii="Aptos" w:hAnsi="Aptos"/>
                <w:color w:val="000000"/>
                <w:sz w:val="16"/>
                <w:szCs w:val="16"/>
              </w:rPr>
            </w:pPr>
            <w:r w:rsidRPr="007947A3">
              <w:rPr>
                <w:rFonts w:ascii="Aptos" w:hAnsi="Aptos"/>
                <w:color w:val="000000"/>
                <w:sz w:val="16"/>
                <w:szCs w:val="16"/>
              </w:rPr>
              <w:t>377-388</w:t>
            </w:r>
          </w:p>
        </w:tc>
        <w:tc>
          <w:tcPr>
            <w:tcW w:w="1917" w:type="dxa"/>
            <w:shd w:val="clear" w:color="auto" w:fill="auto"/>
            <w:hideMark/>
          </w:tcPr>
          <w:p w14:paraId="3E3346A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7D471471" w14:textId="77777777" w:rsidTr="00887C84">
        <w:trPr>
          <w:trHeight w:val="320"/>
        </w:trPr>
        <w:tc>
          <w:tcPr>
            <w:tcW w:w="4248" w:type="dxa"/>
            <w:shd w:val="clear" w:color="auto" w:fill="auto"/>
            <w:noWrap/>
          </w:tcPr>
          <w:p w14:paraId="1B9B3CD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An umbrella review evaluating the effects of dietary interventions on disease progression in persons living with multiple sclerosis</w:t>
            </w:r>
          </w:p>
        </w:tc>
        <w:tc>
          <w:tcPr>
            <w:tcW w:w="3544" w:type="dxa"/>
            <w:shd w:val="clear" w:color="auto" w:fill="auto"/>
            <w:noWrap/>
          </w:tcPr>
          <w:p w14:paraId="2D78C65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Abbey Tredinnick, Yasmine Probst</w:t>
            </w:r>
          </w:p>
        </w:tc>
        <w:tc>
          <w:tcPr>
            <w:tcW w:w="567" w:type="dxa"/>
            <w:shd w:val="clear" w:color="auto" w:fill="auto"/>
            <w:noWrap/>
          </w:tcPr>
          <w:p w14:paraId="0D5CC13C" w14:textId="2FDA8C1D" w:rsidR="000256D8" w:rsidRPr="00D518FF" w:rsidRDefault="000256D8" w:rsidP="000256D8">
            <w:pPr>
              <w:rPr>
                <w:rFonts w:ascii="Aptos" w:hAnsi="Aptos"/>
                <w:color w:val="000000"/>
                <w:sz w:val="16"/>
                <w:szCs w:val="16"/>
              </w:rPr>
            </w:pPr>
            <w:r>
              <w:rPr>
                <w:rFonts w:ascii="Aptos" w:hAnsi="Aptos"/>
                <w:color w:val="000000"/>
                <w:sz w:val="16"/>
                <w:szCs w:val="16"/>
              </w:rPr>
              <w:t>2020</w:t>
            </w:r>
          </w:p>
        </w:tc>
        <w:tc>
          <w:tcPr>
            <w:tcW w:w="1169" w:type="dxa"/>
            <w:shd w:val="clear" w:color="auto" w:fill="auto"/>
            <w:noWrap/>
          </w:tcPr>
          <w:p w14:paraId="0490D42A" w14:textId="29351FE5" w:rsidR="000256D8" w:rsidRPr="00D518FF" w:rsidRDefault="000256D8" w:rsidP="000256D8">
            <w:pPr>
              <w:rPr>
                <w:rFonts w:ascii="Aptos" w:hAnsi="Aptos"/>
                <w:color w:val="000000"/>
                <w:sz w:val="16"/>
                <w:szCs w:val="16"/>
              </w:rPr>
            </w:pPr>
            <w:r>
              <w:rPr>
                <w:rFonts w:ascii="Aptos" w:hAnsi="Aptos"/>
                <w:color w:val="000000"/>
                <w:sz w:val="16"/>
                <w:szCs w:val="16"/>
              </w:rPr>
              <w:t>Advances in Nutrition</w:t>
            </w:r>
          </w:p>
        </w:tc>
        <w:tc>
          <w:tcPr>
            <w:tcW w:w="815" w:type="dxa"/>
            <w:shd w:val="clear" w:color="auto" w:fill="auto"/>
          </w:tcPr>
          <w:p w14:paraId="3A6DC9ED" w14:textId="6E45D203" w:rsidR="000256D8" w:rsidRPr="00D518FF" w:rsidRDefault="000256D8" w:rsidP="000256D8">
            <w:pPr>
              <w:rPr>
                <w:rFonts w:ascii="Aptos" w:hAnsi="Aptos"/>
                <w:color w:val="000000"/>
                <w:sz w:val="16"/>
                <w:szCs w:val="16"/>
              </w:rPr>
            </w:pPr>
            <w:r>
              <w:rPr>
                <w:rFonts w:ascii="Aptos" w:hAnsi="Aptos"/>
                <w:color w:val="000000"/>
                <w:sz w:val="16"/>
                <w:szCs w:val="16"/>
              </w:rPr>
              <w:t>11</w:t>
            </w:r>
          </w:p>
        </w:tc>
        <w:tc>
          <w:tcPr>
            <w:tcW w:w="709" w:type="dxa"/>
            <w:shd w:val="clear" w:color="auto" w:fill="auto"/>
            <w:noWrap/>
          </w:tcPr>
          <w:p w14:paraId="20E86C9B" w14:textId="71C4E9A1" w:rsidR="000256D8" w:rsidRPr="00D518FF" w:rsidRDefault="000256D8" w:rsidP="000256D8">
            <w:pPr>
              <w:rPr>
                <w:rFonts w:ascii="Aptos" w:hAnsi="Aptos"/>
                <w:color w:val="000000"/>
                <w:sz w:val="16"/>
                <w:szCs w:val="16"/>
              </w:rPr>
            </w:pPr>
            <w:r>
              <w:rPr>
                <w:rFonts w:ascii="Aptos" w:hAnsi="Aptos"/>
                <w:color w:val="000000"/>
                <w:sz w:val="16"/>
                <w:szCs w:val="16"/>
              </w:rPr>
              <w:t>3</w:t>
            </w:r>
          </w:p>
        </w:tc>
        <w:tc>
          <w:tcPr>
            <w:tcW w:w="1343" w:type="dxa"/>
            <w:shd w:val="clear" w:color="auto" w:fill="auto"/>
            <w:noWrap/>
          </w:tcPr>
          <w:p w14:paraId="0F9B322E" w14:textId="5B8C7F0B" w:rsidR="000256D8" w:rsidRPr="00D518FF" w:rsidRDefault="000256D8" w:rsidP="000256D8">
            <w:pPr>
              <w:rPr>
                <w:rFonts w:ascii="Aptos" w:hAnsi="Aptos"/>
                <w:color w:val="000000"/>
                <w:sz w:val="16"/>
                <w:szCs w:val="16"/>
              </w:rPr>
            </w:pPr>
            <w:r>
              <w:rPr>
                <w:rFonts w:ascii="Aptos" w:hAnsi="Aptos"/>
                <w:color w:val="000000"/>
                <w:sz w:val="16"/>
                <w:szCs w:val="16"/>
              </w:rPr>
              <w:t>-</w:t>
            </w:r>
          </w:p>
        </w:tc>
        <w:tc>
          <w:tcPr>
            <w:tcW w:w="1917" w:type="dxa"/>
            <w:shd w:val="clear" w:color="auto" w:fill="auto"/>
          </w:tcPr>
          <w:p w14:paraId="4FE0C73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study design</w:t>
            </w:r>
          </w:p>
        </w:tc>
      </w:tr>
      <w:tr w:rsidR="000256D8" w:rsidRPr="00D518FF" w14:paraId="23E6D840" w14:textId="77777777" w:rsidTr="004C6AA1">
        <w:trPr>
          <w:trHeight w:val="320"/>
        </w:trPr>
        <w:tc>
          <w:tcPr>
            <w:tcW w:w="4248" w:type="dxa"/>
            <w:shd w:val="clear" w:color="auto" w:fill="auto"/>
            <w:noWrap/>
          </w:tcPr>
          <w:p w14:paraId="2AE82B3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Antioxidant Micronutrients and Essential Fatty Acids Supplementation on Cystic Fibrosis Outcomes: A Systematic Review</w:t>
            </w:r>
          </w:p>
        </w:tc>
        <w:tc>
          <w:tcPr>
            <w:tcW w:w="3544" w:type="dxa"/>
            <w:shd w:val="clear" w:color="auto" w:fill="auto"/>
            <w:noWrap/>
          </w:tcPr>
          <w:p w14:paraId="27CF842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Simon, Miriam Isabel Souza dos Santos; Dalle Molle, Roberta; Silva, Fl√°via Moraes; Rodrigues, Thais Wabner; Feldmann, Marceli; Forte, Gabriele Carra; Marostica, Paulo Jos√© Cauduro</w:t>
            </w:r>
          </w:p>
        </w:tc>
        <w:tc>
          <w:tcPr>
            <w:tcW w:w="567" w:type="dxa"/>
            <w:shd w:val="clear" w:color="auto" w:fill="auto"/>
            <w:noWrap/>
          </w:tcPr>
          <w:p w14:paraId="5F0C859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2020</w:t>
            </w:r>
          </w:p>
        </w:tc>
        <w:tc>
          <w:tcPr>
            <w:tcW w:w="1169" w:type="dxa"/>
            <w:shd w:val="clear" w:color="auto" w:fill="auto"/>
            <w:noWrap/>
          </w:tcPr>
          <w:p w14:paraId="6987FB8A" w14:textId="5D4E84FB" w:rsidR="000256D8" w:rsidRPr="00D518FF" w:rsidRDefault="000256D8" w:rsidP="000256D8">
            <w:pPr>
              <w:rPr>
                <w:rFonts w:ascii="Aptos" w:hAnsi="Aptos"/>
                <w:color w:val="000000"/>
                <w:sz w:val="16"/>
                <w:szCs w:val="16"/>
              </w:rPr>
            </w:pPr>
            <w:r w:rsidRPr="00D518FF">
              <w:rPr>
                <w:rFonts w:ascii="Aptos" w:hAnsi="Aptos"/>
                <w:color w:val="000000"/>
                <w:sz w:val="16"/>
                <w:szCs w:val="16"/>
              </w:rPr>
              <w:t>Journal of the Academy of Nutrition and Dietetics</w:t>
            </w:r>
          </w:p>
        </w:tc>
        <w:tc>
          <w:tcPr>
            <w:tcW w:w="815" w:type="dxa"/>
            <w:shd w:val="clear" w:color="auto" w:fill="auto"/>
          </w:tcPr>
          <w:p w14:paraId="7E6E7E2C" w14:textId="640E6A96" w:rsidR="000256D8" w:rsidRPr="00D518FF" w:rsidRDefault="000256D8" w:rsidP="000256D8">
            <w:pPr>
              <w:rPr>
                <w:rFonts w:ascii="Aptos" w:hAnsi="Aptos"/>
                <w:color w:val="000000"/>
                <w:sz w:val="16"/>
                <w:szCs w:val="16"/>
              </w:rPr>
            </w:pPr>
            <w:r>
              <w:rPr>
                <w:rFonts w:ascii="Aptos" w:hAnsi="Aptos"/>
                <w:color w:val="000000"/>
                <w:sz w:val="16"/>
                <w:szCs w:val="16"/>
              </w:rPr>
              <w:t>120</w:t>
            </w:r>
          </w:p>
        </w:tc>
        <w:tc>
          <w:tcPr>
            <w:tcW w:w="709" w:type="dxa"/>
            <w:shd w:val="clear" w:color="auto" w:fill="auto"/>
            <w:noWrap/>
          </w:tcPr>
          <w:p w14:paraId="6FEB4947" w14:textId="7B7BCBA6" w:rsidR="000256D8" w:rsidRPr="00D518FF" w:rsidRDefault="000256D8" w:rsidP="000256D8">
            <w:pPr>
              <w:rPr>
                <w:rFonts w:ascii="Aptos" w:hAnsi="Aptos"/>
                <w:color w:val="000000"/>
                <w:sz w:val="16"/>
                <w:szCs w:val="16"/>
              </w:rPr>
            </w:pPr>
            <w:r>
              <w:rPr>
                <w:rFonts w:ascii="Aptos" w:hAnsi="Aptos"/>
                <w:color w:val="000000"/>
                <w:sz w:val="16"/>
                <w:szCs w:val="16"/>
              </w:rPr>
              <w:t>6</w:t>
            </w:r>
          </w:p>
        </w:tc>
        <w:tc>
          <w:tcPr>
            <w:tcW w:w="1343" w:type="dxa"/>
            <w:shd w:val="clear" w:color="auto" w:fill="auto"/>
            <w:noWrap/>
          </w:tcPr>
          <w:p w14:paraId="013D892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1016-1033.e1</w:t>
            </w:r>
          </w:p>
          <w:p w14:paraId="30C309D6" w14:textId="77777777" w:rsidR="000256D8" w:rsidRPr="00D518FF" w:rsidRDefault="000256D8" w:rsidP="000256D8">
            <w:pPr>
              <w:rPr>
                <w:rFonts w:ascii="Aptos" w:hAnsi="Aptos"/>
                <w:color w:val="000000"/>
                <w:sz w:val="16"/>
                <w:szCs w:val="16"/>
              </w:rPr>
            </w:pPr>
          </w:p>
        </w:tc>
        <w:tc>
          <w:tcPr>
            <w:tcW w:w="1917" w:type="dxa"/>
            <w:shd w:val="clear" w:color="auto" w:fill="auto"/>
          </w:tcPr>
          <w:p w14:paraId="455D35D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outcomes</w:t>
            </w:r>
          </w:p>
        </w:tc>
      </w:tr>
      <w:tr w:rsidR="004C6AA1" w:rsidRPr="00D518FF" w14:paraId="18E46237" w14:textId="77777777" w:rsidTr="00887C84">
        <w:trPr>
          <w:trHeight w:val="320"/>
        </w:trPr>
        <w:tc>
          <w:tcPr>
            <w:tcW w:w="4248" w:type="dxa"/>
            <w:shd w:val="clear" w:color="auto" w:fill="auto"/>
            <w:noWrap/>
          </w:tcPr>
          <w:p w14:paraId="6A02E35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Effect of coenzyme q10 supplementation on fatigue: a systematic review of interventional studiesa</w:t>
            </w:r>
          </w:p>
        </w:tc>
        <w:tc>
          <w:tcPr>
            <w:tcW w:w="3544" w:type="dxa"/>
            <w:shd w:val="clear" w:color="auto" w:fill="auto"/>
            <w:noWrap/>
          </w:tcPr>
          <w:p w14:paraId="0BD792F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arman, arab</w:t>
            </w:r>
          </w:p>
        </w:tc>
        <w:tc>
          <w:tcPr>
            <w:tcW w:w="567" w:type="dxa"/>
            <w:shd w:val="clear" w:color="auto" w:fill="auto"/>
            <w:noWrap/>
          </w:tcPr>
          <w:p w14:paraId="682EB159" w14:textId="76E58209" w:rsidR="000256D8" w:rsidRPr="00D518FF" w:rsidRDefault="000256D8" w:rsidP="000256D8">
            <w:pPr>
              <w:rPr>
                <w:rFonts w:ascii="Aptos" w:hAnsi="Aptos"/>
                <w:color w:val="000000"/>
                <w:sz w:val="16"/>
                <w:szCs w:val="16"/>
              </w:rPr>
            </w:pPr>
            <w:r>
              <w:rPr>
                <w:rFonts w:ascii="Aptos" w:hAnsi="Aptos"/>
                <w:color w:val="000000"/>
                <w:sz w:val="16"/>
                <w:szCs w:val="16"/>
              </w:rPr>
              <w:t>2018</w:t>
            </w:r>
          </w:p>
        </w:tc>
        <w:tc>
          <w:tcPr>
            <w:tcW w:w="1169" w:type="dxa"/>
            <w:shd w:val="clear" w:color="auto" w:fill="auto"/>
            <w:noWrap/>
          </w:tcPr>
          <w:p w14:paraId="6E88D047" w14:textId="62AAC844" w:rsidR="000256D8" w:rsidRPr="00D518FF" w:rsidRDefault="000256D8" w:rsidP="000256D8">
            <w:pPr>
              <w:rPr>
                <w:rFonts w:ascii="Aptos" w:hAnsi="Aptos"/>
                <w:color w:val="000000"/>
                <w:sz w:val="16"/>
                <w:szCs w:val="16"/>
              </w:rPr>
            </w:pPr>
            <w:r>
              <w:rPr>
                <w:rFonts w:ascii="Aptos" w:hAnsi="Aptos"/>
                <w:color w:val="000000"/>
                <w:sz w:val="16"/>
                <w:szCs w:val="16"/>
              </w:rPr>
              <w:t>PROSPERO</w:t>
            </w:r>
          </w:p>
        </w:tc>
        <w:tc>
          <w:tcPr>
            <w:tcW w:w="815" w:type="dxa"/>
            <w:shd w:val="clear" w:color="auto" w:fill="auto"/>
          </w:tcPr>
          <w:p w14:paraId="6256A16F" w14:textId="4478C7B0" w:rsidR="000256D8" w:rsidRPr="00D518FF" w:rsidRDefault="000256D8" w:rsidP="000256D8">
            <w:pPr>
              <w:rPr>
                <w:rFonts w:ascii="Aptos" w:hAnsi="Aptos"/>
                <w:color w:val="000000"/>
                <w:sz w:val="16"/>
                <w:szCs w:val="16"/>
              </w:rPr>
            </w:pPr>
            <w:r>
              <w:rPr>
                <w:rFonts w:ascii="Aptos" w:hAnsi="Aptos"/>
                <w:color w:val="000000"/>
                <w:sz w:val="16"/>
                <w:szCs w:val="16"/>
              </w:rPr>
              <w:t>-</w:t>
            </w:r>
          </w:p>
        </w:tc>
        <w:tc>
          <w:tcPr>
            <w:tcW w:w="709" w:type="dxa"/>
            <w:shd w:val="clear" w:color="auto" w:fill="auto"/>
            <w:noWrap/>
          </w:tcPr>
          <w:p w14:paraId="307C1410" w14:textId="68918706" w:rsidR="000256D8" w:rsidRPr="00D518FF" w:rsidRDefault="000256D8" w:rsidP="000256D8">
            <w:pPr>
              <w:rPr>
                <w:rFonts w:ascii="Aptos" w:hAnsi="Aptos"/>
                <w:color w:val="000000"/>
                <w:sz w:val="16"/>
                <w:szCs w:val="16"/>
              </w:rPr>
            </w:pPr>
            <w:r>
              <w:rPr>
                <w:rFonts w:ascii="Aptos" w:hAnsi="Aptos"/>
                <w:color w:val="000000"/>
                <w:sz w:val="16"/>
                <w:szCs w:val="16"/>
              </w:rPr>
              <w:t>-</w:t>
            </w:r>
          </w:p>
        </w:tc>
        <w:tc>
          <w:tcPr>
            <w:tcW w:w="1343" w:type="dxa"/>
            <w:shd w:val="clear" w:color="auto" w:fill="auto"/>
            <w:noWrap/>
          </w:tcPr>
          <w:p w14:paraId="231A8381" w14:textId="04609984" w:rsidR="000256D8" w:rsidRPr="00D518FF" w:rsidRDefault="000256D8" w:rsidP="000256D8">
            <w:pPr>
              <w:rPr>
                <w:rFonts w:ascii="Aptos" w:hAnsi="Aptos"/>
                <w:color w:val="000000"/>
                <w:sz w:val="16"/>
                <w:szCs w:val="16"/>
              </w:rPr>
            </w:pPr>
            <w:r w:rsidRPr="00720CCE">
              <w:rPr>
                <w:rFonts w:ascii="Aptos" w:hAnsi="Aptos"/>
                <w:color w:val="000000"/>
                <w:sz w:val="16"/>
                <w:szCs w:val="16"/>
              </w:rPr>
              <w:t>CRD42018096638</w:t>
            </w:r>
          </w:p>
        </w:tc>
        <w:tc>
          <w:tcPr>
            <w:tcW w:w="1917" w:type="dxa"/>
            <w:shd w:val="clear" w:color="auto" w:fill="auto"/>
          </w:tcPr>
          <w:p w14:paraId="4B33AF9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patient population</w:t>
            </w:r>
          </w:p>
        </w:tc>
      </w:tr>
    </w:tbl>
    <w:p w14:paraId="0C98A576" w14:textId="77777777" w:rsidR="008F3151" w:rsidRPr="00D518FF" w:rsidRDefault="008F3151" w:rsidP="008F3151">
      <w:pPr>
        <w:rPr>
          <w:rFonts w:ascii="Aptos" w:hAnsi="Aptos"/>
          <w:b/>
          <w:bCs/>
          <w:color w:val="000000" w:themeColor="text1"/>
          <w:sz w:val="20"/>
          <w:szCs w:val="20"/>
        </w:rPr>
      </w:pPr>
    </w:p>
    <w:p w14:paraId="1BD78115" w14:textId="7E8F88F4" w:rsidR="001042C2" w:rsidRPr="004C6AA1" w:rsidRDefault="001042C2" w:rsidP="004C6AA1">
      <w:pPr>
        <w:pStyle w:val="Caption"/>
        <w:spacing w:before="240"/>
        <w:rPr>
          <w:rFonts w:ascii="Aptos" w:hAnsi="Aptos"/>
        </w:rPr>
      </w:pPr>
      <w:bookmarkStart w:id="122" w:name="_Toc185254537"/>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10</w:t>
      </w:r>
      <w:r w:rsidR="00DC4767" w:rsidRPr="004C6AA1">
        <w:rPr>
          <w:rFonts w:ascii="Aptos" w:hAnsi="Aptos"/>
        </w:rPr>
        <w:fldChar w:fldCharType="end"/>
      </w:r>
      <w:r w:rsidRPr="004C6AA1">
        <w:rPr>
          <w:rFonts w:ascii="Aptos" w:hAnsi="Aptos"/>
        </w:rPr>
        <w:t xml:space="preserve">. </w:t>
      </w:r>
      <w:r w:rsidRPr="00D518FF">
        <w:rPr>
          <w:rFonts w:ascii="Aptos" w:hAnsi="Aptos"/>
        </w:rPr>
        <w:t>Excluded reviews, reason for exclusion – Headache and migraine, magnesium</w:t>
      </w:r>
      <w:r>
        <w:rPr>
          <w:rFonts w:ascii="Aptos" w:hAnsi="Aptos"/>
        </w:rPr>
        <w:t>.</w:t>
      </w:r>
      <w:bookmarkEnd w:id="122"/>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248"/>
        <w:gridCol w:w="3544"/>
        <w:gridCol w:w="567"/>
        <w:gridCol w:w="1371"/>
        <w:gridCol w:w="755"/>
        <w:gridCol w:w="709"/>
        <w:gridCol w:w="819"/>
        <w:gridCol w:w="2299"/>
      </w:tblGrid>
      <w:tr w:rsidR="004C6AA1" w:rsidRPr="00D518FF" w14:paraId="66A631F4" w14:textId="77777777" w:rsidTr="004C6AA1">
        <w:trPr>
          <w:trHeight w:val="35"/>
        </w:trPr>
        <w:tc>
          <w:tcPr>
            <w:tcW w:w="4248" w:type="dxa"/>
            <w:shd w:val="clear" w:color="auto" w:fill="D9D9D9" w:themeFill="background1" w:themeFillShade="D9"/>
            <w:noWrap/>
            <w:hideMark/>
          </w:tcPr>
          <w:p w14:paraId="274BF4CD"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Title</w:t>
            </w:r>
          </w:p>
        </w:tc>
        <w:tc>
          <w:tcPr>
            <w:tcW w:w="3544" w:type="dxa"/>
            <w:shd w:val="clear" w:color="auto" w:fill="D9D9D9" w:themeFill="background1" w:themeFillShade="D9"/>
            <w:noWrap/>
            <w:hideMark/>
          </w:tcPr>
          <w:p w14:paraId="27FB133F"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Authors</w:t>
            </w:r>
          </w:p>
        </w:tc>
        <w:tc>
          <w:tcPr>
            <w:tcW w:w="567" w:type="dxa"/>
            <w:shd w:val="clear" w:color="auto" w:fill="D9D9D9" w:themeFill="background1" w:themeFillShade="D9"/>
            <w:noWrap/>
            <w:hideMark/>
          </w:tcPr>
          <w:p w14:paraId="661E2942"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Year</w:t>
            </w:r>
          </w:p>
        </w:tc>
        <w:tc>
          <w:tcPr>
            <w:tcW w:w="1371" w:type="dxa"/>
            <w:shd w:val="clear" w:color="auto" w:fill="D9D9D9" w:themeFill="background1" w:themeFillShade="D9"/>
            <w:noWrap/>
            <w:hideMark/>
          </w:tcPr>
          <w:p w14:paraId="2E21ACDB"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Journal</w:t>
            </w:r>
          </w:p>
        </w:tc>
        <w:tc>
          <w:tcPr>
            <w:tcW w:w="755" w:type="dxa"/>
            <w:shd w:val="clear" w:color="auto" w:fill="D9D9D9" w:themeFill="background1" w:themeFillShade="D9"/>
            <w:noWrap/>
            <w:hideMark/>
          </w:tcPr>
          <w:p w14:paraId="5CF12C44"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Volume</w:t>
            </w:r>
          </w:p>
        </w:tc>
        <w:tc>
          <w:tcPr>
            <w:tcW w:w="709" w:type="dxa"/>
            <w:shd w:val="clear" w:color="auto" w:fill="D9D9D9" w:themeFill="background1" w:themeFillShade="D9"/>
            <w:noWrap/>
            <w:hideMark/>
          </w:tcPr>
          <w:p w14:paraId="2B3C1D52"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Issue</w:t>
            </w:r>
          </w:p>
        </w:tc>
        <w:tc>
          <w:tcPr>
            <w:tcW w:w="819" w:type="dxa"/>
            <w:shd w:val="clear" w:color="auto" w:fill="D9D9D9" w:themeFill="background1" w:themeFillShade="D9"/>
            <w:noWrap/>
            <w:hideMark/>
          </w:tcPr>
          <w:p w14:paraId="3C3DACDA" w14:textId="77777777" w:rsidR="000256D8" w:rsidRPr="00D518FF" w:rsidRDefault="000256D8" w:rsidP="000256D8">
            <w:pPr>
              <w:rPr>
                <w:rFonts w:ascii="Aptos" w:hAnsi="Aptos"/>
                <w:b/>
                <w:bCs/>
                <w:color w:val="000000"/>
                <w:sz w:val="16"/>
                <w:szCs w:val="16"/>
              </w:rPr>
            </w:pPr>
            <w:r w:rsidRPr="00D518FF">
              <w:rPr>
                <w:rFonts w:ascii="Aptos" w:hAnsi="Aptos"/>
                <w:b/>
                <w:bCs/>
                <w:color w:val="000000"/>
                <w:sz w:val="16"/>
                <w:szCs w:val="16"/>
              </w:rPr>
              <w:t>Pages</w:t>
            </w:r>
          </w:p>
        </w:tc>
        <w:tc>
          <w:tcPr>
            <w:tcW w:w="2299" w:type="dxa"/>
            <w:shd w:val="clear" w:color="auto" w:fill="D9D9D9" w:themeFill="background1" w:themeFillShade="D9"/>
            <w:noWrap/>
            <w:hideMark/>
          </w:tcPr>
          <w:p w14:paraId="251D0DC6" w14:textId="45653F80" w:rsidR="000256D8" w:rsidRPr="00D518FF" w:rsidRDefault="000256D8" w:rsidP="000256D8">
            <w:pPr>
              <w:rPr>
                <w:rFonts w:ascii="Aptos" w:hAnsi="Aptos"/>
                <w:b/>
                <w:bCs/>
                <w:color w:val="000000"/>
                <w:sz w:val="16"/>
                <w:szCs w:val="16"/>
              </w:rPr>
            </w:pPr>
            <w:r w:rsidRPr="00D518FF">
              <w:rPr>
                <w:rFonts w:ascii="Aptos" w:hAnsi="Aptos" w:cs="Arial"/>
                <w:b/>
                <w:bCs/>
                <w:sz w:val="16"/>
                <w:szCs w:val="16"/>
              </w:rPr>
              <w:t>Exclusion reason</w:t>
            </w:r>
          </w:p>
        </w:tc>
      </w:tr>
      <w:tr w:rsidR="000256D8" w:rsidRPr="00D518FF" w14:paraId="31F55D93" w14:textId="77777777" w:rsidTr="004C6AA1">
        <w:trPr>
          <w:trHeight w:val="320"/>
        </w:trPr>
        <w:tc>
          <w:tcPr>
            <w:tcW w:w="4248" w:type="dxa"/>
            <w:shd w:val="clear" w:color="auto" w:fill="auto"/>
            <w:noWrap/>
            <w:hideMark/>
          </w:tcPr>
          <w:p w14:paraId="10D7535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Evidence-based guideline update: NSAIDs and other complementary treatments for episodic migraine prevention in adults Report of the quality standards subcommittee of the american academy of neurology and the American headache society</w:t>
            </w:r>
          </w:p>
        </w:tc>
        <w:tc>
          <w:tcPr>
            <w:tcW w:w="3544" w:type="dxa"/>
            <w:shd w:val="clear" w:color="auto" w:fill="auto"/>
            <w:noWrap/>
            <w:hideMark/>
          </w:tcPr>
          <w:p w14:paraId="2FA58B3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Holland, S.; Silberstein, S. D.; Freitag, F.; Dodick, D. W.; Argoff, C.; Ashman, E.</w:t>
            </w:r>
          </w:p>
        </w:tc>
        <w:tc>
          <w:tcPr>
            <w:tcW w:w="567" w:type="dxa"/>
            <w:shd w:val="clear" w:color="auto" w:fill="auto"/>
            <w:noWrap/>
            <w:hideMark/>
          </w:tcPr>
          <w:p w14:paraId="7CDBCAC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2012</w:t>
            </w:r>
          </w:p>
        </w:tc>
        <w:tc>
          <w:tcPr>
            <w:tcW w:w="1371" w:type="dxa"/>
            <w:shd w:val="clear" w:color="auto" w:fill="auto"/>
            <w:noWrap/>
            <w:hideMark/>
          </w:tcPr>
          <w:p w14:paraId="16FEF46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Neurology</w:t>
            </w:r>
          </w:p>
        </w:tc>
        <w:tc>
          <w:tcPr>
            <w:tcW w:w="755" w:type="dxa"/>
            <w:shd w:val="clear" w:color="auto" w:fill="auto"/>
            <w:noWrap/>
            <w:hideMark/>
          </w:tcPr>
          <w:p w14:paraId="4DF40C6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78</w:t>
            </w:r>
          </w:p>
        </w:tc>
        <w:tc>
          <w:tcPr>
            <w:tcW w:w="709" w:type="dxa"/>
            <w:shd w:val="clear" w:color="auto" w:fill="auto"/>
            <w:noWrap/>
            <w:hideMark/>
          </w:tcPr>
          <w:p w14:paraId="268BDF1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17</w:t>
            </w:r>
          </w:p>
        </w:tc>
        <w:tc>
          <w:tcPr>
            <w:tcW w:w="819" w:type="dxa"/>
            <w:shd w:val="clear" w:color="auto" w:fill="auto"/>
            <w:noWrap/>
            <w:hideMark/>
          </w:tcPr>
          <w:p w14:paraId="5EF99CB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1346-1353</w:t>
            </w:r>
          </w:p>
        </w:tc>
        <w:tc>
          <w:tcPr>
            <w:tcW w:w="2299" w:type="dxa"/>
            <w:shd w:val="clear" w:color="auto" w:fill="auto"/>
            <w:noWrap/>
            <w:hideMark/>
          </w:tcPr>
          <w:p w14:paraId="28FDF6E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165C9137" w14:textId="77777777" w:rsidTr="004C6AA1">
        <w:trPr>
          <w:trHeight w:val="320"/>
        </w:trPr>
        <w:tc>
          <w:tcPr>
            <w:tcW w:w="4248" w:type="dxa"/>
            <w:shd w:val="clear" w:color="auto" w:fill="auto"/>
            <w:noWrap/>
            <w:hideMark/>
          </w:tcPr>
          <w:p w14:paraId="2D13949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The acute treatment of migraine in adults: The american headache society evidence assessment of migraine pharmacotherapies</w:t>
            </w:r>
          </w:p>
        </w:tc>
        <w:tc>
          <w:tcPr>
            <w:tcW w:w="3544" w:type="dxa"/>
            <w:shd w:val="clear" w:color="auto" w:fill="auto"/>
            <w:noWrap/>
            <w:hideMark/>
          </w:tcPr>
          <w:p w14:paraId="6338239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Marmura, M. J.; Silberstein, S. D.; Schwedt, T. J.</w:t>
            </w:r>
          </w:p>
        </w:tc>
        <w:tc>
          <w:tcPr>
            <w:tcW w:w="567" w:type="dxa"/>
            <w:shd w:val="clear" w:color="auto" w:fill="auto"/>
            <w:noWrap/>
            <w:hideMark/>
          </w:tcPr>
          <w:p w14:paraId="7BB9732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2015</w:t>
            </w:r>
          </w:p>
        </w:tc>
        <w:tc>
          <w:tcPr>
            <w:tcW w:w="1371" w:type="dxa"/>
            <w:shd w:val="clear" w:color="auto" w:fill="auto"/>
            <w:noWrap/>
            <w:hideMark/>
          </w:tcPr>
          <w:p w14:paraId="1483743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Headache</w:t>
            </w:r>
          </w:p>
        </w:tc>
        <w:tc>
          <w:tcPr>
            <w:tcW w:w="755" w:type="dxa"/>
            <w:shd w:val="clear" w:color="auto" w:fill="auto"/>
            <w:noWrap/>
            <w:hideMark/>
          </w:tcPr>
          <w:p w14:paraId="120E1BC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55</w:t>
            </w:r>
          </w:p>
        </w:tc>
        <w:tc>
          <w:tcPr>
            <w:tcW w:w="709" w:type="dxa"/>
            <w:shd w:val="clear" w:color="auto" w:fill="auto"/>
            <w:noWrap/>
            <w:hideMark/>
          </w:tcPr>
          <w:p w14:paraId="424B705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w:t>
            </w:r>
          </w:p>
        </w:tc>
        <w:tc>
          <w:tcPr>
            <w:tcW w:w="819" w:type="dxa"/>
            <w:shd w:val="clear" w:color="auto" w:fill="auto"/>
            <w:noWrap/>
            <w:hideMark/>
          </w:tcPr>
          <w:p w14:paraId="6320858D" w14:textId="629057D3" w:rsidR="000256D8" w:rsidRPr="00D518FF" w:rsidRDefault="000256D8" w:rsidP="000256D8">
            <w:pPr>
              <w:rPr>
                <w:rFonts w:ascii="Aptos" w:hAnsi="Aptos"/>
                <w:color w:val="000000"/>
                <w:sz w:val="16"/>
                <w:szCs w:val="16"/>
              </w:rPr>
            </w:pPr>
            <w:r>
              <w:rPr>
                <w:rFonts w:ascii="Aptos" w:hAnsi="Aptos"/>
                <w:color w:val="000000"/>
                <w:sz w:val="16"/>
                <w:szCs w:val="16"/>
              </w:rPr>
              <w:t>3</w:t>
            </w:r>
            <w:r w:rsidRPr="00D518FF">
              <w:rPr>
                <w:rFonts w:ascii="Aptos" w:hAnsi="Aptos"/>
                <w:color w:val="000000"/>
                <w:sz w:val="16"/>
                <w:szCs w:val="16"/>
              </w:rPr>
              <w:t>-20</w:t>
            </w:r>
          </w:p>
        </w:tc>
        <w:tc>
          <w:tcPr>
            <w:tcW w:w="2299" w:type="dxa"/>
            <w:shd w:val="clear" w:color="auto" w:fill="auto"/>
            <w:noWrap/>
            <w:hideMark/>
          </w:tcPr>
          <w:p w14:paraId="71B05FE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intervention</w:t>
            </w:r>
          </w:p>
        </w:tc>
      </w:tr>
      <w:tr w:rsidR="000256D8" w:rsidRPr="00D518FF" w14:paraId="5DF9D33D" w14:textId="77777777" w:rsidTr="004C6AA1">
        <w:trPr>
          <w:trHeight w:val="320"/>
        </w:trPr>
        <w:tc>
          <w:tcPr>
            <w:tcW w:w="4248" w:type="dxa"/>
            <w:shd w:val="clear" w:color="auto" w:fill="auto"/>
            <w:noWrap/>
          </w:tcPr>
          <w:p w14:paraId="783BB28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lastRenderedPageBreak/>
              <w:t>Management of primary headaches during pregnancy, postpartum, and breastfeeding: A systematic review</w:t>
            </w:r>
          </w:p>
          <w:p w14:paraId="253D1D85" w14:textId="77777777" w:rsidR="000256D8" w:rsidRPr="00D518FF" w:rsidRDefault="000256D8" w:rsidP="000256D8">
            <w:pPr>
              <w:rPr>
                <w:rFonts w:ascii="Aptos" w:hAnsi="Aptos"/>
                <w:color w:val="000000"/>
                <w:sz w:val="16"/>
                <w:szCs w:val="16"/>
              </w:rPr>
            </w:pPr>
          </w:p>
          <w:p w14:paraId="34A23296" w14:textId="77777777" w:rsidR="000256D8" w:rsidRPr="00D518FF" w:rsidRDefault="000256D8" w:rsidP="000256D8">
            <w:pPr>
              <w:rPr>
                <w:rFonts w:ascii="Aptos" w:hAnsi="Aptos"/>
                <w:color w:val="000000"/>
                <w:sz w:val="16"/>
                <w:szCs w:val="16"/>
              </w:rPr>
            </w:pPr>
          </w:p>
        </w:tc>
        <w:tc>
          <w:tcPr>
            <w:tcW w:w="3544" w:type="dxa"/>
            <w:shd w:val="clear" w:color="auto" w:fill="auto"/>
            <w:noWrap/>
          </w:tcPr>
          <w:p w14:paraId="4D7B71F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Saldanha, I. J.; Cao, W.; Bhuma, M. R.; Konnyu, K. J.; Adam, G. P.; Mehta, S.; Zullo, A. R.; Chen, K. K.; Roth, J. L.; Balk, E. M.</w:t>
            </w:r>
          </w:p>
          <w:p w14:paraId="13D009E4" w14:textId="77777777" w:rsidR="000256D8" w:rsidRPr="00D518FF" w:rsidRDefault="000256D8" w:rsidP="000256D8">
            <w:pPr>
              <w:rPr>
                <w:rFonts w:ascii="Aptos" w:hAnsi="Aptos"/>
                <w:color w:val="000000"/>
                <w:sz w:val="16"/>
                <w:szCs w:val="16"/>
              </w:rPr>
            </w:pPr>
          </w:p>
        </w:tc>
        <w:tc>
          <w:tcPr>
            <w:tcW w:w="567" w:type="dxa"/>
            <w:shd w:val="clear" w:color="auto" w:fill="auto"/>
            <w:noWrap/>
          </w:tcPr>
          <w:p w14:paraId="2F183EA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2021</w:t>
            </w:r>
          </w:p>
        </w:tc>
        <w:tc>
          <w:tcPr>
            <w:tcW w:w="1371" w:type="dxa"/>
            <w:shd w:val="clear" w:color="auto" w:fill="auto"/>
            <w:noWrap/>
          </w:tcPr>
          <w:p w14:paraId="502869C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Headache</w:t>
            </w:r>
          </w:p>
        </w:tc>
        <w:tc>
          <w:tcPr>
            <w:tcW w:w="755" w:type="dxa"/>
            <w:shd w:val="clear" w:color="auto" w:fill="auto"/>
            <w:noWrap/>
          </w:tcPr>
          <w:p w14:paraId="396FD53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61</w:t>
            </w:r>
          </w:p>
        </w:tc>
        <w:tc>
          <w:tcPr>
            <w:tcW w:w="709" w:type="dxa"/>
            <w:shd w:val="clear" w:color="auto" w:fill="auto"/>
            <w:noWrap/>
          </w:tcPr>
          <w:p w14:paraId="1253362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w:t>
            </w:r>
          </w:p>
        </w:tc>
        <w:tc>
          <w:tcPr>
            <w:tcW w:w="819" w:type="dxa"/>
            <w:shd w:val="clear" w:color="auto" w:fill="auto"/>
            <w:noWrap/>
          </w:tcPr>
          <w:p w14:paraId="1D50951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11-43</w:t>
            </w:r>
          </w:p>
        </w:tc>
        <w:tc>
          <w:tcPr>
            <w:tcW w:w="2299" w:type="dxa"/>
            <w:shd w:val="clear" w:color="auto" w:fill="auto"/>
            <w:noWrap/>
          </w:tcPr>
          <w:p w14:paraId="3773511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outcomes</w:t>
            </w:r>
          </w:p>
        </w:tc>
      </w:tr>
      <w:tr w:rsidR="000256D8" w:rsidRPr="00D518FF" w14:paraId="5F9C730F" w14:textId="77777777" w:rsidTr="00887C84">
        <w:trPr>
          <w:trHeight w:val="320"/>
        </w:trPr>
        <w:tc>
          <w:tcPr>
            <w:tcW w:w="4248" w:type="dxa"/>
            <w:shd w:val="clear" w:color="auto" w:fill="auto"/>
            <w:noWrap/>
          </w:tcPr>
          <w:p w14:paraId="5429B1B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Acute Treatments for Episodic Migraine</w:t>
            </w:r>
          </w:p>
          <w:p w14:paraId="5E946CAF" w14:textId="77777777" w:rsidR="000256D8" w:rsidRPr="00D518FF" w:rsidRDefault="000256D8" w:rsidP="000256D8">
            <w:pPr>
              <w:rPr>
                <w:rFonts w:ascii="Aptos" w:hAnsi="Aptos"/>
                <w:color w:val="000000"/>
                <w:sz w:val="16"/>
                <w:szCs w:val="16"/>
              </w:rPr>
            </w:pPr>
          </w:p>
          <w:p w14:paraId="7F1A6B48" w14:textId="77777777" w:rsidR="000256D8" w:rsidRPr="00D518FF" w:rsidRDefault="000256D8" w:rsidP="000256D8">
            <w:pPr>
              <w:rPr>
                <w:rFonts w:ascii="Aptos" w:hAnsi="Aptos"/>
                <w:color w:val="000000"/>
                <w:sz w:val="16"/>
                <w:szCs w:val="16"/>
              </w:rPr>
            </w:pPr>
          </w:p>
        </w:tc>
        <w:tc>
          <w:tcPr>
            <w:tcW w:w="3544" w:type="dxa"/>
            <w:shd w:val="clear" w:color="auto" w:fill="auto"/>
            <w:noWrap/>
          </w:tcPr>
          <w:p w14:paraId="3392B71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Singh, R. B. H.; VanderPluym, J. H.; Morrow, A. S.; Urtecho, M.; Nayfeh, T.; Roldan, V. D. T.; Farah, M. H.; Hasan, B.; Saadi, S.; Shah, S.; Abd-Rabu, R.; Daraz, L.; Prokop, L. J.; Murad, M. H.; Wang, Z.</w:t>
            </w:r>
          </w:p>
        </w:tc>
        <w:tc>
          <w:tcPr>
            <w:tcW w:w="567" w:type="dxa"/>
            <w:shd w:val="clear" w:color="auto" w:fill="auto"/>
            <w:noWrap/>
          </w:tcPr>
          <w:p w14:paraId="1E86089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2020</w:t>
            </w:r>
          </w:p>
        </w:tc>
        <w:tc>
          <w:tcPr>
            <w:tcW w:w="1371" w:type="dxa"/>
            <w:shd w:val="clear" w:color="auto" w:fill="auto"/>
            <w:noWrap/>
          </w:tcPr>
          <w:p w14:paraId="1703E3D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AHRQ Comparative Effectiveness Reviews </w:t>
            </w:r>
          </w:p>
        </w:tc>
        <w:tc>
          <w:tcPr>
            <w:tcW w:w="755" w:type="dxa"/>
            <w:shd w:val="clear" w:color="auto" w:fill="auto"/>
            <w:noWrap/>
          </w:tcPr>
          <w:p w14:paraId="0B48934A" w14:textId="5EAA6DAC" w:rsidR="000256D8" w:rsidRPr="00D518FF" w:rsidRDefault="000256D8" w:rsidP="000256D8">
            <w:pPr>
              <w:rPr>
                <w:rFonts w:ascii="Aptos" w:hAnsi="Aptos"/>
                <w:color w:val="000000"/>
                <w:sz w:val="16"/>
                <w:szCs w:val="16"/>
              </w:rPr>
            </w:pPr>
            <w:r>
              <w:rPr>
                <w:rFonts w:ascii="Aptos" w:hAnsi="Aptos"/>
                <w:color w:val="000000"/>
                <w:sz w:val="16"/>
                <w:szCs w:val="16"/>
              </w:rPr>
              <w:t>239</w:t>
            </w:r>
          </w:p>
        </w:tc>
        <w:tc>
          <w:tcPr>
            <w:tcW w:w="709" w:type="dxa"/>
            <w:shd w:val="clear" w:color="auto" w:fill="auto"/>
            <w:noWrap/>
          </w:tcPr>
          <w:p w14:paraId="7A472BBC" w14:textId="4813FCC3" w:rsidR="000256D8" w:rsidRPr="00D518FF" w:rsidRDefault="000256D8" w:rsidP="000256D8">
            <w:pPr>
              <w:rPr>
                <w:rFonts w:ascii="Aptos" w:hAnsi="Aptos"/>
                <w:color w:val="000000"/>
                <w:sz w:val="16"/>
                <w:szCs w:val="16"/>
              </w:rPr>
            </w:pPr>
            <w:r>
              <w:rPr>
                <w:rFonts w:ascii="Aptos" w:hAnsi="Aptos"/>
                <w:color w:val="000000"/>
                <w:sz w:val="16"/>
                <w:szCs w:val="16"/>
              </w:rPr>
              <w:t>-</w:t>
            </w:r>
          </w:p>
        </w:tc>
        <w:tc>
          <w:tcPr>
            <w:tcW w:w="819" w:type="dxa"/>
            <w:shd w:val="clear" w:color="auto" w:fill="auto"/>
            <w:noWrap/>
          </w:tcPr>
          <w:p w14:paraId="1765D1CC" w14:textId="16147CA9" w:rsidR="000256D8" w:rsidRPr="00D518FF" w:rsidRDefault="000256D8" w:rsidP="000256D8">
            <w:pPr>
              <w:rPr>
                <w:rFonts w:ascii="Aptos" w:hAnsi="Aptos"/>
                <w:color w:val="000000"/>
                <w:sz w:val="16"/>
                <w:szCs w:val="16"/>
              </w:rPr>
            </w:pPr>
            <w:r>
              <w:rPr>
                <w:rFonts w:ascii="Aptos" w:hAnsi="Aptos"/>
                <w:color w:val="000000"/>
                <w:sz w:val="16"/>
                <w:szCs w:val="16"/>
              </w:rPr>
              <w:t>-</w:t>
            </w:r>
          </w:p>
        </w:tc>
        <w:tc>
          <w:tcPr>
            <w:tcW w:w="2299" w:type="dxa"/>
            <w:shd w:val="clear" w:color="auto" w:fill="auto"/>
            <w:noWrap/>
          </w:tcPr>
          <w:p w14:paraId="382E346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intervention</w:t>
            </w:r>
          </w:p>
        </w:tc>
      </w:tr>
      <w:tr w:rsidR="000256D8" w:rsidRPr="00D518FF" w14:paraId="317AC482" w14:textId="77777777" w:rsidTr="004C6AA1">
        <w:trPr>
          <w:trHeight w:val="320"/>
        </w:trPr>
        <w:tc>
          <w:tcPr>
            <w:tcW w:w="4248" w:type="dxa"/>
            <w:shd w:val="clear" w:color="auto" w:fill="auto"/>
            <w:noWrap/>
            <w:hideMark/>
          </w:tcPr>
          <w:p w14:paraId="0FF6F00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Complementary and integrative medicine in the management of headache</w:t>
            </w:r>
          </w:p>
        </w:tc>
        <w:tc>
          <w:tcPr>
            <w:tcW w:w="3544" w:type="dxa"/>
            <w:shd w:val="clear" w:color="auto" w:fill="auto"/>
            <w:noWrap/>
            <w:hideMark/>
          </w:tcPr>
          <w:p w14:paraId="0F62ED6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Millstine, D.; Chen, C. Y.; Bauer, B.</w:t>
            </w:r>
          </w:p>
        </w:tc>
        <w:tc>
          <w:tcPr>
            <w:tcW w:w="567" w:type="dxa"/>
            <w:shd w:val="clear" w:color="auto" w:fill="auto"/>
            <w:noWrap/>
            <w:hideMark/>
          </w:tcPr>
          <w:p w14:paraId="613A260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2017</w:t>
            </w:r>
          </w:p>
        </w:tc>
        <w:tc>
          <w:tcPr>
            <w:tcW w:w="1371" w:type="dxa"/>
            <w:shd w:val="clear" w:color="auto" w:fill="auto"/>
            <w:noWrap/>
            <w:hideMark/>
          </w:tcPr>
          <w:p w14:paraId="0ED137A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BMJ (Online)</w:t>
            </w:r>
          </w:p>
        </w:tc>
        <w:tc>
          <w:tcPr>
            <w:tcW w:w="755" w:type="dxa"/>
            <w:shd w:val="clear" w:color="auto" w:fill="auto"/>
            <w:noWrap/>
            <w:hideMark/>
          </w:tcPr>
          <w:p w14:paraId="0B4FDC9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357</w:t>
            </w:r>
          </w:p>
        </w:tc>
        <w:tc>
          <w:tcPr>
            <w:tcW w:w="709" w:type="dxa"/>
            <w:shd w:val="clear" w:color="auto" w:fill="auto"/>
            <w:noWrap/>
            <w:hideMark/>
          </w:tcPr>
          <w:p w14:paraId="11CED3DE" w14:textId="77777777" w:rsidR="000256D8" w:rsidRPr="00D518FF" w:rsidRDefault="000256D8" w:rsidP="000256D8">
            <w:pPr>
              <w:rPr>
                <w:rFonts w:ascii="Aptos" w:hAnsi="Aptos"/>
                <w:color w:val="000000"/>
                <w:sz w:val="16"/>
                <w:szCs w:val="16"/>
              </w:rPr>
            </w:pPr>
          </w:p>
        </w:tc>
        <w:tc>
          <w:tcPr>
            <w:tcW w:w="819" w:type="dxa"/>
            <w:shd w:val="clear" w:color="auto" w:fill="auto"/>
            <w:noWrap/>
            <w:hideMark/>
          </w:tcPr>
          <w:p w14:paraId="46A2AFE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j1805</w:t>
            </w:r>
          </w:p>
        </w:tc>
        <w:tc>
          <w:tcPr>
            <w:tcW w:w="2299" w:type="dxa"/>
            <w:shd w:val="clear" w:color="auto" w:fill="auto"/>
            <w:noWrap/>
            <w:hideMark/>
          </w:tcPr>
          <w:p w14:paraId="6A43435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study type</w:t>
            </w:r>
          </w:p>
        </w:tc>
      </w:tr>
      <w:tr w:rsidR="000256D8" w:rsidRPr="00D518FF" w14:paraId="53C4DFEE" w14:textId="77777777" w:rsidTr="004C6AA1">
        <w:trPr>
          <w:trHeight w:val="320"/>
        </w:trPr>
        <w:tc>
          <w:tcPr>
            <w:tcW w:w="4248" w:type="dxa"/>
            <w:shd w:val="clear" w:color="auto" w:fill="auto"/>
            <w:noWrap/>
            <w:hideMark/>
          </w:tcPr>
          <w:p w14:paraId="4DD184A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Should magnesium sulfate be administered to women with mild pre-eclampsia? A systematic review of published reports on eclampsia</w:t>
            </w:r>
          </w:p>
        </w:tc>
        <w:tc>
          <w:tcPr>
            <w:tcW w:w="3544" w:type="dxa"/>
            <w:shd w:val="clear" w:color="auto" w:fill="auto"/>
            <w:noWrap/>
            <w:hideMark/>
          </w:tcPr>
          <w:p w14:paraId="79DA8A7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Berhan, Y.; Berhan, A.</w:t>
            </w:r>
          </w:p>
        </w:tc>
        <w:tc>
          <w:tcPr>
            <w:tcW w:w="567" w:type="dxa"/>
            <w:shd w:val="clear" w:color="auto" w:fill="auto"/>
            <w:noWrap/>
            <w:hideMark/>
          </w:tcPr>
          <w:p w14:paraId="4FFF50A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2015</w:t>
            </w:r>
          </w:p>
        </w:tc>
        <w:tc>
          <w:tcPr>
            <w:tcW w:w="1371" w:type="dxa"/>
            <w:shd w:val="clear" w:color="auto" w:fill="auto"/>
            <w:noWrap/>
            <w:hideMark/>
          </w:tcPr>
          <w:p w14:paraId="10C6B51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The journal of obstetrics and gynaecology research</w:t>
            </w:r>
          </w:p>
        </w:tc>
        <w:tc>
          <w:tcPr>
            <w:tcW w:w="755" w:type="dxa"/>
            <w:shd w:val="clear" w:color="auto" w:fill="auto"/>
            <w:noWrap/>
            <w:hideMark/>
          </w:tcPr>
          <w:p w14:paraId="321F298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41</w:t>
            </w:r>
          </w:p>
        </w:tc>
        <w:tc>
          <w:tcPr>
            <w:tcW w:w="709" w:type="dxa"/>
            <w:shd w:val="clear" w:color="auto" w:fill="auto"/>
            <w:noWrap/>
            <w:hideMark/>
          </w:tcPr>
          <w:p w14:paraId="7089BE0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6</w:t>
            </w:r>
          </w:p>
        </w:tc>
        <w:tc>
          <w:tcPr>
            <w:tcW w:w="819" w:type="dxa"/>
            <w:shd w:val="clear" w:color="auto" w:fill="auto"/>
            <w:noWrap/>
            <w:hideMark/>
          </w:tcPr>
          <w:p w14:paraId="6F4C923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831-42</w:t>
            </w:r>
          </w:p>
        </w:tc>
        <w:tc>
          <w:tcPr>
            <w:tcW w:w="2299" w:type="dxa"/>
            <w:shd w:val="clear" w:color="auto" w:fill="auto"/>
            <w:noWrap/>
            <w:hideMark/>
          </w:tcPr>
          <w:p w14:paraId="67917F1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3AD88CFF" w14:textId="77777777" w:rsidTr="004C6AA1">
        <w:trPr>
          <w:trHeight w:val="320"/>
        </w:trPr>
        <w:tc>
          <w:tcPr>
            <w:tcW w:w="4248" w:type="dxa"/>
            <w:shd w:val="clear" w:color="auto" w:fill="auto"/>
            <w:noWrap/>
            <w:hideMark/>
          </w:tcPr>
          <w:p w14:paraId="42CF9A1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The Efficacy of Herbal Supplements and Nutraceuticals for Prevention of Migraine: Can They Help?</w:t>
            </w:r>
          </w:p>
        </w:tc>
        <w:tc>
          <w:tcPr>
            <w:tcW w:w="3544" w:type="dxa"/>
            <w:shd w:val="clear" w:color="auto" w:fill="auto"/>
            <w:noWrap/>
            <w:hideMark/>
          </w:tcPr>
          <w:p w14:paraId="3157E62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Kaur, K.; Hernandez, V.; Al Hajaj, S. W.; Ebrahim, A. M.; Razack, M.; ElSharief, M. W.; Dragas, D.</w:t>
            </w:r>
          </w:p>
        </w:tc>
        <w:tc>
          <w:tcPr>
            <w:tcW w:w="567" w:type="dxa"/>
            <w:shd w:val="clear" w:color="auto" w:fill="auto"/>
            <w:noWrap/>
            <w:hideMark/>
          </w:tcPr>
          <w:p w14:paraId="142673E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2021</w:t>
            </w:r>
          </w:p>
        </w:tc>
        <w:tc>
          <w:tcPr>
            <w:tcW w:w="1371" w:type="dxa"/>
            <w:shd w:val="clear" w:color="auto" w:fill="auto"/>
            <w:noWrap/>
            <w:hideMark/>
          </w:tcPr>
          <w:p w14:paraId="2238AB0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Cureus</w:t>
            </w:r>
          </w:p>
        </w:tc>
        <w:tc>
          <w:tcPr>
            <w:tcW w:w="755" w:type="dxa"/>
            <w:shd w:val="clear" w:color="auto" w:fill="auto"/>
            <w:noWrap/>
            <w:hideMark/>
          </w:tcPr>
          <w:p w14:paraId="7304E92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13</w:t>
            </w:r>
          </w:p>
        </w:tc>
        <w:tc>
          <w:tcPr>
            <w:tcW w:w="709" w:type="dxa"/>
            <w:shd w:val="clear" w:color="auto" w:fill="auto"/>
            <w:noWrap/>
            <w:hideMark/>
          </w:tcPr>
          <w:p w14:paraId="1E725CC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5</w:t>
            </w:r>
          </w:p>
        </w:tc>
        <w:tc>
          <w:tcPr>
            <w:tcW w:w="819" w:type="dxa"/>
            <w:shd w:val="clear" w:color="auto" w:fill="auto"/>
            <w:noWrap/>
            <w:hideMark/>
          </w:tcPr>
          <w:p w14:paraId="245F359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e14868</w:t>
            </w:r>
          </w:p>
        </w:tc>
        <w:tc>
          <w:tcPr>
            <w:tcW w:w="2299" w:type="dxa"/>
            <w:shd w:val="clear" w:color="auto" w:fill="auto"/>
            <w:noWrap/>
            <w:hideMark/>
          </w:tcPr>
          <w:p w14:paraId="7398754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60EA56DA" w14:textId="77777777" w:rsidTr="004C6AA1">
        <w:trPr>
          <w:trHeight w:val="320"/>
        </w:trPr>
        <w:tc>
          <w:tcPr>
            <w:tcW w:w="4248" w:type="dxa"/>
            <w:shd w:val="clear" w:color="auto" w:fill="auto"/>
            <w:noWrap/>
            <w:hideMark/>
          </w:tcPr>
          <w:p w14:paraId="20A5E8E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Menstrual Migraine and Treatment Options: Review</w:t>
            </w:r>
          </w:p>
        </w:tc>
        <w:tc>
          <w:tcPr>
            <w:tcW w:w="3544" w:type="dxa"/>
            <w:shd w:val="clear" w:color="auto" w:fill="auto"/>
            <w:noWrap/>
            <w:hideMark/>
          </w:tcPr>
          <w:p w14:paraId="17E3DC3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Maasumi, K.; Tepper, S. J.; Kriegler, J. S.</w:t>
            </w:r>
          </w:p>
        </w:tc>
        <w:tc>
          <w:tcPr>
            <w:tcW w:w="567" w:type="dxa"/>
            <w:shd w:val="clear" w:color="auto" w:fill="auto"/>
            <w:noWrap/>
            <w:hideMark/>
          </w:tcPr>
          <w:p w14:paraId="1B836FE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2017</w:t>
            </w:r>
          </w:p>
        </w:tc>
        <w:tc>
          <w:tcPr>
            <w:tcW w:w="1371" w:type="dxa"/>
            <w:shd w:val="clear" w:color="auto" w:fill="auto"/>
            <w:noWrap/>
            <w:hideMark/>
          </w:tcPr>
          <w:p w14:paraId="1C69204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Headache</w:t>
            </w:r>
          </w:p>
        </w:tc>
        <w:tc>
          <w:tcPr>
            <w:tcW w:w="755" w:type="dxa"/>
            <w:shd w:val="clear" w:color="auto" w:fill="auto"/>
            <w:noWrap/>
            <w:hideMark/>
          </w:tcPr>
          <w:p w14:paraId="0807129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57</w:t>
            </w:r>
          </w:p>
        </w:tc>
        <w:tc>
          <w:tcPr>
            <w:tcW w:w="709" w:type="dxa"/>
            <w:shd w:val="clear" w:color="auto" w:fill="auto"/>
            <w:noWrap/>
            <w:hideMark/>
          </w:tcPr>
          <w:p w14:paraId="1260EE7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w:t>
            </w:r>
          </w:p>
        </w:tc>
        <w:tc>
          <w:tcPr>
            <w:tcW w:w="819" w:type="dxa"/>
            <w:shd w:val="clear" w:color="auto" w:fill="auto"/>
            <w:noWrap/>
            <w:hideMark/>
          </w:tcPr>
          <w:p w14:paraId="2BA838B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194-208</w:t>
            </w:r>
          </w:p>
        </w:tc>
        <w:tc>
          <w:tcPr>
            <w:tcW w:w="2299" w:type="dxa"/>
            <w:shd w:val="clear" w:color="auto" w:fill="auto"/>
            <w:noWrap/>
            <w:hideMark/>
          </w:tcPr>
          <w:p w14:paraId="6F95CD1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3374F016" w14:textId="77777777" w:rsidTr="004C6AA1">
        <w:trPr>
          <w:trHeight w:val="320"/>
        </w:trPr>
        <w:tc>
          <w:tcPr>
            <w:tcW w:w="4248" w:type="dxa"/>
            <w:shd w:val="clear" w:color="auto" w:fill="auto"/>
            <w:noWrap/>
            <w:hideMark/>
          </w:tcPr>
          <w:p w14:paraId="1912E58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Evidence for efficacy of acute treatment of episodic tension-type headache: methodological critique of randomised trials for oral treatments</w:t>
            </w:r>
          </w:p>
        </w:tc>
        <w:tc>
          <w:tcPr>
            <w:tcW w:w="3544" w:type="dxa"/>
            <w:shd w:val="clear" w:color="auto" w:fill="auto"/>
            <w:noWrap/>
            <w:hideMark/>
          </w:tcPr>
          <w:p w14:paraId="04FB467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Moore, R. A.; Derry, S.; Wiffen, P. J.; Straube, S.; Bendtsen, L.</w:t>
            </w:r>
          </w:p>
        </w:tc>
        <w:tc>
          <w:tcPr>
            <w:tcW w:w="567" w:type="dxa"/>
            <w:shd w:val="clear" w:color="auto" w:fill="auto"/>
            <w:noWrap/>
            <w:hideMark/>
          </w:tcPr>
          <w:p w14:paraId="36CA99A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2014</w:t>
            </w:r>
          </w:p>
        </w:tc>
        <w:tc>
          <w:tcPr>
            <w:tcW w:w="1371" w:type="dxa"/>
            <w:shd w:val="clear" w:color="auto" w:fill="auto"/>
            <w:noWrap/>
            <w:hideMark/>
          </w:tcPr>
          <w:p w14:paraId="1575300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Pain</w:t>
            </w:r>
          </w:p>
        </w:tc>
        <w:tc>
          <w:tcPr>
            <w:tcW w:w="755" w:type="dxa"/>
            <w:shd w:val="clear" w:color="auto" w:fill="auto"/>
            <w:noWrap/>
            <w:hideMark/>
          </w:tcPr>
          <w:p w14:paraId="4BC125C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155</w:t>
            </w:r>
          </w:p>
        </w:tc>
        <w:tc>
          <w:tcPr>
            <w:tcW w:w="709" w:type="dxa"/>
            <w:shd w:val="clear" w:color="auto" w:fill="auto"/>
            <w:noWrap/>
            <w:hideMark/>
          </w:tcPr>
          <w:p w14:paraId="4BD3594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11</w:t>
            </w:r>
          </w:p>
        </w:tc>
        <w:tc>
          <w:tcPr>
            <w:tcW w:w="819" w:type="dxa"/>
            <w:shd w:val="clear" w:color="auto" w:fill="auto"/>
            <w:noWrap/>
            <w:hideMark/>
          </w:tcPr>
          <w:p w14:paraId="0615AB2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2220-8</w:t>
            </w:r>
          </w:p>
        </w:tc>
        <w:tc>
          <w:tcPr>
            <w:tcW w:w="2299" w:type="dxa"/>
            <w:shd w:val="clear" w:color="auto" w:fill="auto"/>
            <w:noWrap/>
            <w:hideMark/>
          </w:tcPr>
          <w:p w14:paraId="0854ACC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intervention</w:t>
            </w:r>
          </w:p>
        </w:tc>
      </w:tr>
      <w:tr w:rsidR="000256D8" w:rsidRPr="00D518FF" w14:paraId="7CE3A9BE" w14:textId="77777777" w:rsidTr="004C6AA1">
        <w:trPr>
          <w:trHeight w:val="320"/>
        </w:trPr>
        <w:tc>
          <w:tcPr>
            <w:tcW w:w="4248" w:type="dxa"/>
            <w:shd w:val="clear" w:color="auto" w:fill="auto"/>
            <w:noWrap/>
            <w:hideMark/>
          </w:tcPr>
          <w:p w14:paraId="282B52C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The role of nutrients in the pathogenesis and treatment of migraine headaches: Review</w:t>
            </w:r>
          </w:p>
        </w:tc>
        <w:tc>
          <w:tcPr>
            <w:tcW w:w="3544" w:type="dxa"/>
            <w:shd w:val="clear" w:color="auto" w:fill="auto"/>
            <w:noWrap/>
            <w:hideMark/>
          </w:tcPr>
          <w:p w14:paraId="2112C35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Nattagh-Eshtivani, E.; Sani, M. A.; Dahri, M.; Ghalichi, F.; Ghavami, A.; Arjang, P.; Tarighat-Esfanjani, A.</w:t>
            </w:r>
          </w:p>
        </w:tc>
        <w:tc>
          <w:tcPr>
            <w:tcW w:w="567" w:type="dxa"/>
            <w:shd w:val="clear" w:color="auto" w:fill="auto"/>
            <w:noWrap/>
            <w:hideMark/>
          </w:tcPr>
          <w:p w14:paraId="67DD3C9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2018</w:t>
            </w:r>
          </w:p>
        </w:tc>
        <w:tc>
          <w:tcPr>
            <w:tcW w:w="1371" w:type="dxa"/>
            <w:shd w:val="clear" w:color="auto" w:fill="auto"/>
            <w:noWrap/>
            <w:hideMark/>
          </w:tcPr>
          <w:p w14:paraId="2D6A787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Biomedicine &amp; pharmacotherapy = Biomedecine &amp; pharmacotherapie</w:t>
            </w:r>
          </w:p>
        </w:tc>
        <w:tc>
          <w:tcPr>
            <w:tcW w:w="755" w:type="dxa"/>
            <w:shd w:val="clear" w:color="auto" w:fill="auto"/>
            <w:noWrap/>
            <w:hideMark/>
          </w:tcPr>
          <w:p w14:paraId="689B967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102</w:t>
            </w:r>
          </w:p>
        </w:tc>
        <w:tc>
          <w:tcPr>
            <w:tcW w:w="709" w:type="dxa"/>
            <w:shd w:val="clear" w:color="auto" w:fill="auto"/>
            <w:noWrap/>
            <w:hideMark/>
          </w:tcPr>
          <w:p w14:paraId="33E82008" w14:textId="77777777" w:rsidR="000256D8" w:rsidRPr="00D518FF" w:rsidRDefault="000256D8" w:rsidP="000256D8">
            <w:pPr>
              <w:rPr>
                <w:rFonts w:ascii="Aptos" w:hAnsi="Aptos"/>
                <w:color w:val="000000"/>
                <w:sz w:val="16"/>
                <w:szCs w:val="16"/>
              </w:rPr>
            </w:pPr>
          </w:p>
        </w:tc>
        <w:tc>
          <w:tcPr>
            <w:tcW w:w="819" w:type="dxa"/>
            <w:shd w:val="clear" w:color="auto" w:fill="auto"/>
            <w:noWrap/>
            <w:hideMark/>
          </w:tcPr>
          <w:p w14:paraId="6B21B3B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317-325</w:t>
            </w:r>
          </w:p>
        </w:tc>
        <w:tc>
          <w:tcPr>
            <w:tcW w:w="2299" w:type="dxa"/>
            <w:shd w:val="clear" w:color="auto" w:fill="auto"/>
            <w:noWrap/>
            <w:hideMark/>
          </w:tcPr>
          <w:p w14:paraId="06F8410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1446D028" w14:textId="77777777" w:rsidTr="004C6AA1">
        <w:trPr>
          <w:trHeight w:val="320"/>
        </w:trPr>
        <w:tc>
          <w:tcPr>
            <w:tcW w:w="4248" w:type="dxa"/>
            <w:shd w:val="clear" w:color="auto" w:fill="auto"/>
            <w:noWrap/>
            <w:hideMark/>
          </w:tcPr>
          <w:p w14:paraId="44F3D60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Acute Treatment Therapies for Pediatric Migraine: A Qualitative Systematic Review</w:t>
            </w:r>
          </w:p>
        </w:tc>
        <w:tc>
          <w:tcPr>
            <w:tcW w:w="3544" w:type="dxa"/>
            <w:shd w:val="clear" w:color="auto" w:fill="auto"/>
            <w:noWrap/>
            <w:hideMark/>
          </w:tcPr>
          <w:p w14:paraId="5967D6F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Patniyot, I. R.; Gelfand, A. A.</w:t>
            </w:r>
          </w:p>
        </w:tc>
        <w:tc>
          <w:tcPr>
            <w:tcW w:w="567" w:type="dxa"/>
            <w:shd w:val="clear" w:color="auto" w:fill="auto"/>
            <w:noWrap/>
            <w:hideMark/>
          </w:tcPr>
          <w:p w14:paraId="7FAF841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2016</w:t>
            </w:r>
          </w:p>
        </w:tc>
        <w:tc>
          <w:tcPr>
            <w:tcW w:w="1371" w:type="dxa"/>
            <w:shd w:val="clear" w:color="auto" w:fill="auto"/>
            <w:noWrap/>
            <w:hideMark/>
          </w:tcPr>
          <w:p w14:paraId="0B6A906B"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Headache</w:t>
            </w:r>
          </w:p>
        </w:tc>
        <w:tc>
          <w:tcPr>
            <w:tcW w:w="755" w:type="dxa"/>
            <w:shd w:val="clear" w:color="auto" w:fill="auto"/>
            <w:noWrap/>
            <w:hideMark/>
          </w:tcPr>
          <w:p w14:paraId="1232FF5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56</w:t>
            </w:r>
          </w:p>
        </w:tc>
        <w:tc>
          <w:tcPr>
            <w:tcW w:w="709" w:type="dxa"/>
            <w:shd w:val="clear" w:color="auto" w:fill="auto"/>
            <w:noWrap/>
            <w:hideMark/>
          </w:tcPr>
          <w:p w14:paraId="49795A8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w:t>
            </w:r>
          </w:p>
        </w:tc>
        <w:tc>
          <w:tcPr>
            <w:tcW w:w="819" w:type="dxa"/>
            <w:shd w:val="clear" w:color="auto" w:fill="auto"/>
            <w:noWrap/>
            <w:hideMark/>
          </w:tcPr>
          <w:p w14:paraId="4F91FAC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49-70</w:t>
            </w:r>
          </w:p>
        </w:tc>
        <w:tc>
          <w:tcPr>
            <w:tcW w:w="2299" w:type="dxa"/>
            <w:shd w:val="clear" w:color="auto" w:fill="auto"/>
            <w:noWrap/>
            <w:hideMark/>
          </w:tcPr>
          <w:p w14:paraId="2E4E7E0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1A89BE7B" w14:textId="77777777" w:rsidTr="00887C84">
        <w:trPr>
          <w:trHeight w:val="320"/>
        </w:trPr>
        <w:tc>
          <w:tcPr>
            <w:tcW w:w="4248" w:type="dxa"/>
            <w:shd w:val="clear" w:color="auto" w:fill="auto"/>
            <w:noWrap/>
            <w:hideMark/>
          </w:tcPr>
          <w:p w14:paraId="7BAC45A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Acute Migraine Treatment in Emergency Settings</w:t>
            </w:r>
          </w:p>
        </w:tc>
        <w:tc>
          <w:tcPr>
            <w:tcW w:w="3544" w:type="dxa"/>
            <w:shd w:val="clear" w:color="auto" w:fill="auto"/>
            <w:noWrap/>
            <w:hideMark/>
          </w:tcPr>
          <w:p w14:paraId="1AF9F21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Sumamo Schellenberg, E.; Dryden, D. M.; Pasichnyk, D.; Ha, C.; Vandermeer, B.; Friedman, B. W.; Colman, I.; Rowe, B. H.</w:t>
            </w:r>
          </w:p>
        </w:tc>
        <w:tc>
          <w:tcPr>
            <w:tcW w:w="567" w:type="dxa"/>
            <w:shd w:val="clear" w:color="auto" w:fill="auto"/>
            <w:noWrap/>
            <w:hideMark/>
          </w:tcPr>
          <w:p w14:paraId="01C81F2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2012</w:t>
            </w:r>
          </w:p>
        </w:tc>
        <w:tc>
          <w:tcPr>
            <w:tcW w:w="1371" w:type="dxa"/>
            <w:shd w:val="clear" w:color="auto" w:fill="auto"/>
            <w:noWrap/>
            <w:hideMark/>
          </w:tcPr>
          <w:p w14:paraId="515F41DA"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AHRQ Comparative Effectiveness Reviews</w:t>
            </w:r>
          </w:p>
        </w:tc>
        <w:tc>
          <w:tcPr>
            <w:tcW w:w="755" w:type="dxa"/>
            <w:shd w:val="clear" w:color="auto" w:fill="auto"/>
          </w:tcPr>
          <w:p w14:paraId="4E6E1811" w14:textId="379206E5" w:rsidR="000256D8" w:rsidRPr="00D518FF" w:rsidRDefault="000256D8" w:rsidP="000256D8">
            <w:pPr>
              <w:rPr>
                <w:rFonts w:ascii="Aptos" w:hAnsi="Aptos"/>
                <w:color w:val="000000"/>
                <w:sz w:val="16"/>
                <w:szCs w:val="16"/>
              </w:rPr>
            </w:pPr>
            <w:r>
              <w:rPr>
                <w:rFonts w:ascii="Aptos" w:hAnsi="Aptos"/>
                <w:color w:val="000000"/>
                <w:sz w:val="16"/>
                <w:szCs w:val="16"/>
              </w:rPr>
              <w:t>12</w:t>
            </w:r>
          </w:p>
        </w:tc>
        <w:tc>
          <w:tcPr>
            <w:tcW w:w="709" w:type="dxa"/>
            <w:shd w:val="clear" w:color="auto" w:fill="auto"/>
          </w:tcPr>
          <w:p w14:paraId="709E3624" w14:textId="3E4C183F" w:rsidR="000256D8" w:rsidRPr="00D518FF" w:rsidRDefault="000256D8" w:rsidP="000256D8">
            <w:pPr>
              <w:rPr>
                <w:rFonts w:ascii="Aptos" w:hAnsi="Aptos"/>
                <w:color w:val="000000"/>
                <w:sz w:val="16"/>
                <w:szCs w:val="16"/>
              </w:rPr>
            </w:pPr>
            <w:r>
              <w:rPr>
                <w:rFonts w:ascii="Aptos" w:hAnsi="Aptos"/>
                <w:color w:val="000000"/>
                <w:sz w:val="16"/>
                <w:szCs w:val="16"/>
              </w:rPr>
              <w:t>13</w:t>
            </w:r>
          </w:p>
        </w:tc>
        <w:tc>
          <w:tcPr>
            <w:tcW w:w="819" w:type="dxa"/>
            <w:shd w:val="clear" w:color="auto" w:fill="auto"/>
          </w:tcPr>
          <w:p w14:paraId="75604F71" w14:textId="1B62A832" w:rsidR="000256D8" w:rsidRPr="00D518FF" w:rsidRDefault="000256D8" w:rsidP="000256D8">
            <w:pPr>
              <w:rPr>
                <w:rFonts w:ascii="Aptos" w:hAnsi="Aptos"/>
                <w:color w:val="000000"/>
                <w:sz w:val="16"/>
                <w:szCs w:val="16"/>
              </w:rPr>
            </w:pPr>
            <w:r w:rsidRPr="00FA5E8C">
              <w:rPr>
                <w:rFonts w:ascii="Aptos" w:hAnsi="Aptos"/>
                <w:color w:val="000000"/>
                <w:sz w:val="16"/>
                <w:szCs w:val="16"/>
              </w:rPr>
              <w:t>EHC142-EF</w:t>
            </w:r>
          </w:p>
        </w:tc>
        <w:tc>
          <w:tcPr>
            <w:tcW w:w="2299" w:type="dxa"/>
            <w:shd w:val="clear" w:color="auto" w:fill="auto"/>
            <w:noWrap/>
            <w:hideMark/>
          </w:tcPr>
          <w:p w14:paraId="0AD4A34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16DA9E89" w14:textId="77777777" w:rsidTr="004C6AA1">
        <w:trPr>
          <w:trHeight w:val="320"/>
        </w:trPr>
        <w:tc>
          <w:tcPr>
            <w:tcW w:w="4248" w:type="dxa"/>
            <w:shd w:val="clear" w:color="auto" w:fill="auto"/>
            <w:noWrap/>
            <w:hideMark/>
          </w:tcPr>
          <w:p w14:paraId="315D31AD"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Pharmacological interventions for acute attacks of vestibular migraine</w:t>
            </w:r>
          </w:p>
        </w:tc>
        <w:tc>
          <w:tcPr>
            <w:tcW w:w="3544" w:type="dxa"/>
            <w:shd w:val="clear" w:color="auto" w:fill="auto"/>
            <w:noWrap/>
            <w:hideMark/>
          </w:tcPr>
          <w:p w14:paraId="5F478E24"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Webster, K. E.; Dor, A.; Galbraith, K.; Haj Kassem, L.; Harrington-Benton, N. A.; Judd, O.; Kaski, D.; Maarsingh, O. R.; MacKeith, S.; Ray, J.; Van Vugt, V. A.; Burton, M. J.</w:t>
            </w:r>
          </w:p>
        </w:tc>
        <w:tc>
          <w:tcPr>
            <w:tcW w:w="567" w:type="dxa"/>
            <w:shd w:val="clear" w:color="auto" w:fill="auto"/>
            <w:noWrap/>
            <w:hideMark/>
          </w:tcPr>
          <w:p w14:paraId="5724E22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2023</w:t>
            </w:r>
          </w:p>
        </w:tc>
        <w:tc>
          <w:tcPr>
            <w:tcW w:w="1371" w:type="dxa"/>
            <w:shd w:val="clear" w:color="auto" w:fill="auto"/>
            <w:noWrap/>
            <w:hideMark/>
          </w:tcPr>
          <w:p w14:paraId="3D05D627"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The Cochrane database of systematic reviews</w:t>
            </w:r>
          </w:p>
        </w:tc>
        <w:tc>
          <w:tcPr>
            <w:tcW w:w="755" w:type="dxa"/>
            <w:shd w:val="clear" w:color="auto" w:fill="auto"/>
            <w:noWrap/>
            <w:hideMark/>
          </w:tcPr>
          <w:p w14:paraId="23F56F0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19B1701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4</w:t>
            </w:r>
          </w:p>
        </w:tc>
        <w:tc>
          <w:tcPr>
            <w:tcW w:w="819" w:type="dxa"/>
            <w:shd w:val="clear" w:color="auto" w:fill="auto"/>
            <w:noWrap/>
            <w:hideMark/>
          </w:tcPr>
          <w:p w14:paraId="472597D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CD015322</w:t>
            </w:r>
          </w:p>
        </w:tc>
        <w:tc>
          <w:tcPr>
            <w:tcW w:w="2299" w:type="dxa"/>
            <w:shd w:val="clear" w:color="auto" w:fill="auto"/>
            <w:noWrap/>
            <w:hideMark/>
          </w:tcPr>
          <w:p w14:paraId="083FE90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intervention</w:t>
            </w:r>
          </w:p>
        </w:tc>
      </w:tr>
      <w:tr w:rsidR="000256D8" w:rsidRPr="00D518FF" w14:paraId="45C9C8C1" w14:textId="77777777" w:rsidTr="004C6AA1">
        <w:trPr>
          <w:trHeight w:val="320"/>
        </w:trPr>
        <w:tc>
          <w:tcPr>
            <w:tcW w:w="4248" w:type="dxa"/>
            <w:shd w:val="clear" w:color="auto" w:fill="auto"/>
            <w:noWrap/>
            <w:hideMark/>
          </w:tcPr>
          <w:p w14:paraId="5C00B91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Complementary and Integrative Medicine for Episodic Migraine: an Update of Evidence from the Last 3 Years</w:t>
            </w:r>
          </w:p>
        </w:tc>
        <w:tc>
          <w:tcPr>
            <w:tcW w:w="3544" w:type="dxa"/>
            <w:shd w:val="clear" w:color="auto" w:fill="auto"/>
            <w:noWrap/>
            <w:hideMark/>
          </w:tcPr>
          <w:p w14:paraId="22C8D66F"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Wells, R. E.; Beuthin, J.; Granetzke, L.</w:t>
            </w:r>
          </w:p>
        </w:tc>
        <w:tc>
          <w:tcPr>
            <w:tcW w:w="567" w:type="dxa"/>
            <w:shd w:val="clear" w:color="auto" w:fill="auto"/>
            <w:noWrap/>
            <w:hideMark/>
          </w:tcPr>
          <w:p w14:paraId="0DD7339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2019</w:t>
            </w:r>
          </w:p>
        </w:tc>
        <w:tc>
          <w:tcPr>
            <w:tcW w:w="1371" w:type="dxa"/>
            <w:shd w:val="clear" w:color="auto" w:fill="auto"/>
            <w:noWrap/>
            <w:hideMark/>
          </w:tcPr>
          <w:p w14:paraId="13E23A5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Current pain and headache reports</w:t>
            </w:r>
          </w:p>
        </w:tc>
        <w:tc>
          <w:tcPr>
            <w:tcW w:w="755" w:type="dxa"/>
            <w:shd w:val="clear" w:color="auto" w:fill="auto"/>
            <w:noWrap/>
            <w:hideMark/>
          </w:tcPr>
          <w:p w14:paraId="68E3D378"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23</w:t>
            </w:r>
          </w:p>
        </w:tc>
        <w:tc>
          <w:tcPr>
            <w:tcW w:w="709" w:type="dxa"/>
            <w:shd w:val="clear" w:color="auto" w:fill="auto"/>
            <w:noWrap/>
            <w:hideMark/>
          </w:tcPr>
          <w:p w14:paraId="07349C9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w:t>
            </w:r>
          </w:p>
        </w:tc>
        <w:tc>
          <w:tcPr>
            <w:tcW w:w="819" w:type="dxa"/>
            <w:shd w:val="clear" w:color="auto" w:fill="auto"/>
            <w:noWrap/>
            <w:hideMark/>
          </w:tcPr>
          <w:p w14:paraId="0867A88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10</w:t>
            </w:r>
          </w:p>
        </w:tc>
        <w:tc>
          <w:tcPr>
            <w:tcW w:w="2299" w:type="dxa"/>
            <w:shd w:val="clear" w:color="auto" w:fill="auto"/>
            <w:noWrap/>
            <w:hideMark/>
          </w:tcPr>
          <w:p w14:paraId="0BB8A62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614096CC" w14:textId="77777777" w:rsidTr="004C6AA1">
        <w:trPr>
          <w:trHeight w:val="320"/>
        </w:trPr>
        <w:tc>
          <w:tcPr>
            <w:tcW w:w="4248" w:type="dxa"/>
            <w:shd w:val="clear" w:color="auto" w:fill="auto"/>
            <w:noWrap/>
            <w:hideMark/>
          </w:tcPr>
          <w:p w14:paraId="6927779E"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Complementary and Integrative Medicines as Prophylactic Agents for Pediatric Migraine: A Narrative Literature Review</w:t>
            </w:r>
          </w:p>
        </w:tc>
        <w:tc>
          <w:tcPr>
            <w:tcW w:w="3544" w:type="dxa"/>
            <w:shd w:val="clear" w:color="auto" w:fill="auto"/>
            <w:noWrap/>
            <w:hideMark/>
          </w:tcPr>
          <w:p w14:paraId="2A24CAA2"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Yamanaka, G.; Kanou, K.; Takamatsu, T.; Takeshita, M.; Morichi, S.; Suzuki, S.; Ishida, Y.; Watanabe, Y.; Go, S.; Oana, S.; Kawashima, H.</w:t>
            </w:r>
          </w:p>
        </w:tc>
        <w:tc>
          <w:tcPr>
            <w:tcW w:w="567" w:type="dxa"/>
            <w:shd w:val="clear" w:color="auto" w:fill="auto"/>
            <w:noWrap/>
            <w:hideMark/>
          </w:tcPr>
          <w:p w14:paraId="607E6159"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2021</w:t>
            </w:r>
          </w:p>
        </w:tc>
        <w:tc>
          <w:tcPr>
            <w:tcW w:w="1371" w:type="dxa"/>
            <w:shd w:val="clear" w:color="auto" w:fill="auto"/>
            <w:noWrap/>
            <w:hideMark/>
          </w:tcPr>
          <w:p w14:paraId="6B696B85"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Journal of clinical medicine</w:t>
            </w:r>
          </w:p>
        </w:tc>
        <w:tc>
          <w:tcPr>
            <w:tcW w:w="755" w:type="dxa"/>
            <w:shd w:val="clear" w:color="auto" w:fill="auto"/>
            <w:noWrap/>
            <w:hideMark/>
          </w:tcPr>
          <w:p w14:paraId="464EC580"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10</w:t>
            </w:r>
          </w:p>
        </w:tc>
        <w:tc>
          <w:tcPr>
            <w:tcW w:w="709" w:type="dxa"/>
            <w:shd w:val="clear" w:color="auto" w:fill="auto"/>
            <w:noWrap/>
            <w:hideMark/>
          </w:tcPr>
          <w:p w14:paraId="56FBA6D3"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1</w:t>
            </w:r>
          </w:p>
        </w:tc>
        <w:tc>
          <w:tcPr>
            <w:tcW w:w="819" w:type="dxa"/>
            <w:shd w:val="clear" w:color="auto" w:fill="auto"/>
            <w:noWrap/>
            <w:hideMark/>
          </w:tcPr>
          <w:p w14:paraId="0F3BD90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Jan-16</w:t>
            </w:r>
          </w:p>
        </w:tc>
        <w:tc>
          <w:tcPr>
            <w:tcW w:w="2299" w:type="dxa"/>
            <w:shd w:val="clear" w:color="auto" w:fill="auto"/>
            <w:noWrap/>
            <w:hideMark/>
          </w:tcPr>
          <w:p w14:paraId="0600A181"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292570A1" w14:textId="77777777" w:rsidTr="00887C84">
        <w:trPr>
          <w:trHeight w:val="320"/>
        </w:trPr>
        <w:tc>
          <w:tcPr>
            <w:tcW w:w="4248" w:type="dxa"/>
            <w:shd w:val="clear" w:color="auto" w:fill="auto"/>
            <w:noWrap/>
            <w:hideMark/>
          </w:tcPr>
          <w:p w14:paraId="05E5EE26"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lastRenderedPageBreak/>
              <w:t>The effectiveness of essential fatty acid, B vitamin, Vitamin C, magnesium and zinc supplementation for managing stress in women: a systematic review protocol</w:t>
            </w:r>
          </w:p>
        </w:tc>
        <w:tc>
          <w:tcPr>
            <w:tcW w:w="3544" w:type="dxa"/>
            <w:shd w:val="clear" w:color="auto" w:fill="auto"/>
            <w:noWrap/>
            <w:hideMark/>
          </w:tcPr>
          <w:p w14:paraId="4EA572B0" w14:textId="77777777" w:rsidR="000256D8" w:rsidRPr="00EF09B2" w:rsidRDefault="000256D8" w:rsidP="000256D8">
            <w:pPr>
              <w:rPr>
                <w:rFonts w:ascii="Aptos" w:hAnsi="Aptos"/>
                <w:color w:val="000000"/>
                <w:sz w:val="16"/>
                <w:szCs w:val="16"/>
              </w:rPr>
            </w:pPr>
            <w:r w:rsidRPr="00EF09B2">
              <w:rPr>
                <w:rFonts w:ascii="Aptos" w:hAnsi="Aptos"/>
                <w:color w:val="000000"/>
                <w:sz w:val="16"/>
                <w:szCs w:val="16"/>
              </w:rPr>
              <w:t>McCabe D, Colbeck M. </w:t>
            </w:r>
          </w:p>
          <w:p w14:paraId="53FECB5A" w14:textId="6C67BDB3" w:rsidR="000256D8" w:rsidRPr="00D518FF" w:rsidRDefault="000256D8" w:rsidP="000256D8">
            <w:pPr>
              <w:rPr>
                <w:rFonts w:ascii="Aptos" w:hAnsi="Aptos"/>
                <w:color w:val="000000"/>
                <w:sz w:val="16"/>
                <w:szCs w:val="16"/>
              </w:rPr>
            </w:pPr>
          </w:p>
        </w:tc>
        <w:tc>
          <w:tcPr>
            <w:tcW w:w="567" w:type="dxa"/>
            <w:shd w:val="clear" w:color="auto" w:fill="auto"/>
          </w:tcPr>
          <w:p w14:paraId="70CC16A8" w14:textId="7DB6AF4F" w:rsidR="000256D8" w:rsidRPr="00D518FF" w:rsidRDefault="000256D8" w:rsidP="000256D8">
            <w:pPr>
              <w:rPr>
                <w:rFonts w:ascii="Aptos" w:hAnsi="Aptos"/>
                <w:color w:val="000000"/>
                <w:sz w:val="16"/>
                <w:szCs w:val="16"/>
              </w:rPr>
            </w:pPr>
            <w:r>
              <w:rPr>
                <w:rFonts w:ascii="Aptos" w:hAnsi="Aptos"/>
                <w:color w:val="000000"/>
                <w:sz w:val="16"/>
                <w:szCs w:val="16"/>
              </w:rPr>
              <w:t>2015</w:t>
            </w:r>
          </w:p>
        </w:tc>
        <w:tc>
          <w:tcPr>
            <w:tcW w:w="1371" w:type="dxa"/>
            <w:shd w:val="clear" w:color="auto" w:fill="auto"/>
          </w:tcPr>
          <w:p w14:paraId="60EDD9B5" w14:textId="4C27717B" w:rsidR="000256D8" w:rsidRPr="00EF09B2" w:rsidRDefault="000256D8" w:rsidP="000256D8">
            <w:pPr>
              <w:rPr>
                <w:rFonts w:ascii="Aptos" w:hAnsi="Aptos"/>
                <w:color w:val="000000"/>
                <w:sz w:val="16"/>
                <w:szCs w:val="16"/>
              </w:rPr>
            </w:pPr>
            <w:r w:rsidRPr="00EF09B2">
              <w:rPr>
                <w:rFonts w:ascii="Aptos" w:hAnsi="Aptos"/>
                <w:color w:val="000000"/>
                <w:sz w:val="16"/>
                <w:szCs w:val="16"/>
              </w:rPr>
              <w:t>JBI Database System Rev Implement Rep</w:t>
            </w:r>
          </w:p>
        </w:tc>
        <w:tc>
          <w:tcPr>
            <w:tcW w:w="755" w:type="dxa"/>
            <w:shd w:val="clear" w:color="auto" w:fill="auto"/>
            <w:noWrap/>
            <w:hideMark/>
          </w:tcPr>
          <w:p w14:paraId="1FC5CD8C" w14:textId="3B1E1847" w:rsidR="000256D8" w:rsidRPr="00D518FF" w:rsidRDefault="000256D8" w:rsidP="000256D8">
            <w:pPr>
              <w:rPr>
                <w:rFonts w:ascii="Aptos" w:hAnsi="Aptos"/>
                <w:color w:val="000000"/>
                <w:sz w:val="16"/>
                <w:szCs w:val="16"/>
              </w:rPr>
            </w:pPr>
            <w:r>
              <w:rPr>
                <w:rFonts w:ascii="Aptos" w:hAnsi="Aptos"/>
                <w:color w:val="000000"/>
                <w:sz w:val="16"/>
                <w:szCs w:val="16"/>
              </w:rPr>
              <w:t>13</w:t>
            </w:r>
          </w:p>
        </w:tc>
        <w:tc>
          <w:tcPr>
            <w:tcW w:w="709" w:type="dxa"/>
            <w:shd w:val="clear" w:color="auto" w:fill="auto"/>
            <w:noWrap/>
            <w:hideMark/>
          </w:tcPr>
          <w:p w14:paraId="026B30B5" w14:textId="534697BC" w:rsidR="000256D8" w:rsidRPr="00D518FF" w:rsidRDefault="000256D8" w:rsidP="000256D8">
            <w:pPr>
              <w:rPr>
                <w:rFonts w:ascii="Aptos" w:hAnsi="Aptos"/>
                <w:color w:val="000000"/>
                <w:sz w:val="16"/>
                <w:szCs w:val="16"/>
              </w:rPr>
            </w:pPr>
            <w:r>
              <w:rPr>
                <w:rFonts w:ascii="Aptos" w:hAnsi="Aptos"/>
                <w:color w:val="000000"/>
                <w:sz w:val="16"/>
                <w:szCs w:val="16"/>
              </w:rPr>
              <w:t>7</w:t>
            </w:r>
          </w:p>
        </w:tc>
        <w:tc>
          <w:tcPr>
            <w:tcW w:w="819" w:type="dxa"/>
            <w:shd w:val="clear" w:color="auto" w:fill="auto"/>
            <w:noWrap/>
            <w:hideMark/>
          </w:tcPr>
          <w:p w14:paraId="65382FBF" w14:textId="6C81653F" w:rsidR="000256D8" w:rsidRPr="00D518FF" w:rsidRDefault="000256D8" w:rsidP="000256D8">
            <w:pPr>
              <w:rPr>
                <w:rFonts w:ascii="Aptos" w:hAnsi="Aptos"/>
                <w:color w:val="000000"/>
                <w:sz w:val="16"/>
                <w:szCs w:val="16"/>
              </w:rPr>
            </w:pPr>
            <w:r w:rsidRPr="00EF09B2">
              <w:rPr>
                <w:rFonts w:ascii="Aptos" w:hAnsi="Aptos"/>
                <w:color w:val="000000"/>
                <w:sz w:val="16"/>
                <w:szCs w:val="16"/>
              </w:rPr>
              <w:t>104-18</w:t>
            </w:r>
          </w:p>
        </w:tc>
        <w:tc>
          <w:tcPr>
            <w:tcW w:w="2299" w:type="dxa"/>
            <w:shd w:val="clear" w:color="auto" w:fill="auto"/>
            <w:hideMark/>
          </w:tcPr>
          <w:p w14:paraId="378CA1BC" w14:textId="77777777" w:rsidR="000256D8" w:rsidRPr="00D518FF" w:rsidRDefault="000256D8" w:rsidP="000256D8">
            <w:pPr>
              <w:rPr>
                <w:rFonts w:ascii="Aptos" w:hAnsi="Aptos"/>
                <w:color w:val="000000"/>
                <w:sz w:val="16"/>
                <w:szCs w:val="16"/>
              </w:rPr>
            </w:pPr>
            <w:r w:rsidRPr="00D518FF">
              <w:rPr>
                <w:rFonts w:ascii="Aptos" w:hAnsi="Aptos"/>
                <w:color w:val="000000"/>
                <w:sz w:val="16"/>
                <w:szCs w:val="16"/>
              </w:rPr>
              <w:t>Wrong patient population</w:t>
            </w:r>
          </w:p>
        </w:tc>
      </w:tr>
    </w:tbl>
    <w:p w14:paraId="1C5EA755" w14:textId="77777777" w:rsidR="008F3151" w:rsidRPr="00D518FF" w:rsidRDefault="008F3151" w:rsidP="008F3151">
      <w:pPr>
        <w:pStyle w:val="BodyText"/>
        <w:rPr>
          <w:rFonts w:ascii="Aptos" w:hAnsi="Aptos"/>
        </w:rPr>
      </w:pPr>
    </w:p>
    <w:p w14:paraId="488B7C8A" w14:textId="6EC49506" w:rsidR="001042C2" w:rsidRPr="004C6AA1" w:rsidRDefault="001042C2" w:rsidP="004C6AA1">
      <w:pPr>
        <w:pStyle w:val="Caption"/>
        <w:spacing w:before="240"/>
        <w:rPr>
          <w:rFonts w:ascii="Aptos" w:hAnsi="Aptos"/>
        </w:rPr>
      </w:pPr>
      <w:bookmarkStart w:id="123" w:name="_Toc185254538"/>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11</w:t>
      </w:r>
      <w:r w:rsidR="00DC4767" w:rsidRPr="004C6AA1">
        <w:rPr>
          <w:rFonts w:ascii="Aptos" w:hAnsi="Aptos"/>
        </w:rPr>
        <w:fldChar w:fldCharType="end"/>
      </w:r>
      <w:r w:rsidRPr="004C6AA1">
        <w:rPr>
          <w:rFonts w:ascii="Aptos" w:hAnsi="Aptos"/>
        </w:rPr>
        <w:t xml:space="preserve">. </w:t>
      </w:r>
      <w:r w:rsidR="00E659BC" w:rsidRPr="00D518FF">
        <w:rPr>
          <w:rFonts w:ascii="Aptos" w:hAnsi="Aptos"/>
        </w:rPr>
        <w:t>Excluded reviews, reason for exclusion – Arthritis/Osteoarthritis, Magnesium</w:t>
      </w:r>
      <w:r w:rsidR="00E659BC">
        <w:rPr>
          <w:rFonts w:ascii="Aptos" w:hAnsi="Aptos"/>
        </w:rPr>
        <w:t>.</w:t>
      </w:r>
      <w:bookmarkEnd w:id="123"/>
    </w:p>
    <w:tbl>
      <w:tblPr>
        <w:tblW w:w="50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4249"/>
        <w:gridCol w:w="3544"/>
        <w:gridCol w:w="567"/>
        <w:gridCol w:w="1416"/>
        <w:gridCol w:w="850"/>
        <w:gridCol w:w="708"/>
        <w:gridCol w:w="711"/>
        <w:gridCol w:w="2408"/>
      </w:tblGrid>
      <w:tr w:rsidR="004C6AA1" w:rsidRPr="00D518FF" w14:paraId="0BB03BE8" w14:textId="77777777" w:rsidTr="004C6AA1">
        <w:trPr>
          <w:trHeight w:val="67"/>
        </w:trPr>
        <w:tc>
          <w:tcPr>
            <w:tcW w:w="1470" w:type="pct"/>
            <w:shd w:val="clear" w:color="auto" w:fill="D9D9D9" w:themeFill="background1" w:themeFillShade="D9"/>
            <w:noWrap/>
            <w:hideMark/>
          </w:tcPr>
          <w:p w14:paraId="7D93C132" w14:textId="77777777" w:rsidR="004C6AA1" w:rsidRPr="00D518FF" w:rsidRDefault="004C6AA1" w:rsidP="004C6AA1">
            <w:pPr>
              <w:rPr>
                <w:rFonts w:ascii="Aptos" w:hAnsi="Aptos" w:cs="Arial"/>
                <w:b/>
                <w:bCs/>
                <w:sz w:val="16"/>
                <w:szCs w:val="16"/>
              </w:rPr>
            </w:pPr>
            <w:r w:rsidRPr="00D518FF">
              <w:rPr>
                <w:rFonts w:ascii="Aptos" w:hAnsi="Aptos" w:cs="Arial"/>
                <w:b/>
                <w:bCs/>
                <w:sz w:val="16"/>
                <w:szCs w:val="16"/>
              </w:rPr>
              <w:t>Title</w:t>
            </w:r>
          </w:p>
        </w:tc>
        <w:tc>
          <w:tcPr>
            <w:tcW w:w="1226" w:type="pct"/>
            <w:shd w:val="clear" w:color="auto" w:fill="D9D9D9" w:themeFill="background1" w:themeFillShade="D9"/>
            <w:noWrap/>
            <w:hideMark/>
          </w:tcPr>
          <w:p w14:paraId="2867A735" w14:textId="77777777" w:rsidR="004C6AA1" w:rsidRPr="00D518FF" w:rsidRDefault="004C6AA1" w:rsidP="004C6AA1">
            <w:pPr>
              <w:rPr>
                <w:rFonts w:ascii="Aptos" w:hAnsi="Aptos" w:cs="Arial"/>
                <w:b/>
                <w:bCs/>
                <w:sz w:val="16"/>
                <w:szCs w:val="16"/>
              </w:rPr>
            </w:pPr>
            <w:r w:rsidRPr="00D518FF">
              <w:rPr>
                <w:rFonts w:ascii="Aptos" w:hAnsi="Aptos" w:cs="Arial"/>
                <w:b/>
                <w:bCs/>
                <w:sz w:val="16"/>
                <w:szCs w:val="16"/>
              </w:rPr>
              <w:t>Authors</w:t>
            </w:r>
          </w:p>
        </w:tc>
        <w:tc>
          <w:tcPr>
            <w:tcW w:w="196" w:type="pct"/>
            <w:shd w:val="clear" w:color="auto" w:fill="D9D9D9" w:themeFill="background1" w:themeFillShade="D9"/>
            <w:noWrap/>
            <w:hideMark/>
          </w:tcPr>
          <w:p w14:paraId="2B866277" w14:textId="77777777" w:rsidR="004C6AA1" w:rsidRPr="00D518FF" w:rsidRDefault="004C6AA1" w:rsidP="004C6AA1">
            <w:pPr>
              <w:rPr>
                <w:rFonts w:ascii="Aptos" w:hAnsi="Aptos" w:cs="Arial"/>
                <w:b/>
                <w:bCs/>
                <w:sz w:val="16"/>
                <w:szCs w:val="16"/>
              </w:rPr>
            </w:pPr>
            <w:r w:rsidRPr="00D518FF">
              <w:rPr>
                <w:rFonts w:ascii="Aptos" w:hAnsi="Aptos" w:cs="Arial"/>
                <w:b/>
                <w:bCs/>
                <w:sz w:val="16"/>
                <w:szCs w:val="16"/>
              </w:rPr>
              <w:t>Year</w:t>
            </w:r>
          </w:p>
        </w:tc>
        <w:tc>
          <w:tcPr>
            <w:tcW w:w="490" w:type="pct"/>
            <w:shd w:val="clear" w:color="auto" w:fill="D9D9D9" w:themeFill="background1" w:themeFillShade="D9"/>
            <w:noWrap/>
            <w:hideMark/>
          </w:tcPr>
          <w:p w14:paraId="5D7C2A46" w14:textId="1018D7CF" w:rsidR="004C6AA1" w:rsidRPr="00D518FF" w:rsidRDefault="004C6AA1" w:rsidP="004C6AA1">
            <w:pPr>
              <w:rPr>
                <w:rFonts w:ascii="Aptos" w:hAnsi="Aptos" w:cs="Arial"/>
                <w:b/>
                <w:bCs/>
                <w:sz w:val="16"/>
                <w:szCs w:val="16"/>
              </w:rPr>
            </w:pPr>
            <w:r w:rsidRPr="00D518FF">
              <w:rPr>
                <w:rFonts w:ascii="Aptos" w:hAnsi="Aptos" w:cs="Arial"/>
                <w:b/>
                <w:bCs/>
                <w:sz w:val="16"/>
                <w:szCs w:val="16"/>
              </w:rPr>
              <w:t>Journal</w:t>
            </w:r>
          </w:p>
        </w:tc>
        <w:tc>
          <w:tcPr>
            <w:tcW w:w="294" w:type="pct"/>
            <w:shd w:val="clear" w:color="auto" w:fill="D9D9D9" w:themeFill="background1" w:themeFillShade="D9"/>
            <w:noWrap/>
            <w:hideMark/>
          </w:tcPr>
          <w:p w14:paraId="7F6E9E5C" w14:textId="6A784A38" w:rsidR="004C6AA1" w:rsidRPr="00D518FF" w:rsidRDefault="004C6AA1" w:rsidP="004C6AA1">
            <w:pPr>
              <w:rPr>
                <w:rFonts w:ascii="Aptos" w:hAnsi="Aptos" w:cs="Arial"/>
                <w:b/>
                <w:bCs/>
                <w:sz w:val="16"/>
                <w:szCs w:val="16"/>
              </w:rPr>
            </w:pPr>
            <w:r w:rsidRPr="00D518FF">
              <w:rPr>
                <w:rFonts w:ascii="Aptos" w:hAnsi="Aptos"/>
                <w:b/>
                <w:bCs/>
                <w:color w:val="000000"/>
                <w:sz w:val="16"/>
                <w:szCs w:val="16"/>
              </w:rPr>
              <w:t>Volume</w:t>
            </w:r>
          </w:p>
        </w:tc>
        <w:tc>
          <w:tcPr>
            <w:tcW w:w="245" w:type="pct"/>
            <w:shd w:val="clear" w:color="auto" w:fill="D9D9D9" w:themeFill="background1" w:themeFillShade="D9"/>
            <w:noWrap/>
            <w:hideMark/>
          </w:tcPr>
          <w:p w14:paraId="51BE34F1" w14:textId="77777777" w:rsidR="004C6AA1" w:rsidRPr="00D518FF" w:rsidRDefault="004C6AA1" w:rsidP="004C6AA1">
            <w:pPr>
              <w:rPr>
                <w:rFonts w:ascii="Aptos" w:hAnsi="Aptos" w:cs="Arial"/>
                <w:b/>
                <w:bCs/>
                <w:sz w:val="16"/>
                <w:szCs w:val="16"/>
              </w:rPr>
            </w:pPr>
            <w:r w:rsidRPr="00D518FF">
              <w:rPr>
                <w:rFonts w:ascii="Aptos" w:hAnsi="Aptos" w:cs="Arial"/>
                <w:b/>
                <w:bCs/>
                <w:sz w:val="16"/>
                <w:szCs w:val="16"/>
              </w:rPr>
              <w:t>Issue</w:t>
            </w:r>
          </w:p>
        </w:tc>
        <w:tc>
          <w:tcPr>
            <w:tcW w:w="246" w:type="pct"/>
            <w:shd w:val="clear" w:color="auto" w:fill="D9D9D9" w:themeFill="background1" w:themeFillShade="D9"/>
            <w:noWrap/>
            <w:hideMark/>
          </w:tcPr>
          <w:p w14:paraId="0901F5C5" w14:textId="77777777" w:rsidR="004C6AA1" w:rsidRPr="00D518FF" w:rsidRDefault="004C6AA1" w:rsidP="004C6AA1">
            <w:pPr>
              <w:rPr>
                <w:rFonts w:ascii="Aptos" w:hAnsi="Aptos" w:cs="Arial"/>
                <w:b/>
                <w:bCs/>
                <w:sz w:val="16"/>
                <w:szCs w:val="16"/>
              </w:rPr>
            </w:pPr>
            <w:r w:rsidRPr="00D518FF">
              <w:rPr>
                <w:rFonts w:ascii="Aptos" w:hAnsi="Aptos" w:cs="Arial"/>
                <w:b/>
                <w:bCs/>
                <w:sz w:val="16"/>
                <w:szCs w:val="16"/>
              </w:rPr>
              <w:t>Pages</w:t>
            </w:r>
          </w:p>
        </w:tc>
        <w:tc>
          <w:tcPr>
            <w:tcW w:w="833" w:type="pct"/>
            <w:shd w:val="clear" w:color="auto" w:fill="D9D9D9" w:themeFill="background1" w:themeFillShade="D9"/>
            <w:noWrap/>
            <w:hideMark/>
          </w:tcPr>
          <w:p w14:paraId="2B3E2F7B" w14:textId="77777777" w:rsidR="004C6AA1" w:rsidRPr="00D518FF" w:rsidRDefault="004C6AA1" w:rsidP="004C6AA1">
            <w:pPr>
              <w:rPr>
                <w:rFonts w:ascii="Aptos" w:hAnsi="Aptos" w:cs="Arial"/>
                <w:b/>
                <w:bCs/>
                <w:sz w:val="16"/>
                <w:szCs w:val="16"/>
              </w:rPr>
            </w:pPr>
            <w:r w:rsidRPr="00D518FF">
              <w:rPr>
                <w:rFonts w:ascii="Aptos" w:hAnsi="Aptos" w:cs="Arial"/>
                <w:b/>
                <w:bCs/>
                <w:sz w:val="16"/>
                <w:szCs w:val="16"/>
              </w:rPr>
              <w:t>Exclusion reason</w:t>
            </w:r>
          </w:p>
        </w:tc>
      </w:tr>
      <w:tr w:rsidR="004C6AA1" w:rsidRPr="00D518FF" w14:paraId="3C7010F7" w14:textId="77777777" w:rsidTr="004C6AA1">
        <w:trPr>
          <w:trHeight w:val="320"/>
        </w:trPr>
        <w:tc>
          <w:tcPr>
            <w:tcW w:w="1470" w:type="pct"/>
            <w:shd w:val="clear" w:color="auto" w:fill="auto"/>
            <w:noWrap/>
          </w:tcPr>
          <w:p w14:paraId="02F6EBEE" w14:textId="77777777" w:rsidR="008F3151" w:rsidRPr="00D518FF" w:rsidRDefault="008F3151">
            <w:pPr>
              <w:rPr>
                <w:rFonts w:ascii="Aptos" w:hAnsi="Aptos"/>
                <w:color w:val="000000"/>
                <w:sz w:val="16"/>
                <w:szCs w:val="16"/>
              </w:rPr>
            </w:pPr>
            <w:r w:rsidRPr="00D518FF">
              <w:rPr>
                <w:rFonts w:ascii="Aptos" w:hAnsi="Aptos"/>
                <w:color w:val="000000"/>
                <w:sz w:val="16"/>
                <w:szCs w:val="16"/>
              </w:rPr>
              <w:t>Systemic drug treatment for chronic musculoskeletal pain</w:t>
            </w:r>
          </w:p>
        </w:tc>
        <w:tc>
          <w:tcPr>
            <w:tcW w:w="1226" w:type="pct"/>
            <w:shd w:val="clear" w:color="auto" w:fill="auto"/>
            <w:noWrap/>
          </w:tcPr>
          <w:p w14:paraId="55C5C939" w14:textId="77777777" w:rsidR="008F3151" w:rsidRPr="00D518FF" w:rsidRDefault="008F3151">
            <w:pPr>
              <w:rPr>
                <w:rFonts w:ascii="Aptos" w:hAnsi="Aptos"/>
                <w:color w:val="000000"/>
                <w:sz w:val="16"/>
                <w:szCs w:val="16"/>
              </w:rPr>
            </w:pPr>
            <w:r w:rsidRPr="00D518FF">
              <w:rPr>
                <w:rFonts w:ascii="Aptos" w:hAnsi="Aptos"/>
                <w:color w:val="000000"/>
                <w:sz w:val="16"/>
                <w:szCs w:val="16"/>
              </w:rPr>
              <w:t>Moulin, D. E.</w:t>
            </w:r>
          </w:p>
        </w:tc>
        <w:tc>
          <w:tcPr>
            <w:tcW w:w="196" w:type="pct"/>
            <w:shd w:val="clear" w:color="auto" w:fill="auto"/>
            <w:noWrap/>
          </w:tcPr>
          <w:p w14:paraId="1FC57FA8" w14:textId="77777777" w:rsidR="008F3151" w:rsidRPr="00D518FF" w:rsidRDefault="008F3151">
            <w:pPr>
              <w:rPr>
                <w:rFonts w:ascii="Aptos" w:hAnsi="Aptos"/>
                <w:color w:val="000000"/>
                <w:sz w:val="16"/>
                <w:szCs w:val="16"/>
              </w:rPr>
            </w:pPr>
            <w:r w:rsidRPr="00D518FF">
              <w:rPr>
                <w:rFonts w:ascii="Aptos" w:hAnsi="Aptos"/>
                <w:color w:val="000000"/>
                <w:sz w:val="16"/>
                <w:szCs w:val="16"/>
              </w:rPr>
              <w:t>2001</w:t>
            </w:r>
          </w:p>
        </w:tc>
        <w:tc>
          <w:tcPr>
            <w:tcW w:w="490" w:type="pct"/>
            <w:shd w:val="clear" w:color="auto" w:fill="auto"/>
            <w:noWrap/>
          </w:tcPr>
          <w:p w14:paraId="76BF0261" w14:textId="77777777" w:rsidR="008F3151" w:rsidRPr="00D518FF" w:rsidRDefault="008F3151">
            <w:pPr>
              <w:rPr>
                <w:rFonts w:ascii="Aptos" w:hAnsi="Aptos"/>
                <w:color w:val="000000"/>
                <w:sz w:val="16"/>
                <w:szCs w:val="16"/>
              </w:rPr>
            </w:pPr>
            <w:r w:rsidRPr="00D518FF">
              <w:rPr>
                <w:rFonts w:ascii="Aptos" w:hAnsi="Aptos"/>
                <w:color w:val="000000"/>
                <w:sz w:val="16"/>
                <w:szCs w:val="16"/>
              </w:rPr>
              <w:t>The Clinical journal of pain</w:t>
            </w:r>
          </w:p>
        </w:tc>
        <w:tc>
          <w:tcPr>
            <w:tcW w:w="294" w:type="pct"/>
            <w:shd w:val="clear" w:color="auto" w:fill="auto"/>
            <w:noWrap/>
          </w:tcPr>
          <w:p w14:paraId="18CB45D7"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245" w:type="pct"/>
            <w:shd w:val="clear" w:color="auto" w:fill="auto"/>
            <w:noWrap/>
          </w:tcPr>
          <w:p w14:paraId="494313A9" w14:textId="77777777" w:rsidR="008F3151" w:rsidRPr="00D518FF" w:rsidRDefault="008F3151">
            <w:pPr>
              <w:rPr>
                <w:rFonts w:ascii="Aptos" w:hAnsi="Aptos"/>
                <w:color w:val="000000"/>
                <w:sz w:val="16"/>
                <w:szCs w:val="16"/>
              </w:rPr>
            </w:pPr>
            <w:r w:rsidRPr="00D518FF">
              <w:rPr>
                <w:rFonts w:ascii="Aptos" w:hAnsi="Aptos"/>
                <w:color w:val="000000"/>
                <w:sz w:val="16"/>
                <w:szCs w:val="16"/>
              </w:rPr>
              <w:t>4 Suppl</w:t>
            </w:r>
          </w:p>
        </w:tc>
        <w:tc>
          <w:tcPr>
            <w:tcW w:w="246" w:type="pct"/>
            <w:shd w:val="clear" w:color="auto" w:fill="auto"/>
            <w:noWrap/>
          </w:tcPr>
          <w:p w14:paraId="2D5609F8" w14:textId="77777777" w:rsidR="008F3151" w:rsidRPr="00D518FF" w:rsidRDefault="008F3151">
            <w:pPr>
              <w:rPr>
                <w:rFonts w:ascii="Aptos" w:hAnsi="Aptos"/>
                <w:color w:val="000000"/>
                <w:sz w:val="16"/>
                <w:szCs w:val="16"/>
              </w:rPr>
            </w:pPr>
            <w:r w:rsidRPr="00D518FF">
              <w:rPr>
                <w:rFonts w:ascii="Aptos" w:hAnsi="Aptos"/>
                <w:color w:val="000000"/>
                <w:sz w:val="16"/>
                <w:szCs w:val="16"/>
              </w:rPr>
              <w:t>S86-93</w:t>
            </w:r>
          </w:p>
        </w:tc>
        <w:tc>
          <w:tcPr>
            <w:tcW w:w="833" w:type="pct"/>
            <w:shd w:val="clear" w:color="auto" w:fill="auto"/>
            <w:noWrap/>
          </w:tcPr>
          <w:p w14:paraId="58C9452F"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1EB3F277" w14:textId="77777777" w:rsidTr="004C6AA1">
        <w:trPr>
          <w:trHeight w:val="320"/>
        </w:trPr>
        <w:tc>
          <w:tcPr>
            <w:tcW w:w="1470" w:type="pct"/>
            <w:shd w:val="clear" w:color="auto" w:fill="auto"/>
            <w:noWrap/>
          </w:tcPr>
          <w:p w14:paraId="324794FF" w14:textId="77777777" w:rsidR="008F3151" w:rsidRPr="00D518FF" w:rsidRDefault="008F3151">
            <w:pPr>
              <w:rPr>
                <w:rFonts w:ascii="Aptos" w:hAnsi="Aptos"/>
                <w:color w:val="000000"/>
                <w:sz w:val="16"/>
                <w:szCs w:val="16"/>
              </w:rPr>
            </w:pPr>
            <w:r w:rsidRPr="00D518FF">
              <w:rPr>
                <w:rFonts w:ascii="Aptos" w:hAnsi="Aptos"/>
                <w:color w:val="000000"/>
                <w:sz w:val="16"/>
                <w:szCs w:val="16"/>
              </w:rPr>
              <w:t>Magnesium therapy in the treatment of chronic pain: a systematic review</w:t>
            </w:r>
          </w:p>
        </w:tc>
        <w:tc>
          <w:tcPr>
            <w:tcW w:w="1226" w:type="pct"/>
            <w:shd w:val="clear" w:color="auto" w:fill="auto"/>
            <w:noWrap/>
          </w:tcPr>
          <w:p w14:paraId="7F2BB620" w14:textId="77777777" w:rsidR="008F3151" w:rsidRPr="00D518FF" w:rsidRDefault="008F3151">
            <w:pPr>
              <w:shd w:val="clear" w:color="auto" w:fill="FFFFFF"/>
              <w:rPr>
                <w:rFonts w:ascii="Aptos" w:hAnsi="Aptos"/>
                <w:color w:val="000000"/>
                <w:sz w:val="16"/>
                <w:szCs w:val="16"/>
              </w:rPr>
            </w:pPr>
            <w:r w:rsidRPr="00D518FF">
              <w:rPr>
                <w:rFonts w:ascii="Aptos" w:hAnsi="Aptos"/>
                <w:color w:val="000000"/>
                <w:sz w:val="16"/>
                <w:szCs w:val="16"/>
              </w:rPr>
              <w:t>Evan Oliver Matthews, Matthew Bryant, Aman Ahuja, Akhilesh Tiwari</w:t>
            </w:r>
          </w:p>
        </w:tc>
        <w:tc>
          <w:tcPr>
            <w:tcW w:w="196" w:type="pct"/>
            <w:shd w:val="clear" w:color="auto" w:fill="auto"/>
            <w:noWrap/>
          </w:tcPr>
          <w:p w14:paraId="4AF6F25E"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490" w:type="pct"/>
            <w:shd w:val="clear" w:color="auto" w:fill="auto"/>
            <w:noWrap/>
          </w:tcPr>
          <w:p w14:paraId="7EBCED04" w14:textId="411CB897" w:rsidR="008F3151" w:rsidRPr="00D518FF" w:rsidRDefault="000E633D">
            <w:pPr>
              <w:rPr>
                <w:rFonts w:ascii="Aptos" w:hAnsi="Aptos"/>
                <w:color w:val="000000"/>
                <w:sz w:val="16"/>
                <w:szCs w:val="16"/>
              </w:rPr>
            </w:pPr>
            <w:r>
              <w:rPr>
                <w:rFonts w:ascii="Aptos" w:hAnsi="Aptos"/>
                <w:color w:val="000000"/>
                <w:sz w:val="16"/>
                <w:szCs w:val="16"/>
              </w:rPr>
              <w:t>PROSPERO</w:t>
            </w:r>
          </w:p>
        </w:tc>
        <w:tc>
          <w:tcPr>
            <w:tcW w:w="294" w:type="pct"/>
            <w:shd w:val="clear" w:color="auto" w:fill="auto"/>
            <w:noWrap/>
          </w:tcPr>
          <w:p w14:paraId="30DDAFBC" w14:textId="77777777" w:rsidR="008F3151" w:rsidRPr="00D518FF" w:rsidRDefault="008F3151">
            <w:pPr>
              <w:rPr>
                <w:rFonts w:ascii="Aptos" w:hAnsi="Aptos"/>
                <w:color w:val="000000"/>
                <w:sz w:val="16"/>
                <w:szCs w:val="16"/>
              </w:rPr>
            </w:pPr>
            <w:r w:rsidRPr="00D518FF">
              <w:rPr>
                <w:rFonts w:ascii="Aptos" w:hAnsi="Aptos"/>
                <w:color w:val="000000"/>
                <w:sz w:val="16"/>
                <w:szCs w:val="16"/>
              </w:rPr>
              <w:t>CRD42020164342</w:t>
            </w:r>
          </w:p>
        </w:tc>
        <w:tc>
          <w:tcPr>
            <w:tcW w:w="245" w:type="pct"/>
            <w:shd w:val="clear" w:color="auto" w:fill="auto"/>
            <w:noWrap/>
          </w:tcPr>
          <w:p w14:paraId="43AB8DBF" w14:textId="1B1CBB36" w:rsidR="008F3151" w:rsidRPr="00D518FF" w:rsidRDefault="000E633D">
            <w:pPr>
              <w:rPr>
                <w:rFonts w:ascii="Aptos" w:hAnsi="Aptos"/>
                <w:color w:val="000000"/>
                <w:sz w:val="16"/>
                <w:szCs w:val="16"/>
              </w:rPr>
            </w:pPr>
            <w:r>
              <w:rPr>
                <w:rFonts w:ascii="Aptos" w:hAnsi="Aptos"/>
                <w:color w:val="000000"/>
                <w:sz w:val="16"/>
                <w:szCs w:val="16"/>
              </w:rPr>
              <w:t>-</w:t>
            </w:r>
          </w:p>
        </w:tc>
        <w:tc>
          <w:tcPr>
            <w:tcW w:w="246" w:type="pct"/>
            <w:shd w:val="clear" w:color="auto" w:fill="auto"/>
            <w:noWrap/>
          </w:tcPr>
          <w:p w14:paraId="2769B90C" w14:textId="3C6BA348" w:rsidR="008F3151" w:rsidRPr="00D518FF" w:rsidRDefault="000E633D">
            <w:pPr>
              <w:rPr>
                <w:rFonts w:ascii="Aptos" w:hAnsi="Aptos"/>
                <w:color w:val="000000"/>
                <w:sz w:val="16"/>
                <w:szCs w:val="16"/>
              </w:rPr>
            </w:pPr>
            <w:r>
              <w:rPr>
                <w:rFonts w:ascii="Aptos" w:hAnsi="Aptos"/>
                <w:color w:val="000000"/>
                <w:sz w:val="16"/>
                <w:szCs w:val="16"/>
              </w:rPr>
              <w:t>-</w:t>
            </w:r>
          </w:p>
        </w:tc>
        <w:tc>
          <w:tcPr>
            <w:tcW w:w="833" w:type="pct"/>
            <w:shd w:val="clear" w:color="auto" w:fill="auto"/>
            <w:noWrap/>
          </w:tcPr>
          <w:p w14:paraId="1DECC0FA"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bl>
    <w:p w14:paraId="7869892E" w14:textId="77777777" w:rsidR="008F3151" w:rsidRPr="00D518FF" w:rsidRDefault="008F3151" w:rsidP="008F3151">
      <w:pPr>
        <w:pStyle w:val="BodyText"/>
        <w:rPr>
          <w:rFonts w:ascii="Aptos" w:hAnsi="Aptos"/>
        </w:rPr>
      </w:pPr>
    </w:p>
    <w:p w14:paraId="6E8A1FDE" w14:textId="43BF627B" w:rsidR="00E659BC" w:rsidRDefault="00E659BC" w:rsidP="00E659BC">
      <w:pPr>
        <w:pStyle w:val="Caption"/>
      </w:pPr>
      <w:bookmarkStart w:id="124" w:name="_Toc185254539"/>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12</w:t>
      </w:r>
      <w:r w:rsidR="00DC4767" w:rsidRPr="004C6AA1">
        <w:rPr>
          <w:rFonts w:ascii="Aptos" w:hAnsi="Aptos"/>
        </w:rPr>
        <w:fldChar w:fldCharType="end"/>
      </w:r>
      <w:r w:rsidRPr="004C6AA1">
        <w:rPr>
          <w:rFonts w:ascii="Aptos" w:hAnsi="Aptos"/>
        </w:rPr>
        <w:t xml:space="preserve">. </w:t>
      </w:r>
      <w:r w:rsidRPr="00D518FF">
        <w:rPr>
          <w:rFonts w:ascii="Aptos" w:hAnsi="Aptos"/>
        </w:rPr>
        <w:t>Excluded reviews, reason for exclusion – hypertension, omega-3</w:t>
      </w:r>
      <w:r w:rsidR="002408E6">
        <w:rPr>
          <w:rFonts w:ascii="Aptos" w:hAnsi="Aptos"/>
        </w:rPr>
        <w:t xml:space="preserve"> </w:t>
      </w:r>
      <w:r w:rsidR="002408E6">
        <w:t>fatty acids</w:t>
      </w:r>
      <w:r>
        <w:rPr>
          <w:rFonts w:ascii="Aptos" w:hAnsi="Aptos"/>
        </w:rPr>
        <w:t>.</w:t>
      </w:r>
      <w:bookmarkEnd w:id="124"/>
    </w:p>
    <w:tbl>
      <w:tblPr>
        <w:tblW w:w="1445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4253"/>
        <w:gridCol w:w="3544"/>
        <w:gridCol w:w="567"/>
        <w:gridCol w:w="1417"/>
        <w:gridCol w:w="851"/>
        <w:gridCol w:w="708"/>
        <w:gridCol w:w="709"/>
        <w:gridCol w:w="2410"/>
      </w:tblGrid>
      <w:tr w:rsidR="00EA0F99" w:rsidRPr="00D518FF" w14:paraId="3F89827F" w14:textId="77777777" w:rsidTr="004C6AA1">
        <w:trPr>
          <w:trHeight w:val="67"/>
        </w:trPr>
        <w:tc>
          <w:tcPr>
            <w:tcW w:w="4253" w:type="dxa"/>
            <w:shd w:val="clear" w:color="auto" w:fill="D9D9D9" w:themeFill="background1" w:themeFillShade="D9"/>
            <w:noWrap/>
            <w:hideMark/>
          </w:tcPr>
          <w:p w14:paraId="12DE5557" w14:textId="77777777" w:rsidR="008F3151" w:rsidRPr="00D518FF" w:rsidRDefault="008F3151">
            <w:pPr>
              <w:rPr>
                <w:rFonts w:ascii="Aptos" w:hAnsi="Aptos" w:cs="Arial"/>
                <w:b/>
                <w:bCs/>
                <w:sz w:val="16"/>
                <w:szCs w:val="16"/>
              </w:rPr>
            </w:pPr>
            <w:r w:rsidRPr="00D518FF">
              <w:rPr>
                <w:rFonts w:ascii="Aptos" w:hAnsi="Aptos" w:cs="Arial"/>
                <w:b/>
                <w:bCs/>
                <w:sz w:val="16"/>
                <w:szCs w:val="16"/>
              </w:rPr>
              <w:t>Title</w:t>
            </w:r>
          </w:p>
        </w:tc>
        <w:tc>
          <w:tcPr>
            <w:tcW w:w="3544" w:type="dxa"/>
            <w:shd w:val="clear" w:color="auto" w:fill="D9D9D9" w:themeFill="background1" w:themeFillShade="D9"/>
            <w:noWrap/>
            <w:hideMark/>
          </w:tcPr>
          <w:p w14:paraId="767C9DB4" w14:textId="77777777" w:rsidR="008F3151" w:rsidRPr="00D518FF" w:rsidRDefault="008F3151">
            <w:pPr>
              <w:rPr>
                <w:rFonts w:ascii="Aptos" w:hAnsi="Aptos" w:cs="Arial"/>
                <w:b/>
                <w:bCs/>
                <w:sz w:val="16"/>
                <w:szCs w:val="16"/>
              </w:rPr>
            </w:pPr>
            <w:r w:rsidRPr="00D518FF">
              <w:rPr>
                <w:rFonts w:ascii="Aptos" w:hAnsi="Aptos" w:cs="Arial"/>
                <w:b/>
                <w:bCs/>
                <w:sz w:val="16"/>
                <w:szCs w:val="16"/>
              </w:rPr>
              <w:t>Authors</w:t>
            </w:r>
          </w:p>
        </w:tc>
        <w:tc>
          <w:tcPr>
            <w:tcW w:w="567" w:type="dxa"/>
            <w:shd w:val="clear" w:color="auto" w:fill="D9D9D9" w:themeFill="background1" w:themeFillShade="D9"/>
            <w:noWrap/>
            <w:hideMark/>
          </w:tcPr>
          <w:p w14:paraId="25BAFDF3" w14:textId="77777777" w:rsidR="008F3151" w:rsidRPr="00D518FF" w:rsidRDefault="008F3151">
            <w:pPr>
              <w:rPr>
                <w:rFonts w:ascii="Aptos" w:hAnsi="Aptos" w:cs="Arial"/>
                <w:b/>
                <w:bCs/>
                <w:sz w:val="16"/>
                <w:szCs w:val="16"/>
              </w:rPr>
            </w:pPr>
            <w:r w:rsidRPr="00D518FF">
              <w:rPr>
                <w:rFonts w:ascii="Aptos" w:hAnsi="Aptos" w:cs="Arial"/>
                <w:b/>
                <w:bCs/>
                <w:sz w:val="16"/>
                <w:szCs w:val="16"/>
              </w:rPr>
              <w:t>Year</w:t>
            </w:r>
          </w:p>
        </w:tc>
        <w:tc>
          <w:tcPr>
            <w:tcW w:w="1417" w:type="dxa"/>
            <w:shd w:val="clear" w:color="auto" w:fill="D9D9D9" w:themeFill="background1" w:themeFillShade="D9"/>
            <w:noWrap/>
            <w:hideMark/>
          </w:tcPr>
          <w:p w14:paraId="11AD1AFD" w14:textId="77777777" w:rsidR="008F3151" w:rsidRPr="00D518FF" w:rsidRDefault="008F3151">
            <w:pPr>
              <w:rPr>
                <w:rFonts w:ascii="Aptos" w:hAnsi="Aptos" w:cs="Arial"/>
                <w:b/>
                <w:bCs/>
                <w:sz w:val="16"/>
                <w:szCs w:val="16"/>
              </w:rPr>
            </w:pPr>
            <w:r w:rsidRPr="00D518FF">
              <w:rPr>
                <w:rFonts w:ascii="Aptos" w:hAnsi="Aptos" w:cs="Arial"/>
                <w:b/>
                <w:bCs/>
                <w:sz w:val="16"/>
                <w:szCs w:val="16"/>
              </w:rPr>
              <w:t>Journal</w:t>
            </w:r>
          </w:p>
        </w:tc>
        <w:tc>
          <w:tcPr>
            <w:tcW w:w="851" w:type="dxa"/>
            <w:shd w:val="clear" w:color="auto" w:fill="D9D9D9" w:themeFill="background1" w:themeFillShade="D9"/>
            <w:noWrap/>
            <w:hideMark/>
          </w:tcPr>
          <w:p w14:paraId="38F108DE" w14:textId="77777777" w:rsidR="008F3151" w:rsidRPr="00D518FF" w:rsidRDefault="008F3151">
            <w:pPr>
              <w:rPr>
                <w:rFonts w:ascii="Aptos" w:hAnsi="Aptos" w:cs="Arial"/>
                <w:b/>
                <w:bCs/>
                <w:sz w:val="16"/>
                <w:szCs w:val="16"/>
              </w:rPr>
            </w:pPr>
            <w:r w:rsidRPr="00D518FF">
              <w:rPr>
                <w:rFonts w:ascii="Aptos" w:hAnsi="Aptos" w:cs="Arial"/>
                <w:b/>
                <w:bCs/>
                <w:sz w:val="16"/>
                <w:szCs w:val="16"/>
              </w:rPr>
              <w:t>Volume</w:t>
            </w:r>
          </w:p>
        </w:tc>
        <w:tc>
          <w:tcPr>
            <w:tcW w:w="708" w:type="dxa"/>
            <w:shd w:val="clear" w:color="auto" w:fill="D9D9D9" w:themeFill="background1" w:themeFillShade="D9"/>
            <w:noWrap/>
            <w:hideMark/>
          </w:tcPr>
          <w:p w14:paraId="11EE05E4" w14:textId="77777777" w:rsidR="008F3151" w:rsidRPr="00D518FF" w:rsidRDefault="008F3151">
            <w:pPr>
              <w:rPr>
                <w:rFonts w:ascii="Aptos" w:hAnsi="Aptos" w:cs="Arial"/>
                <w:b/>
                <w:bCs/>
                <w:sz w:val="16"/>
                <w:szCs w:val="16"/>
              </w:rPr>
            </w:pPr>
            <w:r w:rsidRPr="00D518FF">
              <w:rPr>
                <w:rFonts w:ascii="Aptos" w:hAnsi="Aptos" w:cs="Arial"/>
                <w:b/>
                <w:bCs/>
                <w:sz w:val="16"/>
                <w:szCs w:val="16"/>
              </w:rPr>
              <w:t>Issue</w:t>
            </w:r>
          </w:p>
        </w:tc>
        <w:tc>
          <w:tcPr>
            <w:tcW w:w="709" w:type="dxa"/>
            <w:shd w:val="clear" w:color="auto" w:fill="D9D9D9" w:themeFill="background1" w:themeFillShade="D9"/>
            <w:noWrap/>
            <w:hideMark/>
          </w:tcPr>
          <w:p w14:paraId="7364BC1D" w14:textId="77777777" w:rsidR="008F3151" w:rsidRPr="00D518FF" w:rsidRDefault="008F3151">
            <w:pPr>
              <w:rPr>
                <w:rFonts w:ascii="Aptos" w:hAnsi="Aptos" w:cs="Arial"/>
                <w:b/>
                <w:bCs/>
                <w:sz w:val="16"/>
                <w:szCs w:val="16"/>
              </w:rPr>
            </w:pPr>
            <w:r w:rsidRPr="00D518FF">
              <w:rPr>
                <w:rFonts w:ascii="Aptos" w:hAnsi="Aptos" w:cs="Arial"/>
                <w:b/>
                <w:bCs/>
                <w:sz w:val="16"/>
                <w:szCs w:val="16"/>
              </w:rPr>
              <w:t>Pages</w:t>
            </w:r>
          </w:p>
        </w:tc>
        <w:tc>
          <w:tcPr>
            <w:tcW w:w="2410" w:type="dxa"/>
            <w:shd w:val="clear" w:color="auto" w:fill="D9D9D9" w:themeFill="background1" w:themeFillShade="D9"/>
            <w:noWrap/>
            <w:hideMark/>
          </w:tcPr>
          <w:p w14:paraId="7A919EE4" w14:textId="77777777" w:rsidR="008F3151" w:rsidRPr="00D518FF" w:rsidRDefault="008F3151">
            <w:pPr>
              <w:rPr>
                <w:rFonts w:ascii="Aptos" w:hAnsi="Aptos" w:cs="Arial"/>
                <w:b/>
                <w:bCs/>
                <w:sz w:val="16"/>
                <w:szCs w:val="16"/>
              </w:rPr>
            </w:pPr>
            <w:r w:rsidRPr="00D518FF">
              <w:rPr>
                <w:rFonts w:ascii="Aptos" w:hAnsi="Aptos" w:cs="Arial"/>
                <w:b/>
                <w:bCs/>
                <w:sz w:val="16"/>
                <w:szCs w:val="16"/>
              </w:rPr>
              <w:t>Exclusion reason</w:t>
            </w:r>
          </w:p>
        </w:tc>
      </w:tr>
      <w:tr w:rsidR="007261B1" w:rsidRPr="00D518FF" w14:paraId="178AD727" w14:textId="77777777" w:rsidTr="004C6AA1">
        <w:trPr>
          <w:trHeight w:val="320"/>
        </w:trPr>
        <w:tc>
          <w:tcPr>
            <w:tcW w:w="4253" w:type="dxa"/>
            <w:shd w:val="clear" w:color="auto" w:fill="auto"/>
            <w:noWrap/>
          </w:tcPr>
          <w:p w14:paraId="19600ABF" w14:textId="77777777" w:rsidR="008F3151" w:rsidRPr="00D518FF" w:rsidRDefault="008F3151">
            <w:pPr>
              <w:rPr>
                <w:rFonts w:ascii="Aptos" w:hAnsi="Aptos"/>
                <w:color w:val="000000"/>
                <w:sz w:val="16"/>
                <w:szCs w:val="16"/>
              </w:rPr>
            </w:pPr>
            <w:r w:rsidRPr="00D518FF">
              <w:rPr>
                <w:rFonts w:ascii="Aptos" w:hAnsi="Aptos"/>
                <w:color w:val="000000"/>
                <w:sz w:val="16"/>
                <w:szCs w:val="16"/>
              </w:rPr>
              <w:t>Omega-3 fatty acids and blood pressure</w:t>
            </w:r>
          </w:p>
        </w:tc>
        <w:tc>
          <w:tcPr>
            <w:tcW w:w="3544" w:type="dxa"/>
            <w:shd w:val="clear" w:color="auto" w:fill="auto"/>
            <w:noWrap/>
          </w:tcPr>
          <w:p w14:paraId="1488F53D" w14:textId="77777777" w:rsidR="008F3151" w:rsidRPr="00D518FF" w:rsidRDefault="008F3151">
            <w:pPr>
              <w:rPr>
                <w:rFonts w:ascii="Aptos" w:hAnsi="Aptos"/>
                <w:color w:val="000000"/>
                <w:sz w:val="16"/>
                <w:szCs w:val="16"/>
              </w:rPr>
            </w:pPr>
            <w:r w:rsidRPr="00D518FF">
              <w:rPr>
                <w:rFonts w:ascii="Aptos" w:hAnsi="Aptos"/>
                <w:color w:val="000000"/>
                <w:sz w:val="16"/>
                <w:szCs w:val="16"/>
              </w:rPr>
              <w:t>Cabo, J.; Alonso, R.; Mata, P.</w:t>
            </w:r>
          </w:p>
        </w:tc>
        <w:tc>
          <w:tcPr>
            <w:tcW w:w="567" w:type="dxa"/>
            <w:shd w:val="clear" w:color="auto" w:fill="auto"/>
            <w:noWrap/>
          </w:tcPr>
          <w:p w14:paraId="6534F34F" w14:textId="77777777" w:rsidR="008F3151" w:rsidRPr="00D518FF" w:rsidRDefault="008F3151">
            <w:pPr>
              <w:rPr>
                <w:rFonts w:ascii="Aptos" w:hAnsi="Aptos"/>
                <w:color w:val="000000"/>
                <w:sz w:val="16"/>
                <w:szCs w:val="16"/>
              </w:rPr>
            </w:pPr>
            <w:r w:rsidRPr="00D518FF">
              <w:rPr>
                <w:rFonts w:ascii="Aptos" w:hAnsi="Aptos"/>
                <w:color w:val="000000"/>
                <w:sz w:val="16"/>
                <w:szCs w:val="16"/>
              </w:rPr>
              <w:t>2012</w:t>
            </w:r>
          </w:p>
        </w:tc>
        <w:tc>
          <w:tcPr>
            <w:tcW w:w="1417" w:type="dxa"/>
            <w:shd w:val="clear" w:color="auto" w:fill="auto"/>
            <w:noWrap/>
          </w:tcPr>
          <w:p w14:paraId="3B6708D9" w14:textId="77777777" w:rsidR="008F3151" w:rsidRPr="00D518FF" w:rsidRDefault="008F3151">
            <w:pPr>
              <w:rPr>
                <w:rFonts w:ascii="Aptos" w:hAnsi="Aptos"/>
                <w:color w:val="000000"/>
                <w:sz w:val="16"/>
                <w:szCs w:val="16"/>
              </w:rPr>
            </w:pPr>
            <w:r w:rsidRPr="00D518FF">
              <w:rPr>
                <w:rFonts w:ascii="Aptos" w:hAnsi="Aptos"/>
                <w:color w:val="000000"/>
                <w:sz w:val="16"/>
                <w:szCs w:val="16"/>
              </w:rPr>
              <w:t>British Journal of Nutrition</w:t>
            </w:r>
          </w:p>
        </w:tc>
        <w:tc>
          <w:tcPr>
            <w:tcW w:w="851" w:type="dxa"/>
            <w:shd w:val="clear" w:color="auto" w:fill="auto"/>
            <w:noWrap/>
          </w:tcPr>
          <w:p w14:paraId="7ACB3CED" w14:textId="77777777" w:rsidR="008F3151" w:rsidRPr="00D518FF" w:rsidRDefault="008F3151">
            <w:pPr>
              <w:rPr>
                <w:rFonts w:ascii="Aptos" w:hAnsi="Aptos"/>
                <w:color w:val="000000"/>
                <w:sz w:val="16"/>
                <w:szCs w:val="16"/>
              </w:rPr>
            </w:pPr>
            <w:r w:rsidRPr="00D518FF">
              <w:rPr>
                <w:rFonts w:ascii="Aptos" w:hAnsi="Aptos"/>
                <w:color w:val="000000"/>
                <w:sz w:val="16"/>
                <w:szCs w:val="16"/>
              </w:rPr>
              <w:t>107</w:t>
            </w:r>
          </w:p>
        </w:tc>
        <w:tc>
          <w:tcPr>
            <w:tcW w:w="708" w:type="dxa"/>
            <w:shd w:val="clear" w:color="auto" w:fill="auto"/>
            <w:noWrap/>
          </w:tcPr>
          <w:p w14:paraId="61ED56F8" w14:textId="77777777" w:rsidR="008F3151" w:rsidRPr="00D518FF" w:rsidRDefault="008F3151">
            <w:pPr>
              <w:rPr>
                <w:rFonts w:ascii="Aptos" w:hAnsi="Aptos"/>
                <w:color w:val="000000"/>
                <w:sz w:val="16"/>
                <w:szCs w:val="16"/>
              </w:rPr>
            </w:pPr>
            <w:r w:rsidRPr="00D518FF">
              <w:rPr>
                <w:rFonts w:ascii="Aptos" w:hAnsi="Aptos"/>
                <w:color w:val="000000"/>
                <w:sz w:val="16"/>
                <w:szCs w:val="16"/>
              </w:rPr>
              <w:t>SUPPL. 2</w:t>
            </w:r>
          </w:p>
        </w:tc>
        <w:tc>
          <w:tcPr>
            <w:tcW w:w="709" w:type="dxa"/>
            <w:shd w:val="clear" w:color="auto" w:fill="auto"/>
            <w:noWrap/>
          </w:tcPr>
          <w:p w14:paraId="692E4022" w14:textId="77777777" w:rsidR="008F3151" w:rsidRPr="00D518FF" w:rsidRDefault="008F3151">
            <w:pPr>
              <w:rPr>
                <w:rFonts w:ascii="Aptos" w:hAnsi="Aptos"/>
                <w:color w:val="000000"/>
                <w:sz w:val="16"/>
                <w:szCs w:val="16"/>
              </w:rPr>
            </w:pPr>
            <w:r w:rsidRPr="00D518FF">
              <w:rPr>
                <w:rFonts w:ascii="Aptos" w:hAnsi="Aptos"/>
                <w:color w:val="000000"/>
                <w:sz w:val="16"/>
                <w:szCs w:val="16"/>
              </w:rPr>
              <w:t>S195-S200</w:t>
            </w:r>
          </w:p>
        </w:tc>
        <w:tc>
          <w:tcPr>
            <w:tcW w:w="2410" w:type="dxa"/>
            <w:shd w:val="clear" w:color="auto" w:fill="auto"/>
            <w:noWrap/>
          </w:tcPr>
          <w:p w14:paraId="2E5F429A"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7261B1" w:rsidRPr="00D518FF" w14:paraId="21F95FA6" w14:textId="77777777" w:rsidTr="004C6AA1">
        <w:trPr>
          <w:trHeight w:val="320"/>
        </w:trPr>
        <w:tc>
          <w:tcPr>
            <w:tcW w:w="4253" w:type="dxa"/>
            <w:shd w:val="clear" w:color="auto" w:fill="auto"/>
            <w:noWrap/>
          </w:tcPr>
          <w:p w14:paraId="446CB867" w14:textId="77777777" w:rsidR="008F3151" w:rsidRPr="00D518FF" w:rsidRDefault="008F3151">
            <w:pPr>
              <w:rPr>
                <w:rFonts w:ascii="Aptos" w:hAnsi="Aptos"/>
                <w:color w:val="000000"/>
                <w:sz w:val="16"/>
                <w:szCs w:val="16"/>
              </w:rPr>
            </w:pPr>
            <w:r w:rsidRPr="00D518FF">
              <w:rPr>
                <w:rFonts w:ascii="Aptos" w:hAnsi="Aptos"/>
                <w:color w:val="000000"/>
                <w:sz w:val="16"/>
                <w:szCs w:val="16"/>
              </w:rPr>
              <w:t>Effect of omega-3 fish oil on cardiovascular risk in diabetes</w:t>
            </w:r>
          </w:p>
        </w:tc>
        <w:tc>
          <w:tcPr>
            <w:tcW w:w="3544" w:type="dxa"/>
            <w:shd w:val="clear" w:color="auto" w:fill="auto"/>
            <w:noWrap/>
          </w:tcPr>
          <w:p w14:paraId="19EB1AF7" w14:textId="77777777" w:rsidR="008F3151" w:rsidRPr="00D518FF" w:rsidRDefault="008F3151">
            <w:pPr>
              <w:rPr>
                <w:rFonts w:ascii="Aptos" w:hAnsi="Aptos"/>
                <w:color w:val="000000"/>
                <w:sz w:val="16"/>
                <w:szCs w:val="16"/>
              </w:rPr>
            </w:pPr>
            <w:r w:rsidRPr="00D518FF">
              <w:rPr>
                <w:rFonts w:ascii="Aptos" w:hAnsi="Aptos"/>
                <w:color w:val="000000"/>
                <w:sz w:val="16"/>
                <w:szCs w:val="16"/>
              </w:rPr>
              <w:t>McEwen, B.; Morel-Kopp, M. C.; Tofler, G.; Ward, C.</w:t>
            </w:r>
          </w:p>
        </w:tc>
        <w:tc>
          <w:tcPr>
            <w:tcW w:w="567" w:type="dxa"/>
            <w:shd w:val="clear" w:color="auto" w:fill="auto"/>
            <w:noWrap/>
          </w:tcPr>
          <w:p w14:paraId="6B763D82"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417" w:type="dxa"/>
            <w:shd w:val="clear" w:color="auto" w:fill="auto"/>
            <w:noWrap/>
          </w:tcPr>
          <w:p w14:paraId="3222A4E1" w14:textId="77777777" w:rsidR="008F3151" w:rsidRPr="00D518FF" w:rsidRDefault="008F3151">
            <w:pPr>
              <w:rPr>
                <w:rFonts w:ascii="Aptos" w:hAnsi="Aptos"/>
                <w:color w:val="000000"/>
                <w:sz w:val="16"/>
                <w:szCs w:val="16"/>
              </w:rPr>
            </w:pPr>
            <w:r w:rsidRPr="00D518FF">
              <w:rPr>
                <w:rFonts w:ascii="Aptos" w:hAnsi="Aptos"/>
                <w:color w:val="000000"/>
                <w:sz w:val="16"/>
                <w:szCs w:val="16"/>
              </w:rPr>
              <w:t>The Diabetes educator</w:t>
            </w:r>
          </w:p>
        </w:tc>
        <w:tc>
          <w:tcPr>
            <w:tcW w:w="851" w:type="dxa"/>
            <w:shd w:val="clear" w:color="auto" w:fill="auto"/>
            <w:noWrap/>
          </w:tcPr>
          <w:p w14:paraId="761C20EE" w14:textId="77777777" w:rsidR="008F3151" w:rsidRPr="00D518FF" w:rsidRDefault="008F3151">
            <w:pPr>
              <w:rPr>
                <w:rFonts w:ascii="Aptos" w:hAnsi="Aptos"/>
                <w:color w:val="000000"/>
                <w:sz w:val="16"/>
                <w:szCs w:val="16"/>
              </w:rPr>
            </w:pPr>
            <w:r w:rsidRPr="00D518FF">
              <w:rPr>
                <w:rFonts w:ascii="Aptos" w:hAnsi="Aptos"/>
                <w:color w:val="000000"/>
                <w:sz w:val="16"/>
                <w:szCs w:val="16"/>
              </w:rPr>
              <w:t>36</w:t>
            </w:r>
          </w:p>
        </w:tc>
        <w:tc>
          <w:tcPr>
            <w:tcW w:w="708" w:type="dxa"/>
            <w:shd w:val="clear" w:color="auto" w:fill="auto"/>
            <w:noWrap/>
          </w:tcPr>
          <w:p w14:paraId="30283875"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tcPr>
          <w:p w14:paraId="120AACDC" w14:textId="77777777" w:rsidR="008F3151" w:rsidRPr="00D518FF" w:rsidRDefault="008F3151">
            <w:pPr>
              <w:rPr>
                <w:rFonts w:ascii="Aptos" w:hAnsi="Aptos"/>
                <w:color w:val="000000"/>
                <w:sz w:val="16"/>
                <w:szCs w:val="16"/>
              </w:rPr>
            </w:pPr>
            <w:r w:rsidRPr="00D518FF">
              <w:rPr>
                <w:rFonts w:ascii="Aptos" w:hAnsi="Aptos"/>
                <w:color w:val="000000"/>
                <w:sz w:val="16"/>
                <w:szCs w:val="16"/>
              </w:rPr>
              <w:t>565-84</w:t>
            </w:r>
          </w:p>
        </w:tc>
        <w:tc>
          <w:tcPr>
            <w:tcW w:w="2410" w:type="dxa"/>
            <w:shd w:val="clear" w:color="auto" w:fill="auto"/>
            <w:noWrap/>
          </w:tcPr>
          <w:p w14:paraId="3E962AEB"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7261B1" w:rsidRPr="00D518FF" w14:paraId="0BB15D1E" w14:textId="77777777" w:rsidTr="004C6AA1">
        <w:trPr>
          <w:trHeight w:val="320"/>
        </w:trPr>
        <w:tc>
          <w:tcPr>
            <w:tcW w:w="4253" w:type="dxa"/>
            <w:shd w:val="clear" w:color="auto" w:fill="auto"/>
            <w:noWrap/>
          </w:tcPr>
          <w:p w14:paraId="76D73AD1" w14:textId="77777777" w:rsidR="008F3151" w:rsidRPr="00D518FF" w:rsidRDefault="008F3151">
            <w:pPr>
              <w:rPr>
                <w:rFonts w:ascii="Aptos" w:hAnsi="Aptos"/>
                <w:color w:val="000000"/>
                <w:sz w:val="16"/>
                <w:szCs w:val="16"/>
              </w:rPr>
            </w:pPr>
            <w:r w:rsidRPr="00D518FF">
              <w:rPr>
                <w:rFonts w:ascii="Aptos" w:hAnsi="Aptos"/>
                <w:color w:val="000000"/>
                <w:sz w:val="16"/>
                <w:szCs w:val="16"/>
              </w:rPr>
              <w:t>Does fish oil lower blood pressure? A meta-analysis of controlled trials</w:t>
            </w:r>
          </w:p>
        </w:tc>
        <w:tc>
          <w:tcPr>
            <w:tcW w:w="3544" w:type="dxa"/>
            <w:shd w:val="clear" w:color="auto" w:fill="auto"/>
            <w:noWrap/>
          </w:tcPr>
          <w:p w14:paraId="39F86A20" w14:textId="77777777" w:rsidR="008F3151" w:rsidRPr="00D518FF" w:rsidRDefault="008F3151">
            <w:pPr>
              <w:rPr>
                <w:rFonts w:ascii="Aptos" w:hAnsi="Aptos"/>
                <w:color w:val="000000"/>
                <w:sz w:val="16"/>
                <w:szCs w:val="16"/>
              </w:rPr>
            </w:pPr>
            <w:r w:rsidRPr="00D518FF">
              <w:rPr>
                <w:rFonts w:ascii="Aptos" w:hAnsi="Aptos"/>
                <w:color w:val="000000"/>
                <w:sz w:val="16"/>
                <w:szCs w:val="16"/>
              </w:rPr>
              <w:t>Morris, M. C.; Sacks, F.; Rosner, B.</w:t>
            </w:r>
          </w:p>
        </w:tc>
        <w:tc>
          <w:tcPr>
            <w:tcW w:w="567" w:type="dxa"/>
            <w:shd w:val="clear" w:color="auto" w:fill="auto"/>
            <w:noWrap/>
          </w:tcPr>
          <w:p w14:paraId="0A0C0D65" w14:textId="77777777" w:rsidR="008F3151" w:rsidRPr="00D518FF" w:rsidRDefault="008F3151">
            <w:pPr>
              <w:rPr>
                <w:rFonts w:ascii="Aptos" w:hAnsi="Aptos"/>
                <w:color w:val="000000"/>
                <w:sz w:val="16"/>
                <w:szCs w:val="16"/>
              </w:rPr>
            </w:pPr>
            <w:r w:rsidRPr="00D518FF">
              <w:rPr>
                <w:rFonts w:ascii="Aptos" w:hAnsi="Aptos"/>
                <w:color w:val="000000"/>
                <w:sz w:val="16"/>
                <w:szCs w:val="16"/>
              </w:rPr>
              <w:t>1993</w:t>
            </w:r>
          </w:p>
        </w:tc>
        <w:tc>
          <w:tcPr>
            <w:tcW w:w="1417" w:type="dxa"/>
            <w:shd w:val="clear" w:color="auto" w:fill="auto"/>
            <w:noWrap/>
          </w:tcPr>
          <w:p w14:paraId="0B6A7EE9" w14:textId="77777777" w:rsidR="008F3151" w:rsidRPr="00D518FF" w:rsidRDefault="008F3151">
            <w:pPr>
              <w:rPr>
                <w:rFonts w:ascii="Aptos" w:hAnsi="Aptos"/>
                <w:color w:val="000000"/>
                <w:sz w:val="16"/>
                <w:szCs w:val="16"/>
              </w:rPr>
            </w:pPr>
            <w:r w:rsidRPr="00D518FF">
              <w:rPr>
                <w:rFonts w:ascii="Aptos" w:hAnsi="Aptos"/>
                <w:color w:val="000000"/>
                <w:sz w:val="16"/>
                <w:szCs w:val="16"/>
              </w:rPr>
              <w:t>Circulation</w:t>
            </w:r>
          </w:p>
        </w:tc>
        <w:tc>
          <w:tcPr>
            <w:tcW w:w="851" w:type="dxa"/>
            <w:shd w:val="clear" w:color="auto" w:fill="auto"/>
            <w:noWrap/>
          </w:tcPr>
          <w:p w14:paraId="0F93725C" w14:textId="77777777" w:rsidR="008F3151" w:rsidRPr="00D518FF" w:rsidRDefault="008F3151">
            <w:pPr>
              <w:rPr>
                <w:rFonts w:ascii="Aptos" w:hAnsi="Aptos"/>
                <w:color w:val="000000"/>
                <w:sz w:val="16"/>
                <w:szCs w:val="16"/>
              </w:rPr>
            </w:pPr>
            <w:r w:rsidRPr="00D518FF">
              <w:rPr>
                <w:rFonts w:ascii="Aptos" w:hAnsi="Aptos"/>
                <w:color w:val="000000"/>
                <w:sz w:val="16"/>
                <w:szCs w:val="16"/>
              </w:rPr>
              <w:t>88</w:t>
            </w:r>
          </w:p>
        </w:tc>
        <w:tc>
          <w:tcPr>
            <w:tcW w:w="708" w:type="dxa"/>
            <w:shd w:val="clear" w:color="auto" w:fill="auto"/>
            <w:noWrap/>
          </w:tcPr>
          <w:p w14:paraId="2696F25D"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tcPr>
          <w:p w14:paraId="07DCA372" w14:textId="77777777" w:rsidR="008F3151" w:rsidRPr="00D518FF" w:rsidRDefault="008F3151">
            <w:pPr>
              <w:rPr>
                <w:rFonts w:ascii="Aptos" w:hAnsi="Aptos"/>
                <w:color w:val="000000"/>
                <w:sz w:val="16"/>
                <w:szCs w:val="16"/>
              </w:rPr>
            </w:pPr>
            <w:r w:rsidRPr="00D518FF">
              <w:rPr>
                <w:rFonts w:ascii="Aptos" w:hAnsi="Aptos"/>
                <w:color w:val="000000"/>
                <w:sz w:val="16"/>
                <w:szCs w:val="16"/>
              </w:rPr>
              <w:t>523-33</w:t>
            </w:r>
          </w:p>
        </w:tc>
        <w:tc>
          <w:tcPr>
            <w:tcW w:w="2410" w:type="dxa"/>
            <w:shd w:val="clear" w:color="auto" w:fill="auto"/>
            <w:noWrap/>
          </w:tcPr>
          <w:p w14:paraId="3676EEBB"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7261B1" w:rsidRPr="00D518FF" w14:paraId="02C90CF3" w14:textId="77777777" w:rsidTr="004C6AA1">
        <w:trPr>
          <w:trHeight w:val="320"/>
        </w:trPr>
        <w:tc>
          <w:tcPr>
            <w:tcW w:w="4253" w:type="dxa"/>
            <w:shd w:val="clear" w:color="auto" w:fill="auto"/>
            <w:noWrap/>
          </w:tcPr>
          <w:p w14:paraId="2E4E11EE" w14:textId="77777777" w:rsidR="008F3151" w:rsidRPr="00D518FF" w:rsidRDefault="008F3151">
            <w:pPr>
              <w:rPr>
                <w:rFonts w:ascii="Aptos" w:hAnsi="Aptos"/>
                <w:color w:val="000000"/>
                <w:sz w:val="16"/>
                <w:szCs w:val="16"/>
              </w:rPr>
            </w:pPr>
            <w:r w:rsidRPr="00D518FF">
              <w:rPr>
                <w:rFonts w:ascii="Aptos" w:hAnsi="Aptos"/>
                <w:color w:val="000000"/>
                <w:sz w:val="16"/>
                <w:szCs w:val="16"/>
              </w:rPr>
              <w:t>Omega 3 fatty acids in cardiovascular disease risk factors: An updated systematic review of randomised clinical trials</w:t>
            </w:r>
          </w:p>
        </w:tc>
        <w:tc>
          <w:tcPr>
            <w:tcW w:w="3544" w:type="dxa"/>
            <w:shd w:val="clear" w:color="auto" w:fill="auto"/>
            <w:noWrap/>
          </w:tcPr>
          <w:p w14:paraId="04129CA0" w14:textId="77777777" w:rsidR="008F3151" w:rsidRPr="00D518FF" w:rsidRDefault="008F3151">
            <w:pPr>
              <w:rPr>
                <w:rFonts w:ascii="Aptos" w:hAnsi="Aptos"/>
                <w:color w:val="000000"/>
                <w:sz w:val="16"/>
                <w:szCs w:val="16"/>
              </w:rPr>
            </w:pPr>
            <w:r w:rsidRPr="00D518FF">
              <w:rPr>
                <w:rFonts w:ascii="Aptos" w:hAnsi="Aptos"/>
                <w:color w:val="000000"/>
                <w:sz w:val="16"/>
                <w:szCs w:val="16"/>
              </w:rPr>
              <w:t>Rangel-Huerta, O. D.; Gil, A.</w:t>
            </w:r>
          </w:p>
        </w:tc>
        <w:tc>
          <w:tcPr>
            <w:tcW w:w="567" w:type="dxa"/>
            <w:shd w:val="clear" w:color="auto" w:fill="auto"/>
            <w:noWrap/>
          </w:tcPr>
          <w:p w14:paraId="590F4C56"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1417" w:type="dxa"/>
            <w:shd w:val="clear" w:color="auto" w:fill="auto"/>
            <w:noWrap/>
          </w:tcPr>
          <w:p w14:paraId="3AF07182" w14:textId="77777777" w:rsidR="008F3151" w:rsidRPr="00D518FF" w:rsidRDefault="008F3151">
            <w:pPr>
              <w:rPr>
                <w:rFonts w:ascii="Aptos" w:hAnsi="Aptos"/>
                <w:color w:val="000000"/>
                <w:sz w:val="16"/>
                <w:szCs w:val="16"/>
              </w:rPr>
            </w:pPr>
            <w:r w:rsidRPr="00D518FF">
              <w:rPr>
                <w:rFonts w:ascii="Aptos" w:hAnsi="Aptos"/>
                <w:color w:val="000000"/>
                <w:sz w:val="16"/>
                <w:szCs w:val="16"/>
              </w:rPr>
              <w:t>Clinical nutrition (Edinburgh, Scotland)</w:t>
            </w:r>
          </w:p>
        </w:tc>
        <w:tc>
          <w:tcPr>
            <w:tcW w:w="851" w:type="dxa"/>
            <w:shd w:val="clear" w:color="auto" w:fill="auto"/>
            <w:noWrap/>
          </w:tcPr>
          <w:p w14:paraId="353F6224" w14:textId="77777777" w:rsidR="008F3151" w:rsidRPr="00D518FF" w:rsidRDefault="008F3151">
            <w:pPr>
              <w:rPr>
                <w:rFonts w:ascii="Aptos" w:hAnsi="Aptos"/>
                <w:color w:val="000000"/>
                <w:sz w:val="16"/>
                <w:szCs w:val="16"/>
              </w:rPr>
            </w:pPr>
            <w:r w:rsidRPr="00D518FF">
              <w:rPr>
                <w:rFonts w:ascii="Aptos" w:hAnsi="Aptos"/>
                <w:color w:val="000000"/>
                <w:sz w:val="16"/>
                <w:szCs w:val="16"/>
              </w:rPr>
              <w:t>37</w:t>
            </w:r>
          </w:p>
        </w:tc>
        <w:tc>
          <w:tcPr>
            <w:tcW w:w="708" w:type="dxa"/>
            <w:shd w:val="clear" w:color="auto" w:fill="auto"/>
            <w:noWrap/>
          </w:tcPr>
          <w:p w14:paraId="5BA4D7B8"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tcPr>
          <w:p w14:paraId="5DF4831C" w14:textId="77777777" w:rsidR="008F3151" w:rsidRPr="00D518FF" w:rsidRDefault="008F3151">
            <w:pPr>
              <w:rPr>
                <w:rFonts w:ascii="Aptos" w:hAnsi="Aptos"/>
                <w:color w:val="000000"/>
                <w:sz w:val="16"/>
                <w:szCs w:val="16"/>
              </w:rPr>
            </w:pPr>
            <w:r w:rsidRPr="00D518FF">
              <w:rPr>
                <w:rFonts w:ascii="Aptos" w:hAnsi="Aptos"/>
                <w:color w:val="000000"/>
                <w:sz w:val="16"/>
                <w:szCs w:val="16"/>
              </w:rPr>
              <w:t>72-77</w:t>
            </w:r>
          </w:p>
        </w:tc>
        <w:tc>
          <w:tcPr>
            <w:tcW w:w="2410" w:type="dxa"/>
            <w:shd w:val="clear" w:color="auto" w:fill="auto"/>
            <w:noWrap/>
          </w:tcPr>
          <w:p w14:paraId="0856BE23"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77430BDC" w14:textId="77777777" w:rsidTr="004C6AA1">
        <w:trPr>
          <w:trHeight w:val="320"/>
        </w:trPr>
        <w:tc>
          <w:tcPr>
            <w:tcW w:w="4253" w:type="dxa"/>
            <w:shd w:val="clear" w:color="auto" w:fill="auto"/>
            <w:noWrap/>
            <w:hideMark/>
          </w:tcPr>
          <w:p w14:paraId="76027DA5" w14:textId="77777777" w:rsidR="008F3151" w:rsidRPr="00D518FF" w:rsidRDefault="008F3151">
            <w:pPr>
              <w:rPr>
                <w:rFonts w:ascii="Aptos" w:hAnsi="Aptos"/>
                <w:color w:val="000000"/>
                <w:sz w:val="16"/>
                <w:szCs w:val="16"/>
              </w:rPr>
            </w:pPr>
            <w:r w:rsidRPr="00D518FF">
              <w:rPr>
                <w:rFonts w:ascii="Aptos" w:hAnsi="Aptos"/>
                <w:color w:val="000000"/>
                <w:sz w:val="16"/>
                <w:szCs w:val="16"/>
              </w:rPr>
              <w:t>Effects of monounsaturated fatty acids on cardiovascular risk factors: A systematic review and meta-analysis</w:t>
            </w:r>
          </w:p>
        </w:tc>
        <w:tc>
          <w:tcPr>
            <w:tcW w:w="3544" w:type="dxa"/>
            <w:shd w:val="clear" w:color="auto" w:fill="auto"/>
            <w:noWrap/>
            <w:hideMark/>
          </w:tcPr>
          <w:p w14:paraId="589B2C10" w14:textId="77777777" w:rsidR="008F3151" w:rsidRPr="00D518FF" w:rsidRDefault="008F3151">
            <w:pPr>
              <w:rPr>
                <w:rFonts w:ascii="Aptos" w:hAnsi="Aptos"/>
                <w:color w:val="000000"/>
                <w:sz w:val="16"/>
                <w:szCs w:val="16"/>
              </w:rPr>
            </w:pPr>
            <w:r w:rsidRPr="00D518FF">
              <w:rPr>
                <w:rFonts w:ascii="Aptos" w:hAnsi="Aptos"/>
                <w:color w:val="000000"/>
                <w:sz w:val="16"/>
                <w:szCs w:val="16"/>
              </w:rPr>
              <w:t>Schwingshackl, L.; Strasser, B.; Hoffmann, G.</w:t>
            </w:r>
          </w:p>
        </w:tc>
        <w:tc>
          <w:tcPr>
            <w:tcW w:w="567" w:type="dxa"/>
            <w:shd w:val="clear" w:color="auto" w:fill="auto"/>
            <w:noWrap/>
            <w:hideMark/>
          </w:tcPr>
          <w:p w14:paraId="53F63BCD"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417" w:type="dxa"/>
            <w:shd w:val="clear" w:color="auto" w:fill="auto"/>
            <w:noWrap/>
            <w:hideMark/>
          </w:tcPr>
          <w:p w14:paraId="28610715" w14:textId="77777777" w:rsidR="008F3151" w:rsidRPr="00D518FF" w:rsidRDefault="008F3151">
            <w:pPr>
              <w:rPr>
                <w:rFonts w:ascii="Aptos" w:hAnsi="Aptos"/>
                <w:color w:val="000000"/>
                <w:sz w:val="16"/>
                <w:szCs w:val="16"/>
              </w:rPr>
            </w:pPr>
            <w:r w:rsidRPr="00D518FF">
              <w:rPr>
                <w:rFonts w:ascii="Aptos" w:hAnsi="Aptos"/>
                <w:color w:val="000000"/>
                <w:sz w:val="16"/>
                <w:szCs w:val="16"/>
              </w:rPr>
              <w:t>Annals of Nutrition and Metabolism</w:t>
            </w:r>
          </w:p>
        </w:tc>
        <w:tc>
          <w:tcPr>
            <w:tcW w:w="851" w:type="dxa"/>
            <w:shd w:val="clear" w:color="auto" w:fill="auto"/>
            <w:noWrap/>
            <w:hideMark/>
          </w:tcPr>
          <w:p w14:paraId="2D5981C7" w14:textId="77777777" w:rsidR="008F3151" w:rsidRPr="00D518FF" w:rsidRDefault="008F3151">
            <w:pPr>
              <w:rPr>
                <w:rFonts w:ascii="Aptos" w:hAnsi="Aptos"/>
                <w:color w:val="000000"/>
                <w:sz w:val="16"/>
                <w:szCs w:val="16"/>
              </w:rPr>
            </w:pPr>
            <w:r w:rsidRPr="00D518FF">
              <w:rPr>
                <w:rFonts w:ascii="Aptos" w:hAnsi="Aptos"/>
                <w:color w:val="000000"/>
                <w:sz w:val="16"/>
                <w:szCs w:val="16"/>
              </w:rPr>
              <w:t>59</w:t>
            </w:r>
          </w:p>
        </w:tc>
        <w:tc>
          <w:tcPr>
            <w:tcW w:w="708" w:type="dxa"/>
            <w:shd w:val="clear" w:color="auto" w:fill="auto"/>
            <w:noWrap/>
            <w:hideMark/>
          </w:tcPr>
          <w:p w14:paraId="5DD47E44" w14:textId="06D6D643" w:rsidR="008F3151" w:rsidRPr="00D518FF" w:rsidRDefault="008F3151">
            <w:pPr>
              <w:rPr>
                <w:rFonts w:ascii="Aptos" w:hAnsi="Aptos"/>
                <w:color w:val="000000"/>
                <w:sz w:val="16"/>
                <w:szCs w:val="16"/>
              </w:rPr>
            </w:pPr>
            <w:r w:rsidRPr="00D518FF">
              <w:rPr>
                <w:rFonts w:ascii="Aptos" w:hAnsi="Aptos"/>
                <w:color w:val="000000"/>
                <w:sz w:val="16"/>
                <w:szCs w:val="16"/>
              </w:rPr>
              <w:t>2-</w:t>
            </w:r>
            <w:r w:rsidR="008C1EC5">
              <w:rPr>
                <w:rFonts w:ascii="Aptos" w:hAnsi="Aptos"/>
                <w:color w:val="000000"/>
                <w:sz w:val="16"/>
                <w:szCs w:val="16"/>
              </w:rPr>
              <w:t>4</w:t>
            </w:r>
          </w:p>
        </w:tc>
        <w:tc>
          <w:tcPr>
            <w:tcW w:w="709" w:type="dxa"/>
            <w:shd w:val="clear" w:color="auto" w:fill="auto"/>
            <w:noWrap/>
            <w:hideMark/>
          </w:tcPr>
          <w:p w14:paraId="3BFCE1C7" w14:textId="77777777" w:rsidR="008F3151" w:rsidRPr="00D518FF" w:rsidRDefault="008F3151">
            <w:pPr>
              <w:rPr>
                <w:rFonts w:ascii="Aptos" w:hAnsi="Aptos"/>
                <w:color w:val="000000"/>
                <w:sz w:val="16"/>
                <w:szCs w:val="16"/>
              </w:rPr>
            </w:pPr>
            <w:r w:rsidRPr="00D518FF">
              <w:rPr>
                <w:rFonts w:ascii="Aptos" w:hAnsi="Aptos"/>
                <w:color w:val="000000"/>
                <w:sz w:val="16"/>
                <w:szCs w:val="16"/>
              </w:rPr>
              <w:t>176-186</w:t>
            </w:r>
          </w:p>
        </w:tc>
        <w:tc>
          <w:tcPr>
            <w:tcW w:w="2410" w:type="dxa"/>
            <w:shd w:val="clear" w:color="auto" w:fill="auto"/>
            <w:noWrap/>
            <w:hideMark/>
          </w:tcPr>
          <w:p w14:paraId="6F6E586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569F79E0" w14:textId="77777777" w:rsidTr="004C6AA1">
        <w:trPr>
          <w:trHeight w:val="320"/>
        </w:trPr>
        <w:tc>
          <w:tcPr>
            <w:tcW w:w="4253" w:type="dxa"/>
            <w:shd w:val="clear" w:color="auto" w:fill="auto"/>
            <w:noWrap/>
            <w:hideMark/>
          </w:tcPr>
          <w:p w14:paraId="622AF506" w14:textId="77777777" w:rsidR="008F3151" w:rsidRPr="00D518FF" w:rsidRDefault="008F3151">
            <w:pPr>
              <w:rPr>
                <w:rFonts w:ascii="Aptos" w:hAnsi="Aptos"/>
                <w:color w:val="000000"/>
                <w:sz w:val="16"/>
                <w:szCs w:val="16"/>
              </w:rPr>
            </w:pPr>
            <w:r w:rsidRPr="00D518FF">
              <w:rPr>
                <w:rFonts w:ascii="Aptos" w:hAnsi="Aptos"/>
                <w:color w:val="000000"/>
                <w:sz w:val="16"/>
                <w:szCs w:val="16"/>
              </w:rPr>
              <w:t>Polyunsaturated fatty acids for the primary and secondary prevention of cardiovascular disease</w:t>
            </w:r>
          </w:p>
        </w:tc>
        <w:tc>
          <w:tcPr>
            <w:tcW w:w="3544" w:type="dxa"/>
            <w:shd w:val="clear" w:color="auto" w:fill="auto"/>
            <w:noWrap/>
            <w:hideMark/>
          </w:tcPr>
          <w:p w14:paraId="2506DBFF" w14:textId="77777777" w:rsidR="008F3151" w:rsidRPr="00D518FF" w:rsidRDefault="008F3151">
            <w:pPr>
              <w:rPr>
                <w:rFonts w:ascii="Aptos" w:hAnsi="Aptos"/>
                <w:color w:val="000000"/>
                <w:sz w:val="16"/>
                <w:szCs w:val="16"/>
              </w:rPr>
            </w:pPr>
            <w:r w:rsidRPr="00D518FF">
              <w:rPr>
                <w:rFonts w:ascii="Aptos" w:hAnsi="Aptos"/>
                <w:color w:val="000000"/>
                <w:sz w:val="16"/>
                <w:szCs w:val="16"/>
              </w:rPr>
              <w:t>Abdelhamid, A. S.; Martin, N.; Bridges, C.; Brainard, J. S.; Wang, X.; Brown, T. J.; Hanson, S.; Jimoh, O. F.; Ajabnoor, S. M.; Deane, K. H.; Song, F.; Hooper, L.</w:t>
            </w:r>
          </w:p>
        </w:tc>
        <w:tc>
          <w:tcPr>
            <w:tcW w:w="567" w:type="dxa"/>
            <w:shd w:val="clear" w:color="auto" w:fill="auto"/>
            <w:noWrap/>
            <w:hideMark/>
          </w:tcPr>
          <w:p w14:paraId="13327FEF"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1417" w:type="dxa"/>
            <w:shd w:val="clear" w:color="auto" w:fill="auto"/>
            <w:noWrap/>
            <w:hideMark/>
          </w:tcPr>
          <w:p w14:paraId="1362B371" w14:textId="77777777" w:rsidR="008F3151" w:rsidRPr="00D518FF" w:rsidRDefault="008F3151">
            <w:pPr>
              <w:rPr>
                <w:rFonts w:ascii="Aptos" w:hAnsi="Aptos"/>
                <w:color w:val="000000"/>
                <w:sz w:val="16"/>
                <w:szCs w:val="16"/>
              </w:rPr>
            </w:pPr>
            <w:r w:rsidRPr="00D518FF">
              <w:rPr>
                <w:rFonts w:ascii="Aptos" w:hAnsi="Aptos"/>
                <w:color w:val="000000"/>
                <w:sz w:val="16"/>
                <w:szCs w:val="16"/>
              </w:rPr>
              <w:t>The Cochrane database of systematic reviews</w:t>
            </w:r>
          </w:p>
        </w:tc>
        <w:tc>
          <w:tcPr>
            <w:tcW w:w="851" w:type="dxa"/>
            <w:shd w:val="clear" w:color="auto" w:fill="auto"/>
            <w:noWrap/>
            <w:hideMark/>
          </w:tcPr>
          <w:p w14:paraId="4C8AB1B1" w14:textId="6A87570C" w:rsidR="008F3151" w:rsidRPr="00D518FF" w:rsidRDefault="008C1EC5">
            <w:pPr>
              <w:rPr>
                <w:rFonts w:ascii="Aptos" w:hAnsi="Aptos"/>
                <w:color w:val="000000"/>
                <w:sz w:val="16"/>
                <w:szCs w:val="16"/>
              </w:rPr>
            </w:pPr>
            <w:r>
              <w:rPr>
                <w:rFonts w:ascii="Aptos" w:hAnsi="Aptos"/>
                <w:color w:val="000000"/>
                <w:sz w:val="16"/>
                <w:szCs w:val="16"/>
              </w:rPr>
              <w:t>7</w:t>
            </w:r>
          </w:p>
        </w:tc>
        <w:tc>
          <w:tcPr>
            <w:tcW w:w="708" w:type="dxa"/>
            <w:shd w:val="clear" w:color="auto" w:fill="auto"/>
            <w:noWrap/>
            <w:hideMark/>
          </w:tcPr>
          <w:p w14:paraId="7FCFC39D" w14:textId="5350D6AF" w:rsidR="008F3151" w:rsidRPr="00D518FF" w:rsidRDefault="008C1EC5">
            <w:pPr>
              <w:rPr>
                <w:rFonts w:ascii="Aptos" w:hAnsi="Aptos"/>
                <w:color w:val="000000"/>
                <w:sz w:val="16"/>
                <w:szCs w:val="16"/>
              </w:rPr>
            </w:pPr>
            <w:r>
              <w:rPr>
                <w:rFonts w:ascii="Aptos" w:hAnsi="Aptos"/>
                <w:color w:val="000000"/>
                <w:sz w:val="16"/>
                <w:szCs w:val="16"/>
              </w:rPr>
              <w:t>7</w:t>
            </w:r>
          </w:p>
        </w:tc>
        <w:tc>
          <w:tcPr>
            <w:tcW w:w="709" w:type="dxa"/>
            <w:shd w:val="clear" w:color="auto" w:fill="auto"/>
            <w:noWrap/>
            <w:hideMark/>
          </w:tcPr>
          <w:p w14:paraId="609068F3" w14:textId="77777777" w:rsidR="008F3151" w:rsidRPr="00D518FF" w:rsidRDefault="008F3151">
            <w:pPr>
              <w:rPr>
                <w:rFonts w:ascii="Aptos" w:hAnsi="Aptos"/>
                <w:color w:val="000000"/>
                <w:sz w:val="16"/>
                <w:szCs w:val="16"/>
              </w:rPr>
            </w:pPr>
            <w:r w:rsidRPr="00D518FF">
              <w:rPr>
                <w:rFonts w:ascii="Aptos" w:hAnsi="Aptos"/>
                <w:color w:val="000000"/>
                <w:sz w:val="16"/>
                <w:szCs w:val="16"/>
              </w:rPr>
              <w:t>CD012345</w:t>
            </w:r>
          </w:p>
        </w:tc>
        <w:tc>
          <w:tcPr>
            <w:tcW w:w="2410" w:type="dxa"/>
            <w:shd w:val="clear" w:color="auto" w:fill="auto"/>
            <w:noWrap/>
            <w:hideMark/>
          </w:tcPr>
          <w:p w14:paraId="1F17297E"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509237B9" w14:textId="77777777" w:rsidTr="00887C84">
        <w:trPr>
          <w:trHeight w:val="320"/>
        </w:trPr>
        <w:tc>
          <w:tcPr>
            <w:tcW w:w="4253" w:type="dxa"/>
            <w:shd w:val="clear" w:color="auto" w:fill="auto"/>
            <w:noWrap/>
            <w:hideMark/>
          </w:tcPr>
          <w:p w14:paraId="3F135B92" w14:textId="77777777" w:rsidR="00BD188B" w:rsidRPr="00D518FF" w:rsidRDefault="00BD188B">
            <w:pPr>
              <w:rPr>
                <w:rFonts w:ascii="Aptos" w:hAnsi="Aptos"/>
                <w:color w:val="000000"/>
                <w:sz w:val="16"/>
                <w:szCs w:val="16"/>
              </w:rPr>
            </w:pPr>
            <w:r w:rsidRPr="00D518FF">
              <w:rPr>
                <w:rFonts w:ascii="Aptos" w:hAnsi="Aptos"/>
                <w:color w:val="000000"/>
                <w:sz w:val="16"/>
                <w:szCs w:val="16"/>
              </w:rPr>
              <w:t>Scientific evidence of the association between oral intake of OMEGA-3 and OMEGA-6 fatty acids and the metabolic syndrome in adolescents: A systematic review</w:t>
            </w:r>
          </w:p>
        </w:tc>
        <w:tc>
          <w:tcPr>
            <w:tcW w:w="3544" w:type="dxa"/>
            <w:shd w:val="clear" w:color="auto" w:fill="auto"/>
            <w:noWrap/>
            <w:hideMark/>
          </w:tcPr>
          <w:p w14:paraId="64ACB7AB" w14:textId="77777777" w:rsidR="00BD188B" w:rsidRPr="00D518FF" w:rsidRDefault="00BD188B">
            <w:pPr>
              <w:rPr>
                <w:rFonts w:ascii="Aptos" w:hAnsi="Aptos"/>
                <w:color w:val="000000"/>
                <w:sz w:val="16"/>
                <w:szCs w:val="16"/>
              </w:rPr>
            </w:pPr>
            <w:r w:rsidRPr="00D518FF">
              <w:rPr>
                <w:rFonts w:ascii="Aptos" w:hAnsi="Aptos"/>
                <w:color w:val="000000"/>
                <w:sz w:val="16"/>
                <w:szCs w:val="16"/>
              </w:rPr>
              <w:t>Tureck, C.; Barboza, B. P.; Bricarello, L. P.; Retondario, A.; Alves, M. A.; de Moura Souza, A.; Fernandes, R.; de Vasconcelos, F. A. G.</w:t>
            </w:r>
          </w:p>
        </w:tc>
        <w:tc>
          <w:tcPr>
            <w:tcW w:w="567" w:type="dxa"/>
            <w:shd w:val="clear" w:color="auto" w:fill="auto"/>
            <w:noWrap/>
            <w:hideMark/>
          </w:tcPr>
          <w:p w14:paraId="510F0DD6" w14:textId="77777777" w:rsidR="00BD188B" w:rsidRPr="00D518FF" w:rsidRDefault="00BD188B">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40298806" w14:textId="305711DA" w:rsidR="00BD188B" w:rsidRPr="00D518FF" w:rsidRDefault="00BD188B">
            <w:pPr>
              <w:rPr>
                <w:rFonts w:ascii="Aptos" w:hAnsi="Aptos"/>
                <w:color w:val="000000"/>
                <w:sz w:val="16"/>
                <w:szCs w:val="16"/>
              </w:rPr>
            </w:pPr>
            <w:r w:rsidRPr="00D518FF">
              <w:rPr>
                <w:rFonts w:ascii="Aptos" w:hAnsi="Aptos"/>
                <w:color w:val="000000"/>
                <w:sz w:val="16"/>
                <w:szCs w:val="16"/>
              </w:rPr>
              <w:t>Nutrition, metabolism, and cardiovascular diseases: NMCD</w:t>
            </w:r>
          </w:p>
        </w:tc>
        <w:tc>
          <w:tcPr>
            <w:tcW w:w="851" w:type="dxa"/>
            <w:shd w:val="clear" w:color="auto" w:fill="auto"/>
          </w:tcPr>
          <w:p w14:paraId="14541630" w14:textId="61EBB70F" w:rsidR="00BD188B" w:rsidRPr="00D518FF" w:rsidRDefault="008C1EC5">
            <w:pPr>
              <w:rPr>
                <w:rFonts w:ascii="Aptos" w:hAnsi="Aptos"/>
                <w:color w:val="000000"/>
                <w:sz w:val="16"/>
                <w:szCs w:val="16"/>
              </w:rPr>
            </w:pPr>
            <w:r>
              <w:rPr>
                <w:rFonts w:ascii="Aptos" w:hAnsi="Aptos"/>
                <w:color w:val="000000"/>
                <w:sz w:val="16"/>
                <w:szCs w:val="16"/>
              </w:rPr>
              <w:t>32</w:t>
            </w:r>
          </w:p>
        </w:tc>
        <w:tc>
          <w:tcPr>
            <w:tcW w:w="708" w:type="dxa"/>
            <w:shd w:val="clear" w:color="auto" w:fill="auto"/>
          </w:tcPr>
          <w:p w14:paraId="78E3F844" w14:textId="22D2FA61" w:rsidR="00BD188B" w:rsidRPr="00D518FF" w:rsidRDefault="008C1EC5">
            <w:pPr>
              <w:rPr>
                <w:rFonts w:ascii="Aptos" w:hAnsi="Aptos"/>
                <w:color w:val="000000"/>
                <w:sz w:val="16"/>
                <w:szCs w:val="16"/>
              </w:rPr>
            </w:pPr>
            <w:r>
              <w:rPr>
                <w:rFonts w:ascii="Aptos" w:hAnsi="Aptos"/>
                <w:color w:val="000000"/>
                <w:sz w:val="16"/>
                <w:szCs w:val="16"/>
              </w:rPr>
              <w:t>12</w:t>
            </w:r>
          </w:p>
        </w:tc>
        <w:tc>
          <w:tcPr>
            <w:tcW w:w="709" w:type="dxa"/>
            <w:shd w:val="clear" w:color="auto" w:fill="auto"/>
          </w:tcPr>
          <w:p w14:paraId="4992A81A" w14:textId="1963CE48" w:rsidR="00BD188B" w:rsidRPr="00D518FF" w:rsidRDefault="008C1EC5">
            <w:pPr>
              <w:rPr>
                <w:rFonts w:ascii="Aptos" w:hAnsi="Aptos"/>
                <w:color w:val="000000"/>
                <w:sz w:val="16"/>
                <w:szCs w:val="16"/>
              </w:rPr>
            </w:pPr>
            <w:r w:rsidRPr="008C1EC5">
              <w:rPr>
                <w:rFonts w:ascii="Aptos" w:hAnsi="Aptos"/>
                <w:color w:val="000000"/>
                <w:sz w:val="16"/>
                <w:szCs w:val="16"/>
              </w:rPr>
              <w:t>2689-2704</w:t>
            </w:r>
          </w:p>
        </w:tc>
        <w:tc>
          <w:tcPr>
            <w:tcW w:w="2410" w:type="dxa"/>
            <w:shd w:val="clear" w:color="auto" w:fill="auto"/>
            <w:noWrap/>
            <w:hideMark/>
          </w:tcPr>
          <w:p w14:paraId="1A47D3BA" w14:textId="77777777" w:rsidR="00BD188B" w:rsidRPr="00D518FF" w:rsidRDefault="00BD188B">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33E209CC" w14:textId="77777777" w:rsidTr="004C6AA1">
        <w:trPr>
          <w:trHeight w:val="320"/>
        </w:trPr>
        <w:tc>
          <w:tcPr>
            <w:tcW w:w="4253" w:type="dxa"/>
            <w:shd w:val="clear" w:color="auto" w:fill="auto"/>
            <w:noWrap/>
            <w:hideMark/>
          </w:tcPr>
          <w:p w14:paraId="1470940B" w14:textId="77777777" w:rsidR="008F3151" w:rsidRPr="00D518FF" w:rsidRDefault="008F3151">
            <w:pPr>
              <w:rPr>
                <w:rFonts w:ascii="Aptos" w:hAnsi="Aptos"/>
                <w:color w:val="000000"/>
                <w:sz w:val="16"/>
                <w:szCs w:val="16"/>
              </w:rPr>
            </w:pPr>
            <w:r w:rsidRPr="00D518FF">
              <w:rPr>
                <w:rFonts w:ascii="Aptos" w:hAnsi="Aptos"/>
                <w:color w:val="000000"/>
                <w:sz w:val="16"/>
                <w:szCs w:val="16"/>
              </w:rPr>
              <w:t>Omega-3 fatty acids for the primary and secondary prevention of cardiovascular disease</w:t>
            </w:r>
          </w:p>
        </w:tc>
        <w:tc>
          <w:tcPr>
            <w:tcW w:w="3544" w:type="dxa"/>
            <w:shd w:val="clear" w:color="auto" w:fill="auto"/>
            <w:noWrap/>
            <w:hideMark/>
          </w:tcPr>
          <w:p w14:paraId="3DEC29B0" w14:textId="77777777" w:rsidR="008F3151" w:rsidRPr="00D518FF" w:rsidRDefault="008F3151">
            <w:pPr>
              <w:rPr>
                <w:rFonts w:ascii="Aptos" w:hAnsi="Aptos"/>
                <w:color w:val="000000"/>
                <w:sz w:val="16"/>
                <w:szCs w:val="16"/>
              </w:rPr>
            </w:pPr>
            <w:r w:rsidRPr="00D518FF">
              <w:rPr>
                <w:rFonts w:ascii="Aptos" w:hAnsi="Aptos"/>
                <w:color w:val="000000"/>
                <w:sz w:val="16"/>
                <w:szCs w:val="16"/>
              </w:rPr>
              <w:t>Abdelhamid, A. S.; Brown, T. J.; Brainard, J. S.; Biswas, P.; Thorpe, G. C.; Moore, H. J.; Deane, K. H.; Summerbell, C. D.; Worthington, H. V.; Song, F.; Hooper, L.</w:t>
            </w:r>
          </w:p>
        </w:tc>
        <w:tc>
          <w:tcPr>
            <w:tcW w:w="567" w:type="dxa"/>
            <w:shd w:val="clear" w:color="auto" w:fill="auto"/>
            <w:noWrap/>
            <w:hideMark/>
          </w:tcPr>
          <w:p w14:paraId="2808078D"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5716720E" w14:textId="77777777" w:rsidR="008F3151" w:rsidRPr="00D518FF" w:rsidRDefault="008F3151">
            <w:pPr>
              <w:rPr>
                <w:rFonts w:ascii="Aptos" w:hAnsi="Aptos"/>
                <w:color w:val="000000"/>
                <w:sz w:val="16"/>
                <w:szCs w:val="16"/>
              </w:rPr>
            </w:pPr>
            <w:r w:rsidRPr="00D518FF">
              <w:rPr>
                <w:rFonts w:ascii="Aptos" w:hAnsi="Aptos"/>
                <w:color w:val="000000"/>
                <w:sz w:val="16"/>
                <w:szCs w:val="16"/>
              </w:rPr>
              <w:t>The Cochrane database of systematic reviews</w:t>
            </w:r>
          </w:p>
        </w:tc>
        <w:tc>
          <w:tcPr>
            <w:tcW w:w="851" w:type="dxa"/>
            <w:shd w:val="clear" w:color="auto" w:fill="auto"/>
            <w:noWrap/>
            <w:hideMark/>
          </w:tcPr>
          <w:p w14:paraId="13226804"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8" w:type="dxa"/>
            <w:shd w:val="clear" w:color="auto" w:fill="auto"/>
            <w:noWrap/>
            <w:hideMark/>
          </w:tcPr>
          <w:p w14:paraId="29FD2EA2"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70F2B3C5" w14:textId="77777777" w:rsidR="008F3151" w:rsidRPr="00D518FF" w:rsidRDefault="008F3151">
            <w:pPr>
              <w:rPr>
                <w:rFonts w:ascii="Aptos" w:hAnsi="Aptos"/>
                <w:color w:val="000000"/>
                <w:sz w:val="16"/>
                <w:szCs w:val="16"/>
              </w:rPr>
            </w:pPr>
            <w:r w:rsidRPr="00D518FF">
              <w:rPr>
                <w:rFonts w:ascii="Aptos" w:hAnsi="Aptos"/>
                <w:color w:val="000000"/>
                <w:sz w:val="16"/>
                <w:szCs w:val="16"/>
              </w:rPr>
              <w:t>CD003177</w:t>
            </w:r>
          </w:p>
        </w:tc>
        <w:tc>
          <w:tcPr>
            <w:tcW w:w="2410" w:type="dxa"/>
            <w:shd w:val="clear" w:color="auto" w:fill="auto"/>
            <w:noWrap/>
            <w:hideMark/>
          </w:tcPr>
          <w:p w14:paraId="29E7923D" w14:textId="57567075"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4CC80F1A" w14:textId="77777777" w:rsidTr="004C6AA1">
        <w:trPr>
          <w:trHeight w:val="320"/>
        </w:trPr>
        <w:tc>
          <w:tcPr>
            <w:tcW w:w="4253" w:type="dxa"/>
            <w:shd w:val="clear" w:color="auto" w:fill="auto"/>
            <w:noWrap/>
            <w:hideMark/>
          </w:tcPr>
          <w:p w14:paraId="019EB692" w14:textId="77777777" w:rsidR="00BD188B" w:rsidRPr="00D518FF" w:rsidRDefault="00BD188B">
            <w:pPr>
              <w:rPr>
                <w:rFonts w:ascii="Aptos" w:hAnsi="Aptos"/>
                <w:color w:val="000000"/>
                <w:sz w:val="16"/>
                <w:szCs w:val="16"/>
              </w:rPr>
            </w:pPr>
            <w:r w:rsidRPr="00D518FF">
              <w:rPr>
                <w:rFonts w:ascii="Aptos" w:hAnsi="Aptos"/>
                <w:color w:val="000000"/>
                <w:sz w:val="16"/>
                <w:szCs w:val="16"/>
              </w:rPr>
              <w:lastRenderedPageBreak/>
              <w:t>Omega-3 Fatty Acids and Cardiovascular Disease: An Updated Systematic Review</w:t>
            </w:r>
          </w:p>
        </w:tc>
        <w:tc>
          <w:tcPr>
            <w:tcW w:w="3544" w:type="dxa"/>
            <w:shd w:val="clear" w:color="auto" w:fill="auto"/>
            <w:noWrap/>
            <w:hideMark/>
          </w:tcPr>
          <w:p w14:paraId="40CEC240" w14:textId="77777777" w:rsidR="00BD188B" w:rsidRPr="00D518FF" w:rsidRDefault="00BD188B">
            <w:pPr>
              <w:rPr>
                <w:rFonts w:ascii="Aptos" w:hAnsi="Aptos"/>
                <w:color w:val="000000"/>
                <w:sz w:val="16"/>
                <w:szCs w:val="16"/>
              </w:rPr>
            </w:pPr>
            <w:r w:rsidRPr="00D518FF">
              <w:rPr>
                <w:rFonts w:ascii="Aptos" w:hAnsi="Aptos"/>
                <w:color w:val="000000"/>
                <w:sz w:val="16"/>
                <w:szCs w:val="16"/>
              </w:rPr>
              <w:t>Balk, E. M.; Adams, G. P.; Langberg, V.; Halladay, C.; Chung, M.; Lin, L.; Robertson, S.; Yip, A.; Steele, D.; Smith, B. T.; Lau, J.; Lichtenstein, A. H.; Trikalinos, T. A.</w:t>
            </w:r>
          </w:p>
        </w:tc>
        <w:tc>
          <w:tcPr>
            <w:tcW w:w="567" w:type="dxa"/>
            <w:shd w:val="clear" w:color="auto" w:fill="auto"/>
            <w:noWrap/>
            <w:hideMark/>
          </w:tcPr>
          <w:p w14:paraId="56FEE877" w14:textId="77777777" w:rsidR="00BD188B" w:rsidRPr="00D518FF" w:rsidRDefault="00BD188B">
            <w:pPr>
              <w:rPr>
                <w:rFonts w:ascii="Aptos" w:hAnsi="Aptos"/>
                <w:color w:val="000000"/>
                <w:sz w:val="16"/>
                <w:szCs w:val="16"/>
              </w:rPr>
            </w:pPr>
            <w:r w:rsidRPr="00D518FF">
              <w:rPr>
                <w:rFonts w:ascii="Aptos" w:hAnsi="Aptos"/>
                <w:color w:val="000000"/>
                <w:sz w:val="16"/>
                <w:szCs w:val="16"/>
              </w:rPr>
              <w:t>2016</w:t>
            </w:r>
          </w:p>
        </w:tc>
        <w:tc>
          <w:tcPr>
            <w:tcW w:w="1417" w:type="dxa"/>
            <w:shd w:val="clear" w:color="auto" w:fill="auto"/>
            <w:noWrap/>
            <w:hideMark/>
          </w:tcPr>
          <w:p w14:paraId="5DDB9CCB" w14:textId="77777777" w:rsidR="00BD188B" w:rsidRPr="00D518FF" w:rsidRDefault="00BD188B">
            <w:pPr>
              <w:rPr>
                <w:rFonts w:ascii="Aptos" w:hAnsi="Aptos"/>
                <w:color w:val="000000"/>
                <w:sz w:val="16"/>
                <w:szCs w:val="16"/>
              </w:rPr>
            </w:pPr>
            <w:r w:rsidRPr="00D518FF">
              <w:rPr>
                <w:rFonts w:ascii="Aptos" w:hAnsi="Aptos"/>
                <w:color w:val="000000"/>
                <w:sz w:val="16"/>
                <w:szCs w:val="16"/>
              </w:rPr>
              <w:t>Evidence report/technology assessment</w:t>
            </w:r>
          </w:p>
        </w:tc>
        <w:tc>
          <w:tcPr>
            <w:tcW w:w="851" w:type="dxa"/>
            <w:shd w:val="clear" w:color="auto" w:fill="auto"/>
          </w:tcPr>
          <w:p w14:paraId="0C291305" w14:textId="1253C12F" w:rsidR="00BD188B" w:rsidRPr="00D518FF" w:rsidRDefault="008C1EC5">
            <w:pPr>
              <w:rPr>
                <w:rFonts w:ascii="Aptos" w:hAnsi="Aptos"/>
                <w:color w:val="000000"/>
                <w:sz w:val="16"/>
                <w:szCs w:val="16"/>
              </w:rPr>
            </w:pPr>
            <w:r>
              <w:rPr>
                <w:rFonts w:ascii="Aptos" w:hAnsi="Aptos"/>
                <w:color w:val="000000"/>
                <w:sz w:val="16"/>
                <w:szCs w:val="16"/>
              </w:rPr>
              <w:t>-</w:t>
            </w:r>
          </w:p>
        </w:tc>
        <w:tc>
          <w:tcPr>
            <w:tcW w:w="708" w:type="dxa"/>
            <w:shd w:val="clear" w:color="auto" w:fill="auto"/>
            <w:noWrap/>
            <w:hideMark/>
          </w:tcPr>
          <w:p w14:paraId="1ECB6EFA" w14:textId="77777777" w:rsidR="00BD188B" w:rsidRPr="00D518FF" w:rsidRDefault="00BD188B">
            <w:pPr>
              <w:rPr>
                <w:rFonts w:ascii="Aptos" w:hAnsi="Aptos"/>
                <w:color w:val="000000"/>
                <w:sz w:val="16"/>
                <w:szCs w:val="16"/>
              </w:rPr>
            </w:pPr>
            <w:r w:rsidRPr="00D518FF">
              <w:rPr>
                <w:rFonts w:ascii="Aptos" w:hAnsi="Aptos"/>
                <w:color w:val="000000"/>
                <w:sz w:val="16"/>
                <w:szCs w:val="16"/>
              </w:rPr>
              <w:t>223</w:t>
            </w:r>
          </w:p>
        </w:tc>
        <w:tc>
          <w:tcPr>
            <w:tcW w:w="709" w:type="dxa"/>
            <w:shd w:val="clear" w:color="auto" w:fill="auto"/>
            <w:noWrap/>
            <w:hideMark/>
          </w:tcPr>
          <w:p w14:paraId="7D6D1D38" w14:textId="77777777" w:rsidR="00BD188B" w:rsidRPr="00D518FF" w:rsidRDefault="00BD188B">
            <w:pPr>
              <w:rPr>
                <w:rFonts w:ascii="Aptos" w:hAnsi="Aptos"/>
                <w:color w:val="000000"/>
                <w:sz w:val="16"/>
                <w:szCs w:val="16"/>
              </w:rPr>
            </w:pPr>
            <w:r w:rsidRPr="00D518FF">
              <w:rPr>
                <w:rFonts w:ascii="Aptos" w:hAnsi="Aptos"/>
                <w:color w:val="000000"/>
                <w:sz w:val="16"/>
                <w:szCs w:val="16"/>
              </w:rPr>
              <w:t>1-1252</w:t>
            </w:r>
          </w:p>
        </w:tc>
        <w:tc>
          <w:tcPr>
            <w:tcW w:w="2410" w:type="dxa"/>
            <w:shd w:val="clear" w:color="auto" w:fill="auto"/>
            <w:noWrap/>
            <w:hideMark/>
          </w:tcPr>
          <w:p w14:paraId="5E06FA95" w14:textId="77777777" w:rsidR="00BD188B" w:rsidRPr="00D518FF" w:rsidRDefault="00BD188B">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3D8300B4" w14:textId="77777777" w:rsidTr="00887C84">
        <w:trPr>
          <w:trHeight w:val="320"/>
        </w:trPr>
        <w:tc>
          <w:tcPr>
            <w:tcW w:w="4253" w:type="dxa"/>
            <w:shd w:val="clear" w:color="auto" w:fill="auto"/>
            <w:noWrap/>
            <w:hideMark/>
          </w:tcPr>
          <w:p w14:paraId="31F844A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Scientific evidence on dietary intake/supplementation of omega-3 and 6 fatty acids and metabolic syndrome in adolescents: a systematic review</w:t>
            </w:r>
          </w:p>
        </w:tc>
        <w:tc>
          <w:tcPr>
            <w:tcW w:w="3544" w:type="dxa"/>
            <w:shd w:val="clear" w:color="auto" w:fill="auto"/>
            <w:noWrap/>
            <w:hideMark/>
          </w:tcPr>
          <w:p w14:paraId="1C6E2C82" w14:textId="1F687111" w:rsidR="008C1EC5" w:rsidRPr="00D518FF" w:rsidRDefault="008C1EC5" w:rsidP="008C1EC5">
            <w:pPr>
              <w:rPr>
                <w:rFonts w:ascii="Aptos" w:hAnsi="Aptos"/>
                <w:color w:val="000000"/>
                <w:sz w:val="16"/>
                <w:szCs w:val="16"/>
              </w:rPr>
            </w:pPr>
            <w:r w:rsidRPr="00D518FF">
              <w:rPr>
                <w:rFonts w:ascii="Aptos" w:hAnsi="Aptos"/>
                <w:color w:val="000000"/>
                <w:sz w:val="16"/>
                <w:szCs w:val="16"/>
              </w:rPr>
              <w:t>Tureck, C.; Barboza, B. P.; Bricarello, L. P.; Retondario, A.; Alves, M. A.; de Moura Souza, A.; Fernandes, R.; de Vasconcelos, F. A. G.</w:t>
            </w:r>
          </w:p>
        </w:tc>
        <w:tc>
          <w:tcPr>
            <w:tcW w:w="567" w:type="dxa"/>
            <w:shd w:val="clear" w:color="auto" w:fill="auto"/>
            <w:noWrap/>
            <w:hideMark/>
          </w:tcPr>
          <w:p w14:paraId="366486E5" w14:textId="67ED7748" w:rsidR="008C1EC5" w:rsidRPr="00D518FF" w:rsidRDefault="008C1EC5" w:rsidP="008C1EC5">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tcPr>
          <w:p w14:paraId="446F6159" w14:textId="1C05FBC5" w:rsidR="008C1EC5" w:rsidRPr="00D518FF" w:rsidRDefault="008C1EC5" w:rsidP="008C1EC5">
            <w:pPr>
              <w:rPr>
                <w:rFonts w:ascii="Aptos" w:hAnsi="Aptos"/>
                <w:color w:val="000000"/>
                <w:sz w:val="16"/>
                <w:szCs w:val="16"/>
              </w:rPr>
            </w:pPr>
            <w:r w:rsidRPr="00D518FF">
              <w:rPr>
                <w:rFonts w:ascii="Aptos" w:hAnsi="Aptos"/>
                <w:color w:val="000000"/>
                <w:sz w:val="16"/>
                <w:szCs w:val="16"/>
              </w:rPr>
              <w:t>Nutrition, metabolism, and cardiovascular diseases : NMCD</w:t>
            </w:r>
          </w:p>
        </w:tc>
        <w:tc>
          <w:tcPr>
            <w:tcW w:w="851" w:type="dxa"/>
            <w:shd w:val="clear" w:color="auto" w:fill="auto"/>
          </w:tcPr>
          <w:p w14:paraId="7FF6775C" w14:textId="2C987CA6" w:rsidR="008C1EC5" w:rsidRPr="00D518FF" w:rsidRDefault="008C1EC5" w:rsidP="008C1EC5">
            <w:pPr>
              <w:rPr>
                <w:rFonts w:ascii="Aptos" w:hAnsi="Aptos"/>
                <w:color w:val="000000"/>
                <w:sz w:val="16"/>
                <w:szCs w:val="16"/>
              </w:rPr>
            </w:pPr>
            <w:r>
              <w:rPr>
                <w:rFonts w:ascii="Aptos" w:hAnsi="Aptos"/>
                <w:color w:val="000000"/>
                <w:sz w:val="16"/>
                <w:szCs w:val="16"/>
              </w:rPr>
              <w:t>32</w:t>
            </w:r>
          </w:p>
        </w:tc>
        <w:tc>
          <w:tcPr>
            <w:tcW w:w="708" w:type="dxa"/>
            <w:shd w:val="clear" w:color="auto" w:fill="auto"/>
          </w:tcPr>
          <w:p w14:paraId="2D4DF112" w14:textId="70F2BC1A" w:rsidR="008C1EC5" w:rsidRPr="00D518FF" w:rsidRDefault="008C1EC5" w:rsidP="008C1EC5">
            <w:pPr>
              <w:rPr>
                <w:rFonts w:ascii="Aptos" w:hAnsi="Aptos"/>
                <w:color w:val="000000"/>
                <w:sz w:val="16"/>
                <w:szCs w:val="16"/>
              </w:rPr>
            </w:pPr>
            <w:r>
              <w:rPr>
                <w:rFonts w:ascii="Aptos" w:hAnsi="Aptos"/>
                <w:color w:val="000000"/>
                <w:sz w:val="16"/>
                <w:szCs w:val="16"/>
              </w:rPr>
              <w:t>12</w:t>
            </w:r>
          </w:p>
        </w:tc>
        <w:tc>
          <w:tcPr>
            <w:tcW w:w="709" w:type="dxa"/>
            <w:shd w:val="clear" w:color="auto" w:fill="auto"/>
          </w:tcPr>
          <w:p w14:paraId="2226018E" w14:textId="2B271C72" w:rsidR="008C1EC5" w:rsidRPr="00D518FF" w:rsidRDefault="008C1EC5" w:rsidP="008C1EC5">
            <w:pPr>
              <w:rPr>
                <w:rFonts w:ascii="Aptos" w:hAnsi="Aptos"/>
                <w:color w:val="000000"/>
                <w:sz w:val="16"/>
                <w:szCs w:val="16"/>
              </w:rPr>
            </w:pPr>
            <w:r w:rsidRPr="008C1EC5">
              <w:rPr>
                <w:rFonts w:ascii="Aptos" w:hAnsi="Aptos"/>
                <w:color w:val="000000"/>
                <w:sz w:val="16"/>
                <w:szCs w:val="16"/>
              </w:rPr>
              <w:t>2689-2704</w:t>
            </w:r>
          </w:p>
        </w:tc>
        <w:tc>
          <w:tcPr>
            <w:tcW w:w="2410" w:type="dxa"/>
            <w:shd w:val="clear" w:color="auto" w:fill="auto"/>
          </w:tcPr>
          <w:p w14:paraId="49AE4467" w14:textId="732F05E9" w:rsidR="008C1EC5" w:rsidRPr="00D518FF" w:rsidRDefault="008C1EC5" w:rsidP="008C1EC5">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7447EBC5" w14:textId="77777777" w:rsidTr="004C6AA1">
        <w:trPr>
          <w:trHeight w:val="320"/>
        </w:trPr>
        <w:tc>
          <w:tcPr>
            <w:tcW w:w="4253" w:type="dxa"/>
            <w:shd w:val="clear" w:color="auto" w:fill="auto"/>
            <w:noWrap/>
            <w:hideMark/>
          </w:tcPr>
          <w:p w14:paraId="65BED8B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Omega-3 supplementation in the treatment of overweight and obese children and adolescents: A systematic review</w:t>
            </w:r>
          </w:p>
        </w:tc>
        <w:tc>
          <w:tcPr>
            <w:tcW w:w="3544" w:type="dxa"/>
            <w:shd w:val="clear" w:color="auto" w:fill="auto"/>
            <w:noWrap/>
            <w:hideMark/>
          </w:tcPr>
          <w:p w14:paraId="658C26A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Curioni, C. C.; Alves, N. N. R.; Zago, L.</w:t>
            </w:r>
          </w:p>
        </w:tc>
        <w:tc>
          <w:tcPr>
            <w:tcW w:w="567" w:type="dxa"/>
            <w:shd w:val="clear" w:color="auto" w:fill="auto"/>
            <w:noWrap/>
            <w:hideMark/>
          </w:tcPr>
          <w:p w14:paraId="4CB4273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2019</w:t>
            </w:r>
          </w:p>
        </w:tc>
        <w:tc>
          <w:tcPr>
            <w:tcW w:w="1417" w:type="dxa"/>
            <w:shd w:val="clear" w:color="auto" w:fill="auto"/>
            <w:noWrap/>
            <w:hideMark/>
          </w:tcPr>
          <w:p w14:paraId="3651528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Journal of Functional Foods</w:t>
            </w:r>
          </w:p>
        </w:tc>
        <w:tc>
          <w:tcPr>
            <w:tcW w:w="851" w:type="dxa"/>
            <w:shd w:val="clear" w:color="auto" w:fill="auto"/>
            <w:noWrap/>
            <w:hideMark/>
          </w:tcPr>
          <w:p w14:paraId="68D8E8C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52</w:t>
            </w:r>
          </w:p>
        </w:tc>
        <w:tc>
          <w:tcPr>
            <w:tcW w:w="708" w:type="dxa"/>
            <w:shd w:val="clear" w:color="auto" w:fill="auto"/>
            <w:noWrap/>
            <w:hideMark/>
          </w:tcPr>
          <w:p w14:paraId="6467EACB" w14:textId="60BC593F" w:rsidR="008C1EC5" w:rsidRPr="00D518FF" w:rsidRDefault="00781C1C" w:rsidP="008C1EC5">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01A7644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340-347</w:t>
            </w:r>
          </w:p>
        </w:tc>
        <w:tc>
          <w:tcPr>
            <w:tcW w:w="2410" w:type="dxa"/>
            <w:shd w:val="clear" w:color="auto" w:fill="auto"/>
            <w:noWrap/>
            <w:hideMark/>
          </w:tcPr>
          <w:p w14:paraId="0DBF05A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5D07A445" w14:textId="77777777" w:rsidTr="004C6AA1">
        <w:trPr>
          <w:trHeight w:val="320"/>
        </w:trPr>
        <w:tc>
          <w:tcPr>
            <w:tcW w:w="4253" w:type="dxa"/>
            <w:shd w:val="clear" w:color="auto" w:fill="auto"/>
            <w:noWrap/>
            <w:hideMark/>
          </w:tcPr>
          <w:p w14:paraId="062CDAB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Omega-3 polyunsaturated fatty acids favourably modulate cardiometabolic biomarkers in type 2 diabetes: a meta-analysis and meta-regression of randomized controlled trials</w:t>
            </w:r>
          </w:p>
        </w:tc>
        <w:tc>
          <w:tcPr>
            <w:tcW w:w="3544" w:type="dxa"/>
            <w:shd w:val="clear" w:color="auto" w:fill="auto"/>
            <w:noWrap/>
            <w:hideMark/>
          </w:tcPr>
          <w:p w14:paraId="01CE8CC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O'Mahoney, L. L.; Matu, J.; Price, O. J.; Birch, K. M.; Ajjan, R. A.; Farrar, D.; Tapp, R.; West, D. J.; Deighton, K.; Campbell, M. D.</w:t>
            </w:r>
          </w:p>
        </w:tc>
        <w:tc>
          <w:tcPr>
            <w:tcW w:w="567" w:type="dxa"/>
            <w:shd w:val="clear" w:color="auto" w:fill="auto"/>
            <w:noWrap/>
            <w:hideMark/>
          </w:tcPr>
          <w:p w14:paraId="6BFA4A0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2018</w:t>
            </w:r>
          </w:p>
        </w:tc>
        <w:tc>
          <w:tcPr>
            <w:tcW w:w="1417" w:type="dxa"/>
            <w:shd w:val="clear" w:color="auto" w:fill="auto"/>
            <w:noWrap/>
            <w:hideMark/>
          </w:tcPr>
          <w:p w14:paraId="7BF8170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Cardiovascular diabetology</w:t>
            </w:r>
          </w:p>
        </w:tc>
        <w:tc>
          <w:tcPr>
            <w:tcW w:w="851" w:type="dxa"/>
            <w:shd w:val="clear" w:color="auto" w:fill="auto"/>
            <w:noWrap/>
            <w:hideMark/>
          </w:tcPr>
          <w:p w14:paraId="7797BEB4"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17</w:t>
            </w:r>
          </w:p>
        </w:tc>
        <w:tc>
          <w:tcPr>
            <w:tcW w:w="708" w:type="dxa"/>
            <w:shd w:val="clear" w:color="auto" w:fill="auto"/>
            <w:noWrap/>
            <w:hideMark/>
          </w:tcPr>
          <w:p w14:paraId="137BFFE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1714BB7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98</w:t>
            </w:r>
          </w:p>
        </w:tc>
        <w:tc>
          <w:tcPr>
            <w:tcW w:w="2410" w:type="dxa"/>
            <w:shd w:val="clear" w:color="auto" w:fill="auto"/>
            <w:noWrap/>
            <w:hideMark/>
          </w:tcPr>
          <w:p w14:paraId="1167FAA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2DE4B9FB" w14:textId="77777777" w:rsidTr="004C6AA1">
        <w:trPr>
          <w:trHeight w:val="320"/>
        </w:trPr>
        <w:tc>
          <w:tcPr>
            <w:tcW w:w="4253" w:type="dxa"/>
            <w:shd w:val="clear" w:color="auto" w:fill="auto"/>
            <w:noWrap/>
            <w:hideMark/>
          </w:tcPr>
          <w:p w14:paraId="0935CF7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Omega-3 Polyunsaturated Fatty Acids Intake and Blood Pressure: A Dose-Response Meta-Analysis of Randomized Controlled Trials</w:t>
            </w:r>
          </w:p>
        </w:tc>
        <w:tc>
          <w:tcPr>
            <w:tcW w:w="3544" w:type="dxa"/>
            <w:shd w:val="clear" w:color="auto" w:fill="auto"/>
            <w:noWrap/>
            <w:hideMark/>
          </w:tcPr>
          <w:p w14:paraId="706517B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Zhang, X.; Ritonja, J. A.; Zhou, N.; Chen, B. E.; Li, X.</w:t>
            </w:r>
          </w:p>
        </w:tc>
        <w:tc>
          <w:tcPr>
            <w:tcW w:w="567" w:type="dxa"/>
            <w:shd w:val="clear" w:color="auto" w:fill="auto"/>
            <w:noWrap/>
            <w:hideMark/>
          </w:tcPr>
          <w:p w14:paraId="714BC19C"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61FBB79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Journal of the American Heart Association</w:t>
            </w:r>
          </w:p>
        </w:tc>
        <w:tc>
          <w:tcPr>
            <w:tcW w:w="851" w:type="dxa"/>
            <w:shd w:val="clear" w:color="auto" w:fill="auto"/>
          </w:tcPr>
          <w:p w14:paraId="10BFA1CF" w14:textId="7CFCF3F0" w:rsidR="008C1EC5" w:rsidRPr="00D518FF" w:rsidRDefault="00781C1C" w:rsidP="008C1EC5">
            <w:pPr>
              <w:rPr>
                <w:rFonts w:ascii="Aptos" w:hAnsi="Aptos"/>
                <w:color w:val="000000"/>
                <w:sz w:val="16"/>
                <w:szCs w:val="16"/>
              </w:rPr>
            </w:pPr>
            <w:r>
              <w:rPr>
                <w:rFonts w:ascii="Aptos" w:hAnsi="Aptos"/>
                <w:color w:val="000000"/>
                <w:sz w:val="16"/>
                <w:szCs w:val="16"/>
              </w:rPr>
              <w:t>11</w:t>
            </w:r>
          </w:p>
        </w:tc>
        <w:tc>
          <w:tcPr>
            <w:tcW w:w="708" w:type="dxa"/>
            <w:shd w:val="clear" w:color="auto" w:fill="auto"/>
          </w:tcPr>
          <w:p w14:paraId="024F80E0" w14:textId="1DC0C66B" w:rsidR="008C1EC5" w:rsidRPr="00D518FF" w:rsidRDefault="00781C1C" w:rsidP="008C1EC5">
            <w:pPr>
              <w:rPr>
                <w:rFonts w:ascii="Aptos" w:hAnsi="Aptos"/>
                <w:color w:val="000000"/>
                <w:sz w:val="16"/>
                <w:szCs w:val="16"/>
              </w:rPr>
            </w:pPr>
            <w:r>
              <w:rPr>
                <w:rFonts w:ascii="Aptos" w:hAnsi="Aptos"/>
                <w:color w:val="000000"/>
                <w:sz w:val="16"/>
                <w:szCs w:val="16"/>
              </w:rPr>
              <w:t>11</w:t>
            </w:r>
          </w:p>
        </w:tc>
        <w:tc>
          <w:tcPr>
            <w:tcW w:w="709" w:type="dxa"/>
            <w:shd w:val="clear" w:color="auto" w:fill="auto"/>
            <w:noWrap/>
            <w:hideMark/>
          </w:tcPr>
          <w:p w14:paraId="3F0FC6F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e025071</w:t>
            </w:r>
          </w:p>
        </w:tc>
        <w:tc>
          <w:tcPr>
            <w:tcW w:w="2410" w:type="dxa"/>
            <w:shd w:val="clear" w:color="auto" w:fill="auto"/>
            <w:noWrap/>
            <w:hideMark/>
          </w:tcPr>
          <w:p w14:paraId="5B502D3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3079CF91" w14:textId="77777777" w:rsidTr="004C6AA1">
        <w:trPr>
          <w:trHeight w:val="320"/>
        </w:trPr>
        <w:tc>
          <w:tcPr>
            <w:tcW w:w="4253" w:type="dxa"/>
            <w:shd w:val="clear" w:color="auto" w:fill="auto"/>
            <w:noWrap/>
            <w:hideMark/>
          </w:tcPr>
          <w:p w14:paraId="3ABFA1D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Effect of supplementation of women in high-risk pregnancies with long-chain polyunsaturated fatty acids on pregnancy outcomes and growth measures at birth: a meta-analysis of randomized controlled trials</w:t>
            </w:r>
          </w:p>
        </w:tc>
        <w:tc>
          <w:tcPr>
            <w:tcW w:w="3544" w:type="dxa"/>
            <w:shd w:val="clear" w:color="auto" w:fill="auto"/>
            <w:noWrap/>
            <w:hideMark/>
          </w:tcPr>
          <w:p w14:paraId="64B0457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Horvath, A.; Koletzko, B.; Szajewska, H.</w:t>
            </w:r>
          </w:p>
        </w:tc>
        <w:tc>
          <w:tcPr>
            <w:tcW w:w="567" w:type="dxa"/>
            <w:shd w:val="clear" w:color="auto" w:fill="auto"/>
            <w:noWrap/>
            <w:hideMark/>
          </w:tcPr>
          <w:p w14:paraId="5964CA74"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2007</w:t>
            </w:r>
          </w:p>
        </w:tc>
        <w:tc>
          <w:tcPr>
            <w:tcW w:w="1417" w:type="dxa"/>
            <w:shd w:val="clear" w:color="auto" w:fill="auto"/>
            <w:noWrap/>
            <w:hideMark/>
          </w:tcPr>
          <w:p w14:paraId="0AB7AC2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The British journal of nutrition</w:t>
            </w:r>
          </w:p>
        </w:tc>
        <w:tc>
          <w:tcPr>
            <w:tcW w:w="851" w:type="dxa"/>
            <w:shd w:val="clear" w:color="auto" w:fill="auto"/>
            <w:noWrap/>
            <w:hideMark/>
          </w:tcPr>
          <w:p w14:paraId="4353BF6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98</w:t>
            </w:r>
          </w:p>
        </w:tc>
        <w:tc>
          <w:tcPr>
            <w:tcW w:w="708" w:type="dxa"/>
            <w:shd w:val="clear" w:color="auto" w:fill="auto"/>
            <w:noWrap/>
            <w:hideMark/>
          </w:tcPr>
          <w:p w14:paraId="7EE31348"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68679FD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253-9</w:t>
            </w:r>
          </w:p>
        </w:tc>
        <w:tc>
          <w:tcPr>
            <w:tcW w:w="2410" w:type="dxa"/>
            <w:shd w:val="clear" w:color="auto" w:fill="auto"/>
            <w:noWrap/>
            <w:hideMark/>
          </w:tcPr>
          <w:p w14:paraId="6A6B466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05B60BF0" w14:textId="77777777" w:rsidTr="004C6AA1">
        <w:trPr>
          <w:trHeight w:val="320"/>
        </w:trPr>
        <w:tc>
          <w:tcPr>
            <w:tcW w:w="4253" w:type="dxa"/>
            <w:shd w:val="clear" w:color="auto" w:fill="auto"/>
            <w:noWrap/>
            <w:hideMark/>
          </w:tcPr>
          <w:p w14:paraId="4C1CACD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Fish Oil Supplementation does not Reduce Risks of Gestational Diabetes Mellitus, Pregnancy-Induced Hypertension, or Pre-Eclampsia: A Meta-Analysis of Randomized Controlled Trials</w:t>
            </w:r>
          </w:p>
        </w:tc>
        <w:tc>
          <w:tcPr>
            <w:tcW w:w="3544" w:type="dxa"/>
            <w:shd w:val="clear" w:color="auto" w:fill="auto"/>
            <w:noWrap/>
            <w:hideMark/>
          </w:tcPr>
          <w:p w14:paraId="031F92A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Chen, B.; Ji, X.; Zhang, L.; Hou, Z.; Li, C.; Tong, Y.</w:t>
            </w:r>
          </w:p>
        </w:tc>
        <w:tc>
          <w:tcPr>
            <w:tcW w:w="567" w:type="dxa"/>
            <w:shd w:val="clear" w:color="auto" w:fill="auto"/>
            <w:noWrap/>
            <w:hideMark/>
          </w:tcPr>
          <w:p w14:paraId="6D4A667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2015</w:t>
            </w:r>
          </w:p>
        </w:tc>
        <w:tc>
          <w:tcPr>
            <w:tcW w:w="1417" w:type="dxa"/>
            <w:shd w:val="clear" w:color="auto" w:fill="auto"/>
            <w:noWrap/>
            <w:hideMark/>
          </w:tcPr>
          <w:p w14:paraId="5A48B8F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Med Sci Monit</w:t>
            </w:r>
          </w:p>
        </w:tc>
        <w:tc>
          <w:tcPr>
            <w:tcW w:w="851" w:type="dxa"/>
            <w:shd w:val="clear" w:color="auto" w:fill="auto"/>
            <w:noWrap/>
            <w:hideMark/>
          </w:tcPr>
          <w:p w14:paraId="32EDE52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21</w:t>
            </w:r>
          </w:p>
        </w:tc>
        <w:tc>
          <w:tcPr>
            <w:tcW w:w="708" w:type="dxa"/>
            <w:shd w:val="clear" w:color="auto" w:fill="auto"/>
            <w:noWrap/>
            <w:hideMark/>
          </w:tcPr>
          <w:p w14:paraId="6B7DE7AE" w14:textId="470E179E" w:rsidR="008C1EC5" w:rsidRPr="00D518FF" w:rsidRDefault="00781C1C" w:rsidP="008C1EC5">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582DF37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2322-30</w:t>
            </w:r>
          </w:p>
        </w:tc>
        <w:tc>
          <w:tcPr>
            <w:tcW w:w="2410" w:type="dxa"/>
            <w:shd w:val="clear" w:color="auto" w:fill="auto"/>
            <w:noWrap/>
            <w:hideMark/>
          </w:tcPr>
          <w:p w14:paraId="75E24D2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4D824BE4" w14:textId="77777777" w:rsidTr="004C6AA1">
        <w:trPr>
          <w:trHeight w:val="320"/>
        </w:trPr>
        <w:tc>
          <w:tcPr>
            <w:tcW w:w="4253" w:type="dxa"/>
            <w:shd w:val="clear" w:color="auto" w:fill="auto"/>
            <w:noWrap/>
            <w:hideMark/>
          </w:tcPr>
          <w:p w14:paraId="33F4AFF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Omega-3 Fatty Acids and Maternal and Child Health: An Updated Systematic Review</w:t>
            </w:r>
          </w:p>
        </w:tc>
        <w:tc>
          <w:tcPr>
            <w:tcW w:w="3544" w:type="dxa"/>
            <w:shd w:val="clear" w:color="auto" w:fill="auto"/>
            <w:noWrap/>
            <w:hideMark/>
          </w:tcPr>
          <w:p w14:paraId="4D0F259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Newberry, S. J.; Chung, M.; Booth, M.; Maglione, M. A.; Tang, A. M.; O'Hanlon, C. E.; Wang, D. D.; Okunogbe, A.; Huang, C.; Motala, A.; Trimmer, M.; Dudley, W.; Shanman, R.; Coker, T. R.; Shekelle, P. G.</w:t>
            </w:r>
          </w:p>
        </w:tc>
        <w:tc>
          <w:tcPr>
            <w:tcW w:w="567" w:type="dxa"/>
            <w:shd w:val="clear" w:color="auto" w:fill="auto"/>
            <w:noWrap/>
            <w:hideMark/>
          </w:tcPr>
          <w:p w14:paraId="5921042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2016</w:t>
            </w:r>
          </w:p>
        </w:tc>
        <w:tc>
          <w:tcPr>
            <w:tcW w:w="1417" w:type="dxa"/>
            <w:shd w:val="clear" w:color="auto" w:fill="auto"/>
            <w:noWrap/>
            <w:hideMark/>
          </w:tcPr>
          <w:p w14:paraId="3F8F5C18"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Evidence report/technology assessment</w:t>
            </w:r>
          </w:p>
        </w:tc>
        <w:tc>
          <w:tcPr>
            <w:tcW w:w="851" w:type="dxa"/>
            <w:shd w:val="clear" w:color="auto" w:fill="auto"/>
          </w:tcPr>
          <w:p w14:paraId="62A9ACF3" w14:textId="4C3D788B" w:rsidR="008C1EC5" w:rsidRPr="00D518FF" w:rsidRDefault="00781C1C" w:rsidP="008C1EC5">
            <w:pPr>
              <w:rPr>
                <w:rFonts w:ascii="Aptos" w:hAnsi="Aptos"/>
                <w:color w:val="000000"/>
                <w:sz w:val="16"/>
                <w:szCs w:val="16"/>
              </w:rPr>
            </w:pPr>
            <w:r>
              <w:rPr>
                <w:rFonts w:ascii="Aptos" w:hAnsi="Aptos"/>
                <w:color w:val="000000"/>
                <w:sz w:val="16"/>
                <w:szCs w:val="16"/>
              </w:rPr>
              <w:t>-</w:t>
            </w:r>
          </w:p>
        </w:tc>
        <w:tc>
          <w:tcPr>
            <w:tcW w:w="708" w:type="dxa"/>
            <w:shd w:val="clear" w:color="auto" w:fill="auto"/>
            <w:noWrap/>
            <w:hideMark/>
          </w:tcPr>
          <w:p w14:paraId="225CE37C"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224</w:t>
            </w:r>
          </w:p>
        </w:tc>
        <w:tc>
          <w:tcPr>
            <w:tcW w:w="709" w:type="dxa"/>
            <w:shd w:val="clear" w:color="auto" w:fill="auto"/>
            <w:noWrap/>
            <w:hideMark/>
          </w:tcPr>
          <w:p w14:paraId="608FD38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1-826</w:t>
            </w:r>
          </w:p>
        </w:tc>
        <w:tc>
          <w:tcPr>
            <w:tcW w:w="2410" w:type="dxa"/>
            <w:shd w:val="clear" w:color="auto" w:fill="auto"/>
            <w:noWrap/>
            <w:hideMark/>
          </w:tcPr>
          <w:p w14:paraId="08B2C6D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5628E655" w14:textId="77777777" w:rsidTr="004C6AA1">
        <w:trPr>
          <w:trHeight w:val="320"/>
        </w:trPr>
        <w:tc>
          <w:tcPr>
            <w:tcW w:w="4253" w:type="dxa"/>
            <w:shd w:val="clear" w:color="auto" w:fill="auto"/>
            <w:noWrap/>
            <w:hideMark/>
          </w:tcPr>
          <w:p w14:paraId="1AA64F5C"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Efficacy of n-3 fatty acids supplementation on the prevention of pregnancy induced-hypertension or preeclampsia: A systematic review and meta-analysis</w:t>
            </w:r>
          </w:p>
        </w:tc>
        <w:tc>
          <w:tcPr>
            <w:tcW w:w="3544" w:type="dxa"/>
            <w:shd w:val="clear" w:color="auto" w:fill="auto"/>
            <w:noWrap/>
            <w:hideMark/>
          </w:tcPr>
          <w:p w14:paraId="793F349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Bakouei, F.; Delavar, M. A.; Mashayekh-Amiri, S.; Esmailzadeh, S.; Taheri, Z.</w:t>
            </w:r>
          </w:p>
        </w:tc>
        <w:tc>
          <w:tcPr>
            <w:tcW w:w="567" w:type="dxa"/>
            <w:shd w:val="clear" w:color="auto" w:fill="auto"/>
            <w:noWrap/>
            <w:hideMark/>
          </w:tcPr>
          <w:p w14:paraId="08D2741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0CBC05A6"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Taiwanese journal of obstetrics &amp; gynecology</w:t>
            </w:r>
          </w:p>
        </w:tc>
        <w:tc>
          <w:tcPr>
            <w:tcW w:w="851" w:type="dxa"/>
            <w:shd w:val="clear" w:color="auto" w:fill="auto"/>
            <w:noWrap/>
            <w:hideMark/>
          </w:tcPr>
          <w:p w14:paraId="243177B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59</w:t>
            </w:r>
          </w:p>
        </w:tc>
        <w:tc>
          <w:tcPr>
            <w:tcW w:w="708" w:type="dxa"/>
            <w:shd w:val="clear" w:color="auto" w:fill="auto"/>
            <w:noWrap/>
            <w:hideMark/>
          </w:tcPr>
          <w:p w14:paraId="18CB5D9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4CD2FC3E" w14:textId="0BBA2C90" w:rsidR="008C1EC5" w:rsidRPr="00D518FF" w:rsidRDefault="00A51D74" w:rsidP="008C1EC5">
            <w:pPr>
              <w:rPr>
                <w:rFonts w:ascii="Aptos" w:hAnsi="Aptos"/>
                <w:color w:val="000000"/>
                <w:sz w:val="16"/>
                <w:szCs w:val="16"/>
              </w:rPr>
            </w:pPr>
            <w:r>
              <w:rPr>
                <w:rFonts w:ascii="Aptos" w:hAnsi="Aptos"/>
                <w:color w:val="000000"/>
                <w:sz w:val="16"/>
                <w:szCs w:val="16"/>
              </w:rPr>
              <w:t>8</w:t>
            </w:r>
            <w:r w:rsidR="008C1EC5" w:rsidRPr="00D518FF">
              <w:rPr>
                <w:rFonts w:ascii="Aptos" w:hAnsi="Aptos"/>
                <w:color w:val="000000"/>
                <w:sz w:val="16"/>
                <w:szCs w:val="16"/>
              </w:rPr>
              <w:t>-15</w:t>
            </w:r>
          </w:p>
        </w:tc>
        <w:tc>
          <w:tcPr>
            <w:tcW w:w="2410" w:type="dxa"/>
            <w:shd w:val="clear" w:color="auto" w:fill="auto"/>
            <w:noWrap/>
            <w:hideMark/>
          </w:tcPr>
          <w:p w14:paraId="5523B6C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66170843" w14:textId="77777777" w:rsidTr="00887C84">
        <w:trPr>
          <w:trHeight w:val="320"/>
        </w:trPr>
        <w:tc>
          <w:tcPr>
            <w:tcW w:w="4253" w:type="dxa"/>
            <w:shd w:val="clear" w:color="auto" w:fill="auto"/>
            <w:noWrap/>
            <w:hideMark/>
          </w:tcPr>
          <w:p w14:paraId="7A19417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Impact of n-3 polyunsaturated fatty acid intake in pregnancy on maternal health and birth outcomes: systematic review and meta-analysis from randomized controlled trails</w:t>
            </w:r>
          </w:p>
        </w:tc>
        <w:tc>
          <w:tcPr>
            <w:tcW w:w="3544" w:type="dxa"/>
            <w:shd w:val="clear" w:color="auto" w:fill="auto"/>
            <w:noWrap/>
            <w:hideMark/>
          </w:tcPr>
          <w:p w14:paraId="35F246D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Abdelrahman, M. A.; Osama, H.; Saeed, H.; Madney, Y. M.; Harb, H. S.; Abdelrahim, M. E. A.</w:t>
            </w:r>
          </w:p>
        </w:tc>
        <w:tc>
          <w:tcPr>
            <w:tcW w:w="567" w:type="dxa"/>
            <w:shd w:val="clear" w:color="auto" w:fill="auto"/>
            <w:noWrap/>
            <w:hideMark/>
          </w:tcPr>
          <w:p w14:paraId="2A950F8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27307C08"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Archives of gynecology and obstetrics</w:t>
            </w:r>
          </w:p>
        </w:tc>
        <w:tc>
          <w:tcPr>
            <w:tcW w:w="851" w:type="dxa"/>
            <w:shd w:val="clear" w:color="auto" w:fill="auto"/>
          </w:tcPr>
          <w:p w14:paraId="0A13051E" w14:textId="52E9A119" w:rsidR="008C1EC5" w:rsidRPr="00D518FF" w:rsidRDefault="00A51D74" w:rsidP="008C1EC5">
            <w:pPr>
              <w:rPr>
                <w:rFonts w:ascii="Aptos" w:hAnsi="Aptos"/>
                <w:color w:val="000000"/>
                <w:sz w:val="16"/>
                <w:szCs w:val="16"/>
              </w:rPr>
            </w:pPr>
            <w:r>
              <w:rPr>
                <w:rFonts w:ascii="Aptos" w:hAnsi="Aptos"/>
                <w:color w:val="000000"/>
                <w:sz w:val="16"/>
                <w:szCs w:val="16"/>
              </w:rPr>
              <w:t>307</w:t>
            </w:r>
          </w:p>
        </w:tc>
        <w:tc>
          <w:tcPr>
            <w:tcW w:w="708" w:type="dxa"/>
            <w:shd w:val="clear" w:color="auto" w:fill="auto"/>
          </w:tcPr>
          <w:p w14:paraId="3380C0CC" w14:textId="7724F39C" w:rsidR="008C1EC5" w:rsidRPr="00D518FF" w:rsidRDefault="00A51D74" w:rsidP="008C1EC5">
            <w:pPr>
              <w:rPr>
                <w:rFonts w:ascii="Aptos" w:hAnsi="Aptos"/>
                <w:color w:val="000000"/>
                <w:sz w:val="16"/>
                <w:szCs w:val="16"/>
              </w:rPr>
            </w:pPr>
            <w:r>
              <w:rPr>
                <w:rFonts w:ascii="Aptos" w:hAnsi="Aptos"/>
                <w:color w:val="000000"/>
                <w:sz w:val="16"/>
                <w:szCs w:val="16"/>
              </w:rPr>
              <w:t>1</w:t>
            </w:r>
          </w:p>
        </w:tc>
        <w:tc>
          <w:tcPr>
            <w:tcW w:w="709" w:type="dxa"/>
            <w:shd w:val="clear" w:color="auto" w:fill="auto"/>
            <w:noWrap/>
            <w:hideMark/>
          </w:tcPr>
          <w:p w14:paraId="6D713264" w14:textId="2267010D" w:rsidR="008C1EC5" w:rsidRPr="00D518FF" w:rsidRDefault="00A51D74" w:rsidP="008C1EC5">
            <w:pPr>
              <w:rPr>
                <w:rFonts w:ascii="Aptos" w:hAnsi="Aptos"/>
                <w:color w:val="000000"/>
                <w:sz w:val="16"/>
                <w:szCs w:val="16"/>
              </w:rPr>
            </w:pPr>
            <w:r w:rsidRPr="00A51D74">
              <w:rPr>
                <w:rFonts w:ascii="Aptos" w:hAnsi="Aptos"/>
                <w:color w:val="000000"/>
                <w:sz w:val="16"/>
                <w:szCs w:val="16"/>
              </w:rPr>
              <w:t>249-262</w:t>
            </w:r>
          </w:p>
        </w:tc>
        <w:tc>
          <w:tcPr>
            <w:tcW w:w="2410" w:type="dxa"/>
            <w:shd w:val="clear" w:color="auto" w:fill="auto"/>
            <w:noWrap/>
            <w:hideMark/>
          </w:tcPr>
          <w:p w14:paraId="2AA70FD4"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37BED7C2" w14:textId="77777777" w:rsidTr="004C6AA1">
        <w:trPr>
          <w:trHeight w:val="320"/>
        </w:trPr>
        <w:tc>
          <w:tcPr>
            <w:tcW w:w="4253" w:type="dxa"/>
            <w:shd w:val="clear" w:color="auto" w:fill="auto"/>
            <w:noWrap/>
            <w:hideMark/>
          </w:tcPr>
          <w:p w14:paraId="1CA4E0C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Effect of diet- and lifestyle-based metabolic risk-modifying interventions on preeclampsia: a meta-analysis</w:t>
            </w:r>
          </w:p>
        </w:tc>
        <w:tc>
          <w:tcPr>
            <w:tcW w:w="3544" w:type="dxa"/>
            <w:shd w:val="clear" w:color="auto" w:fill="auto"/>
            <w:noWrap/>
            <w:hideMark/>
          </w:tcPr>
          <w:p w14:paraId="7C504ED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Allen, R.; Rogozinska, E.; Sivarajasingam, P.; Khan, K. S.; Thangaratinam, S.</w:t>
            </w:r>
          </w:p>
        </w:tc>
        <w:tc>
          <w:tcPr>
            <w:tcW w:w="567" w:type="dxa"/>
            <w:shd w:val="clear" w:color="auto" w:fill="auto"/>
            <w:noWrap/>
            <w:hideMark/>
          </w:tcPr>
          <w:p w14:paraId="2FEC92E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2014</w:t>
            </w:r>
          </w:p>
        </w:tc>
        <w:tc>
          <w:tcPr>
            <w:tcW w:w="1417" w:type="dxa"/>
            <w:shd w:val="clear" w:color="auto" w:fill="auto"/>
            <w:noWrap/>
            <w:hideMark/>
          </w:tcPr>
          <w:p w14:paraId="21CD504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Acta obstetricia et gynecologica Scandinavica</w:t>
            </w:r>
          </w:p>
        </w:tc>
        <w:tc>
          <w:tcPr>
            <w:tcW w:w="851" w:type="dxa"/>
            <w:shd w:val="clear" w:color="auto" w:fill="auto"/>
            <w:noWrap/>
            <w:hideMark/>
          </w:tcPr>
          <w:p w14:paraId="5C8CDCB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93</w:t>
            </w:r>
          </w:p>
        </w:tc>
        <w:tc>
          <w:tcPr>
            <w:tcW w:w="708" w:type="dxa"/>
            <w:shd w:val="clear" w:color="auto" w:fill="auto"/>
            <w:noWrap/>
            <w:hideMark/>
          </w:tcPr>
          <w:p w14:paraId="22FCA2D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10</w:t>
            </w:r>
          </w:p>
        </w:tc>
        <w:tc>
          <w:tcPr>
            <w:tcW w:w="709" w:type="dxa"/>
            <w:shd w:val="clear" w:color="auto" w:fill="auto"/>
            <w:noWrap/>
            <w:hideMark/>
          </w:tcPr>
          <w:p w14:paraId="5100C336"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973-85</w:t>
            </w:r>
          </w:p>
        </w:tc>
        <w:tc>
          <w:tcPr>
            <w:tcW w:w="2410" w:type="dxa"/>
            <w:shd w:val="clear" w:color="auto" w:fill="auto"/>
            <w:noWrap/>
            <w:hideMark/>
          </w:tcPr>
          <w:p w14:paraId="254DE10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61139BD6" w14:textId="77777777" w:rsidTr="004C6AA1">
        <w:trPr>
          <w:trHeight w:val="320"/>
        </w:trPr>
        <w:tc>
          <w:tcPr>
            <w:tcW w:w="4253" w:type="dxa"/>
            <w:shd w:val="clear" w:color="auto" w:fill="auto"/>
            <w:noWrap/>
            <w:hideMark/>
          </w:tcPr>
          <w:p w14:paraId="2F67FDE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Effects of n-3 polyunsaturated fatty acid supplementation on pregnancy outcomes: a systematic review and meta-analysis</w:t>
            </w:r>
          </w:p>
        </w:tc>
        <w:tc>
          <w:tcPr>
            <w:tcW w:w="3544" w:type="dxa"/>
            <w:shd w:val="clear" w:color="auto" w:fill="auto"/>
            <w:noWrap/>
            <w:hideMark/>
          </w:tcPr>
          <w:p w14:paraId="4383506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Hao, Y.; Sun, X.; Wen, N.; Song, D.; Li, H.</w:t>
            </w:r>
          </w:p>
        </w:tc>
        <w:tc>
          <w:tcPr>
            <w:tcW w:w="567" w:type="dxa"/>
            <w:shd w:val="clear" w:color="auto" w:fill="auto"/>
            <w:noWrap/>
            <w:hideMark/>
          </w:tcPr>
          <w:p w14:paraId="1FAFFA4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3D202EA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Archives of medical science : AMS</w:t>
            </w:r>
          </w:p>
        </w:tc>
        <w:tc>
          <w:tcPr>
            <w:tcW w:w="851" w:type="dxa"/>
            <w:shd w:val="clear" w:color="auto" w:fill="auto"/>
            <w:noWrap/>
            <w:hideMark/>
          </w:tcPr>
          <w:p w14:paraId="16A9DE56"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18</w:t>
            </w:r>
          </w:p>
        </w:tc>
        <w:tc>
          <w:tcPr>
            <w:tcW w:w="708" w:type="dxa"/>
            <w:shd w:val="clear" w:color="auto" w:fill="auto"/>
            <w:noWrap/>
            <w:hideMark/>
          </w:tcPr>
          <w:p w14:paraId="0DC348C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17CBFBB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890-899</w:t>
            </w:r>
          </w:p>
        </w:tc>
        <w:tc>
          <w:tcPr>
            <w:tcW w:w="2410" w:type="dxa"/>
            <w:shd w:val="clear" w:color="auto" w:fill="auto"/>
            <w:noWrap/>
            <w:hideMark/>
          </w:tcPr>
          <w:p w14:paraId="0783A9B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5E30312F" w14:textId="77777777" w:rsidTr="004C6AA1">
        <w:trPr>
          <w:trHeight w:val="320"/>
        </w:trPr>
        <w:tc>
          <w:tcPr>
            <w:tcW w:w="4253" w:type="dxa"/>
            <w:shd w:val="clear" w:color="auto" w:fill="auto"/>
            <w:noWrap/>
            <w:hideMark/>
          </w:tcPr>
          <w:p w14:paraId="484E5B5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lastRenderedPageBreak/>
              <w:t>Omega-3 long chain polyunsaturated fatty acids to prevent preterm birth : A systematic review and meta-analysis</w:t>
            </w:r>
          </w:p>
        </w:tc>
        <w:tc>
          <w:tcPr>
            <w:tcW w:w="3544" w:type="dxa"/>
            <w:shd w:val="clear" w:color="auto" w:fill="auto"/>
            <w:noWrap/>
            <w:hideMark/>
          </w:tcPr>
          <w:p w14:paraId="01125F4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Saccone, G.; Berghella, V.</w:t>
            </w:r>
          </w:p>
        </w:tc>
        <w:tc>
          <w:tcPr>
            <w:tcW w:w="567" w:type="dxa"/>
            <w:shd w:val="clear" w:color="auto" w:fill="auto"/>
            <w:noWrap/>
            <w:hideMark/>
          </w:tcPr>
          <w:p w14:paraId="38DE4F1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2015</w:t>
            </w:r>
          </w:p>
        </w:tc>
        <w:tc>
          <w:tcPr>
            <w:tcW w:w="1417" w:type="dxa"/>
            <w:shd w:val="clear" w:color="auto" w:fill="auto"/>
            <w:noWrap/>
            <w:hideMark/>
          </w:tcPr>
          <w:p w14:paraId="438CB11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Obstetrics and gynecology</w:t>
            </w:r>
          </w:p>
        </w:tc>
        <w:tc>
          <w:tcPr>
            <w:tcW w:w="851" w:type="dxa"/>
            <w:shd w:val="clear" w:color="auto" w:fill="auto"/>
            <w:noWrap/>
            <w:hideMark/>
          </w:tcPr>
          <w:p w14:paraId="0773C51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125</w:t>
            </w:r>
          </w:p>
        </w:tc>
        <w:tc>
          <w:tcPr>
            <w:tcW w:w="708" w:type="dxa"/>
            <w:shd w:val="clear" w:color="auto" w:fill="auto"/>
            <w:noWrap/>
            <w:hideMark/>
          </w:tcPr>
          <w:p w14:paraId="7F5B9F4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78FA1D9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663-672</w:t>
            </w:r>
          </w:p>
        </w:tc>
        <w:tc>
          <w:tcPr>
            <w:tcW w:w="2410" w:type="dxa"/>
            <w:shd w:val="clear" w:color="auto" w:fill="auto"/>
            <w:noWrap/>
            <w:hideMark/>
          </w:tcPr>
          <w:p w14:paraId="2E4D152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308E5091" w14:textId="77777777" w:rsidTr="004C6AA1">
        <w:trPr>
          <w:trHeight w:val="320"/>
        </w:trPr>
        <w:tc>
          <w:tcPr>
            <w:tcW w:w="4253" w:type="dxa"/>
            <w:shd w:val="clear" w:color="auto" w:fill="auto"/>
            <w:noWrap/>
            <w:hideMark/>
          </w:tcPr>
          <w:p w14:paraId="79DBB9A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Effect of n-3 long-chain polyunsaturated fatty acid intake during pregnancy on maternal, infant, and child health outcomes: a systematic review</w:t>
            </w:r>
          </w:p>
        </w:tc>
        <w:tc>
          <w:tcPr>
            <w:tcW w:w="3544" w:type="dxa"/>
            <w:shd w:val="clear" w:color="auto" w:fill="auto"/>
            <w:noWrap/>
            <w:hideMark/>
          </w:tcPr>
          <w:p w14:paraId="7D6D425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Imhoff-Kunsch, B.; Briggs, V.; Goldenberg, T.; Ramakrishnan, U.</w:t>
            </w:r>
          </w:p>
        </w:tc>
        <w:tc>
          <w:tcPr>
            <w:tcW w:w="567" w:type="dxa"/>
            <w:shd w:val="clear" w:color="auto" w:fill="auto"/>
            <w:noWrap/>
            <w:hideMark/>
          </w:tcPr>
          <w:p w14:paraId="63979A6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2012</w:t>
            </w:r>
          </w:p>
        </w:tc>
        <w:tc>
          <w:tcPr>
            <w:tcW w:w="1417" w:type="dxa"/>
            <w:shd w:val="clear" w:color="auto" w:fill="auto"/>
            <w:noWrap/>
            <w:hideMark/>
          </w:tcPr>
          <w:p w14:paraId="4A0BAA0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Paediatric and perinatal epidemiology</w:t>
            </w:r>
          </w:p>
        </w:tc>
        <w:tc>
          <w:tcPr>
            <w:tcW w:w="851" w:type="dxa"/>
            <w:shd w:val="clear" w:color="auto" w:fill="auto"/>
            <w:noWrap/>
            <w:hideMark/>
          </w:tcPr>
          <w:p w14:paraId="3C85A58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26 Suppl 1</w:t>
            </w:r>
          </w:p>
        </w:tc>
        <w:tc>
          <w:tcPr>
            <w:tcW w:w="708" w:type="dxa"/>
            <w:shd w:val="clear" w:color="auto" w:fill="auto"/>
            <w:noWrap/>
            <w:hideMark/>
          </w:tcPr>
          <w:p w14:paraId="6E2B281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SUPPL. 1</w:t>
            </w:r>
          </w:p>
        </w:tc>
        <w:tc>
          <w:tcPr>
            <w:tcW w:w="709" w:type="dxa"/>
            <w:shd w:val="clear" w:color="auto" w:fill="auto"/>
            <w:noWrap/>
            <w:hideMark/>
          </w:tcPr>
          <w:p w14:paraId="08ADFF9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91-107</w:t>
            </w:r>
          </w:p>
        </w:tc>
        <w:tc>
          <w:tcPr>
            <w:tcW w:w="2410" w:type="dxa"/>
            <w:shd w:val="clear" w:color="auto" w:fill="auto"/>
            <w:noWrap/>
            <w:hideMark/>
          </w:tcPr>
          <w:p w14:paraId="1632A91C"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outcomes</w:t>
            </w:r>
          </w:p>
        </w:tc>
      </w:tr>
      <w:tr w:rsidR="004C6AA1" w:rsidRPr="00D518FF" w14:paraId="60C7C294" w14:textId="77777777" w:rsidTr="004C6AA1">
        <w:trPr>
          <w:trHeight w:val="320"/>
        </w:trPr>
        <w:tc>
          <w:tcPr>
            <w:tcW w:w="4253" w:type="dxa"/>
            <w:shd w:val="clear" w:color="auto" w:fill="auto"/>
            <w:noWrap/>
          </w:tcPr>
          <w:p w14:paraId="5EB5A9C2" w14:textId="77777777" w:rsidR="008C1EC5" w:rsidRPr="00D518FF" w:rsidRDefault="008C1EC5" w:rsidP="008C1EC5">
            <w:pPr>
              <w:rPr>
                <w:rFonts w:ascii="Aptos" w:hAnsi="Aptos"/>
                <w:color w:val="000000"/>
                <w:sz w:val="16"/>
                <w:szCs w:val="16"/>
              </w:rPr>
            </w:pPr>
            <w:r w:rsidRPr="00D518FF">
              <w:rPr>
                <w:rFonts w:ascii="Aptos" w:hAnsi="Aptos" w:cs="Arial"/>
                <w:sz w:val="16"/>
                <w:szCs w:val="16"/>
              </w:rPr>
              <w:t>The effects of omega-3 fatty acids on diabetic nephropathy: A meta-analysis of randomized controlled trials</w:t>
            </w:r>
          </w:p>
        </w:tc>
        <w:tc>
          <w:tcPr>
            <w:tcW w:w="3544" w:type="dxa"/>
            <w:shd w:val="clear" w:color="auto" w:fill="auto"/>
            <w:noWrap/>
          </w:tcPr>
          <w:p w14:paraId="7A3E6492" w14:textId="77777777" w:rsidR="008C1EC5" w:rsidRPr="00D518FF" w:rsidRDefault="008C1EC5" w:rsidP="008C1EC5">
            <w:pPr>
              <w:rPr>
                <w:rFonts w:ascii="Aptos" w:hAnsi="Aptos"/>
                <w:color w:val="000000"/>
                <w:sz w:val="16"/>
                <w:szCs w:val="16"/>
              </w:rPr>
            </w:pPr>
            <w:r w:rsidRPr="00D518FF">
              <w:rPr>
                <w:rFonts w:ascii="Aptos" w:hAnsi="Aptos" w:cs="Arial"/>
                <w:sz w:val="16"/>
                <w:szCs w:val="16"/>
              </w:rPr>
              <w:t>Chewcharat, A.; Chewcharat, P.; Rutirapong, A.; Papatheodorou, S.</w:t>
            </w:r>
          </w:p>
        </w:tc>
        <w:tc>
          <w:tcPr>
            <w:tcW w:w="567" w:type="dxa"/>
            <w:shd w:val="clear" w:color="auto" w:fill="auto"/>
            <w:noWrap/>
          </w:tcPr>
          <w:p w14:paraId="46A520DC"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2020</w:t>
            </w:r>
          </w:p>
        </w:tc>
        <w:tc>
          <w:tcPr>
            <w:tcW w:w="1417" w:type="dxa"/>
            <w:shd w:val="clear" w:color="auto" w:fill="auto"/>
            <w:noWrap/>
          </w:tcPr>
          <w:p w14:paraId="47EA8072" w14:textId="77777777" w:rsidR="008C1EC5" w:rsidRPr="00D518FF" w:rsidRDefault="008C1EC5" w:rsidP="008C1EC5">
            <w:pPr>
              <w:rPr>
                <w:rFonts w:ascii="Aptos" w:hAnsi="Aptos"/>
                <w:color w:val="000000"/>
                <w:sz w:val="16"/>
                <w:szCs w:val="16"/>
              </w:rPr>
            </w:pPr>
            <w:r w:rsidRPr="00D518FF">
              <w:rPr>
                <w:rFonts w:ascii="Aptos" w:hAnsi="Aptos" w:cs="Arial"/>
                <w:sz w:val="16"/>
                <w:szCs w:val="16"/>
              </w:rPr>
              <w:t>PloS one</w:t>
            </w:r>
          </w:p>
        </w:tc>
        <w:tc>
          <w:tcPr>
            <w:tcW w:w="851" w:type="dxa"/>
            <w:shd w:val="clear" w:color="auto" w:fill="auto"/>
            <w:noWrap/>
          </w:tcPr>
          <w:p w14:paraId="0A4E7E2B" w14:textId="77777777" w:rsidR="008C1EC5" w:rsidRPr="00D518FF" w:rsidRDefault="008C1EC5" w:rsidP="008C1EC5">
            <w:pPr>
              <w:rPr>
                <w:rFonts w:ascii="Aptos" w:hAnsi="Aptos"/>
                <w:color w:val="000000"/>
                <w:sz w:val="16"/>
                <w:szCs w:val="16"/>
              </w:rPr>
            </w:pPr>
            <w:r w:rsidRPr="00D518FF">
              <w:rPr>
                <w:rFonts w:ascii="Aptos" w:hAnsi="Aptos" w:cs="Arial"/>
                <w:sz w:val="16"/>
                <w:szCs w:val="16"/>
              </w:rPr>
              <w:t>15</w:t>
            </w:r>
          </w:p>
        </w:tc>
        <w:tc>
          <w:tcPr>
            <w:tcW w:w="708" w:type="dxa"/>
            <w:shd w:val="clear" w:color="auto" w:fill="auto"/>
            <w:noWrap/>
          </w:tcPr>
          <w:p w14:paraId="004AE88E"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w:t>
            </w:r>
          </w:p>
        </w:tc>
        <w:tc>
          <w:tcPr>
            <w:tcW w:w="709" w:type="dxa"/>
            <w:shd w:val="clear" w:color="auto" w:fill="auto"/>
            <w:noWrap/>
          </w:tcPr>
          <w:p w14:paraId="54C83426" w14:textId="77777777" w:rsidR="008C1EC5" w:rsidRPr="00D518FF" w:rsidRDefault="008C1EC5" w:rsidP="008C1EC5">
            <w:pPr>
              <w:rPr>
                <w:rFonts w:ascii="Aptos" w:hAnsi="Aptos"/>
                <w:color w:val="000000"/>
                <w:sz w:val="16"/>
                <w:szCs w:val="16"/>
              </w:rPr>
            </w:pPr>
            <w:r w:rsidRPr="00D518FF">
              <w:rPr>
                <w:rFonts w:ascii="Aptos" w:hAnsi="Aptos" w:cs="Arial"/>
                <w:sz w:val="16"/>
                <w:szCs w:val="16"/>
              </w:rPr>
              <w:t>e0228315</w:t>
            </w:r>
          </w:p>
        </w:tc>
        <w:tc>
          <w:tcPr>
            <w:tcW w:w="2410" w:type="dxa"/>
            <w:shd w:val="clear" w:color="auto" w:fill="auto"/>
            <w:noWrap/>
          </w:tcPr>
          <w:p w14:paraId="1F85883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4EF319CE" w14:textId="77777777" w:rsidTr="00887C84">
        <w:trPr>
          <w:trHeight w:val="320"/>
        </w:trPr>
        <w:tc>
          <w:tcPr>
            <w:tcW w:w="4253" w:type="dxa"/>
            <w:shd w:val="clear" w:color="auto" w:fill="auto"/>
            <w:noWrap/>
          </w:tcPr>
          <w:p w14:paraId="6A8099BB" w14:textId="77777777" w:rsidR="008C1EC5" w:rsidRPr="00D518FF" w:rsidRDefault="008C1EC5" w:rsidP="008C1EC5">
            <w:pPr>
              <w:rPr>
                <w:rFonts w:ascii="Aptos" w:hAnsi="Aptos"/>
                <w:color w:val="000000"/>
                <w:sz w:val="16"/>
                <w:szCs w:val="16"/>
              </w:rPr>
            </w:pPr>
            <w:r w:rsidRPr="00D518FF">
              <w:rPr>
                <w:rFonts w:ascii="Aptos" w:hAnsi="Aptos" w:cs="Arial"/>
                <w:sz w:val="16"/>
                <w:szCs w:val="16"/>
              </w:rPr>
              <w:t>Association of polyunsaturated fatty acids with improved heart rate variability and cardiovascular events in patients with end-stage renal disease receiving maintenance dialysis: a systematic review and meta-analysis of randomized controlled trials</w:t>
            </w:r>
          </w:p>
        </w:tc>
        <w:tc>
          <w:tcPr>
            <w:tcW w:w="3544" w:type="dxa"/>
            <w:shd w:val="clear" w:color="auto" w:fill="auto"/>
            <w:noWrap/>
          </w:tcPr>
          <w:p w14:paraId="62967F56" w14:textId="77777777" w:rsidR="008C1EC5" w:rsidRPr="00D518FF" w:rsidRDefault="008C1EC5" w:rsidP="008C1EC5">
            <w:pPr>
              <w:rPr>
                <w:rFonts w:ascii="Aptos" w:hAnsi="Aptos"/>
                <w:color w:val="000000"/>
                <w:sz w:val="16"/>
                <w:szCs w:val="16"/>
              </w:rPr>
            </w:pPr>
            <w:r w:rsidRPr="00D518FF">
              <w:rPr>
                <w:rFonts w:ascii="Aptos" w:hAnsi="Aptos" w:cs="Arial"/>
                <w:sz w:val="16"/>
                <w:szCs w:val="16"/>
              </w:rPr>
              <w:t>Chou, C. L.; Chen, J. S.; Kang, Y. N.; Chen, Y. J.; Fang, T. C.</w:t>
            </w:r>
          </w:p>
        </w:tc>
        <w:tc>
          <w:tcPr>
            <w:tcW w:w="567" w:type="dxa"/>
            <w:shd w:val="clear" w:color="auto" w:fill="auto"/>
            <w:noWrap/>
          </w:tcPr>
          <w:p w14:paraId="429FEF5E"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2021</w:t>
            </w:r>
          </w:p>
        </w:tc>
        <w:tc>
          <w:tcPr>
            <w:tcW w:w="1417" w:type="dxa"/>
            <w:shd w:val="clear" w:color="auto" w:fill="auto"/>
            <w:noWrap/>
          </w:tcPr>
          <w:p w14:paraId="0CAEBCEC" w14:textId="77777777" w:rsidR="008C1EC5" w:rsidRPr="00D518FF" w:rsidRDefault="008C1EC5" w:rsidP="008C1EC5">
            <w:pPr>
              <w:rPr>
                <w:rFonts w:ascii="Aptos" w:hAnsi="Aptos"/>
                <w:color w:val="000000"/>
                <w:sz w:val="16"/>
                <w:szCs w:val="16"/>
              </w:rPr>
            </w:pPr>
            <w:r w:rsidRPr="00D518FF">
              <w:rPr>
                <w:rFonts w:ascii="Aptos" w:hAnsi="Aptos" w:cs="Arial"/>
                <w:sz w:val="16"/>
                <w:szCs w:val="16"/>
              </w:rPr>
              <w:t>Food &amp; function</w:t>
            </w:r>
          </w:p>
        </w:tc>
        <w:tc>
          <w:tcPr>
            <w:tcW w:w="851" w:type="dxa"/>
            <w:shd w:val="clear" w:color="auto" w:fill="auto"/>
            <w:noWrap/>
          </w:tcPr>
          <w:p w14:paraId="2692600F" w14:textId="7BFC5B7F" w:rsidR="008C1EC5" w:rsidRPr="00D518FF" w:rsidRDefault="000F50B5" w:rsidP="008C1EC5">
            <w:pPr>
              <w:rPr>
                <w:rFonts w:ascii="Aptos" w:hAnsi="Aptos"/>
                <w:color w:val="000000"/>
                <w:sz w:val="16"/>
                <w:szCs w:val="16"/>
              </w:rPr>
            </w:pPr>
            <w:r>
              <w:rPr>
                <w:rFonts w:ascii="Aptos" w:hAnsi="Aptos"/>
                <w:color w:val="000000"/>
                <w:sz w:val="16"/>
                <w:szCs w:val="16"/>
              </w:rPr>
              <w:t>12</w:t>
            </w:r>
          </w:p>
        </w:tc>
        <w:tc>
          <w:tcPr>
            <w:tcW w:w="708" w:type="dxa"/>
            <w:shd w:val="clear" w:color="auto" w:fill="auto"/>
            <w:noWrap/>
          </w:tcPr>
          <w:p w14:paraId="587BED60" w14:textId="20DA3715" w:rsidR="008C1EC5" w:rsidRPr="00D518FF" w:rsidRDefault="000F50B5" w:rsidP="008C1EC5">
            <w:pPr>
              <w:rPr>
                <w:rFonts w:ascii="Aptos" w:hAnsi="Aptos"/>
                <w:color w:val="000000"/>
                <w:sz w:val="16"/>
                <w:szCs w:val="16"/>
              </w:rPr>
            </w:pPr>
            <w:r>
              <w:rPr>
                <w:rFonts w:ascii="Aptos" w:hAnsi="Aptos"/>
                <w:color w:val="000000"/>
                <w:sz w:val="16"/>
                <w:szCs w:val="16"/>
              </w:rPr>
              <w:t>17</w:t>
            </w:r>
          </w:p>
        </w:tc>
        <w:tc>
          <w:tcPr>
            <w:tcW w:w="709" w:type="dxa"/>
            <w:shd w:val="clear" w:color="auto" w:fill="auto"/>
            <w:noWrap/>
          </w:tcPr>
          <w:p w14:paraId="254E521F" w14:textId="63D517AC" w:rsidR="008C1EC5" w:rsidRPr="00D518FF" w:rsidRDefault="000F50B5" w:rsidP="008C1EC5">
            <w:pPr>
              <w:rPr>
                <w:rFonts w:ascii="Aptos" w:hAnsi="Aptos"/>
                <w:color w:val="000000"/>
                <w:sz w:val="16"/>
                <w:szCs w:val="16"/>
              </w:rPr>
            </w:pPr>
            <w:r w:rsidRPr="000F50B5">
              <w:rPr>
                <w:rFonts w:ascii="Aptos" w:hAnsi="Aptos"/>
                <w:color w:val="000000"/>
                <w:sz w:val="16"/>
                <w:szCs w:val="16"/>
              </w:rPr>
              <w:t>8090-8099</w:t>
            </w:r>
          </w:p>
        </w:tc>
        <w:tc>
          <w:tcPr>
            <w:tcW w:w="2410" w:type="dxa"/>
            <w:shd w:val="clear" w:color="auto" w:fill="auto"/>
            <w:noWrap/>
          </w:tcPr>
          <w:p w14:paraId="48B1255C"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68811C92" w14:textId="77777777" w:rsidTr="004C6AA1">
        <w:trPr>
          <w:trHeight w:val="320"/>
        </w:trPr>
        <w:tc>
          <w:tcPr>
            <w:tcW w:w="4253" w:type="dxa"/>
            <w:shd w:val="clear" w:color="auto" w:fill="auto"/>
            <w:noWrap/>
          </w:tcPr>
          <w:p w14:paraId="5F31D671" w14:textId="77777777" w:rsidR="008C1EC5" w:rsidRPr="00D518FF" w:rsidRDefault="008C1EC5" w:rsidP="008C1EC5">
            <w:pPr>
              <w:rPr>
                <w:rFonts w:ascii="Aptos" w:hAnsi="Aptos"/>
                <w:color w:val="000000"/>
                <w:sz w:val="16"/>
                <w:szCs w:val="16"/>
              </w:rPr>
            </w:pPr>
            <w:r w:rsidRPr="00D518FF">
              <w:rPr>
                <w:rFonts w:ascii="Aptos" w:hAnsi="Aptos" w:cs="Arial"/>
                <w:sz w:val="16"/>
                <w:szCs w:val="16"/>
              </w:rPr>
              <w:t>Effect of omega-3 fatty acids supplementation on cardio-metabolic and oxidative stress parameters in patients with chronic kidney disease: a systematic review and meta-analysis</w:t>
            </w:r>
          </w:p>
        </w:tc>
        <w:tc>
          <w:tcPr>
            <w:tcW w:w="3544" w:type="dxa"/>
            <w:shd w:val="clear" w:color="auto" w:fill="auto"/>
            <w:noWrap/>
          </w:tcPr>
          <w:p w14:paraId="15FC8864" w14:textId="77777777" w:rsidR="008C1EC5" w:rsidRPr="00D518FF" w:rsidRDefault="008C1EC5" w:rsidP="008C1EC5">
            <w:pPr>
              <w:rPr>
                <w:rFonts w:ascii="Aptos" w:hAnsi="Aptos"/>
                <w:color w:val="000000"/>
                <w:sz w:val="16"/>
                <w:szCs w:val="16"/>
              </w:rPr>
            </w:pPr>
            <w:r w:rsidRPr="00D518FF">
              <w:rPr>
                <w:rFonts w:ascii="Aptos" w:hAnsi="Aptos" w:cs="Arial"/>
                <w:sz w:val="16"/>
                <w:szCs w:val="16"/>
              </w:rPr>
              <w:t>Fazelian, S.; Moradi, F.; Agah, S.; Hoseini, A.; Heydari, H.; Morvaridzadeh, M.; Omidi, A.; Pizarro, A. B.; Ghafouri, A.; Heshmati, J.</w:t>
            </w:r>
          </w:p>
        </w:tc>
        <w:tc>
          <w:tcPr>
            <w:tcW w:w="567" w:type="dxa"/>
            <w:shd w:val="clear" w:color="auto" w:fill="auto"/>
            <w:noWrap/>
          </w:tcPr>
          <w:p w14:paraId="140927EB"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2021</w:t>
            </w:r>
          </w:p>
        </w:tc>
        <w:tc>
          <w:tcPr>
            <w:tcW w:w="1417" w:type="dxa"/>
            <w:shd w:val="clear" w:color="auto" w:fill="auto"/>
            <w:noWrap/>
          </w:tcPr>
          <w:p w14:paraId="3E4D0FB4" w14:textId="77777777" w:rsidR="008C1EC5" w:rsidRPr="00D518FF" w:rsidRDefault="008C1EC5" w:rsidP="008C1EC5">
            <w:pPr>
              <w:rPr>
                <w:rFonts w:ascii="Aptos" w:hAnsi="Aptos"/>
                <w:color w:val="000000"/>
                <w:sz w:val="16"/>
                <w:szCs w:val="16"/>
              </w:rPr>
            </w:pPr>
            <w:r w:rsidRPr="00D518FF">
              <w:rPr>
                <w:rFonts w:ascii="Aptos" w:hAnsi="Aptos" w:cs="Arial"/>
                <w:sz w:val="16"/>
                <w:szCs w:val="16"/>
              </w:rPr>
              <w:t>BMC nephrology</w:t>
            </w:r>
          </w:p>
        </w:tc>
        <w:tc>
          <w:tcPr>
            <w:tcW w:w="851" w:type="dxa"/>
            <w:shd w:val="clear" w:color="auto" w:fill="auto"/>
            <w:noWrap/>
          </w:tcPr>
          <w:p w14:paraId="2D60421C"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22</w:t>
            </w:r>
          </w:p>
        </w:tc>
        <w:tc>
          <w:tcPr>
            <w:tcW w:w="708" w:type="dxa"/>
            <w:shd w:val="clear" w:color="auto" w:fill="auto"/>
            <w:noWrap/>
          </w:tcPr>
          <w:p w14:paraId="60D4FE37" w14:textId="77777777" w:rsidR="008C1EC5" w:rsidRPr="00D518FF" w:rsidRDefault="008C1EC5" w:rsidP="008C1EC5">
            <w:pPr>
              <w:rPr>
                <w:rFonts w:ascii="Aptos" w:hAnsi="Aptos"/>
                <w:color w:val="000000"/>
                <w:sz w:val="16"/>
                <w:szCs w:val="16"/>
              </w:rPr>
            </w:pPr>
            <w:r w:rsidRPr="00D518FF">
              <w:rPr>
                <w:rFonts w:ascii="Aptos" w:hAnsi="Aptos" w:cs="Arial"/>
                <w:sz w:val="16"/>
                <w:szCs w:val="16"/>
              </w:rPr>
              <w:t>1</w:t>
            </w:r>
          </w:p>
        </w:tc>
        <w:tc>
          <w:tcPr>
            <w:tcW w:w="709" w:type="dxa"/>
            <w:shd w:val="clear" w:color="auto" w:fill="auto"/>
            <w:noWrap/>
          </w:tcPr>
          <w:p w14:paraId="66298036" w14:textId="77777777" w:rsidR="008C1EC5" w:rsidRPr="00D518FF" w:rsidRDefault="008C1EC5" w:rsidP="008C1EC5">
            <w:pPr>
              <w:rPr>
                <w:rFonts w:ascii="Aptos" w:hAnsi="Aptos"/>
                <w:color w:val="000000"/>
                <w:sz w:val="16"/>
                <w:szCs w:val="16"/>
              </w:rPr>
            </w:pPr>
            <w:r w:rsidRPr="00D518FF">
              <w:rPr>
                <w:rFonts w:ascii="Aptos" w:hAnsi="Aptos" w:cs="Arial"/>
                <w:sz w:val="16"/>
                <w:szCs w:val="16"/>
              </w:rPr>
              <w:t>160</w:t>
            </w:r>
          </w:p>
        </w:tc>
        <w:tc>
          <w:tcPr>
            <w:tcW w:w="2410" w:type="dxa"/>
            <w:shd w:val="clear" w:color="auto" w:fill="auto"/>
            <w:noWrap/>
          </w:tcPr>
          <w:p w14:paraId="6128779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28D66555" w14:textId="77777777" w:rsidTr="004C6AA1">
        <w:trPr>
          <w:trHeight w:val="320"/>
        </w:trPr>
        <w:tc>
          <w:tcPr>
            <w:tcW w:w="4253" w:type="dxa"/>
            <w:shd w:val="clear" w:color="auto" w:fill="auto"/>
            <w:noWrap/>
          </w:tcPr>
          <w:p w14:paraId="3C31EDC6" w14:textId="77777777" w:rsidR="008C1EC5" w:rsidRPr="00D518FF" w:rsidRDefault="008C1EC5" w:rsidP="008C1EC5">
            <w:pPr>
              <w:rPr>
                <w:rFonts w:ascii="Aptos" w:hAnsi="Aptos"/>
                <w:color w:val="000000"/>
                <w:sz w:val="16"/>
                <w:szCs w:val="16"/>
              </w:rPr>
            </w:pPr>
            <w:r w:rsidRPr="00D518FF">
              <w:rPr>
                <w:rFonts w:ascii="Aptos" w:hAnsi="Aptos" w:cs="Arial"/>
                <w:sz w:val="16"/>
                <w:szCs w:val="16"/>
              </w:rPr>
              <w:t>Meta-analysis of the effects of n-3 polyunsaturated fatty acids on haematological and thrombogenic factors in type 2 diabetes</w:t>
            </w:r>
          </w:p>
        </w:tc>
        <w:tc>
          <w:tcPr>
            <w:tcW w:w="3544" w:type="dxa"/>
            <w:shd w:val="clear" w:color="auto" w:fill="auto"/>
            <w:noWrap/>
          </w:tcPr>
          <w:p w14:paraId="627B8B83" w14:textId="77777777" w:rsidR="008C1EC5" w:rsidRPr="00D518FF" w:rsidRDefault="008C1EC5" w:rsidP="008C1EC5">
            <w:pPr>
              <w:rPr>
                <w:rFonts w:ascii="Aptos" w:hAnsi="Aptos"/>
                <w:color w:val="000000"/>
                <w:sz w:val="16"/>
                <w:szCs w:val="16"/>
              </w:rPr>
            </w:pPr>
            <w:r w:rsidRPr="00D518FF">
              <w:rPr>
                <w:rFonts w:ascii="Aptos" w:hAnsi="Aptos" w:cs="Arial"/>
                <w:sz w:val="16"/>
                <w:szCs w:val="16"/>
              </w:rPr>
              <w:t>Hartweg, J.; Farmer, A. J.; Holman, R. R.; Neil, H. A.</w:t>
            </w:r>
          </w:p>
        </w:tc>
        <w:tc>
          <w:tcPr>
            <w:tcW w:w="567" w:type="dxa"/>
            <w:shd w:val="clear" w:color="auto" w:fill="auto"/>
            <w:noWrap/>
          </w:tcPr>
          <w:p w14:paraId="38A3FE7A"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2007</w:t>
            </w:r>
          </w:p>
        </w:tc>
        <w:tc>
          <w:tcPr>
            <w:tcW w:w="1417" w:type="dxa"/>
            <w:shd w:val="clear" w:color="auto" w:fill="auto"/>
            <w:noWrap/>
          </w:tcPr>
          <w:p w14:paraId="066658A7" w14:textId="77777777" w:rsidR="008C1EC5" w:rsidRPr="00D518FF" w:rsidRDefault="008C1EC5" w:rsidP="008C1EC5">
            <w:pPr>
              <w:rPr>
                <w:rFonts w:ascii="Aptos" w:hAnsi="Aptos"/>
                <w:color w:val="000000"/>
                <w:sz w:val="16"/>
                <w:szCs w:val="16"/>
              </w:rPr>
            </w:pPr>
            <w:r w:rsidRPr="00D518FF">
              <w:rPr>
                <w:rFonts w:ascii="Aptos" w:hAnsi="Aptos" w:cs="Arial"/>
                <w:sz w:val="16"/>
                <w:szCs w:val="16"/>
              </w:rPr>
              <w:t>Diabetologia</w:t>
            </w:r>
          </w:p>
        </w:tc>
        <w:tc>
          <w:tcPr>
            <w:tcW w:w="851" w:type="dxa"/>
            <w:shd w:val="clear" w:color="auto" w:fill="auto"/>
            <w:noWrap/>
          </w:tcPr>
          <w:p w14:paraId="1F63B957" w14:textId="77777777" w:rsidR="008C1EC5" w:rsidRPr="00D518FF" w:rsidRDefault="008C1EC5" w:rsidP="008C1EC5">
            <w:pPr>
              <w:rPr>
                <w:rFonts w:ascii="Aptos" w:hAnsi="Aptos"/>
                <w:color w:val="000000"/>
                <w:sz w:val="16"/>
                <w:szCs w:val="16"/>
              </w:rPr>
            </w:pPr>
            <w:r w:rsidRPr="00D518FF">
              <w:rPr>
                <w:rFonts w:ascii="Aptos" w:hAnsi="Aptos" w:cs="Arial"/>
                <w:sz w:val="16"/>
                <w:szCs w:val="16"/>
              </w:rPr>
              <w:t>50</w:t>
            </w:r>
          </w:p>
        </w:tc>
        <w:tc>
          <w:tcPr>
            <w:tcW w:w="708" w:type="dxa"/>
            <w:shd w:val="clear" w:color="auto" w:fill="auto"/>
            <w:noWrap/>
          </w:tcPr>
          <w:p w14:paraId="4FC9FAB3"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w:t>
            </w:r>
          </w:p>
        </w:tc>
        <w:tc>
          <w:tcPr>
            <w:tcW w:w="709" w:type="dxa"/>
            <w:shd w:val="clear" w:color="auto" w:fill="auto"/>
            <w:noWrap/>
          </w:tcPr>
          <w:p w14:paraId="12A3726E"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250-8</w:t>
            </w:r>
          </w:p>
        </w:tc>
        <w:tc>
          <w:tcPr>
            <w:tcW w:w="2410" w:type="dxa"/>
            <w:shd w:val="clear" w:color="auto" w:fill="auto"/>
            <w:noWrap/>
          </w:tcPr>
          <w:p w14:paraId="2369B1C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0E4888C6" w14:textId="77777777" w:rsidTr="004C6AA1">
        <w:trPr>
          <w:trHeight w:val="320"/>
        </w:trPr>
        <w:tc>
          <w:tcPr>
            <w:tcW w:w="4253" w:type="dxa"/>
            <w:shd w:val="clear" w:color="auto" w:fill="auto"/>
            <w:noWrap/>
          </w:tcPr>
          <w:p w14:paraId="43FA2447" w14:textId="77777777" w:rsidR="008C1EC5" w:rsidRPr="00D518FF" w:rsidRDefault="008C1EC5" w:rsidP="008C1EC5">
            <w:pPr>
              <w:rPr>
                <w:rFonts w:ascii="Aptos" w:hAnsi="Aptos"/>
                <w:color w:val="000000"/>
                <w:sz w:val="16"/>
                <w:szCs w:val="16"/>
              </w:rPr>
            </w:pPr>
            <w:r w:rsidRPr="00D518FF">
              <w:rPr>
                <w:rFonts w:ascii="Aptos" w:hAnsi="Aptos" w:cs="Arial"/>
                <w:sz w:val="16"/>
                <w:szCs w:val="16"/>
              </w:rPr>
              <w:t>Potential impact of omega-3 treatment on cardiovascular disease in type 2 diabetes</w:t>
            </w:r>
          </w:p>
        </w:tc>
        <w:tc>
          <w:tcPr>
            <w:tcW w:w="3544" w:type="dxa"/>
            <w:shd w:val="clear" w:color="auto" w:fill="auto"/>
            <w:noWrap/>
          </w:tcPr>
          <w:p w14:paraId="6E4E8CAF" w14:textId="77777777" w:rsidR="008C1EC5" w:rsidRPr="00D518FF" w:rsidRDefault="008C1EC5" w:rsidP="008C1EC5">
            <w:pPr>
              <w:rPr>
                <w:rFonts w:ascii="Aptos" w:hAnsi="Aptos"/>
                <w:color w:val="000000"/>
                <w:sz w:val="16"/>
                <w:szCs w:val="16"/>
              </w:rPr>
            </w:pPr>
            <w:r w:rsidRPr="00D518FF">
              <w:rPr>
                <w:rFonts w:ascii="Aptos" w:hAnsi="Aptos" w:cs="Arial"/>
                <w:sz w:val="16"/>
                <w:szCs w:val="16"/>
              </w:rPr>
              <w:t>Hartweg, J.; Farmer, A. J.; Holman, R. R.; Neil, A.</w:t>
            </w:r>
          </w:p>
        </w:tc>
        <w:tc>
          <w:tcPr>
            <w:tcW w:w="567" w:type="dxa"/>
            <w:shd w:val="clear" w:color="auto" w:fill="auto"/>
            <w:noWrap/>
          </w:tcPr>
          <w:p w14:paraId="56780E0F"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2009</w:t>
            </w:r>
          </w:p>
        </w:tc>
        <w:tc>
          <w:tcPr>
            <w:tcW w:w="1417" w:type="dxa"/>
            <w:shd w:val="clear" w:color="auto" w:fill="auto"/>
            <w:noWrap/>
          </w:tcPr>
          <w:p w14:paraId="56C03249" w14:textId="77777777" w:rsidR="008C1EC5" w:rsidRPr="00D518FF" w:rsidRDefault="008C1EC5" w:rsidP="008C1EC5">
            <w:pPr>
              <w:rPr>
                <w:rFonts w:ascii="Aptos" w:hAnsi="Aptos"/>
                <w:color w:val="000000"/>
                <w:sz w:val="16"/>
                <w:szCs w:val="16"/>
              </w:rPr>
            </w:pPr>
            <w:r w:rsidRPr="00D518FF">
              <w:rPr>
                <w:rFonts w:ascii="Aptos" w:hAnsi="Aptos" w:cs="Arial"/>
                <w:sz w:val="16"/>
                <w:szCs w:val="16"/>
              </w:rPr>
              <w:t>Current opinion in lipidology</w:t>
            </w:r>
          </w:p>
        </w:tc>
        <w:tc>
          <w:tcPr>
            <w:tcW w:w="851" w:type="dxa"/>
            <w:shd w:val="clear" w:color="auto" w:fill="auto"/>
            <w:noWrap/>
          </w:tcPr>
          <w:p w14:paraId="2655F662"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w:t>
            </w:r>
          </w:p>
        </w:tc>
        <w:tc>
          <w:tcPr>
            <w:tcW w:w="708" w:type="dxa"/>
            <w:shd w:val="clear" w:color="auto" w:fill="auto"/>
            <w:noWrap/>
          </w:tcPr>
          <w:p w14:paraId="4AD9DB9A" w14:textId="77777777" w:rsidR="008C1EC5" w:rsidRPr="00D518FF" w:rsidRDefault="008C1EC5" w:rsidP="008C1EC5">
            <w:pPr>
              <w:rPr>
                <w:rFonts w:ascii="Aptos" w:hAnsi="Aptos"/>
                <w:color w:val="000000"/>
                <w:sz w:val="16"/>
                <w:szCs w:val="16"/>
              </w:rPr>
            </w:pPr>
            <w:r w:rsidRPr="00D518FF">
              <w:rPr>
                <w:rFonts w:ascii="Aptos" w:hAnsi="Aptos" w:cs="Arial"/>
                <w:sz w:val="16"/>
                <w:szCs w:val="16"/>
              </w:rPr>
              <w:t>1</w:t>
            </w:r>
          </w:p>
        </w:tc>
        <w:tc>
          <w:tcPr>
            <w:tcW w:w="709" w:type="dxa"/>
            <w:shd w:val="clear" w:color="auto" w:fill="auto"/>
            <w:noWrap/>
          </w:tcPr>
          <w:p w14:paraId="22CA8029" w14:textId="77777777" w:rsidR="008C1EC5" w:rsidRPr="00D518FF" w:rsidRDefault="008C1EC5" w:rsidP="008C1EC5">
            <w:pPr>
              <w:rPr>
                <w:rFonts w:ascii="Aptos" w:hAnsi="Aptos"/>
                <w:color w:val="000000"/>
                <w:sz w:val="16"/>
                <w:szCs w:val="16"/>
              </w:rPr>
            </w:pPr>
            <w:r w:rsidRPr="00D518FF">
              <w:rPr>
                <w:rFonts w:ascii="Aptos" w:hAnsi="Aptos" w:cs="Arial"/>
                <w:sz w:val="16"/>
                <w:szCs w:val="16"/>
              </w:rPr>
              <w:t>30-Aug</w:t>
            </w:r>
          </w:p>
        </w:tc>
        <w:tc>
          <w:tcPr>
            <w:tcW w:w="2410" w:type="dxa"/>
            <w:shd w:val="clear" w:color="auto" w:fill="auto"/>
            <w:noWrap/>
          </w:tcPr>
          <w:p w14:paraId="4DA356D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49966F7A" w14:textId="77777777" w:rsidTr="004C6AA1">
        <w:trPr>
          <w:trHeight w:val="320"/>
        </w:trPr>
        <w:tc>
          <w:tcPr>
            <w:tcW w:w="4253" w:type="dxa"/>
            <w:shd w:val="clear" w:color="auto" w:fill="auto"/>
            <w:noWrap/>
          </w:tcPr>
          <w:p w14:paraId="0FB3CCA7" w14:textId="77777777" w:rsidR="008C1EC5" w:rsidRPr="00D518FF" w:rsidRDefault="008C1EC5" w:rsidP="008C1EC5">
            <w:pPr>
              <w:rPr>
                <w:rFonts w:ascii="Aptos" w:hAnsi="Aptos"/>
                <w:color w:val="000000"/>
                <w:sz w:val="16"/>
                <w:szCs w:val="16"/>
              </w:rPr>
            </w:pPr>
            <w:r w:rsidRPr="00D518FF">
              <w:rPr>
                <w:rFonts w:ascii="Aptos" w:hAnsi="Aptos" w:cs="Arial"/>
                <w:sz w:val="16"/>
                <w:szCs w:val="16"/>
              </w:rPr>
              <w:t>Effects of Omega-3 Fatty Acids Supplementation on Serum Lipid Profile and Blood Pressure in Patients with Metabolic Syndrome: A Systematic Review and Meta-Analysis of Randomized Controlled Trials</w:t>
            </w:r>
          </w:p>
        </w:tc>
        <w:tc>
          <w:tcPr>
            <w:tcW w:w="3544" w:type="dxa"/>
            <w:shd w:val="clear" w:color="auto" w:fill="auto"/>
            <w:noWrap/>
          </w:tcPr>
          <w:p w14:paraId="7FBEE966" w14:textId="77777777" w:rsidR="008C1EC5" w:rsidRPr="00D518FF" w:rsidRDefault="008C1EC5" w:rsidP="008C1EC5">
            <w:pPr>
              <w:rPr>
                <w:rFonts w:ascii="Aptos" w:hAnsi="Aptos"/>
                <w:color w:val="000000"/>
                <w:sz w:val="16"/>
                <w:szCs w:val="16"/>
              </w:rPr>
            </w:pPr>
            <w:r w:rsidRPr="00D518FF">
              <w:rPr>
                <w:rFonts w:ascii="Aptos" w:hAnsi="Aptos" w:cs="Arial"/>
                <w:sz w:val="16"/>
                <w:szCs w:val="16"/>
              </w:rPr>
              <w:t>Liu, Y. X.; Yu, J. H.; Sun, J. H.; Ma, W. Q.; Wang, J. J.; Sun, G. J.</w:t>
            </w:r>
          </w:p>
        </w:tc>
        <w:tc>
          <w:tcPr>
            <w:tcW w:w="567" w:type="dxa"/>
            <w:shd w:val="clear" w:color="auto" w:fill="auto"/>
            <w:noWrap/>
          </w:tcPr>
          <w:p w14:paraId="5A0CD9E0"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2023</w:t>
            </w:r>
          </w:p>
        </w:tc>
        <w:tc>
          <w:tcPr>
            <w:tcW w:w="1417" w:type="dxa"/>
            <w:shd w:val="clear" w:color="auto" w:fill="auto"/>
            <w:noWrap/>
          </w:tcPr>
          <w:p w14:paraId="3A0F4EE7" w14:textId="77777777" w:rsidR="008C1EC5" w:rsidRPr="00D518FF" w:rsidRDefault="008C1EC5" w:rsidP="008C1EC5">
            <w:pPr>
              <w:rPr>
                <w:rFonts w:ascii="Aptos" w:hAnsi="Aptos"/>
                <w:color w:val="000000"/>
                <w:sz w:val="16"/>
                <w:szCs w:val="16"/>
              </w:rPr>
            </w:pPr>
            <w:r w:rsidRPr="00D518FF">
              <w:rPr>
                <w:rFonts w:ascii="Aptos" w:hAnsi="Aptos" w:cs="Arial"/>
                <w:sz w:val="16"/>
                <w:szCs w:val="16"/>
              </w:rPr>
              <w:t>Foods (Basel, Switzerland)</w:t>
            </w:r>
          </w:p>
        </w:tc>
        <w:tc>
          <w:tcPr>
            <w:tcW w:w="851" w:type="dxa"/>
            <w:shd w:val="clear" w:color="auto" w:fill="auto"/>
            <w:noWrap/>
          </w:tcPr>
          <w:p w14:paraId="7852B64D" w14:textId="77777777" w:rsidR="008C1EC5" w:rsidRPr="00D518FF" w:rsidRDefault="008C1EC5" w:rsidP="008C1EC5">
            <w:pPr>
              <w:rPr>
                <w:rFonts w:ascii="Aptos" w:hAnsi="Aptos"/>
                <w:color w:val="000000"/>
                <w:sz w:val="16"/>
                <w:szCs w:val="16"/>
              </w:rPr>
            </w:pPr>
            <w:r w:rsidRPr="00D518FF">
              <w:rPr>
                <w:rFonts w:ascii="Aptos" w:hAnsi="Aptos" w:cs="Arial"/>
                <w:sz w:val="16"/>
                <w:szCs w:val="16"/>
              </w:rPr>
              <w:t>12</w:t>
            </w:r>
          </w:p>
        </w:tc>
        <w:tc>
          <w:tcPr>
            <w:tcW w:w="708" w:type="dxa"/>
            <w:shd w:val="clear" w:color="auto" w:fill="auto"/>
            <w:noWrap/>
          </w:tcPr>
          <w:p w14:paraId="1828A5A1" w14:textId="77777777" w:rsidR="008C1EC5" w:rsidRPr="00D518FF" w:rsidRDefault="008C1EC5" w:rsidP="008C1EC5">
            <w:pPr>
              <w:rPr>
                <w:rFonts w:ascii="Aptos" w:hAnsi="Aptos"/>
                <w:color w:val="000000"/>
                <w:sz w:val="16"/>
                <w:szCs w:val="16"/>
              </w:rPr>
            </w:pPr>
            <w:r w:rsidRPr="00D518FF">
              <w:rPr>
                <w:rFonts w:ascii="Aptos" w:hAnsi="Aptos" w:cs="Arial"/>
                <w:sz w:val="16"/>
                <w:szCs w:val="16"/>
              </w:rPr>
              <w:t>4</w:t>
            </w:r>
          </w:p>
        </w:tc>
        <w:tc>
          <w:tcPr>
            <w:tcW w:w="709" w:type="dxa"/>
            <w:shd w:val="clear" w:color="auto" w:fill="auto"/>
            <w:noWrap/>
          </w:tcPr>
          <w:p w14:paraId="6A66DC7D" w14:textId="77777777" w:rsidR="008C1EC5" w:rsidRPr="00D518FF" w:rsidRDefault="008C1EC5" w:rsidP="008C1EC5">
            <w:pPr>
              <w:rPr>
                <w:rFonts w:ascii="Aptos" w:hAnsi="Aptos"/>
                <w:color w:val="000000"/>
                <w:sz w:val="16"/>
                <w:szCs w:val="16"/>
              </w:rPr>
            </w:pPr>
          </w:p>
        </w:tc>
        <w:tc>
          <w:tcPr>
            <w:tcW w:w="2410" w:type="dxa"/>
            <w:shd w:val="clear" w:color="auto" w:fill="auto"/>
            <w:noWrap/>
          </w:tcPr>
          <w:p w14:paraId="0725A0CC"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5A266DAC" w14:textId="77777777" w:rsidTr="004C6AA1">
        <w:trPr>
          <w:trHeight w:val="320"/>
        </w:trPr>
        <w:tc>
          <w:tcPr>
            <w:tcW w:w="4253" w:type="dxa"/>
            <w:shd w:val="clear" w:color="auto" w:fill="auto"/>
            <w:noWrap/>
          </w:tcPr>
          <w:p w14:paraId="2B3F6C18" w14:textId="77777777" w:rsidR="008C1EC5" w:rsidRPr="00D518FF" w:rsidRDefault="008C1EC5" w:rsidP="008C1EC5">
            <w:pPr>
              <w:rPr>
                <w:rFonts w:ascii="Aptos" w:hAnsi="Aptos"/>
                <w:color w:val="000000"/>
                <w:sz w:val="16"/>
                <w:szCs w:val="16"/>
              </w:rPr>
            </w:pPr>
            <w:r w:rsidRPr="00D518FF">
              <w:rPr>
                <w:rFonts w:ascii="Aptos" w:hAnsi="Aptos" w:cs="Arial"/>
                <w:sz w:val="16"/>
                <w:szCs w:val="16"/>
              </w:rPr>
              <w:t>Omega-3, omega-6, and total dietary polyunsaturated fat for treatment of atherosclerotic cardiovascular disease: a systematic review and meta-analysis</w:t>
            </w:r>
          </w:p>
        </w:tc>
        <w:tc>
          <w:tcPr>
            <w:tcW w:w="3544" w:type="dxa"/>
            <w:shd w:val="clear" w:color="auto" w:fill="auto"/>
            <w:noWrap/>
          </w:tcPr>
          <w:p w14:paraId="3B22A737" w14:textId="77777777" w:rsidR="008C1EC5" w:rsidRPr="00D518FF" w:rsidRDefault="008C1EC5" w:rsidP="008C1EC5">
            <w:pPr>
              <w:rPr>
                <w:rFonts w:ascii="Aptos" w:hAnsi="Aptos"/>
                <w:color w:val="000000"/>
                <w:sz w:val="16"/>
                <w:szCs w:val="16"/>
              </w:rPr>
            </w:pPr>
            <w:r w:rsidRPr="00D518FF">
              <w:rPr>
                <w:rFonts w:ascii="Aptos" w:hAnsi="Aptos" w:cs="Arial"/>
                <w:sz w:val="16"/>
                <w:szCs w:val="16"/>
              </w:rPr>
              <w:t>Luo, S., Hou, H., Wang, Y., Li, Y., Zhang, L., Zhang, H., Jin, Q., Wu, G., &amp; Wang, X</w:t>
            </w:r>
          </w:p>
        </w:tc>
        <w:tc>
          <w:tcPr>
            <w:tcW w:w="567" w:type="dxa"/>
            <w:shd w:val="clear" w:color="auto" w:fill="auto"/>
            <w:noWrap/>
          </w:tcPr>
          <w:p w14:paraId="3B75C24C"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2023</w:t>
            </w:r>
          </w:p>
        </w:tc>
        <w:tc>
          <w:tcPr>
            <w:tcW w:w="1417" w:type="dxa"/>
            <w:shd w:val="clear" w:color="auto" w:fill="auto"/>
            <w:noWrap/>
          </w:tcPr>
          <w:p w14:paraId="2FABA4DE" w14:textId="77777777" w:rsidR="008C1EC5" w:rsidRPr="00D518FF" w:rsidRDefault="008C1EC5" w:rsidP="008C1EC5">
            <w:pPr>
              <w:rPr>
                <w:rFonts w:ascii="Aptos" w:hAnsi="Aptos"/>
                <w:color w:val="000000"/>
                <w:sz w:val="16"/>
                <w:szCs w:val="16"/>
              </w:rPr>
            </w:pPr>
            <w:r w:rsidRPr="00D518FF">
              <w:rPr>
                <w:rFonts w:ascii="Aptos" w:hAnsi="Aptos" w:cs="Arial"/>
                <w:sz w:val="16"/>
                <w:szCs w:val="16"/>
              </w:rPr>
              <w:t>Food &amp; function</w:t>
            </w:r>
          </w:p>
        </w:tc>
        <w:tc>
          <w:tcPr>
            <w:tcW w:w="851" w:type="dxa"/>
            <w:shd w:val="clear" w:color="auto" w:fill="auto"/>
            <w:noWrap/>
          </w:tcPr>
          <w:p w14:paraId="66E0A885" w14:textId="77777777" w:rsidR="008C1EC5" w:rsidRPr="00D518FF" w:rsidRDefault="008C1EC5" w:rsidP="008C1EC5">
            <w:pPr>
              <w:rPr>
                <w:rFonts w:ascii="Aptos" w:hAnsi="Aptos"/>
                <w:color w:val="000000"/>
                <w:sz w:val="16"/>
                <w:szCs w:val="16"/>
              </w:rPr>
            </w:pPr>
            <w:r w:rsidRPr="00D518FF">
              <w:rPr>
                <w:rFonts w:ascii="Aptos" w:hAnsi="Aptos" w:cs="Arial"/>
                <w:sz w:val="16"/>
                <w:szCs w:val="16"/>
              </w:rPr>
              <w:t>15</w:t>
            </w:r>
          </w:p>
        </w:tc>
        <w:tc>
          <w:tcPr>
            <w:tcW w:w="708" w:type="dxa"/>
            <w:shd w:val="clear" w:color="auto" w:fill="auto"/>
            <w:noWrap/>
          </w:tcPr>
          <w:p w14:paraId="53ADE848" w14:textId="77777777" w:rsidR="008C1EC5" w:rsidRPr="00D518FF" w:rsidRDefault="008C1EC5" w:rsidP="008C1EC5">
            <w:pPr>
              <w:rPr>
                <w:rFonts w:ascii="Aptos" w:hAnsi="Aptos"/>
                <w:color w:val="000000"/>
                <w:sz w:val="16"/>
                <w:szCs w:val="16"/>
              </w:rPr>
            </w:pPr>
            <w:r w:rsidRPr="00D518FF">
              <w:rPr>
                <w:rFonts w:ascii="Aptos" w:hAnsi="Aptos" w:cs="Arial"/>
                <w:sz w:val="16"/>
                <w:szCs w:val="16"/>
              </w:rPr>
              <w:t>3</w:t>
            </w:r>
          </w:p>
        </w:tc>
        <w:tc>
          <w:tcPr>
            <w:tcW w:w="709" w:type="dxa"/>
            <w:shd w:val="clear" w:color="auto" w:fill="auto"/>
            <w:noWrap/>
          </w:tcPr>
          <w:p w14:paraId="51B4F68F" w14:textId="77777777" w:rsidR="008C1EC5" w:rsidRPr="00D518FF" w:rsidRDefault="008C1EC5" w:rsidP="008C1EC5">
            <w:pPr>
              <w:rPr>
                <w:rFonts w:ascii="Aptos" w:hAnsi="Aptos"/>
                <w:color w:val="000000"/>
                <w:sz w:val="16"/>
                <w:szCs w:val="16"/>
              </w:rPr>
            </w:pPr>
            <w:r w:rsidRPr="00D518FF">
              <w:rPr>
                <w:rFonts w:ascii="Aptos" w:hAnsi="Aptos" w:cs="Arial"/>
                <w:sz w:val="16"/>
                <w:szCs w:val="16"/>
              </w:rPr>
              <w:t>1208–1222</w:t>
            </w:r>
          </w:p>
        </w:tc>
        <w:tc>
          <w:tcPr>
            <w:tcW w:w="2410" w:type="dxa"/>
            <w:shd w:val="clear" w:color="auto" w:fill="auto"/>
            <w:noWrap/>
          </w:tcPr>
          <w:p w14:paraId="2663B51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44BBF5F1" w14:textId="77777777" w:rsidTr="00887C84">
        <w:trPr>
          <w:trHeight w:val="320"/>
        </w:trPr>
        <w:tc>
          <w:tcPr>
            <w:tcW w:w="4253" w:type="dxa"/>
            <w:shd w:val="clear" w:color="auto" w:fill="auto"/>
            <w:noWrap/>
          </w:tcPr>
          <w:p w14:paraId="0F4A3C2D" w14:textId="77777777" w:rsidR="008C1EC5" w:rsidRPr="00D518FF" w:rsidRDefault="008C1EC5" w:rsidP="008C1EC5">
            <w:pPr>
              <w:rPr>
                <w:rFonts w:ascii="Aptos" w:hAnsi="Aptos"/>
                <w:color w:val="000000"/>
                <w:sz w:val="16"/>
                <w:szCs w:val="16"/>
              </w:rPr>
            </w:pPr>
            <w:r w:rsidRPr="00D518FF">
              <w:rPr>
                <w:rFonts w:ascii="Aptos" w:hAnsi="Aptos" w:cs="Arial"/>
                <w:sz w:val="16"/>
                <w:szCs w:val="16"/>
              </w:rPr>
              <w:t>Omega-3 Polyunsaturated Fatty Acid Supplementation in Patients with Lower Extremity Arterial Disease</w:t>
            </w:r>
          </w:p>
        </w:tc>
        <w:tc>
          <w:tcPr>
            <w:tcW w:w="3544" w:type="dxa"/>
            <w:shd w:val="clear" w:color="auto" w:fill="auto"/>
            <w:noWrap/>
          </w:tcPr>
          <w:p w14:paraId="2DF331E9" w14:textId="77777777" w:rsidR="008C1EC5" w:rsidRPr="00D518FF" w:rsidRDefault="008C1EC5" w:rsidP="008C1EC5">
            <w:pPr>
              <w:rPr>
                <w:rFonts w:ascii="Aptos" w:hAnsi="Aptos"/>
                <w:color w:val="000000"/>
                <w:sz w:val="16"/>
                <w:szCs w:val="16"/>
              </w:rPr>
            </w:pPr>
            <w:r w:rsidRPr="00D518FF">
              <w:rPr>
                <w:rFonts w:ascii="Aptos" w:hAnsi="Aptos" w:cs="Arial"/>
                <w:sz w:val="16"/>
                <w:szCs w:val="16"/>
              </w:rPr>
              <w:t>Su, M. I.; Cheng, Y. C.; Huang, Y. C.; Liu, C. W.</w:t>
            </w:r>
          </w:p>
        </w:tc>
        <w:tc>
          <w:tcPr>
            <w:tcW w:w="567" w:type="dxa"/>
            <w:shd w:val="clear" w:color="auto" w:fill="auto"/>
            <w:noWrap/>
          </w:tcPr>
          <w:p w14:paraId="65CE8DE3" w14:textId="77777777" w:rsidR="008C1EC5" w:rsidRPr="00D518FF" w:rsidRDefault="008C1EC5" w:rsidP="008C1EC5">
            <w:pPr>
              <w:rPr>
                <w:rFonts w:ascii="Aptos" w:hAnsi="Aptos"/>
                <w:color w:val="000000"/>
                <w:sz w:val="16"/>
                <w:szCs w:val="16"/>
              </w:rPr>
            </w:pPr>
            <w:r w:rsidRPr="00D518FF">
              <w:rPr>
                <w:rFonts w:ascii="Aptos" w:hAnsi="Aptos" w:cs="Arial"/>
                <w:sz w:val="16"/>
                <w:szCs w:val="16"/>
              </w:rPr>
              <w:t>2021</w:t>
            </w:r>
          </w:p>
        </w:tc>
        <w:tc>
          <w:tcPr>
            <w:tcW w:w="1417" w:type="dxa"/>
            <w:shd w:val="clear" w:color="auto" w:fill="auto"/>
            <w:noWrap/>
          </w:tcPr>
          <w:p w14:paraId="402619ED" w14:textId="77777777" w:rsidR="008C1EC5" w:rsidRPr="00D518FF" w:rsidRDefault="008C1EC5" w:rsidP="008C1EC5">
            <w:pPr>
              <w:rPr>
                <w:rFonts w:ascii="Aptos" w:hAnsi="Aptos"/>
                <w:color w:val="000000"/>
                <w:sz w:val="16"/>
                <w:szCs w:val="16"/>
              </w:rPr>
            </w:pPr>
            <w:r w:rsidRPr="00D518FF">
              <w:rPr>
                <w:rFonts w:ascii="Aptos" w:hAnsi="Aptos" w:cs="Arial"/>
                <w:sz w:val="16"/>
                <w:szCs w:val="16"/>
              </w:rPr>
              <w:t>Journal of the American College of Nutrition</w:t>
            </w:r>
          </w:p>
        </w:tc>
        <w:tc>
          <w:tcPr>
            <w:tcW w:w="851" w:type="dxa"/>
            <w:shd w:val="clear" w:color="auto" w:fill="auto"/>
            <w:noWrap/>
          </w:tcPr>
          <w:p w14:paraId="10BD787C" w14:textId="099814E2" w:rsidR="008C1EC5" w:rsidRPr="00D518FF" w:rsidRDefault="000F50B5" w:rsidP="008C1EC5">
            <w:pPr>
              <w:rPr>
                <w:rFonts w:ascii="Aptos" w:hAnsi="Aptos"/>
                <w:color w:val="000000"/>
                <w:sz w:val="16"/>
                <w:szCs w:val="16"/>
              </w:rPr>
            </w:pPr>
            <w:r>
              <w:rPr>
                <w:rFonts w:ascii="Aptos" w:hAnsi="Aptos"/>
                <w:color w:val="000000"/>
                <w:sz w:val="16"/>
                <w:szCs w:val="16"/>
              </w:rPr>
              <w:t>41</w:t>
            </w:r>
          </w:p>
        </w:tc>
        <w:tc>
          <w:tcPr>
            <w:tcW w:w="708" w:type="dxa"/>
            <w:shd w:val="clear" w:color="auto" w:fill="auto"/>
            <w:noWrap/>
          </w:tcPr>
          <w:p w14:paraId="4FC3E94A" w14:textId="43DFDAFB" w:rsidR="008C1EC5" w:rsidRPr="00D518FF" w:rsidRDefault="000F50B5" w:rsidP="008C1EC5">
            <w:pPr>
              <w:rPr>
                <w:rFonts w:ascii="Aptos" w:hAnsi="Aptos"/>
                <w:color w:val="000000"/>
                <w:sz w:val="16"/>
                <w:szCs w:val="16"/>
              </w:rPr>
            </w:pPr>
            <w:r>
              <w:rPr>
                <w:rFonts w:ascii="Aptos" w:hAnsi="Aptos"/>
                <w:color w:val="000000"/>
                <w:sz w:val="16"/>
                <w:szCs w:val="16"/>
              </w:rPr>
              <w:t>4</w:t>
            </w:r>
          </w:p>
        </w:tc>
        <w:tc>
          <w:tcPr>
            <w:tcW w:w="709" w:type="dxa"/>
            <w:shd w:val="clear" w:color="auto" w:fill="auto"/>
            <w:noWrap/>
          </w:tcPr>
          <w:p w14:paraId="29D99739" w14:textId="51406B73" w:rsidR="008C1EC5" w:rsidRPr="00D518FF" w:rsidRDefault="000F50B5" w:rsidP="008C1EC5">
            <w:pPr>
              <w:rPr>
                <w:rFonts w:ascii="Aptos" w:hAnsi="Aptos"/>
                <w:color w:val="000000"/>
                <w:sz w:val="16"/>
                <w:szCs w:val="16"/>
              </w:rPr>
            </w:pPr>
            <w:r w:rsidRPr="000F50B5">
              <w:rPr>
                <w:rFonts w:ascii="Aptos" w:hAnsi="Aptos"/>
                <w:color w:val="000000"/>
                <w:sz w:val="16"/>
                <w:szCs w:val="16"/>
              </w:rPr>
              <w:t>383-391</w:t>
            </w:r>
          </w:p>
        </w:tc>
        <w:tc>
          <w:tcPr>
            <w:tcW w:w="2410" w:type="dxa"/>
            <w:shd w:val="clear" w:color="auto" w:fill="auto"/>
            <w:noWrap/>
          </w:tcPr>
          <w:p w14:paraId="1B8B294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25B4BC97" w14:textId="77777777" w:rsidTr="004C6AA1">
        <w:trPr>
          <w:trHeight w:val="320"/>
        </w:trPr>
        <w:tc>
          <w:tcPr>
            <w:tcW w:w="4253" w:type="dxa"/>
            <w:shd w:val="clear" w:color="auto" w:fill="auto"/>
            <w:noWrap/>
            <w:hideMark/>
          </w:tcPr>
          <w:p w14:paraId="79D6F444"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The Differential Effects of Eicosapentaenoic Acid and Docosahexaenoic Acid on Cardiometabolic Risk Factors: A Systematic Review</w:t>
            </w:r>
          </w:p>
        </w:tc>
        <w:tc>
          <w:tcPr>
            <w:tcW w:w="3544" w:type="dxa"/>
            <w:shd w:val="clear" w:color="auto" w:fill="auto"/>
            <w:noWrap/>
            <w:hideMark/>
          </w:tcPr>
          <w:p w14:paraId="4665CD1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Innes, J. K.; Calder, P. C.</w:t>
            </w:r>
          </w:p>
        </w:tc>
        <w:tc>
          <w:tcPr>
            <w:tcW w:w="567" w:type="dxa"/>
            <w:shd w:val="clear" w:color="auto" w:fill="auto"/>
            <w:noWrap/>
            <w:hideMark/>
          </w:tcPr>
          <w:p w14:paraId="4A7AA77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2018</w:t>
            </w:r>
          </w:p>
        </w:tc>
        <w:tc>
          <w:tcPr>
            <w:tcW w:w="1417" w:type="dxa"/>
            <w:shd w:val="clear" w:color="auto" w:fill="auto"/>
            <w:noWrap/>
            <w:hideMark/>
          </w:tcPr>
          <w:p w14:paraId="5E77DA4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International journal of molecular sciences</w:t>
            </w:r>
          </w:p>
        </w:tc>
        <w:tc>
          <w:tcPr>
            <w:tcW w:w="851" w:type="dxa"/>
            <w:shd w:val="clear" w:color="auto" w:fill="auto"/>
            <w:noWrap/>
            <w:hideMark/>
          </w:tcPr>
          <w:p w14:paraId="36FD78E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19</w:t>
            </w:r>
          </w:p>
        </w:tc>
        <w:tc>
          <w:tcPr>
            <w:tcW w:w="708" w:type="dxa"/>
            <w:shd w:val="clear" w:color="auto" w:fill="auto"/>
            <w:noWrap/>
            <w:hideMark/>
          </w:tcPr>
          <w:p w14:paraId="351549E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0CC218E3" w14:textId="78648F0E" w:rsidR="008C1EC5" w:rsidRPr="00D518FF" w:rsidRDefault="000F50B5" w:rsidP="008C1EC5">
            <w:pPr>
              <w:rPr>
                <w:rFonts w:ascii="Aptos" w:hAnsi="Aptos"/>
                <w:color w:val="000000"/>
                <w:sz w:val="16"/>
                <w:szCs w:val="16"/>
              </w:rPr>
            </w:pPr>
            <w:r w:rsidRPr="000F50B5">
              <w:rPr>
                <w:rFonts w:ascii="Aptos" w:hAnsi="Aptos"/>
                <w:color w:val="000000"/>
                <w:sz w:val="16"/>
                <w:szCs w:val="16"/>
              </w:rPr>
              <w:t>532</w:t>
            </w:r>
          </w:p>
        </w:tc>
        <w:tc>
          <w:tcPr>
            <w:tcW w:w="2410" w:type="dxa"/>
            <w:shd w:val="clear" w:color="auto" w:fill="auto"/>
            <w:noWrap/>
            <w:hideMark/>
          </w:tcPr>
          <w:p w14:paraId="0D4185C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37322479" w14:textId="77777777" w:rsidTr="004C6AA1">
        <w:trPr>
          <w:trHeight w:val="320"/>
        </w:trPr>
        <w:tc>
          <w:tcPr>
            <w:tcW w:w="4253" w:type="dxa"/>
            <w:shd w:val="clear" w:color="auto" w:fill="auto"/>
            <w:noWrap/>
            <w:hideMark/>
          </w:tcPr>
          <w:p w14:paraId="21B3BC48"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Eicosapentaenoic acid and docosahexaenoic acid containing supplements modulate risk factors for cardiovascular disease: a meta-analysis of randomised placebo-control human clinical trials</w:t>
            </w:r>
          </w:p>
        </w:tc>
        <w:tc>
          <w:tcPr>
            <w:tcW w:w="3544" w:type="dxa"/>
            <w:shd w:val="clear" w:color="auto" w:fill="auto"/>
            <w:noWrap/>
            <w:hideMark/>
          </w:tcPr>
          <w:p w14:paraId="074ADE5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AbuMweis, S.; Jew, S.; Tayyem, R.; Agraib, L.</w:t>
            </w:r>
          </w:p>
        </w:tc>
        <w:tc>
          <w:tcPr>
            <w:tcW w:w="567" w:type="dxa"/>
            <w:shd w:val="clear" w:color="auto" w:fill="auto"/>
            <w:noWrap/>
            <w:hideMark/>
          </w:tcPr>
          <w:p w14:paraId="5E3F79D4"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2018</w:t>
            </w:r>
          </w:p>
        </w:tc>
        <w:tc>
          <w:tcPr>
            <w:tcW w:w="1417" w:type="dxa"/>
            <w:shd w:val="clear" w:color="auto" w:fill="auto"/>
            <w:noWrap/>
            <w:hideMark/>
          </w:tcPr>
          <w:p w14:paraId="4431A0E4"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Journal of Human Nutrition and Dietetics</w:t>
            </w:r>
          </w:p>
        </w:tc>
        <w:tc>
          <w:tcPr>
            <w:tcW w:w="851" w:type="dxa"/>
            <w:shd w:val="clear" w:color="auto" w:fill="auto"/>
            <w:noWrap/>
            <w:hideMark/>
          </w:tcPr>
          <w:p w14:paraId="3EF633B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31</w:t>
            </w:r>
          </w:p>
        </w:tc>
        <w:tc>
          <w:tcPr>
            <w:tcW w:w="708" w:type="dxa"/>
            <w:shd w:val="clear" w:color="auto" w:fill="auto"/>
            <w:noWrap/>
            <w:hideMark/>
          </w:tcPr>
          <w:p w14:paraId="062B4BC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4607BA2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67-84</w:t>
            </w:r>
          </w:p>
        </w:tc>
        <w:tc>
          <w:tcPr>
            <w:tcW w:w="2410" w:type="dxa"/>
            <w:shd w:val="clear" w:color="auto" w:fill="auto"/>
            <w:noWrap/>
            <w:hideMark/>
          </w:tcPr>
          <w:p w14:paraId="317D83B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0B722D52" w14:textId="77777777" w:rsidTr="004C6AA1">
        <w:trPr>
          <w:trHeight w:val="320"/>
        </w:trPr>
        <w:tc>
          <w:tcPr>
            <w:tcW w:w="4253" w:type="dxa"/>
            <w:shd w:val="clear" w:color="auto" w:fill="auto"/>
            <w:noWrap/>
          </w:tcPr>
          <w:p w14:paraId="19AE038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 xml:space="preserve">The impact of omega-3 fatty acid supplementation on glycemic control in patients with gestational diabetes: a </w:t>
            </w:r>
            <w:r w:rsidRPr="00D518FF">
              <w:rPr>
                <w:rFonts w:ascii="Aptos" w:hAnsi="Aptos"/>
                <w:color w:val="000000"/>
                <w:sz w:val="16"/>
                <w:szCs w:val="16"/>
              </w:rPr>
              <w:lastRenderedPageBreak/>
              <w:t>systematic review and meta-analysis of randomized controlled studies.</w:t>
            </w:r>
          </w:p>
        </w:tc>
        <w:tc>
          <w:tcPr>
            <w:tcW w:w="3544" w:type="dxa"/>
            <w:shd w:val="clear" w:color="auto" w:fill="auto"/>
            <w:noWrap/>
          </w:tcPr>
          <w:p w14:paraId="43C96BF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lastRenderedPageBreak/>
              <w:t>Gao, Li; Lin, Liyuan; Shan, Nan; Ren, Chun-Yan; Long, Xin; Sun, Yu-Han; Wang, Lan</w:t>
            </w:r>
          </w:p>
          <w:p w14:paraId="2140B9FB" w14:textId="77777777" w:rsidR="008C1EC5" w:rsidRPr="00D518FF" w:rsidRDefault="008C1EC5" w:rsidP="008C1EC5">
            <w:pPr>
              <w:rPr>
                <w:rFonts w:ascii="Aptos" w:hAnsi="Aptos"/>
                <w:color w:val="000000"/>
                <w:sz w:val="16"/>
                <w:szCs w:val="16"/>
              </w:rPr>
            </w:pPr>
          </w:p>
        </w:tc>
        <w:tc>
          <w:tcPr>
            <w:tcW w:w="567" w:type="dxa"/>
            <w:shd w:val="clear" w:color="auto" w:fill="auto"/>
            <w:noWrap/>
          </w:tcPr>
          <w:p w14:paraId="4B2B895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tcPr>
          <w:p w14:paraId="60404FB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The journal of maternal-fetal &amp; neonatal medicine</w:t>
            </w:r>
          </w:p>
        </w:tc>
        <w:tc>
          <w:tcPr>
            <w:tcW w:w="851" w:type="dxa"/>
            <w:shd w:val="clear" w:color="auto" w:fill="auto"/>
            <w:noWrap/>
          </w:tcPr>
          <w:p w14:paraId="1E3F8836"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33</w:t>
            </w:r>
          </w:p>
        </w:tc>
        <w:tc>
          <w:tcPr>
            <w:tcW w:w="708" w:type="dxa"/>
            <w:shd w:val="clear" w:color="auto" w:fill="auto"/>
            <w:noWrap/>
          </w:tcPr>
          <w:p w14:paraId="065939D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10</w:t>
            </w:r>
          </w:p>
        </w:tc>
        <w:tc>
          <w:tcPr>
            <w:tcW w:w="709" w:type="dxa"/>
            <w:shd w:val="clear" w:color="auto" w:fill="auto"/>
            <w:noWrap/>
          </w:tcPr>
          <w:p w14:paraId="280CA5C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1767-1773</w:t>
            </w:r>
          </w:p>
        </w:tc>
        <w:tc>
          <w:tcPr>
            <w:tcW w:w="2410" w:type="dxa"/>
            <w:shd w:val="clear" w:color="auto" w:fill="auto"/>
            <w:noWrap/>
          </w:tcPr>
          <w:p w14:paraId="083F9CE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7C81F2C6" w14:textId="77777777" w:rsidTr="004C6AA1">
        <w:trPr>
          <w:trHeight w:val="320"/>
        </w:trPr>
        <w:tc>
          <w:tcPr>
            <w:tcW w:w="4253" w:type="dxa"/>
            <w:shd w:val="clear" w:color="auto" w:fill="auto"/>
            <w:noWrap/>
            <w:hideMark/>
          </w:tcPr>
          <w:p w14:paraId="3641648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Does supplementation of diet with 'fish oil' reduce blood pressure? A meta-analysis of controlled clinical trials</w:t>
            </w:r>
          </w:p>
        </w:tc>
        <w:tc>
          <w:tcPr>
            <w:tcW w:w="3544" w:type="dxa"/>
            <w:shd w:val="clear" w:color="auto" w:fill="auto"/>
            <w:noWrap/>
            <w:hideMark/>
          </w:tcPr>
          <w:p w14:paraId="05B967C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Appel, L. J.; Miller, E. R.; Seidler, A. J.; Whelton, P. K.</w:t>
            </w:r>
          </w:p>
        </w:tc>
        <w:tc>
          <w:tcPr>
            <w:tcW w:w="567" w:type="dxa"/>
            <w:shd w:val="clear" w:color="auto" w:fill="auto"/>
            <w:noWrap/>
            <w:hideMark/>
          </w:tcPr>
          <w:p w14:paraId="34D0137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1993</w:t>
            </w:r>
          </w:p>
        </w:tc>
        <w:tc>
          <w:tcPr>
            <w:tcW w:w="1417" w:type="dxa"/>
            <w:shd w:val="clear" w:color="auto" w:fill="auto"/>
            <w:noWrap/>
            <w:hideMark/>
          </w:tcPr>
          <w:p w14:paraId="2D88917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Archives of internal medicine</w:t>
            </w:r>
          </w:p>
        </w:tc>
        <w:tc>
          <w:tcPr>
            <w:tcW w:w="851" w:type="dxa"/>
            <w:shd w:val="clear" w:color="auto" w:fill="auto"/>
            <w:noWrap/>
            <w:hideMark/>
          </w:tcPr>
          <w:p w14:paraId="6B40F05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153</w:t>
            </w:r>
          </w:p>
        </w:tc>
        <w:tc>
          <w:tcPr>
            <w:tcW w:w="708" w:type="dxa"/>
            <w:shd w:val="clear" w:color="auto" w:fill="auto"/>
            <w:noWrap/>
            <w:hideMark/>
          </w:tcPr>
          <w:p w14:paraId="35506A2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12</w:t>
            </w:r>
          </w:p>
        </w:tc>
        <w:tc>
          <w:tcPr>
            <w:tcW w:w="709" w:type="dxa"/>
            <w:shd w:val="clear" w:color="auto" w:fill="auto"/>
            <w:noWrap/>
            <w:hideMark/>
          </w:tcPr>
          <w:p w14:paraId="6906523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1429-38</w:t>
            </w:r>
          </w:p>
        </w:tc>
        <w:tc>
          <w:tcPr>
            <w:tcW w:w="2410" w:type="dxa"/>
            <w:shd w:val="clear" w:color="auto" w:fill="auto"/>
            <w:noWrap/>
            <w:hideMark/>
          </w:tcPr>
          <w:p w14:paraId="328D946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5AB62F7F" w14:textId="77777777" w:rsidTr="004C6AA1">
        <w:trPr>
          <w:trHeight w:val="320"/>
        </w:trPr>
        <w:tc>
          <w:tcPr>
            <w:tcW w:w="4253" w:type="dxa"/>
            <w:shd w:val="clear" w:color="auto" w:fill="auto"/>
            <w:noWrap/>
            <w:hideMark/>
          </w:tcPr>
          <w:p w14:paraId="204B9636"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Long-chain omega-3 fatty acids eicosapentaenoic acid and docosahexaenoic acid and blood pressure: a meta-analysis of randomized controlled trials</w:t>
            </w:r>
          </w:p>
        </w:tc>
        <w:tc>
          <w:tcPr>
            <w:tcW w:w="3544" w:type="dxa"/>
            <w:shd w:val="clear" w:color="auto" w:fill="auto"/>
            <w:noWrap/>
            <w:hideMark/>
          </w:tcPr>
          <w:p w14:paraId="0ECE47E6"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Miller, P. E.; Van Elswyk, M.; Alexander, D. D.</w:t>
            </w:r>
          </w:p>
        </w:tc>
        <w:tc>
          <w:tcPr>
            <w:tcW w:w="567" w:type="dxa"/>
            <w:shd w:val="clear" w:color="auto" w:fill="auto"/>
            <w:noWrap/>
            <w:hideMark/>
          </w:tcPr>
          <w:p w14:paraId="1AA8F176"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2014</w:t>
            </w:r>
          </w:p>
        </w:tc>
        <w:tc>
          <w:tcPr>
            <w:tcW w:w="1417" w:type="dxa"/>
            <w:shd w:val="clear" w:color="auto" w:fill="auto"/>
            <w:noWrap/>
            <w:hideMark/>
          </w:tcPr>
          <w:p w14:paraId="5E440A7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American journal of hypertension</w:t>
            </w:r>
          </w:p>
        </w:tc>
        <w:tc>
          <w:tcPr>
            <w:tcW w:w="851" w:type="dxa"/>
            <w:shd w:val="clear" w:color="auto" w:fill="auto"/>
            <w:noWrap/>
            <w:hideMark/>
          </w:tcPr>
          <w:p w14:paraId="735265D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27</w:t>
            </w:r>
          </w:p>
        </w:tc>
        <w:tc>
          <w:tcPr>
            <w:tcW w:w="708" w:type="dxa"/>
            <w:shd w:val="clear" w:color="auto" w:fill="auto"/>
            <w:noWrap/>
            <w:hideMark/>
          </w:tcPr>
          <w:p w14:paraId="3B192D6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7</w:t>
            </w:r>
          </w:p>
        </w:tc>
        <w:tc>
          <w:tcPr>
            <w:tcW w:w="709" w:type="dxa"/>
            <w:shd w:val="clear" w:color="auto" w:fill="auto"/>
            <w:noWrap/>
            <w:hideMark/>
          </w:tcPr>
          <w:p w14:paraId="4FEF11C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885-96</w:t>
            </w:r>
          </w:p>
        </w:tc>
        <w:tc>
          <w:tcPr>
            <w:tcW w:w="2410" w:type="dxa"/>
            <w:shd w:val="clear" w:color="auto" w:fill="auto"/>
            <w:noWrap/>
            <w:hideMark/>
          </w:tcPr>
          <w:p w14:paraId="218A88F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26062703" w14:textId="77777777" w:rsidTr="004C6AA1">
        <w:trPr>
          <w:trHeight w:val="320"/>
        </w:trPr>
        <w:tc>
          <w:tcPr>
            <w:tcW w:w="4253" w:type="dxa"/>
            <w:shd w:val="clear" w:color="auto" w:fill="auto"/>
            <w:noWrap/>
            <w:hideMark/>
          </w:tcPr>
          <w:p w14:paraId="1A48EFF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Effect of alpha linolenic acid on cardiovascular risk markers: A systematic review</w:t>
            </w:r>
          </w:p>
        </w:tc>
        <w:tc>
          <w:tcPr>
            <w:tcW w:w="3544" w:type="dxa"/>
            <w:shd w:val="clear" w:color="auto" w:fill="auto"/>
            <w:noWrap/>
            <w:hideMark/>
          </w:tcPr>
          <w:p w14:paraId="7B2A552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Wendland, E.; Farmer, A.; Glasziou, P.; Neil, A.</w:t>
            </w:r>
          </w:p>
        </w:tc>
        <w:tc>
          <w:tcPr>
            <w:tcW w:w="567" w:type="dxa"/>
            <w:shd w:val="clear" w:color="auto" w:fill="auto"/>
            <w:noWrap/>
            <w:hideMark/>
          </w:tcPr>
          <w:p w14:paraId="2211C07E"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2006</w:t>
            </w:r>
          </w:p>
        </w:tc>
        <w:tc>
          <w:tcPr>
            <w:tcW w:w="1417" w:type="dxa"/>
            <w:shd w:val="clear" w:color="auto" w:fill="auto"/>
            <w:noWrap/>
            <w:hideMark/>
          </w:tcPr>
          <w:p w14:paraId="1E12570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Heart</w:t>
            </w:r>
          </w:p>
        </w:tc>
        <w:tc>
          <w:tcPr>
            <w:tcW w:w="851" w:type="dxa"/>
            <w:shd w:val="clear" w:color="auto" w:fill="auto"/>
            <w:noWrap/>
            <w:hideMark/>
          </w:tcPr>
          <w:p w14:paraId="40A246D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92</w:t>
            </w:r>
          </w:p>
        </w:tc>
        <w:tc>
          <w:tcPr>
            <w:tcW w:w="708" w:type="dxa"/>
            <w:shd w:val="clear" w:color="auto" w:fill="auto"/>
            <w:noWrap/>
            <w:hideMark/>
          </w:tcPr>
          <w:p w14:paraId="2C83A980"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520A6AB7"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166-169</w:t>
            </w:r>
          </w:p>
        </w:tc>
        <w:tc>
          <w:tcPr>
            <w:tcW w:w="2410" w:type="dxa"/>
            <w:shd w:val="clear" w:color="auto" w:fill="auto"/>
            <w:noWrap/>
            <w:hideMark/>
          </w:tcPr>
          <w:p w14:paraId="74ACD8C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2C7DE39F" w14:textId="77777777" w:rsidTr="004C6AA1">
        <w:trPr>
          <w:trHeight w:val="320"/>
        </w:trPr>
        <w:tc>
          <w:tcPr>
            <w:tcW w:w="4253" w:type="dxa"/>
            <w:shd w:val="clear" w:color="auto" w:fill="auto"/>
            <w:noWrap/>
            <w:hideMark/>
          </w:tcPr>
          <w:p w14:paraId="55135F5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Dietetic guidelines on food and nutrition in the secondary prevention of cardiovascular disease - Evidence from systematic reviews of randomized controlled trials (second update, January 2006)</w:t>
            </w:r>
          </w:p>
        </w:tc>
        <w:tc>
          <w:tcPr>
            <w:tcW w:w="3544" w:type="dxa"/>
            <w:shd w:val="clear" w:color="auto" w:fill="auto"/>
            <w:noWrap/>
            <w:hideMark/>
          </w:tcPr>
          <w:p w14:paraId="633DE18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Mead, A.; Atkinson, G.; Albin, D.; Alphey, D.; Baic, S.; Boyd, O.; Cadigan, L.; Clutton, L.; Craig, L.; Flanagan, C.; Greene, P.; Griffiths, E.; Lee, N. J.; Li, M.; McKechnie, L.; Ottaway, J.; Paterson, K.; Perrin, L.; Rigby, P.; Stone, D.; Vine, R.; Whitehead, J.; Wray, L.; Hooper, L.</w:t>
            </w:r>
          </w:p>
        </w:tc>
        <w:tc>
          <w:tcPr>
            <w:tcW w:w="567" w:type="dxa"/>
            <w:shd w:val="clear" w:color="auto" w:fill="auto"/>
            <w:noWrap/>
            <w:hideMark/>
          </w:tcPr>
          <w:p w14:paraId="5802C09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2006</w:t>
            </w:r>
          </w:p>
        </w:tc>
        <w:tc>
          <w:tcPr>
            <w:tcW w:w="1417" w:type="dxa"/>
            <w:shd w:val="clear" w:color="auto" w:fill="auto"/>
            <w:noWrap/>
            <w:hideMark/>
          </w:tcPr>
          <w:p w14:paraId="7CA3C0B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Journal of Human Nutrition and Dietetics</w:t>
            </w:r>
          </w:p>
        </w:tc>
        <w:tc>
          <w:tcPr>
            <w:tcW w:w="851" w:type="dxa"/>
            <w:shd w:val="clear" w:color="auto" w:fill="auto"/>
            <w:noWrap/>
            <w:hideMark/>
          </w:tcPr>
          <w:p w14:paraId="312608F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19</w:t>
            </w:r>
          </w:p>
        </w:tc>
        <w:tc>
          <w:tcPr>
            <w:tcW w:w="708" w:type="dxa"/>
            <w:shd w:val="clear" w:color="auto" w:fill="auto"/>
            <w:noWrap/>
            <w:hideMark/>
          </w:tcPr>
          <w:p w14:paraId="1B330B1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6</w:t>
            </w:r>
          </w:p>
        </w:tc>
        <w:tc>
          <w:tcPr>
            <w:tcW w:w="709" w:type="dxa"/>
            <w:shd w:val="clear" w:color="auto" w:fill="auto"/>
            <w:noWrap/>
            <w:hideMark/>
          </w:tcPr>
          <w:p w14:paraId="103DCBB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401-419</w:t>
            </w:r>
          </w:p>
        </w:tc>
        <w:tc>
          <w:tcPr>
            <w:tcW w:w="2410" w:type="dxa"/>
            <w:shd w:val="clear" w:color="auto" w:fill="auto"/>
            <w:noWrap/>
            <w:hideMark/>
          </w:tcPr>
          <w:p w14:paraId="2DBC510B"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study type</w:t>
            </w:r>
          </w:p>
        </w:tc>
      </w:tr>
      <w:tr w:rsidR="004C6AA1" w:rsidRPr="00D518FF" w14:paraId="5B7A4B00" w14:textId="77777777" w:rsidTr="004C6AA1">
        <w:trPr>
          <w:trHeight w:val="320"/>
        </w:trPr>
        <w:tc>
          <w:tcPr>
            <w:tcW w:w="4253" w:type="dxa"/>
            <w:shd w:val="clear" w:color="auto" w:fill="auto"/>
            <w:noWrap/>
            <w:hideMark/>
          </w:tcPr>
          <w:p w14:paraId="74920F5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Fish consumption in multiple health outcomes: an umbrella review of meta-analyses of observational and clinical studies</w:t>
            </w:r>
          </w:p>
        </w:tc>
        <w:tc>
          <w:tcPr>
            <w:tcW w:w="3544" w:type="dxa"/>
            <w:shd w:val="clear" w:color="auto" w:fill="auto"/>
            <w:noWrap/>
            <w:hideMark/>
          </w:tcPr>
          <w:p w14:paraId="22629E5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Zhao, H.; Wang, M.; Peng, X.; Zhong, L.; Liu, X.; Shi, Y.; Li, Y.; Chen, Y.; Tang, S.</w:t>
            </w:r>
          </w:p>
        </w:tc>
        <w:tc>
          <w:tcPr>
            <w:tcW w:w="567" w:type="dxa"/>
            <w:shd w:val="clear" w:color="auto" w:fill="auto"/>
            <w:noWrap/>
            <w:hideMark/>
          </w:tcPr>
          <w:p w14:paraId="3C6182F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2023</w:t>
            </w:r>
          </w:p>
        </w:tc>
        <w:tc>
          <w:tcPr>
            <w:tcW w:w="1417" w:type="dxa"/>
            <w:shd w:val="clear" w:color="auto" w:fill="auto"/>
            <w:noWrap/>
            <w:hideMark/>
          </w:tcPr>
          <w:p w14:paraId="03EB08C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Annals of translational medicine</w:t>
            </w:r>
          </w:p>
        </w:tc>
        <w:tc>
          <w:tcPr>
            <w:tcW w:w="851" w:type="dxa"/>
            <w:shd w:val="clear" w:color="auto" w:fill="auto"/>
            <w:noWrap/>
            <w:hideMark/>
          </w:tcPr>
          <w:p w14:paraId="6ABC0D6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11</w:t>
            </w:r>
          </w:p>
        </w:tc>
        <w:tc>
          <w:tcPr>
            <w:tcW w:w="708" w:type="dxa"/>
            <w:shd w:val="clear" w:color="auto" w:fill="auto"/>
            <w:noWrap/>
            <w:hideMark/>
          </w:tcPr>
          <w:p w14:paraId="4B5B568D"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0A143E2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152</w:t>
            </w:r>
          </w:p>
        </w:tc>
        <w:tc>
          <w:tcPr>
            <w:tcW w:w="2410" w:type="dxa"/>
            <w:shd w:val="clear" w:color="auto" w:fill="auto"/>
            <w:noWrap/>
            <w:hideMark/>
          </w:tcPr>
          <w:p w14:paraId="45A163B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study type</w:t>
            </w:r>
          </w:p>
        </w:tc>
      </w:tr>
      <w:tr w:rsidR="004C6AA1" w:rsidRPr="00D518FF" w14:paraId="177181F2" w14:textId="77777777" w:rsidTr="00887C84">
        <w:trPr>
          <w:trHeight w:val="320"/>
        </w:trPr>
        <w:tc>
          <w:tcPr>
            <w:tcW w:w="4253" w:type="dxa"/>
            <w:shd w:val="clear" w:color="auto" w:fill="auto"/>
            <w:noWrap/>
            <w:hideMark/>
          </w:tcPr>
          <w:p w14:paraId="7D9C26B3"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Omega-3 fatty acid supplementation and major cardiovascular outcomes: an umbrella review and meta-analyses of observational studies and randomized controlled trials</w:t>
            </w:r>
          </w:p>
        </w:tc>
        <w:tc>
          <w:tcPr>
            <w:tcW w:w="3544" w:type="dxa"/>
            <w:shd w:val="clear" w:color="auto" w:fill="auto"/>
            <w:noWrap/>
            <w:hideMark/>
          </w:tcPr>
          <w:p w14:paraId="6CA498D3" w14:textId="4EA0F550" w:rsidR="008C1EC5" w:rsidRPr="00D518FF" w:rsidRDefault="00482C09" w:rsidP="008C1EC5">
            <w:pPr>
              <w:rPr>
                <w:rFonts w:ascii="Aptos" w:hAnsi="Aptos"/>
                <w:color w:val="000000"/>
                <w:sz w:val="16"/>
                <w:szCs w:val="16"/>
              </w:rPr>
            </w:pPr>
            <w:r w:rsidRPr="00482C09">
              <w:rPr>
                <w:rFonts w:ascii="Aptos" w:hAnsi="Aptos"/>
                <w:color w:val="000000"/>
                <w:sz w:val="16"/>
                <w:szCs w:val="16"/>
              </w:rPr>
              <w:t>Choi H, Kim JY, Lee KH, Kim JS, Lee JY, Choi EK, Seong HJ, Kim G, Park H, Jung E, Hong SH, Kronbichler A, Eisenhut M, Koyanagi A, Jacob L, Yon DK, Lee SW, Kim MS, Kostev K, Shin JI, Yang JW, Smith L.</w:t>
            </w:r>
          </w:p>
        </w:tc>
        <w:tc>
          <w:tcPr>
            <w:tcW w:w="567" w:type="dxa"/>
            <w:shd w:val="clear" w:color="auto" w:fill="auto"/>
          </w:tcPr>
          <w:p w14:paraId="0187CE78" w14:textId="2AB05836" w:rsidR="008C1EC5" w:rsidRPr="00D518FF" w:rsidRDefault="00482C09" w:rsidP="008C1EC5">
            <w:pPr>
              <w:rPr>
                <w:rFonts w:ascii="Aptos" w:hAnsi="Aptos"/>
                <w:color w:val="000000"/>
                <w:sz w:val="16"/>
                <w:szCs w:val="16"/>
              </w:rPr>
            </w:pPr>
            <w:r>
              <w:rPr>
                <w:rFonts w:ascii="Aptos" w:hAnsi="Aptos"/>
                <w:color w:val="000000"/>
                <w:sz w:val="16"/>
                <w:szCs w:val="16"/>
              </w:rPr>
              <w:t>2021</w:t>
            </w:r>
          </w:p>
        </w:tc>
        <w:tc>
          <w:tcPr>
            <w:tcW w:w="1417" w:type="dxa"/>
            <w:shd w:val="clear" w:color="auto" w:fill="auto"/>
          </w:tcPr>
          <w:p w14:paraId="52086FCA" w14:textId="444303C0" w:rsidR="008C1EC5" w:rsidRPr="00D518FF" w:rsidRDefault="00482C09" w:rsidP="008C1EC5">
            <w:pPr>
              <w:rPr>
                <w:rFonts w:ascii="Aptos" w:hAnsi="Aptos"/>
                <w:color w:val="000000"/>
                <w:sz w:val="16"/>
                <w:szCs w:val="16"/>
              </w:rPr>
            </w:pPr>
            <w:r w:rsidRPr="00482C09">
              <w:rPr>
                <w:rFonts w:ascii="Aptos" w:hAnsi="Aptos"/>
                <w:color w:val="000000"/>
                <w:sz w:val="16"/>
                <w:szCs w:val="16"/>
              </w:rPr>
              <w:t>Eur Rev Med Pharmacol Sci</w:t>
            </w:r>
          </w:p>
        </w:tc>
        <w:tc>
          <w:tcPr>
            <w:tcW w:w="851" w:type="dxa"/>
            <w:shd w:val="clear" w:color="auto" w:fill="auto"/>
          </w:tcPr>
          <w:p w14:paraId="6A8589DA" w14:textId="6513D3A3" w:rsidR="008C1EC5" w:rsidRPr="00D518FF" w:rsidRDefault="00482C09" w:rsidP="008C1EC5">
            <w:pPr>
              <w:rPr>
                <w:rFonts w:ascii="Aptos" w:hAnsi="Aptos"/>
                <w:color w:val="000000"/>
                <w:sz w:val="16"/>
                <w:szCs w:val="16"/>
              </w:rPr>
            </w:pPr>
            <w:r>
              <w:rPr>
                <w:rFonts w:ascii="Aptos" w:hAnsi="Aptos"/>
                <w:color w:val="000000"/>
                <w:sz w:val="16"/>
                <w:szCs w:val="16"/>
              </w:rPr>
              <w:t>25</w:t>
            </w:r>
          </w:p>
        </w:tc>
        <w:tc>
          <w:tcPr>
            <w:tcW w:w="708" w:type="dxa"/>
            <w:shd w:val="clear" w:color="auto" w:fill="auto"/>
            <w:noWrap/>
            <w:hideMark/>
          </w:tcPr>
          <w:p w14:paraId="20064E88" w14:textId="1689B69B" w:rsidR="008C1EC5" w:rsidRPr="00D518FF" w:rsidRDefault="00482C09" w:rsidP="008C1EC5">
            <w:pPr>
              <w:rPr>
                <w:rFonts w:ascii="Aptos" w:hAnsi="Aptos"/>
                <w:color w:val="000000"/>
                <w:sz w:val="16"/>
                <w:szCs w:val="16"/>
              </w:rPr>
            </w:pPr>
            <w:r>
              <w:rPr>
                <w:rFonts w:ascii="Aptos" w:hAnsi="Aptos"/>
                <w:color w:val="000000"/>
                <w:sz w:val="16"/>
                <w:szCs w:val="16"/>
              </w:rPr>
              <w:t>4</w:t>
            </w:r>
          </w:p>
        </w:tc>
        <w:tc>
          <w:tcPr>
            <w:tcW w:w="709" w:type="dxa"/>
            <w:shd w:val="clear" w:color="auto" w:fill="auto"/>
            <w:noWrap/>
            <w:hideMark/>
          </w:tcPr>
          <w:p w14:paraId="2CFF852F" w14:textId="70F967B6" w:rsidR="008C1EC5" w:rsidRPr="00D518FF" w:rsidRDefault="00482C09" w:rsidP="008C1EC5">
            <w:pPr>
              <w:rPr>
                <w:rFonts w:ascii="Aptos" w:hAnsi="Aptos"/>
                <w:sz w:val="16"/>
                <w:szCs w:val="16"/>
              </w:rPr>
            </w:pPr>
            <w:r w:rsidRPr="00482C09">
              <w:rPr>
                <w:rFonts w:ascii="Aptos" w:hAnsi="Aptos"/>
                <w:sz w:val="16"/>
                <w:szCs w:val="16"/>
              </w:rPr>
              <w:t>2079-2092</w:t>
            </w:r>
          </w:p>
        </w:tc>
        <w:tc>
          <w:tcPr>
            <w:tcW w:w="2410" w:type="dxa"/>
            <w:shd w:val="clear" w:color="auto" w:fill="auto"/>
            <w:noWrap/>
            <w:hideMark/>
          </w:tcPr>
          <w:p w14:paraId="61A52461"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study type</w:t>
            </w:r>
          </w:p>
        </w:tc>
      </w:tr>
      <w:tr w:rsidR="004C6AA1" w:rsidRPr="00D518FF" w14:paraId="2909FAE4" w14:textId="77777777" w:rsidTr="004C6AA1">
        <w:trPr>
          <w:trHeight w:val="320"/>
        </w:trPr>
        <w:tc>
          <w:tcPr>
            <w:tcW w:w="4253" w:type="dxa"/>
            <w:shd w:val="clear" w:color="auto" w:fill="auto"/>
            <w:noWrap/>
            <w:hideMark/>
          </w:tcPr>
          <w:p w14:paraId="7892D92F"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The beneficial effects of omega-3 polyunsaturated fatty acids on controlling blood pressure: An umbrella meta-analysis</w:t>
            </w:r>
          </w:p>
        </w:tc>
        <w:tc>
          <w:tcPr>
            <w:tcW w:w="3544" w:type="dxa"/>
            <w:shd w:val="clear" w:color="auto" w:fill="auto"/>
            <w:noWrap/>
            <w:hideMark/>
          </w:tcPr>
          <w:p w14:paraId="34A2C9B9"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Musazadeh, V.; Kavyani, Z.; Naghshbandi, B.; Dehghan, P.; Vajdi, M.</w:t>
            </w:r>
          </w:p>
        </w:tc>
        <w:tc>
          <w:tcPr>
            <w:tcW w:w="567" w:type="dxa"/>
            <w:shd w:val="clear" w:color="auto" w:fill="auto"/>
            <w:noWrap/>
            <w:hideMark/>
          </w:tcPr>
          <w:p w14:paraId="64219C8A"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787F4E4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Frontiers in nutrition</w:t>
            </w:r>
          </w:p>
        </w:tc>
        <w:tc>
          <w:tcPr>
            <w:tcW w:w="851" w:type="dxa"/>
            <w:shd w:val="clear" w:color="auto" w:fill="auto"/>
            <w:noWrap/>
            <w:hideMark/>
          </w:tcPr>
          <w:p w14:paraId="46EA9BBC"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w:t>
            </w:r>
          </w:p>
        </w:tc>
        <w:tc>
          <w:tcPr>
            <w:tcW w:w="708" w:type="dxa"/>
            <w:shd w:val="clear" w:color="auto" w:fill="auto"/>
            <w:noWrap/>
            <w:hideMark/>
          </w:tcPr>
          <w:p w14:paraId="31656014" w14:textId="77777777" w:rsidR="008C1EC5" w:rsidRPr="00D518FF" w:rsidRDefault="008C1EC5" w:rsidP="008C1EC5">
            <w:pPr>
              <w:rPr>
                <w:rFonts w:ascii="Aptos" w:hAnsi="Aptos"/>
                <w:color w:val="000000"/>
                <w:sz w:val="16"/>
                <w:szCs w:val="16"/>
              </w:rPr>
            </w:pPr>
          </w:p>
        </w:tc>
        <w:tc>
          <w:tcPr>
            <w:tcW w:w="709" w:type="dxa"/>
            <w:shd w:val="clear" w:color="auto" w:fill="auto"/>
            <w:noWrap/>
            <w:hideMark/>
          </w:tcPr>
          <w:p w14:paraId="19239E82"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985451</w:t>
            </w:r>
          </w:p>
        </w:tc>
        <w:tc>
          <w:tcPr>
            <w:tcW w:w="2410" w:type="dxa"/>
            <w:shd w:val="clear" w:color="auto" w:fill="auto"/>
            <w:noWrap/>
            <w:hideMark/>
          </w:tcPr>
          <w:p w14:paraId="0684A065" w14:textId="77777777" w:rsidR="008C1EC5" w:rsidRPr="00D518FF" w:rsidRDefault="008C1EC5" w:rsidP="008C1EC5">
            <w:pPr>
              <w:rPr>
                <w:rFonts w:ascii="Aptos" w:hAnsi="Aptos"/>
                <w:color w:val="000000"/>
                <w:sz w:val="16"/>
                <w:szCs w:val="16"/>
              </w:rPr>
            </w:pPr>
            <w:r w:rsidRPr="00D518FF">
              <w:rPr>
                <w:rFonts w:ascii="Aptos" w:hAnsi="Aptos"/>
                <w:color w:val="000000"/>
                <w:sz w:val="16"/>
                <w:szCs w:val="16"/>
              </w:rPr>
              <w:t>Wrong study type</w:t>
            </w:r>
          </w:p>
        </w:tc>
      </w:tr>
      <w:tr w:rsidR="004C6AA1" w:rsidRPr="00D518FF" w14:paraId="27F6950D" w14:textId="77777777" w:rsidTr="00887C84">
        <w:trPr>
          <w:trHeight w:val="320"/>
        </w:trPr>
        <w:tc>
          <w:tcPr>
            <w:tcW w:w="4253" w:type="dxa"/>
            <w:shd w:val="clear" w:color="auto" w:fill="auto"/>
            <w:noWrap/>
            <w:hideMark/>
          </w:tcPr>
          <w:p w14:paraId="7EEAB924"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The effects of nutrition interventions on adverse perinatal outcomes: an umbrella reviews of systematic review and meta-analysis</w:t>
            </w:r>
          </w:p>
        </w:tc>
        <w:tc>
          <w:tcPr>
            <w:tcW w:w="3544" w:type="dxa"/>
            <w:shd w:val="clear" w:color="auto" w:fill="auto"/>
            <w:noWrap/>
            <w:hideMark/>
          </w:tcPr>
          <w:p w14:paraId="2495650C"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Xiyuan Deng, Yongxiu Yang Kehu Yang Bei Pan Qingmei Sun Xiaojuan Lin</w:t>
            </w:r>
          </w:p>
        </w:tc>
        <w:tc>
          <w:tcPr>
            <w:tcW w:w="567" w:type="dxa"/>
            <w:shd w:val="clear" w:color="auto" w:fill="auto"/>
          </w:tcPr>
          <w:p w14:paraId="12525554" w14:textId="3F563DF7" w:rsidR="00CC737B" w:rsidRPr="00D518FF" w:rsidRDefault="00CC737B" w:rsidP="00CC737B">
            <w:pPr>
              <w:rPr>
                <w:rFonts w:ascii="Aptos" w:hAnsi="Aptos"/>
                <w:color w:val="000000"/>
                <w:sz w:val="16"/>
                <w:szCs w:val="16"/>
              </w:rPr>
            </w:pPr>
            <w:r>
              <w:rPr>
                <w:rFonts w:ascii="Aptos" w:hAnsi="Aptos"/>
                <w:color w:val="000000"/>
                <w:sz w:val="16"/>
                <w:szCs w:val="16"/>
              </w:rPr>
              <w:t>2023</w:t>
            </w:r>
          </w:p>
        </w:tc>
        <w:tc>
          <w:tcPr>
            <w:tcW w:w="1417" w:type="dxa"/>
            <w:shd w:val="clear" w:color="auto" w:fill="auto"/>
          </w:tcPr>
          <w:p w14:paraId="7BA0346E" w14:textId="073F0B4A" w:rsidR="00CC737B" w:rsidRPr="00D518FF" w:rsidRDefault="00CC737B" w:rsidP="00CC737B">
            <w:pPr>
              <w:rPr>
                <w:rFonts w:ascii="Aptos" w:hAnsi="Aptos"/>
                <w:color w:val="000000"/>
                <w:sz w:val="16"/>
                <w:szCs w:val="16"/>
              </w:rPr>
            </w:pPr>
            <w:r>
              <w:rPr>
                <w:rFonts w:ascii="Aptos" w:hAnsi="Aptos"/>
                <w:color w:val="000000"/>
                <w:sz w:val="16"/>
                <w:szCs w:val="16"/>
              </w:rPr>
              <w:t>PROSPERO</w:t>
            </w:r>
          </w:p>
        </w:tc>
        <w:tc>
          <w:tcPr>
            <w:tcW w:w="851" w:type="dxa"/>
            <w:shd w:val="clear" w:color="auto" w:fill="auto"/>
          </w:tcPr>
          <w:p w14:paraId="4C0853A6" w14:textId="37B55C4E" w:rsidR="00CC737B" w:rsidRPr="00D518FF" w:rsidRDefault="00CC737B" w:rsidP="00CC737B">
            <w:pPr>
              <w:rPr>
                <w:rFonts w:ascii="Aptos" w:hAnsi="Aptos"/>
                <w:color w:val="000000"/>
                <w:sz w:val="16"/>
                <w:szCs w:val="16"/>
              </w:rPr>
            </w:pPr>
            <w:r w:rsidRPr="00CC737B">
              <w:rPr>
                <w:rFonts w:ascii="Aptos" w:hAnsi="Aptos"/>
                <w:color w:val="000000"/>
                <w:sz w:val="16"/>
                <w:szCs w:val="16"/>
              </w:rPr>
              <w:t>CRD42023418843</w:t>
            </w:r>
          </w:p>
        </w:tc>
        <w:tc>
          <w:tcPr>
            <w:tcW w:w="708" w:type="dxa"/>
            <w:shd w:val="clear" w:color="auto" w:fill="auto"/>
          </w:tcPr>
          <w:p w14:paraId="767DF286" w14:textId="52D1868A" w:rsidR="00CC737B" w:rsidRPr="00CC737B" w:rsidRDefault="00CC737B" w:rsidP="00CC737B">
            <w:pPr>
              <w:rPr>
                <w:rFonts w:ascii="Aptos" w:hAnsi="Aptos"/>
                <w:color w:val="000000"/>
                <w:sz w:val="16"/>
                <w:szCs w:val="16"/>
              </w:rPr>
            </w:pPr>
            <w:r>
              <w:rPr>
                <w:rFonts w:ascii="Aptos" w:hAnsi="Aptos"/>
                <w:sz w:val="16"/>
                <w:szCs w:val="16"/>
              </w:rPr>
              <w:t>-</w:t>
            </w:r>
          </w:p>
        </w:tc>
        <w:tc>
          <w:tcPr>
            <w:tcW w:w="709" w:type="dxa"/>
            <w:shd w:val="clear" w:color="auto" w:fill="auto"/>
          </w:tcPr>
          <w:p w14:paraId="0DCDA2C0" w14:textId="5F22E45A" w:rsidR="00CC737B" w:rsidRPr="00D518FF" w:rsidRDefault="00CC737B" w:rsidP="00CC737B">
            <w:pPr>
              <w:rPr>
                <w:rFonts w:ascii="Aptos" w:hAnsi="Aptos"/>
                <w:color w:val="000000"/>
                <w:sz w:val="16"/>
                <w:szCs w:val="16"/>
              </w:rPr>
            </w:pPr>
            <w:r>
              <w:rPr>
                <w:rFonts w:ascii="Aptos" w:hAnsi="Aptos"/>
                <w:sz w:val="16"/>
                <w:szCs w:val="16"/>
              </w:rPr>
              <w:t>-</w:t>
            </w:r>
          </w:p>
        </w:tc>
        <w:tc>
          <w:tcPr>
            <w:tcW w:w="2410" w:type="dxa"/>
            <w:shd w:val="clear" w:color="auto" w:fill="auto"/>
            <w:noWrap/>
            <w:hideMark/>
          </w:tcPr>
          <w:p w14:paraId="24E95F37"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Wrong study type</w:t>
            </w:r>
          </w:p>
        </w:tc>
      </w:tr>
      <w:tr w:rsidR="004C6AA1" w:rsidRPr="00D518FF" w14:paraId="323D8B6D" w14:textId="77777777" w:rsidTr="00887C84">
        <w:trPr>
          <w:trHeight w:val="320"/>
        </w:trPr>
        <w:tc>
          <w:tcPr>
            <w:tcW w:w="4253" w:type="dxa"/>
            <w:shd w:val="clear" w:color="auto" w:fill="auto"/>
            <w:noWrap/>
            <w:hideMark/>
          </w:tcPr>
          <w:p w14:paraId="39C0E5EB"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Effect of omega-3 fatty acids and cardiometabolic outcomes: an umbrella review of meta-analysis</w:t>
            </w:r>
          </w:p>
        </w:tc>
        <w:tc>
          <w:tcPr>
            <w:tcW w:w="3544" w:type="dxa"/>
            <w:shd w:val="clear" w:color="auto" w:fill="auto"/>
            <w:noWrap/>
            <w:hideMark/>
          </w:tcPr>
          <w:p w14:paraId="38414C2D" w14:textId="31C67937" w:rsidR="00CC737B" w:rsidRPr="00D518FF" w:rsidRDefault="00CC737B" w:rsidP="00CC737B">
            <w:pPr>
              <w:rPr>
                <w:rFonts w:ascii="Aptos" w:hAnsi="Aptos"/>
                <w:color w:val="000000"/>
                <w:sz w:val="16"/>
                <w:szCs w:val="16"/>
              </w:rPr>
            </w:pPr>
            <w:r>
              <w:rPr>
                <w:rFonts w:ascii="Aptos" w:hAnsi="Aptos"/>
                <w:color w:val="000000"/>
                <w:sz w:val="16"/>
                <w:szCs w:val="16"/>
              </w:rPr>
              <w:t>J</w:t>
            </w:r>
            <w:r w:rsidRPr="00D518FF">
              <w:rPr>
                <w:rFonts w:ascii="Aptos" w:hAnsi="Aptos"/>
                <w:color w:val="000000"/>
                <w:sz w:val="16"/>
                <w:szCs w:val="16"/>
              </w:rPr>
              <w:t>avad Heshmati, Mahdi Sepidarkish</w:t>
            </w:r>
          </w:p>
        </w:tc>
        <w:tc>
          <w:tcPr>
            <w:tcW w:w="567" w:type="dxa"/>
            <w:shd w:val="clear" w:color="auto" w:fill="auto"/>
            <w:noWrap/>
            <w:hideMark/>
          </w:tcPr>
          <w:p w14:paraId="42200D13" w14:textId="45D9742E" w:rsidR="00CC737B" w:rsidRPr="00D518FF" w:rsidRDefault="00CC737B" w:rsidP="00CC737B">
            <w:pPr>
              <w:rPr>
                <w:rFonts w:ascii="Aptos" w:hAnsi="Aptos"/>
                <w:color w:val="000000"/>
                <w:sz w:val="16"/>
                <w:szCs w:val="16"/>
              </w:rPr>
            </w:pPr>
            <w:r>
              <w:rPr>
                <w:rFonts w:ascii="Aptos" w:hAnsi="Aptos"/>
                <w:color w:val="000000"/>
                <w:sz w:val="16"/>
                <w:szCs w:val="16"/>
              </w:rPr>
              <w:t>2021</w:t>
            </w:r>
          </w:p>
        </w:tc>
        <w:tc>
          <w:tcPr>
            <w:tcW w:w="1417" w:type="dxa"/>
            <w:shd w:val="clear" w:color="auto" w:fill="auto"/>
          </w:tcPr>
          <w:p w14:paraId="62A26140" w14:textId="2ECBC454" w:rsidR="00CC737B" w:rsidRPr="00D518FF" w:rsidRDefault="00CC737B" w:rsidP="00CC737B">
            <w:pPr>
              <w:rPr>
                <w:rFonts w:ascii="Aptos" w:hAnsi="Aptos"/>
                <w:color w:val="000000"/>
                <w:sz w:val="16"/>
                <w:szCs w:val="16"/>
              </w:rPr>
            </w:pPr>
            <w:r>
              <w:rPr>
                <w:rFonts w:ascii="Aptos" w:hAnsi="Aptos"/>
                <w:color w:val="000000"/>
                <w:sz w:val="16"/>
                <w:szCs w:val="16"/>
              </w:rPr>
              <w:t>PROSPERO</w:t>
            </w:r>
          </w:p>
        </w:tc>
        <w:tc>
          <w:tcPr>
            <w:tcW w:w="851" w:type="dxa"/>
            <w:shd w:val="clear" w:color="auto" w:fill="auto"/>
          </w:tcPr>
          <w:p w14:paraId="3C143217" w14:textId="6CB3E333" w:rsidR="00CC737B" w:rsidRPr="00D518FF" w:rsidRDefault="00CC737B" w:rsidP="00CC737B">
            <w:pPr>
              <w:rPr>
                <w:rFonts w:ascii="Aptos" w:hAnsi="Aptos"/>
                <w:color w:val="000000"/>
                <w:sz w:val="16"/>
                <w:szCs w:val="16"/>
              </w:rPr>
            </w:pPr>
            <w:r w:rsidRPr="005740AA">
              <w:rPr>
                <w:rFonts w:ascii="Aptos" w:hAnsi="Aptos"/>
                <w:color w:val="000000"/>
                <w:sz w:val="16"/>
                <w:szCs w:val="16"/>
              </w:rPr>
              <w:t>CRD42021258098</w:t>
            </w:r>
          </w:p>
        </w:tc>
        <w:tc>
          <w:tcPr>
            <w:tcW w:w="708" w:type="dxa"/>
            <w:shd w:val="clear" w:color="auto" w:fill="auto"/>
            <w:noWrap/>
            <w:hideMark/>
          </w:tcPr>
          <w:p w14:paraId="6DD26ABA" w14:textId="3C07AAC9" w:rsidR="00CC737B" w:rsidRPr="00D518FF" w:rsidRDefault="00CC737B" w:rsidP="00CC737B">
            <w:pPr>
              <w:rPr>
                <w:rFonts w:ascii="Aptos" w:hAnsi="Aptos"/>
                <w:sz w:val="16"/>
                <w:szCs w:val="16"/>
              </w:rPr>
            </w:pPr>
            <w:r>
              <w:rPr>
                <w:rFonts w:ascii="Aptos" w:hAnsi="Aptos"/>
                <w:sz w:val="16"/>
                <w:szCs w:val="16"/>
              </w:rPr>
              <w:t>-</w:t>
            </w:r>
          </w:p>
        </w:tc>
        <w:tc>
          <w:tcPr>
            <w:tcW w:w="709" w:type="dxa"/>
            <w:shd w:val="clear" w:color="auto" w:fill="auto"/>
            <w:noWrap/>
            <w:hideMark/>
          </w:tcPr>
          <w:p w14:paraId="3C5561A0" w14:textId="5A3E154E" w:rsidR="00CC737B" w:rsidRPr="00D518FF" w:rsidRDefault="00CC737B" w:rsidP="00CC737B">
            <w:pPr>
              <w:rPr>
                <w:rFonts w:ascii="Aptos" w:hAnsi="Aptos"/>
                <w:sz w:val="16"/>
                <w:szCs w:val="16"/>
              </w:rPr>
            </w:pPr>
            <w:r>
              <w:rPr>
                <w:rFonts w:ascii="Aptos" w:hAnsi="Aptos"/>
                <w:sz w:val="16"/>
                <w:szCs w:val="16"/>
              </w:rPr>
              <w:t>-</w:t>
            </w:r>
          </w:p>
        </w:tc>
        <w:tc>
          <w:tcPr>
            <w:tcW w:w="2410" w:type="dxa"/>
            <w:shd w:val="clear" w:color="auto" w:fill="auto"/>
            <w:noWrap/>
            <w:hideMark/>
          </w:tcPr>
          <w:p w14:paraId="328EFAF0"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Wrong study type</w:t>
            </w:r>
          </w:p>
        </w:tc>
      </w:tr>
      <w:tr w:rsidR="004C6AA1" w:rsidRPr="00D518FF" w14:paraId="51C59DF1" w14:textId="77777777" w:rsidTr="00887C84">
        <w:trPr>
          <w:trHeight w:val="320"/>
        </w:trPr>
        <w:tc>
          <w:tcPr>
            <w:tcW w:w="4253" w:type="dxa"/>
            <w:shd w:val="clear" w:color="auto" w:fill="auto"/>
            <w:noWrap/>
            <w:hideMark/>
          </w:tcPr>
          <w:p w14:paraId="7E1A9DF3"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Is omega 3, omega 6, or a-linolenic acid worth taking? Umbrella review with the quantitative synthesis of randomized controlled trials for cardiovascular and non-cardiovascular outcomes</w:t>
            </w:r>
          </w:p>
        </w:tc>
        <w:tc>
          <w:tcPr>
            <w:tcW w:w="3544" w:type="dxa"/>
            <w:shd w:val="clear" w:color="auto" w:fill="auto"/>
            <w:noWrap/>
            <w:hideMark/>
          </w:tcPr>
          <w:p w14:paraId="5E2A6CCF"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Min Seo Kim, Hye Chang Rhim</w:t>
            </w:r>
          </w:p>
        </w:tc>
        <w:tc>
          <w:tcPr>
            <w:tcW w:w="567" w:type="dxa"/>
            <w:shd w:val="clear" w:color="auto" w:fill="auto"/>
            <w:noWrap/>
            <w:hideMark/>
          </w:tcPr>
          <w:p w14:paraId="77EEBDC1" w14:textId="41678C2E" w:rsidR="00CC737B" w:rsidRPr="00D518FF" w:rsidRDefault="0030382E" w:rsidP="00CC737B">
            <w:pPr>
              <w:rPr>
                <w:rFonts w:ascii="Aptos" w:hAnsi="Aptos"/>
                <w:color w:val="000000"/>
                <w:sz w:val="16"/>
                <w:szCs w:val="16"/>
              </w:rPr>
            </w:pPr>
            <w:r>
              <w:rPr>
                <w:rFonts w:ascii="Aptos" w:hAnsi="Aptos"/>
                <w:color w:val="000000"/>
                <w:sz w:val="16"/>
                <w:szCs w:val="16"/>
              </w:rPr>
              <w:t>2020</w:t>
            </w:r>
          </w:p>
        </w:tc>
        <w:tc>
          <w:tcPr>
            <w:tcW w:w="1417" w:type="dxa"/>
            <w:shd w:val="clear" w:color="auto" w:fill="auto"/>
          </w:tcPr>
          <w:p w14:paraId="1CF29B03" w14:textId="29392C5A" w:rsidR="00CC737B" w:rsidRPr="00D518FF" w:rsidRDefault="0030382E" w:rsidP="00CC737B">
            <w:pPr>
              <w:rPr>
                <w:rFonts w:ascii="Aptos" w:hAnsi="Aptos"/>
                <w:color w:val="000000"/>
                <w:sz w:val="16"/>
                <w:szCs w:val="16"/>
              </w:rPr>
            </w:pPr>
            <w:r>
              <w:rPr>
                <w:rFonts w:ascii="Aptos" w:hAnsi="Aptos"/>
                <w:color w:val="000000"/>
                <w:sz w:val="16"/>
                <w:szCs w:val="16"/>
              </w:rPr>
              <w:t>PROSPERO</w:t>
            </w:r>
          </w:p>
        </w:tc>
        <w:tc>
          <w:tcPr>
            <w:tcW w:w="851" w:type="dxa"/>
            <w:shd w:val="clear" w:color="auto" w:fill="auto"/>
          </w:tcPr>
          <w:p w14:paraId="1C9D3305" w14:textId="5361AD92" w:rsidR="00CC737B" w:rsidRPr="00D518FF" w:rsidRDefault="0030382E" w:rsidP="00CC737B">
            <w:pPr>
              <w:rPr>
                <w:rFonts w:ascii="Aptos" w:hAnsi="Aptos"/>
                <w:color w:val="000000"/>
                <w:sz w:val="16"/>
                <w:szCs w:val="16"/>
              </w:rPr>
            </w:pPr>
            <w:r w:rsidRPr="0030382E">
              <w:rPr>
                <w:rFonts w:ascii="Aptos" w:hAnsi="Aptos"/>
                <w:color w:val="000000"/>
                <w:sz w:val="16"/>
                <w:szCs w:val="16"/>
              </w:rPr>
              <w:t>CRD42020176539</w:t>
            </w:r>
          </w:p>
        </w:tc>
        <w:tc>
          <w:tcPr>
            <w:tcW w:w="708" w:type="dxa"/>
            <w:shd w:val="clear" w:color="auto" w:fill="auto"/>
            <w:noWrap/>
            <w:hideMark/>
          </w:tcPr>
          <w:p w14:paraId="55BAF6EB" w14:textId="152BFF39" w:rsidR="00CC737B" w:rsidRPr="00D518FF" w:rsidRDefault="0030382E" w:rsidP="00CC737B">
            <w:pPr>
              <w:rPr>
                <w:rFonts w:ascii="Aptos" w:hAnsi="Aptos"/>
                <w:sz w:val="16"/>
                <w:szCs w:val="16"/>
              </w:rPr>
            </w:pPr>
            <w:r>
              <w:rPr>
                <w:rFonts w:ascii="Aptos" w:hAnsi="Aptos"/>
                <w:sz w:val="16"/>
                <w:szCs w:val="16"/>
              </w:rPr>
              <w:t>-</w:t>
            </w:r>
          </w:p>
        </w:tc>
        <w:tc>
          <w:tcPr>
            <w:tcW w:w="709" w:type="dxa"/>
            <w:shd w:val="clear" w:color="auto" w:fill="auto"/>
            <w:noWrap/>
            <w:hideMark/>
          </w:tcPr>
          <w:p w14:paraId="009F86BE" w14:textId="35ED9205" w:rsidR="00CC737B" w:rsidRPr="00D518FF" w:rsidRDefault="0030382E" w:rsidP="00CC737B">
            <w:pPr>
              <w:rPr>
                <w:rFonts w:ascii="Aptos" w:hAnsi="Aptos"/>
                <w:sz w:val="16"/>
                <w:szCs w:val="16"/>
              </w:rPr>
            </w:pPr>
            <w:r>
              <w:rPr>
                <w:rFonts w:ascii="Aptos" w:hAnsi="Aptos"/>
                <w:sz w:val="16"/>
                <w:szCs w:val="16"/>
              </w:rPr>
              <w:t>-</w:t>
            </w:r>
          </w:p>
        </w:tc>
        <w:tc>
          <w:tcPr>
            <w:tcW w:w="2410" w:type="dxa"/>
            <w:shd w:val="clear" w:color="auto" w:fill="auto"/>
            <w:noWrap/>
            <w:hideMark/>
          </w:tcPr>
          <w:p w14:paraId="0300D3AF"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Wrong study type</w:t>
            </w:r>
          </w:p>
        </w:tc>
      </w:tr>
      <w:tr w:rsidR="004C6AA1" w:rsidRPr="00D518FF" w14:paraId="7938EC68" w14:textId="77777777" w:rsidTr="00887C84">
        <w:trPr>
          <w:trHeight w:val="320"/>
        </w:trPr>
        <w:tc>
          <w:tcPr>
            <w:tcW w:w="4253" w:type="dxa"/>
            <w:shd w:val="clear" w:color="auto" w:fill="auto"/>
            <w:noWrap/>
            <w:hideMark/>
          </w:tcPr>
          <w:p w14:paraId="254902D3"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The effect of omega-3 fatty acids supplementation on blood pressure in adults: an umbrella of meta-analysis</w:t>
            </w:r>
          </w:p>
        </w:tc>
        <w:tc>
          <w:tcPr>
            <w:tcW w:w="3544" w:type="dxa"/>
            <w:shd w:val="clear" w:color="auto" w:fill="auto"/>
            <w:noWrap/>
            <w:hideMark/>
          </w:tcPr>
          <w:p w14:paraId="7CFE22D4"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parvin dehghan, Vali Musazadeh</w:t>
            </w:r>
          </w:p>
        </w:tc>
        <w:tc>
          <w:tcPr>
            <w:tcW w:w="567" w:type="dxa"/>
            <w:shd w:val="clear" w:color="auto" w:fill="auto"/>
            <w:noWrap/>
            <w:hideMark/>
          </w:tcPr>
          <w:p w14:paraId="47AB979D" w14:textId="51FEDBD8" w:rsidR="00CC737B" w:rsidRPr="00D518FF" w:rsidRDefault="000E6120" w:rsidP="00CC737B">
            <w:pPr>
              <w:rPr>
                <w:rFonts w:ascii="Aptos" w:hAnsi="Aptos"/>
                <w:color w:val="000000"/>
                <w:sz w:val="16"/>
                <w:szCs w:val="16"/>
              </w:rPr>
            </w:pPr>
            <w:r>
              <w:rPr>
                <w:rFonts w:ascii="Aptos" w:hAnsi="Aptos"/>
                <w:color w:val="000000"/>
                <w:sz w:val="16"/>
                <w:szCs w:val="16"/>
              </w:rPr>
              <w:t>2022</w:t>
            </w:r>
          </w:p>
        </w:tc>
        <w:tc>
          <w:tcPr>
            <w:tcW w:w="1417" w:type="dxa"/>
            <w:shd w:val="clear" w:color="auto" w:fill="auto"/>
          </w:tcPr>
          <w:p w14:paraId="1CE431C3" w14:textId="43DF0016" w:rsidR="00CC737B" w:rsidRPr="00D518FF" w:rsidRDefault="000E6120" w:rsidP="00CC737B">
            <w:pPr>
              <w:rPr>
                <w:rFonts w:ascii="Aptos" w:hAnsi="Aptos"/>
                <w:color w:val="000000"/>
                <w:sz w:val="16"/>
                <w:szCs w:val="16"/>
              </w:rPr>
            </w:pPr>
            <w:r>
              <w:rPr>
                <w:rFonts w:ascii="Aptos" w:hAnsi="Aptos"/>
                <w:color w:val="000000"/>
                <w:sz w:val="16"/>
                <w:szCs w:val="16"/>
              </w:rPr>
              <w:t>PROSPERO</w:t>
            </w:r>
          </w:p>
        </w:tc>
        <w:tc>
          <w:tcPr>
            <w:tcW w:w="851" w:type="dxa"/>
            <w:shd w:val="clear" w:color="auto" w:fill="auto"/>
          </w:tcPr>
          <w:p w14:paraId="3C8B187A" w14:textId="4D59184F" w:rsidR="00CC737B" w:rsidRPr="00D518FF" w:rsidRDefault="000E6120" w:rsidP="00CC737B">
            <w:pPr>
              <w:rPr>
                <w:rFonts w:ascii="Aptos" w:hAnsi="Aptos"/>
                <w:color w:val="000000"/>
                <w:sz w:val="16"/>
                <w:szCs w:val="16"/>
              </w:rPr>
            </w:pPr>
            <w:r w:rsidRPr="000E6120">
              <w:rPr>
                <w:rFonts w:ascii="Aptos" w:hAnsi="Aptos"/>
                <w:color w:val="000000"/>
                <w:sz w:val="16"/>
                <w:szCs w:val="16"/>
              </w:rPr>
              <w:t>CRD42022311888</w:t>
            </w:r>
          </w:p>
        </w:tc>
        <w:tc>
          <w:tcPr>
            <w:tcW w:w="708" w:type="dxa"/>
            <w:shd w:val="clear" w:color="auto" w:fill="auto"/>
            <w:noWrap/>
            <w:hideMark/>
          </w:tcPr>
          <w:p w14:paraId="3F36C4BB" w14:textId="1BC059AF" w:rsidR="00CC737B" w:rsidRPr="00D518FF" w:rsidRDefault="000E6120" w:rsidP="00CC737B">
            <w:pPr>
              <w:rPr>
                <w:rFonts w:ascii="Aptos" w:hAnsi="Aptos"/>
                <w:sz w:val="16"/>
                <w:szCs w:val="16"/>
              </w:rPr>
            </w:pPr>
            <w:r>
              <w:rPr>
                <w:rFonts w:ascii="Aptos" w:hAnsi="Aptos"/>
                <w:sz w:val="16"/>
                <w:szCs w:val="16"/>
              </w:rPr>
              <w:t>-</w:t>
            </w:r>
          </w:p>
        </w:tc>
        <w:tc>
          <w:tcPr>
            <w:tcW w:w="709" w:type="dxa"/>
            <w:shd w:val="clear" w:color="auto" w:fill="auto"/>
            <w:noWrap/>
            <w:hideMark/>
          </w:tcPr>
          <w:p w14:paraId="33260D8E" w14:textId="3D3D49B1" w:rsidR="00CC737B" w:rsidRPr="00D518FF" w:rsidRDefault="000E6120" w:rsidP="00CC737B">
            <w:pPr>
              <w:rPr>
                <w:rFonts w:ascii="Aptos" w:hAnsi="Aptos"/>
                <w:sz w:val="16"/>
                <w:szCs w:val="16"/>
              </w:rPr>
            </w:pPr>
            <w:r>
              <w:rPr>
                <w:rFonts w:ascii="Aptos" w:hAnsi="Aptos"/>
                <w:sz w:val="16"/>
                <w:szCs w:val="16"/>
              </w:rPr>
              <w:t>-</w:t>
            </w:r>
          </w:p>
        </w:tc>
        <w:tc>
          <w:tcPr>
            <w:tcW w:w="2410" w:type="dxa"/>
            <w:shd w:val="clear" w:color="auto" w:fill="auto"/>
            <w:noWrap/>
            <w:hideMark/>
          </w:tcPr>
          <w:p w14:paraId="55E2CF56" w14:textId="77777777" w:rsidR="00CC737B" w:rsidRPr="00D518FF" w:rsidRDefault="00CC737B" w:rsidP="00CC737B">
            <w:pPr>
              <w:rPr>
                <w:rFonts w:ascii="Aptos" w:hAnsi="Aptos"/>
                <w:color w:val="000000"/>
                <w:sz w:val="16"/>
                <w:szCs w:val="16"/>
              </w:rPr>
            </w:pPr>
            <w:r w:rsidRPr="00D518FF">
              <w:rPr>
                <w:rFonts w:ascii="Aptos" w:hAnsi="Aptos"/>
                <w:color w:val="000000"/>
                <w:sz w:val="16"/>
                <w:szCs w:val="16"/>
              </w:rPr>
              <w:t>Wrong study type</w:t>
            </w:r>
          </w:p>
        </w:tc>
      </w:tr>
    </w:tbl>
    <w:p w14:paraId="17D24DA4" w14:textId="77777777" w:rsidR="008F3151" w:rsidRPr="00D518FF" w:rsidRDefault="008F3151" w:rsidP="008F3151">
      <w:pPr>
        <w:pStyle w:val="BodyText"/>
        <w:rPr>
          <w:rFonts w:ascii="Aptos" w:hAnsi="Aptos"/>
        </w:rPr>
      </w:pPr>
    </w:p>
    <w:p w14:paraId="35E13BEC" w14:textId="756111AC" w:rsidR="0066049A" w:rsidRPr="004C6AA1" w:rsidRDefault="0066049A" w:rsidP="004C6AA1">
      <w:pPr>
        <w:pStyle w:val="Caption"/>
        <w:spacing w:before="240"/>
        <w:rPr>
          <w:rFonts w:ascii="Aptos" w:hAnsi="Aptos"/>
        </w:rPr>
      </w:pPr>
      <w:bookmarkStart w:id="125" w:name="_Toc185254540"/>
      <w:r w:rsidRPr="004C6AA1">
        <w:rPr>
          <w:rFonts w:ascii="Aptos" w:hAnsi="Aptos"/>
        </w:rPr>
        <w:lastRenderedPageBreak/>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13</w:t>
      </w:r>
      <w:r w:rsidR="00DC4767" w:rsidRPr="004C6AA1">
        <w:rPr>
          <w:rFonts w:ascii="Aptos" w:hAnsi="Aptos"/>
        </w:rPr>
        <w:fldChar w:fldCharType="end"/>
      </w:r>
      <w:r w:rsidRPr="004C6AA1">
        <w:rPr>
          <w:rFonts w:ascii="Aptos" w:hAnsi="Aptos"/>
        </w:rPr>
        <w:t xml:space="preserve">. </w:t>
      </w:r>
      <w:r w:rsidRPr="00D518FF">
        <w:rPr>
          <w:rFonts w:ascii="Aptos" w:hAnsi="Aptos"/>
        </w:rPr>
        <w:t>Excluded reviews, reason for exclusion – fibromyalgia, magnesium</w:t>
      </w:r>
      <w:r>
        <w:rPr>
          <w:rFonts w:ascii="Aptos" w:hAnsi="Aptos"/>
        </w:rPr>
        <w:t>.</w:t>
      </w:r>
      <w:bookmarkEnd w:id="125"/>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28" w:type="dxa"/>
        </w:tblCellMar>
        <w:tblLook w:val="04A0" w:firstRow="1" w:lastRow="0" w:firstColumn="1" w:lastColumn="0" w:noHBand="0" w:noVBand="1"/>
      </w:tblPr>
      <w:tblGrid>
        <w:gridCol w:w="4248"/>
        <w:gridCol w:w="3544"/>
        <w:gridCol w:w="567"/>
        <w:gridCol w:w="1417"/>
        <w:gridCol w:w="851"/>
        <w:gridCol w:w="708"/>
        <w:gridCol w:w="709"/>
        <w:gridCol w:w="2410"/>
      </w:tblGrid>
      <w:tr w:rsidR="008F3151" w:rsidRPr="00D518FF" w14:paraId="54A78178" w14:textId="77777777" w:rsidTr="004C6AA1">
        <w:trPr>
          <w:trHeight w:val="35"/>
        </w:trPr>
        <w:tc>
          <w:tcPr>
            <w:tcW w:w="4248" w:type="dxa"/>
            <w:shd w:val="clear" w:color="auto" w:fill="D9D9D9" w:themeFill="background1" w:themeFillShade="D9"/>
            <w:noWrap/>
            <w:hideMark/>
          </w:tcPr>
          <w:p w14:paraId="6B90D9F1" w14:textId="77777777" w:rsidR="008F3151" w:rsidRPr="00D518FF" w:rsidRDefault="008F3151">
            <w:pPr>
              <w:rPr>
                <w:rFonts w:ascii="Aptos" w:hAnsi="Aptos" w:cs="Arial"/>
                <w:b/>
                <w:bCs/>
                <w:sz w:val="16"/>
                <w:szCs w:val="16"/>
              </w:rPr>
            </w:pPr>
            <w:r w:rsidRPr="00D518FF">
              <w:rPr>
                <w:rFonts w:ascii="Aptos" w:hAnsi="Aptos" w:cs="Arial"/>
                <w:b/>
                <w:bCs/>
                <w:sz w:val="16"/>
                <w:szCs w:val="16"/>
              </w:rPr>
              <w:t>Title</w:t>
            </w:r>
          </w:p>
        </w:tc>
        <w:tc>
          <w:tcPr>
            <w:tcW w:w="3544" w:type="dxa"/>
            <w:shd w:val="clear" w:color="auto" w:fill="D9D9D9" w:themeFill="background1" w:themeFillShade="D9"/>
            <w:noWrap/>
            <w:hideMark/>
          </w:tcPr>
          <w:p w14:paraId="2F05F3A7" w14:textId="77777777" w:rsidR="008F3151" w:rsidRPr="00D518FF" w:rsidRDefault="008F3151">
            <w:pPr>
              <w:rPr>
                <w:rFonts w:ascii="Aptos" w:hAnsi="Aptos" w:cs="Arial"/>
                <w:b/>
                <w:bCs/>
                <w:sz w:val="16"/>
                <w:szCs w:val="16"/>
              </w:rPr>
            </w:pPr>
            <w:r w:rsidRPr="00D518FF">
              <w:rPr>
                <w:rFonts w:ascii="Aptos" w:hAnsi="Aptos" w:cs="Arial"/>
                <w:b/>
                <w:bCs/>
                <w:sz w:val="16"/>
                <w:szCs w:val="16"/>
              </w:rPr>
              <w:t>Authors</w:t>
            </w:r>
          </w:p>
        </w:tc>
        <w:tc>
          <w:tcPr>
            <w:tcW w:w="567" w:type="dxa"/>
            <w:shd w:val="clear" w:color="auto" w:fill="D9D9D9" w:themeFill="background1" w:themeFillShade="D9"/>
            <w:noWrap/>
            <w:hideMark/>
          </w:tcPr>
          <w:p w14:paraId="12612650" w14:textId="77777777" w:rsidR="008F3151" w:rsidRPr="00D518FF" w:rsidRDefault="008F3151">
            <w:pPr>
              <w:rPr>
                <w:rFonts w:ascii="Aptos" w:hAnsi="Aptos" w:cs="Arial"/>
                <w:b/>
                <w:bCs/>
                <w:sz w:val="16"/>
                <w:szCs w:val="16"/>
              </w:rPr>
            </w:pPr>
            <w:r w:rsidRPr="00D518FF">
              <w:rPr>
                <w:rFonts w:ascii="Aptos" w:hAnsi="Aptos" w:cs="Arial"/>
                <w:b/>
                <w:bCs/>
                <w:sz w:val="16"/>
                <w:szCs w:val="16"/>
              </w:rPr>
              <w:t>Year</w:t>
            </w:r>
          </w:p>
        </w:tc>
        <w:tc>
          <w:tcPr>
            <w:tcW w:w="1417" w:type="dxa"/>
            <w:shd w:val="clear" w:color="auto" w:fill="D9D9D9" w:themeFill="background1" w:themeFillShade="D9"/>
            <w:noWrap/>
            <w:hideMark/>
          </w:tcPr>
          <w:p w14:paraId="340779F8" w14:textId="77777777" w:rsidR="008F3151" w:rsidRPr="00D518FF" w:rsidRDefault="008F3151">
            <w:pPr>
              <w:rPr>
                <w:rFonts w:ascii="Aptos" w:hAnsi="Aptos" w:cs="Arial"/>
                <w:b/>
                <w:bCs/>
                <w:sz w:val="16"/>
                <w:szCs w:val="16"/>
              </w:rPr>
            </w:pPr>
            <w:r w:rsidRPr="00D518FF">
              <w:rPr>
                <w:rFonts w:ascii="Aptos" w:hAnsi="Aptos" w:cs="Arial"/>
                <w:b/>
                <w:bCs/>
                <w:sz w:val="16"/>
                <w:szCs w:val="16"/>
              </w:rPr>
              <w:t>Journal</w:t>
            </w:r>
          </w:p>
        </w:tc>
        <w:tc>
          <w:tcPr>
            <w:tcW w:w="851" w:type="dxa"/>
            <w:shd w:val="clear" w:color="auto" w:fill="D9D9D9" w:themeFill="background1" w:themeFillShade="D9"/>
            <w:noWrap/>
            <w:hideMark/>
          </w:tcPr>
          <w:p w14:paraId="1DDEEDB2" w14:textId="77777777" w:rsidR="008F3151" w:rsidRPr="00D518FF" w:rsidRDefault="008F3151">
            <w:pPr>
              <w:rPr>
                <w:rFonts w:ascii="Aptos" w:hAnsi="Aptos" w:cs="Arial"/>
                <w:b/>
                <w:bCs/>
                <w:sz w:val="16"/>
                <w:szCs w:val="16"/>
              </w:rPr>
            </w:pPr>
            <w:r w:rsidRPr="00D518FF">
              <w:rPr>
                <w:rFonts w:ascii="Aptos" w:hAnsi="Aptos" w:cs="Arial"/>
                <w:b/>
                <w:bCs/>
                <w:sz w:val="16"/>
                <w:szCs w:val="16"/>
              </w:rPr>
              <w:t>Volume</w:t>
            </w:r>
          </w:p>
        </w:tc>
        <w:tc>
          <w:tcPr>
            <w:tcW w:w="708" w:type="dxa"/>
            <w:shd w:val="clear" w:color="auto" w:fill="D9D9D9" w:themeFill="background1" w:themeFillShade="D9"/>
            <w:noWrap/>
            <w:hideMark/>
          </w:tcPr>
          <w:p w14:paraId="0C518DE6" w14:textId="77777777" w:rsidR="008F3151" w:rsidRPr="00D518FF" w:rsidRDefault="008F3151">
            <w:pPr>
              <w:rPr>
                <w:rFonts w:ascii="Aptos" w:hAnsi="Aptos" w:cs="Arial"/>
                <w:b/>
                <w:bCs/>
                <w:sz w:val="16"/>
                <w:szCs w:val="16"/>
              </w:rPr>
            </w:pPr>
            <w:r w:rsidRPr="00D518FF">
              <w:rPr>
                <w:rFonts w:ascii="Aptos" w:hAnsi="Aptos" w:cs="Arial"/>
                <w:b/>
                <w:bCs/>
                <w:sz w:val="16"/>
                <w:szCs w:val="16"/>
              </w:rPr>
              <w:t>Issue</w:t>
            </w:r>
          </w:p>
        </w:tc>
        <w:tc>
          <w:tcPr>
            <w:tcW w:w="709" w:type="dxa"/>
            <w:shd w:val="clear" w:color="auto" w:fill="D9D9D9" w:themeFill="background1" w:themeFillShade="D9"/>
            <w:noWrap/>
            <w:hideMark/>
          </w:tcPr>
          <w:p w14:paraId="2FBD67EE" w14:textId="77777777" w:rsidR="008F3151" w:rsidRPr="00D518FF" w:rsidRDefault="008F3151">
            <w:pPr>
              <w:rPr>
                <w:rFonts w:ascii="Aptos" w:hAnsi="Aptos" w:cs="Arial"/>
                <w:b/>
                <w:bCs/>
                <w:sz w:val="16"/>
                <w:szCs w:val="16"/>
              </w:rPr>
            </w:pPr>
            <w:r w:rsidRPr="00D518FF">
              <w:rPr>
                <w:rFonts w:ascii="Aptos" w:hAnsi="Aptos" w:cs="Arial"/>
                <w:b/>
                <w:bCs/>
                <w:sz w:val="16"/>
                <w:szCs w:val="16"/>
              </w:rPr>
              <w:t>Pages</w:t>
            </w:r>
          </w:p>
        </w:tc>
        <w:tc>
          <w:tcPr>
            <w:tcW w:w="2410" w:type="dxa"/>
            <w:shd w:val="clear" w:color="auto" w:fill="D9D9D9" w:themeFill="background1" w:themeFillShade="D9"/>
            <w:noWrap/>
            <w:hideMark/>
          </w:tcPr>
          <w:p w14:paraId="1048D1DB" w14:textId="6258179C" w:rsidR="008F3151" w:rsidRPr="00D518FF" w:rsidRDefault="00EA0F99">
            <w:pPr>
              <w:rPr>
                <w:rFonts w:ascii="Aptos" w:hAnsi="Aptos" w:cs="Arial"/>
                <w:b/>
                <w:bCs/>
                <w:sz w:val="16"/>
                <w:szCs w:val="16"/>
              </w:rPr>
            </w:pPr>
            <w:r>
              <w:rPr>
                <w:rFonts w:ascii="Aptos" w:hAnsi="Aptos" w:cs="Arial"/>
                <w:b/>
                <w:bCs/>
                <w:sz w:val="16"/>
                <w:szCs w:val="16"/>
              </w:rPr>
              <w:t>Exclusion reason</w:t>
            </w:r>
          </w:p>
        </w:tc>
      </w:tr>
      <w:tr w:rsidR="008F3151" w:rsidRPr="00D518FF" w14:paraId="49646AD1" w14:textId="77777777" w:rsidTr="004C6AA1">
        <w:trPr>
          <w:trHeight w:val="320"/>
        </w:trPr>
        <w:tc>
          <w:tcPr>
            <w:tcW w:w="4248" w:type="dxa"/>
            <w:shd w:val="clear" w:color="auto" w:fill="auto"/>
            <w:noWrap/>
            <w:hideMark/>
          </w:tcPr>
          <w:p w14:paraId="391EBA4D" w14:textId="77777777" w:rsidR="008F3151" w:rsidRPr="00D518FF" w:rsidRDefault="008F3151">
            <w:pPr>
              <w:rPr>
                <w:rFonts w:ascii="Aptos" w:hAnsi="Aptos"/>
                <w:color w:val="000000"/>
                <w:sz w:val="16"/>
                <w:szCs w:val="16"/>
              </w:rPr>
            </w:pPr>
            <w:r w:rsidRPr="00D518FF">
              <w:rPr>
                <w:rFonts w:ascii="Aptos" w:hAnsi="Aptos"/>
                <w:color w:val="000000"/>
                <w:sz w:val="16"/>
                <w:szCs w:val="16"/>
              </w:rPr>
              <w:t>Efficacy and safety of magnesium for the management of chronic pain in adults: A systematic review</w:t>
            </w:r>
          </w:p>
        </w:tc>
        <w:tc>
          <w:tcPr>
            <w:tcW w:w="3544" w:type="dxa"/>
            <w:shd w:val="clear" w:color="auto" w:fill="auto"/>
            <w:noWrap/>
            <w:hideMark/>
          </w:tcPr>
          <w:p w14:paraId="6ADDF06A" w14:textId="77777777" w:rsidR="008F3151" w:rsidRPr="00D518FF" w:rsidRDefault="008F3151">
            <w:pPr>
              <w:rPr>
                <w:rFonts w:ascii="Aptos" w:hAnsi="Aptos"/>
                <w:color w:val="000000"/>
                <w:sz w:val="16"/>
                <w:szCs w:val="16"/>
              </w:rPr>
            </w:pPr>
            <w:r w:rsidRPr="00D518FF">
              <w:rPr>
                <w:rFonts w:ascii="Aptos" w:hAnsi="Aptos"/>
                <w:color w:val="000000"/>
                <w:sz w:val="16"/>
                <w:szCs w:val="16"/>
              </w:rPr>
              <w:t>Park, R.; Ho, A. M. H.; Pickering, G.; Arendt-Nielsen, L.; Mohiuddin, M.; Gilron, I.</w:t>
            </w:r>
          </w:p>
        </w:tc>
        <w:tc>
          <w:tcPr>
            <w:tcW w:w="567" w:type="dxa"/>
            <w:shd w:val="clear" w:color="auto" w:fill="auto"/>
            <w:noWrap/>
            <w:hideMark/>
          </w:tcPr>
          <w:p w14:paraId="5F5D078B"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0EF75536" w14:textId="77777777" w:rsidR="008F3151" w:rsidRPr="00D518FF" w:rsidRDefault="008F3151">
            <w:pPr>
              <w:rPr>
                <w:rFonts w:ascii="Aptos" w:hAnsi="Aptos"/>
                <w:color w:val="000000"/>
                <w:sz w:val="16"/>
                <w:szCs w:val="16"/>
              </w:rPr>
            </w:pPr>
            <w:r w:rsidRPr="00D518FF">
              <w:rPr>
                <w:rFonts w:ascii="Aptos" w:hAnsi="Aptos"/>
                <w:color w:val="000000"/>
                <w:sz w:val="16"/>
                <w:szCs w:val="16"/>
              </w:rPr>
              <w:t>Anesthesia and analgesia</w:t>
            </w:r>
          </w:p>
        </w:tc>
        <w:tc>
          <w:tcPr>
            <w:tcW w:w="851" w:type="dxa"/>
            <w:shd w:val="clear" w:color="auto" w:fill="auto"/>
            <w:noWrap/>
            <w:hideMark/>
          </w:tcPr>
          <w:p w14:paraId="418CB9CE" w14:textId="77777777" w:rsidR="008F3151" w:rsidRPr="00D518FF" w:rsidRDefault="008F3151">
            <w:pPr>
              <w:rPr>
                <w:rFonts w:ascii="Aptos" w:hAnsi="Aptos"/>
                <w:color w:val="000000"/>
                <w:sz w:val="16"/>
                <w:szCs w:val="16"/>
              </w:rPr>
            </w:pPr>
            <w:r w:rsidRPr="00D518FF">
              <w:rPr>
                <w:rFonts w:ascii="Aptos" w:hAnsi="Aptos"/>
                <w:color w:val="000000"/>
                <w:sz w:val="16"/>
                <w:szCs w:val="16"/>
              </w:rPr>
              <w:t>131</w:t>
            </w:r>
          </w:p>
        </w:tc>
        <w:tc>
          <w:tcPr>
            <w:tcW w:w="708" w:type="dxa"/>
            <w:shd w:val="clear" w:color="auto" w:fill="auto"/>
            <w:noWrap/>
            <w:hideMark/>
          </w:tcPr>
          <w:p w14:paraId="4EC0EEB9"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5A9315B5" w14:textId="77777777" w:rsidR="008F3151" w:rsidRPr="00D518FF" w:rsidRDefault="008F3151">
            <w:pPr>
              <w:rPr>
                <w:rFonts w:ascii="Aptos" w:hAnsi="Aptos"/>
                <w:color w:val="000000"/>
                <w:sz w:val="16"/>
                <w:szCs w:val="16"/>
              </w:rPr>
            </w:pPr>
            <w:r w:rsidRPr="00D518FF">
              <w:rPr>
                <w:rFonts w:ascii="Aptos" w:hAnsi="Aptos"/>
                <w:color w:val="000000"/>
                <w:sz w:val="16"/>
                <w:szCs w:val="16"/>
              </w:rPr>
              <w:t>764-775</w:t>
            </w:r>
          </w:p>
        </w:tc>
        <w:tc>
          <w:tcPr>
            <w:tcW w:w="2410" w:type="dxa"/>
            <w:shd w:val="clear" w:color="auto" w:fill="auto"/>
            <w:noWrap/>
            <w:hideMark/>
          </w:tcPr>
          <w:p w14:paraId="57B4AD2D"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33BF84E8" w14:textId="77777777" w:rsidTr="004C6AA1">
        <w:trPr>
          <w:trHeight w:val="320"/>
        </w:trPr>
        <w:tc>
          <w:tcPr>
            <w:tcW w:w="4248" w:type="dxa"/>
            <w:shd w:val="clear" w:color="auto" w:fill="auto"/>
            <w:noWrap/>
            <w:hideMark/>
          </w:tcPr>
          <w:p w14:paraId="2C62BB1B" w14:textId="77777777" w:rsidR="008F3151" w:rsidRPr="00D518FF" w:rsidRDefault="008F3151">
            <w:pPr>
              <w:rPr>
                <w:rFonts w:ascii="Aptos" w:hAnsi="Aptos"/>
                <w:color w:val="000000"/>
                <w:sz w:val="16"/>
                <w:szCs w:val="16"/>
              </w:rPr>
            </w:pPr>
            <w:r w:rsidRPr="00D518FF">
              <w:rPr>
                <w:rFonts w:ascii="Aptos" w:hAnsi="Aptos"/>
                <w:color w:val="000000"/>
                <w:sz w:val="16"/>
                <w:szCs w:val="16"/>
              </w:rPr>
              <w:t>Evidence-Based role of nutrients and antioxidants for chronic pain management in musculoskeletal frailty and sarcopenia in aging</w:t>
            </w:r>
          </w:p>
        </w:tc>
        <w:tc>
          <w:tcPr>
            <w:tcW w:w="3544" w:type="dxa"/>
            <w:shd w:val="clear" w:color="auto" w:fill="auto"/>
            <w:noWrap/>
            <w:hideMark/>
          </w:tcPr>
          <w:p w14:paraId="62B0B2DA" w14:textId="77777777" w:rsidR="008F3151" w:rsidRPr="00D518FF" w:rsidRDefault="008F3151">
            <w:pPr>
              <w:rPr>
                <w:rFonts w:ascii="Aptos" w:hAnsi="Aptos"/>
                <w:color w:val="000000"/>
                <w:sz w:val="16"/>
                <w:szCs w:val="16"/>
              </w:rPr>
            </w:pPr>
            <w:r w:rsidRPr="00D518FF">
              <w:rPr>
                <w:rFonts w:ascii="Aptos" w:hAnsi="Aptos"/>
                <w:color w:val="000000"/>
                <w:sz w:val="16"/>
                <w:szCs w:val="16"/>
              </w:rPr>
              <w:t>Perna, S.; Alalwan, T. A.; Al-Thawadi, S.; Negro, M.; Parimbelli, M.; Cerullo, G.; Gasparri, C.; Guerriero, F.; Infantino, V.; Diana, M.; D'Antona, G.; Rondanelli, M.</w:t>
            </w:r>
          </w:p>
        </w:tc>
        <w:tc>
          <w:tcPr>
            <w:tcW w:w="567" w:type="dxa"/>
            <w:shd w:val="clear" w:color="auto" w:fill="auto"/>
            <w:noWrap/>
            <w:hideMark/>
          </w:tcPr>
          <w:p w14:paraId="2FCA504E"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7F778484" w14:textId="77777777" w:rsidR="008F3151" w:rsidRPr="00D518FF" w:rsidRDefault="008F3151">
            <w:pPr>
              <w:rPr>
                <w:rFonts w:ascii="Aptos" w:hAnsi="Aptos"/>
                <w:color w:val="000000"/>
                <w:sz w:val="16"/>
                <w:szCs w:val="16"/>
              </w:rPr>
            </w:pPr>
            <w:r w:rsidRPr="00D518FF">
              <w:rPr>
                <w:rFonts w:ascii="Aptos" w:hAnsi="Aptos"/>
                <w:color w:val="000000"/>
                <w:sz w:val="16"/>
                <w:szCs w:val="16"/>
              </w:rPr>
              <w:t>Geriatrics (Switzerland)</w:t>
            </w:r>
          </w:p>
        </w:tc>
        <w:tc>
          <w:tcPr>
            <w:tcW w:w="851" w:type="dxa"/>
            <w:shd w:val="clear" w:color="auto" w:fill="auto"/>
            <w:noWrap/>
            <w:hideMark/>
          </w:tcPr>
          <w:p w14:paraId="2723C766"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8" w:type="dxa"/>
            <w:shd w:val="clear" w:color="auto" w:fill="auto"/>
            <w:noWrap/>
            <w:hideMark/>
          </w:tcPr>
          <w:p w14:paraId="22A548E2"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39E9BBC0" w14:textId="77777777" w:rsidR="008F3151" w:rsidRPr="00D518FF" w:rsidRDefault="008F3151">
            <w:pPr>
              <w:rPr>
                <w:rFonts w:ascii="Aptos" w:hAnsi="Aptos"/>
                <w:color w:val="000000"/>
                <w:sz w:val="16"/>
                <w:szCs w:val="16"/>
              </w:rPr>
            </w:pPr>
            <w:r w:rsidRPr="00D518FF">
              <w:rPr>
                <w:rFonts w:ascii="Aptos" w:hAnsi="Aptos"/>
                <w:color w:val="000000"/>
                <w:sz w:val="16"/>
                <w:szCs w:val="16"/>
              </w:rPr>
              <w:t>16</w:t>
            </w:r>
          </w:p>
        </w:tc>
        <w:tc>
          <w:tcPr>
            <w:tcW w:w="2410" w:type="dxa"/>
            <w:shd w:val="clear" w:color="auto" w:fill="auto"/>
            <w:noWrap/>
            <w:hideMark/>
          </w:tcPr>
          <w:p w14:paraId="56D490B0"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8F3151" w:rsidRPr="00D518FF" w14:paraId="2170D7F2" w14:textId="77777777" w:rsidTr="004C6AA1">
        <w:trPr>
          <w:trHeight w:val="320"/>
        </w:trPr>
        <w:tc>
          <w:tcPr>
            <w:tcW w:w="4248" w:type="dxa"/>
            <w:shd w:val="clear" w:color="auto" w:fill="auto"/>
            <w:noWrap/>
            <w:hideMark/>
          </w:tcPr>
          <w:p w14:paraId="555A915F" w14:textId="77777777" w:rsidR="008F3151" w:rsidRPr="00D518FF" w:rsidRDefault="008F3151">
            <w:pPr>
              <w:rPr>
                <w:rFonts w:ascii="Aptos" w:hAnsi="Aptos"/>
                <w:color w:val="000000"/>
                <w:sz w:val="16"/>
                <w:szCs w:val="16"/>
              </w:rPr>
            </w:pPr>
            <w:r w:rsidRPr="00D518FF">
              <w:rPr>
                <w:rFonts w:ascii="Aptos" w:hAnsi="Aptos"/>
                <w:color w:val="000000"/>
                <w:sz w:val="16"/>
                <w:szCs w:val="16"/>
              </w:rPr>
              <w:t>A Systematic Review and Mixed Treatment Comparison of the Efficacy of Pharmacological Treatments for Fibromyalgia</w:t>
            </w:r>
          </w:p>
        </w:tc>
        <w:tc>
          <w:tcPr>
            <w:tcW w:w="3544" w:type="dxa"/>
            <w:shd w:val="clear" w:color="auto" w:fill="auto"/>
            <w:noWrap/>
            <w:hideMark/>
          </w:tcPr>
          <w:p w14:paraId="0E87C23B" w14:textId="77777777" w:rsidR="008F3151" w:rsidRPr="00D518FF" w:rsidRDefault="008F3151">
            <w:pPr>
              <w:rPr>
                <w:rFonts w:ascii="Aptos" w:hAnsi="Aptos"/>
                <w:color w:val="000000"/>
                <w:sz w:val="16"/>
                <w:szCs w:val="16"/>
              </w:rPr>
            </w:pPr>
            <w:r w:rsidRPr="00D518FF">
              <w:rPr>
                <w:rFonts w:ascii="Aptos" w:hAnsi="Aptos"/>
                <w:color w:val="000000"/>
                <w:sz w:val="16"/>
                <w:szCs w:val="16"/>
              </w:rPr>
              <w:t>Choy, E.; Marshall, D.; Gabriel, Z. L.; Mitchell, S. A.; Gylee, E.; Dakin, H. A.</w:t>
            </w:r>
          </w:p>
        </w:tc>
        <w:tc>
          <w:tcPr>
            <w:tcW w:w="567" w:type="dxa"/>
            <w:shd w:val="clear" w:color="auto" w:fill="auto"/>
            <w:noWrap/>
            <w:hideMark/>
          </w:tcPr>
          <w:p w14:paraId="09330750"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417" w:type="dxa"/>
            <w:shd w:val="clear" w:color="auto" w:fill="auto"/>
            <w:noWrap/>
            <w:hideMark/>
          </w:tcPr>
          <w:p w14:paraId="05AC2C2F" w14:textId="77777777" w:rsidR="008F3151" w:rsidRPr="00D518FF" w:rsidRDefault="008F3151">
            <w:pPr>
              <w:rPr>
                <w:rFonts w:ascii="Aptos" w:hAnsi="Aptos"/>
                <w:color w:val="000000"/>
                <w:sz w:val="16"/>
                <w:szCs w:val="16"/>
              </w:rPr>
            </w:pPr>
            <w:r w:rsidRPr="00D518FF">
              <w:rPr>
                <w:rFonts w:ascii="Aptos" w:hAnsi="Aptos"/>
                <w:color w:val="000000"/>
                <w:sz w:val="16"/>
                <w:szCs w:val="16"/>
              </w:rPr>
              <w:t>Seminars in arthritis and rheumatism</w:t>
            </w:r>
          </w:p>
        </w:tc>
        <w:tc>
          <w:tcPr>
            <w:tcW w:w="851" w:type="dxa"/>
            <w:shd w:val="clear" w:color="auto" w:fill="auto"/>
            <w:noWrap/>
            <w:hideMark/>
          </w:tcPr>
          <w:p w14:paraId="3927A951" w14:textId="77777777" w:rsidR="008F3151" w:rsidRPr="00D518FF" w:rsidRDefault="008F3151">
            <w:pPr>
              <w:rPr>
                <w:rFonts w:ascii="Aptos" w:hAnsi="Aptos"/>
                <w:color w:val="000000"/>
                <w:sz w:val="16"/>
                <w:szCs w:val="16"/>
              </w:rPr>
            </w:pPr>
            <w:r w:rsidRPr="00D518FF">
              <w:rPr>
                <w:rFonts w:ascii="Aptos" w:hAnsi="Aptos"/>
                <w:color w:val="000000"/>
                <w:sz w:val="16"/>
                <w:szCs w:val="16"/>
              </w:rPr>
              <w:t>41</w:t>
            </w:r>
          </w:p>
        </w:tc>
        <w:tc>
          <w:tcPr>
            <w:tcW w:w="708" w:type="dxa"/>
            <w:shd w:val="clear" w:color="auto" w:fill="auto"/>
            <w:noWrap/>
            <w:hideMark/>
          </w:tcPr>
          <w:p w14:paraId="419762A4"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67AFFBBA" w14:textId="77777777" w:rsidR="008F3151" w:rsidRPr="00D518FF" w:rsidRDefault="008F3151">
            <w:pPr>
              <w:rPr>
                <w:rFonts w:ascii="Aptos" w:hAnsi="Aptos"/>
                <w:color w:val="000000"/>
                <w:sz w:val="16"/>
                <w:szCs w:val="16"/>
              </w:rPr>
            </w:pPr>
            <w:r w:rsidRPr="00D518FF">
              <w:rPr>
                <w:rFonts w:ascii="Aptos" w:hAnsi="Aptos"/>
                <w:color w:val="000000"/>
                <w:sz w:val="16"/>
                <w:szCs w:val="16"/>
              </w:rPr>
              <w:t>335-45.e6</w:t>
            </w:r>
          </w:p>
        </w:tc>
        <w:tc>
          <w:tcPr>
            <w:tcW w:w="2410" w:type="dxa"/>
            <w:shd w:val="clear" w:color="auto" w:fill="auto"/>
            <w:noWrap/>
            <w:hideMark/>
          </w:tcPr>
          <w:p w14:paraId="6558F9B7"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07CDE637" w14:textId="77777777" w:rsidTr="004C6AA1">
        <w:trPr>
          <w:trHeight w:val="320"/>
        </w:trPr>
        <w:tc>
          <w:tcPr>
            <w:tcW w:w="4248" w:type="dxa"/>
            <w:shd w:val="clear" w:color="auto" w:fill="auto"/>
            <w:noWrap/>
            <w:hideMark/>
          </w:tcPr>
          <w:p w14:paraId="01191910" w14:textId="77777777" w:rsidR="008F3151" w:rsidRPr="00D518FF" w:rsidRDefault="008F3151">
            <w:pPr>
              <w:rPr>
                <w:rFonts w:ascii="Aptos" w:hAnsi="Aptos"/>
                <w:color w:val="000000"/>
                <w:sz w:val="16"/>
                <w:szCs w:val="16"/>
              </w:rPr>
            </w:pPr>
            <w:r w:rsidRPr="00D518FF">
              <w:rPr>
                <w:rFonts w:ascii="Aptos" w:hAnsi="Aptos"/>
                <w:color w:val="000000"/>
                <w:sz w:val="16"/>
                <w:szCs w:val="16"/>
              </w:rPr>
              <w:t>Do nutritional factors interact with chronic musculoskeletal pain? A systematic review</w:t>
            </w:r>
          </w:p>
        </w:tc>
        <w:tc>
          <w:tcPr>
            <w:tcW w:w="3544" w:type="dxa"/>
            <w:shd w:val="clear" w:color="auto" w:fill="auto"/>
            <w:noWrap/>
            <w:hideMark/>
          </w:tcPr>
          <w:p w14:paraId="3AE32C7E" w14:textId="77777777" w:rsidR="008F3151" w:rsidRPr="00D518FF" w:rsidRDefault="008F3151">
            <w:pPr>
              <w:rPr>
                <w:rFonts w:ascii="Aptos" w:hAnsi="Aptos"/>
                <w:color w:val="000000"/>
                <w:sz w:val="16"/>
                <w:szCs w:val="16"/>
              </w:rPr>
            </w:pPr>
            <w:r w:rsidRPr="00D518FF">
              <w:rPr>
                <w:rFonts w:ascii="Aptos" w:hAnsi="Aptos"/>
                <w:color w:val="000000"/>
                <w:sz w:val="16"/>
                <w:szCs w:val="16"/>
              </w:rPr>
              <w:t>Elma, O.; Yilmaz, S. T.; Coppieters, I.; Nijs, J.; Malfliet, A.; Deliens, T.; Deliens, T.; Clarys, P.; Coppieters, I.; Nijs, J.; Malfliet, A.; Coppieters, I.</w:t>
            </w:r>
          </w:p>
        </w:tc>
        <w:tc>
          <w:tcPr>
            <w:tcW w:w="567" w:type="dxa"/>
            <w:shd w:val="clear" w:color="auto" w:fill="auto"/>
            <w:noWrap/>
            <w:hideMark/>
          </w:tcPr>
          <w:p w14:paraId="382EA1A9"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6FFCA510" w14:textId="77777777" w:rsidR="008F3151" w:rsidRPr="00D518FF" w:rsidRDefault="008F3151">
            <w:pPr>
              <w:rPr>
                <w:rFonts w:ascii="Aptos" w:hAnsi="Aptos"/>
                <w:color w:val="000000"/>
                <w:sz w:val="16"/>
                <w:szCs w:val="16"/>
              </w:rPr>
            </w:pPr>
            <w:r w:rsidRPr="00D518FF">
              <w:rPr>
                <w:rFonts w:ascii="Aptos" w:hAnsi="Aptos"/>
                <w:color w:val="000000"/>
                <w:sz w:val="16"/>
                <w:szCs w:val="16"/>
              </w:rPr>
              <w:t>J. Clin. Med.</w:t>
            </w:r>
          </w:p>
        </w:tc>
        <w:tc>
          <w:tcPr>
            <w:tcW w:w="851" w:type="dxa"/>
            <w:shd w:val="clear" w:color="auto" w:fill="auto"/>
            <w:noWrap/>
            <w:hideMark/>
          </w:tcPr>
          <w:p w14:paraId="4A553A64"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708" w:type="dxa"/>
            <w:shd w:val="clear" w:color="auto" w:fill="auto"/>
            <w:noWrap/>
            <w:hideMark/>
          </w:tcPr>
          <w:p w14:paraId="42ADF79A"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2700B0A7" w14:textId="6F47C7B2" w:rsidR="008F3151" w:rsidRPr="00D518FF" w:rsidRDefault="003646E8">
            <w:pPr>
              <w:rPr>
                <w:rFonts w:ascii="Aptos" w:hAnsi="Aptos"/>
                <w:color w:val="000000"/>
                <w:sz w:val="16"/>
                <w:szCs w:val="16"/>
              </w:rPr>
            </w:pPr>
            <w:r>
              <w:rPr>
                <w:rFonts w:ascii="Aptos" w:hAnsi="Aptos"/>
                <w:color w:val="000000"/>
                <w:sz w:val="16"/>
                <w:szCs w:val="16"/>
              </w:rPr>
              <w:t>702</w:t>
            </w:r>
          </w:p>
        </w:tc>
        <w:tc>
          <w:tcPr>
            <w:tcW w:w="2410" w:type="dxa"/>
            <w:shd w:val="clear" w:color="auto" w:fill="auto"/>
            <w:noWrap/>
            <w:hideMark/>
          </w:tcPr>
          <w:p w14:paraId="6085CB1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8F3151" w:rsidRPr="00D518FF" w14:paraId="724E2A66" w14:textId="77777777" w:rsidTr="004C6AA1">
        <w:trPr>
          <w:trHeight w:val="320"/>
        </w:trPr>
        <w:tc>
          <w:tcPr>
            <w:tcW w:w="4248" w:type="dxa"/>
            <w:shd w:val="clear" w:color="auto" w:fill="auto"/>
            <w:noWrap/>
            <w:hideMark/>
          </w:tcPr>
          <w:p w14:paraId="010574D2" w14:textId="77777777" w:rsidR="008F3151" w:rsidRPr="00D518FF" w:rsidRDefault="008F3151">
            <w:pPr>
              <w:rPr>
                <w:rFonts w:ascii="Aptos" w:hAnsi="Aptos"/>
                <w:color w:val="000000"/>
                <w:sz w:val="16"/>
                <w:szCs w:val="16"/>
              </w:rPr>
            </w:pPr>
            <w:r w:rsidRPr="00D518FF">
              <w:rPr>
                <w:rFonts w:ascii="Aptos" w:hAnsi="Aptos"/>
                <w:color w:val="000000"/>
                <w:sz w:val="16"/>
                <w:szCs w:val="16"/>
              </w:rPr>
              <w:t>Systemic drug treatment for chronic musculoskeletal pain</w:t>
            </w:r>
          </w:p>
        </w:tc>
        <w:tc>
          <w:tcPr>
            <w:tcW w:w="3544" w:type="dxa"/>
            <w:shd w:val="clear" w:color="auto" w:fill="auto"/>
            <w:noWrap/>
            <w:hideMark/>
          </w:tcPr>
          <w:p w14:paraId="495F4F8A" w14:textId="77777777" w:rsidR="008F3151" w:rsidRPr="00D518FF" w:rsidRDefault="008F3151">
            <w:pPr>
              <w:rPr>
                <w:rFonts w:ascii="Aptos" w:hAnsi="Aptos"/>
                <w:color w:val="000000"/>
                <w:sz w:val="16"/>
                <w:szCs w:val="16"/>
              </w:rPr>
            </w:pPr>
            <w:r w:rsidRPr="00D518FF">
              <w:rPr>
                <w:rFonts w:ascii="Aptos" w:hAnsi="Aptos"/>
                <w:color w:val="000000"/>
                <w:sz w:val="16"/>
                <w:szCs w:val="16"/>
              </w:rPr>
              <w:t>Moulin, D. E.</w:t>
            </w:r>
          </w:p>
        </w:tc>
        <w:tc>
          <w:tcPr>
            <w:tcW w:w="567" w:type="dxa"/>
            <w:shd w:val="clear" w:color="auto" w:fill="auto"/>
            <w:noWrap/>
            <w:hideMark/>
          </w:tcPr>
          <w:p w14:paraId="687B4443" w14:textId="77777777" w:rsidR="008F3151" w:rsidRPr="00D518FF" w:rsidRDefault="008F3151">
            <w:pPr>
              <w:rPr>
                <w:rFonts w:ascii="Aptos" w:hAnsi="Aptos"/>
                <w:color w:val="000000"/>
                <w:sz w:val="16"/>
                <w:szCs w:val="16"/>
              </w:rPr>
            </w:pPr>
            <w:r w:rsidRPr="00D518FF">
              <w:rPr>
                <w:rFonts w:ascii="Aptos" w:hAnsi="Aptos"/>
                <w:color w:val="000000"/>
                <w:sz w:val="16"/>
                <w:szCs w:val="16"/>
              </w:rPr>
              <w:t>2001</w:t>
            </w:r>
          </w:p>
        </w:tc>
        <w:tc>
          <w:tcPr>
            <w:tcW w:w="1417" w:type="dxa"/>
            <w:shd w:val="clear" w:color="auto" w:fill="auto"/>
            <w:noWrap/>
            <w:hideMark/>
          </w:tcPr>
          <w:p w14:paraId="5BF6AF8E" w14:textId="77777777" w:rsidR="008F3151" w:rsidRPr="00D518FF" w:rsidRDefault="008F3151">
            <w:pPr>
              <w:rPr>
                <w:rFonts w:ascii="Aptos" w:hAnsi="Aptos"/>
                <w:color w:val="000000"/>
                <w:sz w:val="16"/>
                <w:szCs w:val="16"/>
              </w:rPr>
            </w:pPr>
            <w:r w:rsidRPr="00D518FF">
              <w:rPr>
                <w:rFonts w:ascii="Aptos" w:hAnsi="Aptos"/>
                <w:color w:val="000000"/>
                <w:sz w:val="16"/>
                <w:szCs w:val="16"/>
              </w:rPr>
              <w:t>The Clinical journal of pain</w:t>
            </w:r>
          </w:p>
        </w:tc>
        <w:tc>
          <w:tcPr>
            <w:tcW w:w="851" w:type="dxa"/>
            <w:shd w:val="clear" w:color="auto" w:fill="auto"/>
            <w:noWrap/>
            <w:hideMark/>
          </w:tcPr>
          <w:p w14:paraId="21B9C609"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708" w:type="dxa"/>
            <w:shd w:val="clear" w:color="auto" w:fill="auto"/>
            <w:noWrap/>
            <w:hideMark/>
          </w:tcPr>
          <w:p w14:paraId="6EEF0CE0" w14:textId="77777777" w:rsidR="008F3151" w:rsidRPr="00D518FF" w:rsidRDefault="008F3151">
            <w:pPr>
              <w:rPr>
                <w:rFonts w:ascii="Aptos" w:hAnsi="Aptos"/>
                <w:color w:val="000000"/>
                <w:sz w:val="16"/>
                <w:szCs w:val="16"/>
              </w:rPr>
            </w:pPr>
            <w:r w:rsidRPr="00D518FF">
              <w:rPr>
                <w:rFonts w:ascii="Aptos" w:hAnsi="Aptos"/>
                <w:color w:val="000000"/>
                <w:sz w:val="16"/>
                <w:szCs w:val="16"/>
              </w:rPr>
              <w:t>4 Suppl</w:t>
            </w:r>
          </w:p>
        </w:tc>
        <w:tc>
          <w:tcPr>
            <w:tcW w:w="709" w:type="dxa"/>
            <w:shd w:val="clear" w:color="auto" w:fill="auto"/>
            <w:noWrap/>
            <w:hideMark/>
          </w:tcPr>
          <w:p w14:paraId="63CDE3C3" w14:textId="77777777" w:rsidR="008F3151" w:rsidRPr="00D518FF" w:rsidRDefault="008F3151">
            <w:pPr>
              <w:rPr>
                <w:rFonts w:ascii="Aptos" w:hAnsi="Aptos"/>
                <w:color w:val="000000"/>
                <w:sz w:val="16"/>
                <w:szCs w:val="16"/>
              </w:rPr>
            </w:pPr>
            <w:r w:rsidRPr="00D518FF">
              <w:rPr>
                <w:rFonts w:ascii="Aptos" w:hAnsi="Aptos"/>
                <w:color w:val="000000"/>
                <w:sz w:val="16"/>
                <w:szCs w:val="16"/>
              </w:rPr>
              <w:t>S86-93</w:t>
            </w:r>
          </w:p>
        </w:tc>
        <w:tc>
          <w:tcPr>
            <w:tcW w:w="2410" w:type="dxa"/>
            <w:shd w:val="clear" w:color="auto" w:fill="auto"/>
            <w:noWrap/>
            <w:hideMark/>
          </w:tcPr>
          <w:p w14:paraId="6CA78960"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bl>
    <w:p w14:paraId="3BBD7514" w14:textId="77777777" w:rsidR="008F3151" w:rsidRPr="00D518FF" w:rsidRDefault="008F3151" w:rsidP="008F3151">
      <w:pPr>
        <w:pStyle w:val="2024TABLECAPTION"/>
        <w:spacing w:before="120"/>
        <w:rPr>
          <w:rFonts w:ascii="Aptos" w:hAnsi="Aptos"/>
        </w:rPr>
      </w:pPr>
    </w:p>
    <w:p w14:paraId="0B41A595" w14:textId="19033BDE" w:rsidR="0066049A" w:rsidRPr="004C6AA1" w:rsidRDefault="0066049A" w:rsidP="004C6AA1">
      <w:pPr>
        <w:pStyle w:val="Caption"/>
        <w:spacing w:before="240"/>
        <w:rPr>
          <w:rFonts w:ascii="Aptos" w:hAnsi="Aptos"/>
        </w:rPr>
      </w:pPr>
      <w:bookmarkStart w:id="126" w:name="_Toc185254541"/>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14</w:t>
      </w:r>
      <w:r w:rsidR="00DC4767" w:rsidRPr="004C6AA1">
        <w:rPr>
          <w:rFonts w:ascii="Aptos" w:hAnsi="Aptos"/>
        </w:rPr>
        <w:fldChar w:fldCharType="end"/>
      </w:r>
      <w:r w:rsidRPr="004C6AA1">
        <w:rPr>
          <w:rFonts w:ascii="Aptos" w:hAnsi="Aptos"/>
        </w:rPr>
        <w:t xml:space="preserve">. </w:t>
      </w:r>
      <w:r w:rsidRPr="00D518FF">
        <w:rPr>
          <w:rFonts w:ascii="Aptos" w:hAnsi="Aptos"/>
        </w:rPr>
        <w:t>Excluded reviews, reason for exclusion – recurrent infection/s, zinc</w:t>
      </w:r>
      <w:r w:rsidR="00C21CD2">
        <w:rPr>
          <w:rFonts w:ascii="Aptos" w:hAnsi="Aptos"/>
        </w:rPr>
        <w:t>.</w:t>
      </w:r>
      <w:bookmarkEnd w:id="126"/>
      <w:r w:rsidR="00C21CD2">
        <w:rPr>
          <w:rFonts w:ascii="Aptos" w:hAnsi="Aptos"/>
        </w:rPr>
        <w:t xml:space="preserve"> </w:t>
      </w: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4248"/>
        <w:gridCol w:w="3544"/>
        <w:gridCol w:w="567"/>
        <w:gridCol w:w="1417"/>
        <w:gridCol w:w="851"/>
        <w:gridCol w:w="708"/>
        <w:gridCol w:w="709"/>
        <w:gridCol w:w="2410"/>
      </w:tblGrid>
      <w:tr w:rsidR="000256D8" w:rsidRPr="00D518FF" w14:paraId="7AA3B54C" w14:textId="77777777" w:rsidTr="004C6AA1">
        <w:trPr>
          <w:trHeight w:val="35"/>
        </w:trPr>
        <w:tc>
          <w:tcPr>
            <w:tcW w:w="4248" w:type="dxa"/>
            <w:shd w:val="clear" w:color="auto" w:fill="D9D9D9" w:themeFill="background1" w:themeFillShade="D9"/>
            <w:noWrap/>
            <w:hideMark/>
          </w:tcPr>
          <w:p w14:paraId="5C4D0DED"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Title</w:t>
            </w:r>
          </w:p>
        </w:tc>
        <w:tc>
          <w:tcPr>
            <w:tcW w:w="3544" w:type="dxa"/>
            <w:shd w:val="clear" w:color="auto" w:fill="D9D9D9" w:themeFill="background1" w:themeFillShade="D9"/>
            <w:noWrap/>
            <w:hideMark/>
          </w:tcPr>
          <w:p w14:paraId="131C31EA"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Authors</w:t>
            </w:r>
          </w:p>
        </w:tc>
        <w:tc>
          <w:tcPr>
            <w:tcW w:w="567" w:type="dxa"/>
            <w:shd w:val="clear" w:color="auto" w:fill="D9D9D9" w:themeFill="background1" w:themeFillShade="D9"/>
            <w:noWrap/>
            <w:hideMark/>
          </w:tcPr>
          <w:p w14:paraId="3BB3984D"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Year</w:t>
            </w:r>
          </w:p>
        </w:tc>
        <w:tc>
          <w:tcPr>
            <w:tcW w:w="1417" w:type="dxa"/>
            <w:shd w:val="clear" w:color="auto" w:fill="D9D9D9" w:themeFill="background1" w:themeFillShade="D9"/>
            <w:noWrap/>
            <w:hideMark/>
          </w:tcPr>
          <w:p w14:paraId="73E6A7F2"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Journal</w:t>
            </w:r>
          </w:p>
        </w:tc>
        <w:tc>
          <w:tcPr>
            <w:tcW w:w="851" w:type="dxa"/>
            <w:shd w:val="clear" w:color="auto" w:fill="D9D9D9" w:themeFill="background1" w:themeFillShade="D9"/>
            <w:noWrap/>
            <w:hideMark/>
          </w:tcPr>
          <w:p w14:paraId="72C5F748"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Volume</w:t>
            </w:r>
          </w:p>
        </w:tc>
        <w:tc>
          <w:tcPr>
            <w:tcW w:w="708" w:type="dxa"/>
            <w:shd w:val="clear" w:color="auto" w:fill="D9D9D9" w:themeFill="background1" w:themeFillShade="D9"/>
            <w:noWrap/>
            <w:hideMark/>
          </w:tcPr>
          <w:p w14:paraId="2FAC757A"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Issue</w:t>
            </w:r>
          </w:p>
        </w:tc>
        <w:tc>
          <w:tcPr>
            <w:tcW w:w="709" w:type="dxa"/>
            <w:shd w:val="clear" w:color="auto" w:fill="D9D9D9" w:themeFill="background1" w:themeFillShade="D9"/>
            <w:noWrap/>
            <w:hideMark/>
          </w:tcPr>
          <w:p w14:paraId="06238797"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Pages</w:t>
            </w:r>
          </w:p>
        </w:tc>
        <w:tc>
          <w:tcPr>
            <w:tcW w:w="2410" w:type="dxa"/>
            <w:shd w:val="clear" w:color="auto" w:fill="D9D9D9" w:themeFill="background1" w:themeFillShade="D9"/>
            <w:noWrap/>
            <w:hideMark/>
          </w:tcPr>
          <w:p w14:paraId="1C155D29" w14:textId="62061337" w:rsidR="008F3151" w:rsidRPr="00D518FF" w:rsidRDefault="00EA0F99">
            <w:pPr>
              <w:rPr>
                <w:rFonts w:ascii="Aptos" w:hAnsi="Aptos"/>
                <w:b/>
                <w:bCs/>
                <w:color w:val="000000"/>
                <w:sz w:val="16"/>
                <w:szCs w:val="16"/>
              </w:rPr>
            </w:pPr>
            <w:r>
              <w:rPr>
                <w:rFonts w:ascii="Aptos" w:hAnsi="Aptos"/>
                <w:b/>
                <w:bCs/>
                <w:color w:val="000000"/>
                <w:sz w:val="16"/>
                <w:szCs w:val="16"/>
              </w:rPr>
              <w:t>Exclusion reason</w:t>
            </w:r>
          </w:p>
        </w:tc>
      </w:tr>
      <w:tr w:rsidR="000256D8" w:rsidRPr="00D518FF" w14:paraId="1FE26D6B" w14:textId="77777777" w:rsidTr="004C6AA1">
        <w:trPr>
          <w:trHeight w:val="320"/>
        </w:trPr>
        <w:tc>
          <w:tcPr>
            <w:tcW w:w="4248" w:type="dxa"/>
            <w:shd w:val="clear" w:color="auto" w:fill="auto"/>
            <w:noWrap/>
            <w:hideMark/>
          </w:tcPr>
          <w:p w14:paraId="756F28C8" w14:textId="77777777" w:rsidR="008F3151" w:rsidRPr="00D518FF" w:rsidRDefault="008F3151">
            <w:pPr>
              <w:rPr>
                <w:rFonts w:ascii="Aptos" w:hAnsi="Aptos"/>
                <w:color w:val="000000"/>
                <w:sz w:val="16"/>
                <w:szCs w:val="16"/>
              </w:rPr>
            </w:pPr>
            <w:r w:rsidRPr="00D518FF">
              <w:rPr>
                <w:rFonts w:ascii="Aptos" w:hAnsi="Aptos"/>
                <w:color w:val="000000"/>
                <w:sz w:val="16"/>
                <w:szCs w:val="16"/>
              </w:rPr>
              <w:t>Zinc for the prevention and treatment of SARS-CoV-2 and other acute viral respiratory infections: a rapid review</w:t>
            </w:r>
          </w:p>
        </w:tc>
        <w:tc>
          <w:tcPr>
            <w:tcW w:w="3544" w:type="dxa"/>
            <w:shd w:val="clear" w:color="auto" w:fill="auto"/>
            <w:noWrap/>
            <w:hideMark/>
          </w:tcPr>
          <w:p w14:paraId="447C6A61" w14:textId="77777777" w:rsidR="008F3151" w:rsidRPr="00D518FF" w:rsidRDefault="008F3151">
            <w:pPr>
              <w:rPr>
                <w:rFonts w:ascii="Aptos" w:hAnsi="Aptos"/>
                <w:color w:val="000000"/>
                <w:sz w:val="16"/>
                <w:szCs w:val="16"/>
              </w:rPr>
            </w:pPr>
            <w:r w:rsidRPr="00D518FF">
              <w:rPr>
                <w:rFonts w:ascii="Aptos" w:hAnsi="Aptos"/>
                <w:color w:val="000000"/>
                <w:sz w:val="16"/>
                <w:szCs w:val="16"/>
              </w:rPr>
              <w:t>Arentz, S.; Hunter, J.; Yang, G.; Beardsley, J.; Myers, S. P.; Goldenberg, J.; Beardsley, J.; Myers, S. P.; Mertz, D.; Leeder, S.</w:t>
            </w:r>
          </w:p>
        </w:tc>
        <w:tc>
          <w:tcPr>
            <w:tcW w:w="567" w:type="dxa"/>
            <w:shd w:val="clear" w:color="auto" w:fill="auto"/>
            <w:noWrap/>
            <w:hideMark/>
          </w:tcPr>
          <w:p w14:paraId="7409F077"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3C5AEE48" w14:textId="77777777" w:rsidR="008F3151" w:rsidRPr="00D518FF" w:rsidRDefault="008F3151">
            <w:pPr>
              <w:rPr>
                <w:rFonts w:ascii="Aptos" w:hAnsi="Aptos"/>
                <w:color w:val="000000"/>
                <w:sz w:val="16"/>
                <w:szCs w:val="16"/>
              </w:rPr>
            </w:pPr>
            <w:r w:rsidRPr="00D518FF">
              <w:rPr>
                <w:rFonts w:ascii="Aptos" w:hAnsi="Aptos"/>
                <w:color w:val="000000"/>
                <w:sz w:val="16"/>
                <w:szCs w:val="16"/>
              </w:rPr>
              <w:t>Advances in Integrative Medicine</w:t>
            </w:r>
          </w:p>
        </w:tc>
        <w:tc>
          <w:tcPr>
            <w:tcW w:w="851" w:type="dxa"/>
            <w:shd w:val="clear" w:color="auto" w:fill="auto"/>
            <w:noWrap/>
            <w:hideMark/>
          </w:tcPr>
          <w:p w14:paraId="07740D1D"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708" w:type="dxa"/>
            <w:shd w:val="clear" w:color="auto" w:fill="auto"/>
            <w:noWrap/>
            <w:hideMark/>
          </w:tcPr>
          <w:p w14:paraId="0A27B38E"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302013E5" w14:textId="77777777" w:rsidR="008F3151" w:rsidRPr="00D518FF" w:rsidRDefault="008F3151">
            <w:pPr>
              <w:rPr>
                <w:rFonts w:ascii="Aptos" w:hAnsi="Aptos"/>
                <w:color w:val="000000"/>
                <w:sz w:val="16"/>
                <w:szCs w:val="16"/>
              </w:rPr>
            </w:pPr>
            <w:r w:rsidRPr="00D518FF">
              <w:rPr>
                <w:rFonts w:ascii="Aptos" w:hAnsi="Aptos"/>
                <w:color w:val="000000"/>
                <w:sz w:val="16"/>
                <w:szCs w:val="16"/>
              </w:rPr>
              <w:t>252-260</w:t>
            </w:r>
          </w:p>
        </w:tc>
        <w:tc>
          <w:tcPr>
            <w:tcW w:w="2410" w:type="dxa"/>
            <w:shd w:val="clear" w:color="auto" w:fill="auto"/>
            <w:noWrap/>
            <w:hideMark/>
          </w:tcPr>
          <w:p w14:paraId="59A812B4"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793E802C" w14:textId="77777777" w:rsidTr="004C6AA1">
        <w:trPr>
          <w:trHeight w:val="320"/>
        </w:trPr>
        <w:tc>
          <w:tcPr>
            <w:tcW w:w="4248" w:type="dxa"/>
            <w:shd w:val="clear" w:color="auto" w:fill="auto"/>
            <w:noWrap/>
            <w:hideMark/>
          </w:tcPr>
          <w:p w14:paraId="4C8C562C" w14:textId="77777777" w:rsidR="008F3151" w:rsidRPr="00D518FF" w:rsidRDefault="008F3151">
            <w:pPr>
              <w:rPr>
                <w:rFonts w:ascii="Aptos" w:hAnsi="Aptos"/>
                <w:color w:val="000000"/>
                <w:sz w:val="16"/>
                <w:szCs w:val="16"/>
              </w:rPr>
            </w:pPr>
            <w:r w:rsidRPr="00D518FF">
              <w:rPr>
                <w:rFonts w:ascii="Aptos" w:hAnsi="Aptos"/>
                <w:color w:val="000000"/>
                <w:sz w:val="16"/>
                <w:szCs w:val="16"/>
              </w:rPr>
              <w:t>Use of topical zinc to prevent recurrent herpes simplex infection: review of literature and suggested protocols</w:t>
            </w:r>
          </w:p>
        </w:tc>
        <w:tc>
          <w:tcPr>
            <w:tcW w:w="3544" w:type="dxa"/>
            <w:shd w:val="clear" w:color="auto" w:fill="auto"/>
            <w:noWrap/>
            <w:hideMark/>
          </w:tcPr>
          <w:p w14:paraId="3ED2A795" w14:textId="77777777" w:rsidR="008F3151" w:rsidRPr="00D518FF" w:rsidRDefault="008F3151">
            <w:pPr>
              <w:rPr>
                <w:rFonts w:ascii="Aptos" w:hAnsi="Aptos"/>
                <w:color w:val="000000"/>
                <w:sz w:val="16"/>
                <w:szCs w:val="16"/>
              </w:rPr>
            </w:pPr>
            <w:r w:rsidRPr="00D518FF">
              <w:rPr>
                <w:rFonts w:ascii="Aptos" w:hAnsi="Aptos"/>
                <w:color w:val="000000"/>
                <w:sz w:val="16"/>
                <w:szCs w:val="16"/>
              </w:rPr>
              <w:t>Eby, G. A.; Halcomb, W. W.</w:t>
            </w:r>
          </w:p>
        </w:tc>
        <w:tc>
          <w:tcPr>
            <w:tcW w:w="567" w:type="dxa"/>
            <w:shd w:val="clear" w:color="auto" w:fill="auto"/>
            <w:noWrap/>
            <w:hideMark/>
          </w:tcPr>
          <w:p w14:paraId="3273D18D" w14:textId="77777777" w:rsidR="008F3151" w:rsidRPr="00D518FF" w:rsidRDefault="008F3151">
            <w:pPr>
              <w:rPr>
                <w:rFonts w:ascii="Aptos" w:hAnsi="Aptos"/>
                <w:color w:val="000000"/>
                <w:sz w:val="16"/>
                <w:szCs w:val="16"/>
              </w:rPr>
            </w:pPr>
            <w:r w:rsidRPr="00D518FF">
              <w:rPr>
                <w:rFonts w:ascii="Aptos" w:hAnsi="Aptos"/>
                <w:color w:val="000000"/>
                <w:sz w:val="16"/>
                <w:szCs w:val="16"/>
              </w:rPr>
              <w:t>1985</w:t>
            </w:r>
          </w:p>
        </w:tc>
        <w:tc>
          <w:tcPr>
            <w:tcW w:w="1417" w:type="dxa"/>
            <w:shd w:val="clear" w:color="auto" w:fill="auto"/>
            <w:noWrap/>
            <w:hideMark/>
          </w:tcPr>
          <w:p w14:paraId="203AE092" w14:textId="77777777" w:rsidR="008F3151" w:rsidRPr="00D518FF" w:rsidRDefault="008F3151">
            <w:pPr>
              <w:rPr>
                <w:rFonts w:ascii="Aptos" w:hAnsi="Aptos"/>
                <w:color w:val="000000"/>
                <w:sz w:val="16"/>
                <w:szCs w:val="16"/>
              </w:rPr>
            </w:pPr>
            <w:r w:rsidRPr="00D518FF">
              <w:rPr>
                <w:rFonts w:ascii="Aptos" w:hAnsi="Aptos"/>
                <w:color w:val="000000"/>
                <w:sz w:val="16"/>
                <w:szCs w:val="16"/>
              </w:rPr>
              <w:t>Med Hypotheses</w:t>
            </w:r>
          </w:p>
        </w:tc>
        <w:tc>
          <w:tcPr>
            <w:tcW w:w="851" w:type="dxa"/>
            <w:shd w:val="clear" w:color="auto" w:fill="auto"/>
            <w:noWrap/>
            <w:hideMark/>
          </w:tcPr>
          <w:p w14:paraId="0DC60C6C"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708" w:type="dxa"/>
            <w:shd w:val="clear" w:color="auto" w:fill="auto"/>
            <w:noWrap/>
            <w:hideMark/>
          </w:tcPr>
          <w:p w14:paraId="01D73460"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3800EFA3" w14:textId="77777777" w:rsidR="008F3151" w:rsidRPr="00D518FF" w:rsidRDefault="008F3151">
            <w:pPr>
              <w:rPr>
                <w:rFonts w:ascii="Aptos" w:hAnsi="Aptos"/>
                <w:color w:val="000000"/>
                <w:sz w:val="16"/>
                <w:szCs w:val="16"/>
              </w:rPr>
            </w:pPr>
            <w:r w:rsidRPr="00D518FF">
              <w:rPr>
                <w:rFonts w:ascii="Aptos" w:hAnsi="Aptos"/>
                <w:color w:val="000000"/>
                <w:sz w:val="16"/>
                <w:szCs w:val="16"/>
              </w:rPr>
              <w:t>157-65</w:t>
            </w:r>
          </w:p>
        </w:tc>
        <w:tc>
          <w:tcPr>
            <w:tcW w:w="2410" w:type="dxa"/>
            <w:shd w:val="clear" w:color="auto" w:fill="auto"/>
            <w:noWrap/>
            <w:hideMark/>
          </w:tcPr>
          <w:p w14:paraId="16F612DE"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324A88D5" w14:textId="77777777" w:rsidTr="004C6AA1">
        <w:trPr>
          <w:trHeight w:val="320"/>
        </w:trPr>
        <w:tc>
          <w:tcPr>
            <w:tcW w:w="4248" w:type="dxa"/>
            <w:shd w:val="clear" w:color="auto" w:fill="auto"/>
            <w:noWrap/>
            <w:hideMark/>
          </w:tcPr>
          <w:p w14:paraId="6DC81AA8"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Nutritional factors in the pathogenesis of ear disease in children: a systematic review</w:t>
            </w:r>
          </w:p>
        </w:tc>
        <w:tc>
          <w:tcPr>
            <w:tcW w:w="3544" w:type="dxa"/>
            <w:shd w:val="clear" w:color="auto" w:fill="auto"/>
            <w:noWrap/>
            <w:hideMark/>
          </w:tcPr>
          <w:p w14:paraId="30B396D8" w14:textId="77777777" w:rsidR="008F3151" w:rsidRPr="00D518FF" w:rsidRDefault="008F3151">
            <w:pPr>
              <w:rPr>
                <w:rFonts w:ascii="Aptos" w:hAnsi="Aptos"/>
                <w:color w:val="000000"/>
                <w:sz w:val="16"/>
                <w:szCs w:val="16"/>
              </w:rPr>
            </w:pPr>
            <w:r w:rsidRPr="00D518FF">
              <w:rPr>
                <w:rFonts w:ascii="Aptos" w:hAnsi="Aptos"/>
                <w:color w:val="000000"/>
                <w:sz w:val="16"/>
                <w:szCs w:val="16"/>
              </w:rPr>
              <w:t>Elemraid, M. A.; Mackenzie, I. J.; Fraser, W. D.; Brabin, B. J.</w:t>
            </w:r>
          </w:p>
        </w:tc>
        <w:tc>
          <w:tcPr>
            <w:tcW w:w="567" w:type="dxa"/>
            <w:shd w:val="clear" w:color="auto" w:fill="auto"/>
            <w:noWrap/>
            <w:hideMark/>
          </w:tcPr>
          <w:p w14:paraId="74AEA106" w14:textId="77777777" w:rsidR="008F3151" w:rsidRPr="00D518FF" w:rsidRDefault="008F3151">
            <w:pPr>
              <w:rPr>
                <w:rFonts w:ascii="Aptos" w:hAnsi="Aptos"/>
                <w:color w:val="000000"/>
                <w:sz w:val="16"/>
                <w:szCs w:val="16"/>
              </w:rPr>
            </w:pPr>
            <w:r w:rsidRPr="00D518FF">
              <w:rPr>
                <w:rFonts w:ascii="Aptos" w:hAnsi="Aptos"/>
                <w:color w:val="000000"/>
                <w:sz w:val="16"/>
                <w:szCs w:val="16"/>
              </w:rPr>
              <w:t>2009</w:t>
            </w:r>
          </w:p>
        </w:tc>
        <w:tc>
          <w:tcPr>
            <w:tcW w:w="1417" w:type="dxa"/>
            <w:shd w:val="clear" w:color="auto" w:fill="auto"/>
            <w:noWrap/>
            <w:hideMark/>
          </w:tcPr>
          <w:p w14:paraId="6A646B19" w14:textId="77777777" w:rsidR="008F3151" w:rsidRPr="00D518FF" w:rsidRDefault="008F3151">
            <w:pPr>
              <w:rPr>
                <w:rFonts w:ascii="Aptos" w:hAnsi="Aptos"/>
                <w:color w:val="000000"/>
                <w:sz w:val="16"/>
                <w:szCs w:val="16"/>
              </w:rPr>
            </w:pPr>
            <w:r w:rsidRPr="00D518FF">
              <w:rPr>
                <w:rFonts w:ascii="Aptos" w:hAnsi="Aptos"/>
                <w:color w:val="000000"/>
                <w:sz w:val="16"/>
                <w:szCs w:val="16"/>
              </w:rPr>
              <w:t>Annals of tropical paediatrics</w:t>
            </w:r>
          </w:p>
        </w:tc>
        <w:tc>
          <w:tcPr>
            <w:tcW w:w="851" w:type="dxa"/>
            <w:shd w:val="clear" w:color="auto" w:fill="auto"/>
            <w:noWrap/>
            <w:hideMark/>
          </w:tcPr>
          <w:p w14:paraId="296D8B1B" w14:textId="77777777" w:rsidR="008F3151" w:rsidRPr="00D518FF" w:rsidRDefault="008F3151">
            <w:pPr>
              <w:rPr>
                <w:rFonts w:ascii="Aptos" w:hAnsi="Aptos"/>
                <w:color w:val="000000"/>
                <w:sz w:val="16"/>
                <w:szCs w:val="16"/>
              </w:rPr>
            </w:pPr>
            <w:r w:rsidRPr="00D518FF">
              <w:rPr>
                <w:rFonts w:ascii="Aptos" w:hAnsi="Aptos"/>
                <w:color w:val="000000"/>
                <w:sz w:val="16"/>
                <w:szCs w:val="16"/>
              </w:rPr>
              <w:t>29</w:t>
            </w:r>
          </w:p>
        </w:tc>
        <w:tc>
          <w:tcPr>
            <w:tcW w:w="708" w:type="dxa"/>
            <w:shd w:val="clear" w:color="auto" w:fill="auto"/>
            <w:noWrap/>
            <w:hideMark/>
          </w:tcPr>
          <w:p w14:paraId="6A7E494C"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09CED52F" w14:textId="77777777" w:rsidR="008F3151" w:rsidRPr="00D518FF" w:rsidRDefault="008F3151">
            <w:pPr>
              <w:rPr>
                <w:rFonts w:ascii="Aptos" w:hAnsi="Aptos"/>
                <w:color w:val="000000"/>
                <w:sz w:val="16"/>
                <w:szCs w:val="16"/>
              </w:rPr>
            </w:pPr>
            <w:r w:rsidRPr="00D518FF">
              <w:rPr>
                <w:rFonts w:ascii="Aptos" w:hAnsi="Aptos"/>
                <w:color w:val="000000"/>
                <w:sz w:val="16"/>
                <w:szCs w:val="16"/>
              </w:rPr>
              <w:t>85-99</w:t>
            </w:r>
          </w:p>
        </w:tc>
        <w:tc>
          <w:tcPr>
            <w:tcW w:w="2410" w:type="dxa"/>
            <w:shd w:val="clear" w:color="auto" w:fill="auto"/>
            <w:noWrap/>
            <w:hideMark/>
          </w:tcPr>
          <w:p w14:paraId="5ED5271E"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0B5B40A6" w14:textId="77777777" w:rsidTr="004C6AA1">
        <w:trPr>
          <w:trHeight w:val="320"/>
        </w:trPr>
        <w:tc>
          <w:tcPr>
            <w:tcW w:w="4248" w:type="dxa"/>
            <w:shd w:val="clear" w:color="auto" w:fill="auto"/>
            <w:noWrap/>
            <w:hideMark/>
          </w:tcPr>
          <w:p w14:paraId="70703289"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 of therapeutic zinc supplementation among young children with selected infections: a review of the evidence</w:t>
            </w:r>
          </w:p>
        </w:tc>
        <w:tc>
          <w:tcPr>
            <w:tcW w:w="3544" w:type="dxa"/>
            <w:shd w:val="clear" w:color="auto" w:fill="auto"/>
            <w:noWrap/>
            <w:hideMark/>
          </w:tcPr>
          <w:p w14:paraId="1B4FA5D6" w14:textId="77777777" w:rsidR="008F3151" w:rsidRPr="00D518FF" w:rsidRDefault="008F3151">
            <w:pPr>
              <w:rPr>
                <w:rFonts w:ascii="Aptos" w:hAnsi="Aptos"/>
                <w:color w:val="000000"/>
                <w:sz w:val="16"/>
                <w:szCs w:val="16"/>
              </w:rPr>
            </w:pPr>
            <w:r w:rsidRPr="00D518FF">
              <w:rPr>
                <w:rFonts w:ascii="Aptos" w:hAnsi="Aptos"/>
                <w:color w:val="000000"/>
                <w:sz w:val="16"/>
                <w:szCs w:val="16"/>
              </w:rPr>
              <w:t>Haider, B. A.; Bhutta, Z. A.</w:t>
            </w:r>
          </w:p>
        </w:tc>
        <w:tc>
          <w:tcPr>
            <w:tcW w:w="567" w:type="dxa"/>
            <w:shd w:val="clear" w:color="auto" w:fill="auto"/>
            <w:noWrap/>
            <w:hideMark/>
          </w:tcPr>
          <w:p w14:paraId="5999C427" w14:textId="77777777" w:rsidR="008F3151" w:rsidRPr="00D518FF" w:rsidRDefault="008F3151">
            <w:pPr>
              <w:rPr>
                <w:rFonts w:ascii="Aptos" w:hAnsi="Aptos"/>
                <w:color w:val="000000"/>
                <w:sz w:val="16"/>
                <w:szCs w:val="16"/>
              </w:rPr>
            </w:pPr>
            <w:r w:rsidRPr="00D518FF">
              <w:rPr>
                <w:rFonts w:ascii="Aptos" w:hAnsi="Aptos"/>
                <w:color w:val="000000"/>
                <w:sz w:val="16"/>
                <w:szCs w:val="16"/>
              </w:rPr>
              <w:t>2009</w:t>
            </w:r>
          </w:p>
        </w:tc>
        <w:tc>
          <w:tcPr>
            <w:tcW w:w="1417" w:type="dxa"/>
            <w:shd w:val="clear" w:color="auto" w:fill="auto"/>
            <w:noWrap/>
            <w:hideMark/>
          </w:tcPr>
          <w:p w14:paraId="7B06FBF5" w14:textId="77777777" w:rsidR="008F3151" w:rsidRPr="00D518FF" w:rsidRDefault="008F3151">
            <w:pPr>
              <w:rPr>
                <w:rFonts w:ascii="Aptos" w:hAnsi="Aptos"/>
                <w:color w:val="000000"/>
                <w:sz w:val="16"/>
                <w:szCs w:val="16"/>
              </w:rPr>
            </w:pPr>
            <w:r w:rsidRPr="00D518FF">
              <w:rPr>
                <w:rFonts w:ascii="Aptos" w:hAnsi="Aptos"/>
                <w:color w:val="000000"/>
                <w:sz w:val="16"/>
                <w:szCs w:val="16"/>
              </w:rPr>
              <w:t>Food and Nutrition Bulletin</w:t>
            </w:r>
          </w:p>
        </w:tc>
        <w:tc>
          <w:tcPr>
            <w:tcW w:w="851" w:type="dxa"/>
            <w:shd w:val="clear" w:color="auto" w:fill="auto"/>
            <w:noWrap/>
            <w:hideMark/>
          </w:tcPr>
          <w:p w14:paraId="55FCE681" w14:textId="77777777" w:rsidR="008F3151" w:rsidRPr="00D518FF" w:rsidRDefault="008F3151">
            <w:pPr>
              <w:rPr>
                <w:rFonts w:ascii="Aptos" w:hAnsi="Aptos"/>
                <w:color w:val="000000"/>
                <w:sz w:val="16"/>
                <w:szCs w:val="16"/>
              </w:rPr>
            </w:pPr>
            <w:r w:rsidRPr="00D518FF">
              <w:rPr>
                <w:rFonts w:ascii="Aptos" w:hAnsi="Aptos"/>
                <w:color w:val="000000"/>
                <w:sz w:val="16"/>
                <w:szCs w:val="16"/>
              </w:rPr>
              <w:t>30</w:t>
            </w:r>
          </w:p>
        </w:tc>
        <w:tc>
          <w:tcPr>
            <w:tcW w:w="708" w:type="dxa"/>
            <w:shd w:val="clear" w:color="auto" w:fill="auto"/>
            <w:noWrap/>
            <w:hideMark/>
          </w:tcPr>
          <w:p w14:paraId="6223D07B" w14:textId="77777777" w:rsidR="008F3151" w:rsidRPr="00D518FF" w:rsidRDefault="008F3151">
            <w:pPr>
              <w:rPr>
                <w:rFonts w:ascii="Aptos" w:hAnsi="Aptos"/>
                <w:color w:val="000000"/>
                <w:sz w:val="16"/>
                <w:szCs w:val="16"/>
              </w:rPr>
            </w:pPr>
            <w:r w:rsidRPr="00D518FF">
              <w:rPr>
                <w:rFonts w:ascii="Aptos" w:hAnsi="Aptos"/>
                <w:color w:val="000000"/>
                <w:sz w:val="16"/>
                <w:szCs w:val="16"/>
              </w:rPr>
              <w:t>1 Suppl</w:t>
            </w:r>
          </w:p>
        </w:tc>
        <w:tc>
          <w:tcPr>
            <w:tcW w:w="709" w:type="dxa"/>
            <w:shd w:val="clear" w:color="auto" w:fill="auto"/>
            <w:noWrap/>
            <w:hideMark/>
          </w:tcPr>
          <w:p w14:paraId="1301F4EC" w14:textId="77777777" w:rsidR="008F3151" w:rsidRPr="00D518FF" w:rsidRDefault="008F3151">
            <w:pPr>
              <w:rPr>
                <w:rFonts w:ascii="Aptos" w:hAnsi="Aptos"/>
                <w:color w:val="000000"/>
                <w:sz w:val="16"/>
                <w:szCs w:val="16"/>
              </w:rPr>
            </w:pPr>
            <w:r w:rsidRPr="00D518FF">
              <w:rPr>
                <w:rFonts w:ascii="Aptos" w:hAnsi="Aptos"/>
                <w:color w:val="000000"/>
                <w:sz w:val="16"/>
                <w:szCs w:val="16"/>
              </w:rPr>
              <w:t>S41-59</w:t>
            </w:r>
          </w:p>
        </w:tc>
        <w:tc>
          <w:tcPr>
            <w:tcW w:w="2410" w:type="dxa"/>
            <w:shd w:val="clear" w:color="auto" w:fill="auto"/>
            <w:noWrap/>
            <w:hideMark/>
          </w:tcPr>
          <w:p w14:paraId="4D1DCD56"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317AEAF7" w14:textId="77777777" w:rsidTr="004C6AA1">
        <w:trPr>
          <w:trHeight w:val="320"/>
        </w:trPr>
        <w:tc>
          <w:tcPr>
            <w:tcW w:w="4248" w:type="dxa"/>
            <w:shd w:val="clear" w:color="auto" w:fill="auto"/>
            <w:noWrap/>
            <w:hideMark/>
          </w:tcPr>
          <w:p w14:paraId="46CBE311" w14:textId="77777777" w:rsidR="008F3151" w:rsidRPr="00D518FF" w:rsidRDefault="008F3151">
            <w:pPr>
              <w:rPr>
                <w:rFonts w:ascii="Aptos" w:hAnsi="Aptos"/>
                <w:color w:val="000000"/>
                <w:sz w:val="16"/>
                <w:szCs w:val="16"/>
              </w:rPr>
            </w:pPr>
            <w:r w:rsidRPr="00D518FF">
              <w:rPr>
                <w:rFonts w:ascii="Aptos" w:hAnsi="Aptos"/>
                <w:color w:val="000000"/>
                <w:sz w:val="16"/>
                <w:szCs w:val="16"/>
              </w:rPr>
              <w:t>Zinc supplementation in young children: A review of the literature focusing on diarrhoea prevention and treatment</w:t>
            </w:r>
          </w:p>
        </w:tc>
        <w:tc>
          <w:tcPr>
            <w:tcW w:w="3544" w:type="dxa"/>
            <w:shd w:val="clear" w:color="auto" w:fill="auto"/>
            <w:noWrap/>
            <w:hideMark/>
          </w:tcPr>
          <w:p w14:paraId="16D2D6F3" w14:textId="77777777" w:rsidR="008F3151" w:rsidRPr="00D518FF" w:rsidRDefault="008F3151">
            <w:pPr>
              <w:rPr>
                <w:rFonts w:ascii="Aptos" w:hAnsi="Aptos"/>
                <w:color w:val="000000"/>
                <w:sz w:val="16"/>
                <w:szCs w:val="16"/>
              </w:rPr>
            </w:pPr>
            <w:r w:rsidRPr="00D518FF">
              <w:rPr>
                <w:rFonts w:ascii="Aptos" w:hAnsi="Aptos"/>
                <w:color w:val="000000"/>
                <w:sz w:val="16"/>
                <w:szCs w:val="16"/>
              </w:rPr>
              <w:t>Liberato, S. C.; Singh, G.; Mulholland, K.</w:t>
            </w:r>
          </w:p>
        </w:tc>
        <w:tc>
          <w:tcPr>
            <w:tcW w:w="567" w:type="dxa"/>
            <w:shd w:val="clear" w:color="auto" w:fill="auto"/>
            <w:noWrap/>
            <w:hideMark/>
          </w:tcPr>
          <w:p w14:paraId="318CDE9A" w14:textId="77777777" w:rsidR="008F3151" w:rsidRPr="00D518FF" w:rsidRDefault="008F3151">
            <w:pPr>
              <w:rPr>
                <w:rFonts w:ascii="Aptos" w:hAnsi="Aptos"/>
                <w:color w:val="000000"/>
                <w:sz w:val="16"/>
                <w:szCs w:val="16"/>
              </w:rPr>
            </w:pPr>
            <w:r w:rsidRPr="00D518FF">
              <w:rPr>
                <w:rFonts w:ascii="Aptos" w:hAnsi="Aptos"/>
                <w:color w:val="000000"/>
                <w:sz w:val="16"/>
                <w:szCs w:val="16"/>
              </w:rPr>
              <w:t>2015</w:t>
            </w:r>
          </w:p>
        </w:tc>
        <w:tc>
          <w:tcPr>
            <w:tcW w:w="1417" w:type="dxa"/>
            <w:shd w:val="clear" w:color="auto" w:fill="auto"/>
            <w:noWrap/>
            <w:hideMark/>
          </w:tcPr>
          <w:p w14:paraId="044487E0" w14:textId="77777777" w:rsidR="008F3151" w:rsidRPr="00D518FF" w:rsidRDefault="008F3151">
            <w:pPr>
              <w:rPr>
                <w:rFonts w:ascii="Aptos" w:hAnsi="Aptos"/>
                <w:color w:val="000000"/>
                <w:sz w:val="16"/>
                <w:szCs w:val="16"/>
              </w:rPr>
            </w:pPr>
            <w:r w:rsidRPr="00D518FF">
              <w:rPr>
                <w:rFonts w:ascii="Aptos" w:hAnsi="Aptos"/>
                <w:color w:val="000000"/>
                <w:sz w:val="16"/>
                <w:szCs w:val="16"/>
              </w:rPr>
              <w:t>Clinical Nutrition</w:t>
            </w:r>
          </w:p>
        </w:tc>
        <w:tc>
          <w:tcPr>
            <w:tcW w:w="851" w:type="dxa"/>
            <w:shd w:val="clear" w:color="auto" w:fill="auto"/>
            <w:noWrap/>
            <w:hideMark/>
          </w:tcPr>
          <w:p w14:paraId="541D4C41" w14:textId="77777777" w:rsidR="008F3151" w:rsidRPr="00D518FF" w:rsidRDefault="008F3151">
            <w:pPr>
              <w:rPr>
                <w:rFonts w:ascii="Aptos" w:hAnsi="Aptos"/>
                <w:color w:val="000000"/>
                <w:sz w:val="16"/>
                <w:szCs w:val="16"/>
              </w:rPr>
            </w:pPr>
            <w:r w:rsidRPr="00D518FF">
              <w:rPr>
                <w:rFonts w:ascii="Aptos" w:hAnsi="Aptos"/>
                <w:color w:val="000000"/>
                <w:sz w:val="16"/>
                <w:szCs w:val="16"/>
              </w:rPr>
              <w:t>34</w:t>
            </w:r>
          </w:p>
        </w:tc>
        <w:tc>
          <w:tcPr>
            <w:tcW w:w="708" w:type="dxa"/>
            <w:shd w:val="clear" w:color="auto" w:fill="auto"/>
            <w:noWrap/>
            <w:hideMark/>
          </w:tcPr>
          <w:p w14:paraId="03033614"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2D3E564A" w14:textId="77777777" w:rsidR="008F3151" w:rsidRPr="00D518FF" w:rsidRDefault="008F3151">
            <w:pPr>
              <w:rPr>
                <w:rFonts w:ascii="Aptos" w:hAnsi="Aptos"/>
                <w:color w:val="000000"/>
                <w:sz w:val="16"/>
                <w:szCs w:val="16"/>
              </w:rPr>
            </w:pPr>
            <w:r w:rsidRPr="00D518FF">
              <w:rPr>
                <w:rFonts w:ascii="Aptos" w:hAnsi="Aptos"/>
                <w:color w:val="000000"/>
                <w:sz w:val="16"/>
                <w:szCs w:val="16"/>
              </w:rPr>
              <w:t>181-188</w:t>
            </w:r>
          </w:p>
        </w:tc>
        <w:tc>
          <w:tcPr>
            <w:tcW w:w="2410" w:type="dxa"/>
            <w:shd w:val="clear" w:color="auto" w:fill="auto"/>
            <w:noWrap/>
            <w:hideMark/>
          </w:tcPr>
          <w:p w14:paraId="4B811121"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752CF063" w14:textId="77777777" w:rsidTr="004C6AA1">
        <w:trPr>
          <w:trHeight w:val="320"/>
        </w:trPr>
        <w:tc>
          <w:tcPr>
            <w:tcW w:w="4248" w:type="dxa"/>
            <w:shd w:val="clear" w:color="auto" w:fill="auto"/>
            <w:noWrap/>
            <w:hideMark/>
          </w:tcPr>
          <w:p w14:paraId="5394E69D" w14:textId="77777777" w:rsidR="008F3151" w:rsidRPr="00D518FF" w:rsidRDefault="008F3151">
            <w:pPr>
              <w:rPr>
                <w:rFonts w:ascii="Aptos" w:hAnsi="Aptos"/>
                <w:color w:val="000000"/>
                <w:sz w:val="16"/>
                <w:szCs w:val="16"/>
              </w:rPr>
            </w:pPr>
            <w:r w:rsidRPr="00D518FF">
              <w:rPr>
                <w:rFonts w:ascii="Aptos" w:hAnsi="Aptos"/>
                <w:color w:val="000000"/>
                <w:sz w:val="16"/>
                <w:szCs w:val="16"/>
              </w:rPr>
              <w:t>Acute respiratory infection and pneumonia in India: a systematic review of literature for advocacy and action: UNICEF-PHFI series on newborn and child health, India</w:t>
            </w:r>
          </w:p>
        </w:tc>
        <w:tc>
          <w:tcPr>
            <w:tcW w:w="3544" w:type="dxa"/>
            <w:shd w:val="clear" w:color="auto" w:fill="auto"/>
            <w:noWrap/>
            <w:hideMark/>
          </w:tcPr>
          <w:p w14:paraId="125FE98F" w14:textId="77777777" w:rsidR="008F3151" w:rsidRPr="00D518FF" w:rsidRDefault="008F3151">
            <w:pPr>
              <w:rPr>
                <w:rFonts w:ascii="Aptos" w:hAnsi="Aptos"/>
                <w:color w:val="000000"/>
                <w:sz w:val="16"/>
                <w:szCs w:val="16"/>
              </w:rPr>
            </w:pPr>
            <w:r w:rsidRPr="00D518FF">
              <w:rPr>
                <w:rFonts w:ascii="Aptos" w:hAnsi="Aptos"/>
                <w:color w:val="000000"/>
                <w:sz w:val="16"/>
                <w:szCs w:val="16"/>
              </w:rPr>
              <w:t>Mathew, J. L.; Patwari, A. K.; Gupta, P.; Shah, D.; Gera, T.; Gogia, S.; Mohan, P.; Panda, R.; Menon, S.</w:t>
            </w:r>
          </w:p>
        </w:tc>
        <w:tc>
          <w:tcPr>
            <w:tcW w:w="567" w:type="dxa"/>
            <w:shd w:val="clear" w:color="auto" w:fill="auto"/>
            <w:noWrap/>
            <w:hideMark/>
          </w:tcPr>
          <w:p w14:paraId="048FC23C"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417" w:type="dxa"/>
            <w:shd w:val="clear" w:color="auto" w:fill="auto"/>
            <w:noWrap/>
            <w:hideMark/>
          </w:tcPr>
          <w:p w14:paraId="1A1B1C84" w14:textId="77777777" w:rsidR="008F3151" w:rsidRPr="00D518FF" w:rsidRDefault="008F3151">
            <w:pPr>
              <w:rPr>
                <w:rFonts w:ascii="Aptos" w:hAnsi="Aptos"/>
                <w:color w:val="000000"/>
                <w:sz w:val="16"/>
                <w:szCs w:val="16"/>
              </w:rPr>
            </w:pPr>
            <w:r w:rsidRPr="00D518FF">
              <w:rPr>
                <w:rFonts w:ascii="Aptos" w:hAnsi="Aptos"/>
                <w:color w:val="000000"/>
                <w:sz w:val="16"/>
                <w:szCs w:val="16"/>
              </w:rPr>
              <w:t>Indian pediatrics</w:t>
            </w:r>
          </w:p>
        </w:tc>
        <w:tc>
          <w:tcPr>
            <w:tcW w:w="851" w:type="dxa"/>
            <w:shd w:val="clear" w:color="auto" w:fill="auto"/>
            <w:noWrap/>
            <w:hideMark/>
          </w:tcPr>
          <w:p w14:paraId="1D21A795" w14:textId="77777777" w:rsidR="008F3151" w:rsidRPr="00D518FF" w:rsidRDefault="008F3151">
            <w:pPr>
              <w:rPr>
                <w:rFonts w:ascii="Aptos" w:hAnsi="Aptos"/>
                <w:color w:val="000000"/>
                <w:sz w:val="16"/>
                <w:szCs w:val="16"/>
              </w:rPr>
            </w:pPr>
            <w:r w:rsidRPr="00D518FF">
              <w:rPr>
                <w:rFonts w:ascii="Aptos" w:hAnsi="Aptos"/>
                <w:color w:val="000000"/>
                <w:sz w:val="16"/>
                <w:szCs w:val="16"/>
              </w:rPr>
              <w:t>48</w:t>
            </w:r>
          </w:p>
        </w:tc>
        <w:tc>
          <w:tcPr>
            <w:tcW w:w="708" w:type="dxa"/>
            <w:shd w:val="clear" w:color="auto" w:fill="auto"/>
            <w:noWrap/>
            <w:hideMark/>
          </w:tcPr>
          <w:p w14:paraId="2F26B860"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7B7C0C05" w14:textId="77777777" w:rsidR="008F3151" w:rsidRPr="00D518FF" w:rsidRDefault="008F3151">
            <w:pPr>
              <w:rPr>
                <w:rFonts w:ascii="Aptos" w:hAnsi="Aptos"/>
                <w:color w:val="000000"/>
                <w:sz w:val="16"/>
                <w:szCs w:val="16"/>
              </w:rPr>
            </w:pPr>
            <w:r w:rsidRPr="00D518FF">
              <w:rPr>
                <w:rFonts w:ascii="Aptos" w:hAnsi="Aptos"/>
                <w:color w:val="000000"/>
                <w:sz w:val="16"/>
                <w:szCs w:val="16"/>
              </w:rPr>
              <w:t>191-218</w:t>
            </w:r>
          </w:p>
        </w:tc>
        <w:tc>
          <w:tcPr>
            <w:tcW w:w="2410" w:type="dxa"/>
            <w:shd w:val="clear" w:color="auto" w:fill="auto"/>
            <w:noWrap/>
            <w:hideMark/>
          </w:tcPr>
          <w:p w14:paraId="60E61127"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675710CB" w14:textId="77777777" w:rsidTr="004C6AA1">
        <w:trPr>
          <w:trHeight w:val="320"/>
        </w:trPr>
        <w:tc>
          <w:tcPr>
            <w:tcW w:w="4248" w:type="dxa"/>
            <w:shd w:val="clear" w:color="auto" w:fill="auto"/>
            <w:noWrap/>
            <w:hideMark/>
          </w:tcPr>
          <w:p w14:paraId="580F0365" w14:textId="77777777" w:rsidR="008F3151" w:rsidRPr="00D518FF" w:rsidRDefault="008F3151">
            <w:pPr>
              <w:rPr>
                <w:rFonts w:ascii="Aptos" w:hAnsi="Aptos"/>
                <w:color w:val="000000"/>
                <w:sz w:val="16"/>
                <w:szCs w:val="16"/>
              </w:rPr>
            </w:pPr>
            <w:r w:rsidRPr="00D518FF">
              <w:rPr>
                <w:rFonts w:ascii="Aptos" w:hAnsi="Aptos"/>
                <w:color w:val="000000"/>
                <w:sz w:val="16"/>
                <w:szCs w:val="16"/>
              </w:rPr>
              <w:t>Potential Role of Vitamins A, B, C, D and E in TB Treatment and Prevention: A Narrative Review</w:t>
            </w:r>
          </w:p>
        </w:tc>
        <w:tc>
          <w:tcPr>
            <w:tcW w:w="3544" w:type="dxa"/>
            <w:shd w:val="clear" w:color="auto" w:fill="auto"/>
            <w:noWrap/>
            <w:hideMark/>
          </w:tcPr>
          <w:p w14:paraId="5302163A"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Patti, G.; Pellegrino, C.; Ricciardi, A.; Novara, R.; Cotugno, S.; Papagni, R.; Guido, G.; Totaro, V.; De Iaco, G.; Romanelli, F.; Stolfa, S.; Minardi, M. L.; </w:t>
            </w:r>
            <w:r w:rsidRPr="00D518FF">
              <w:rPr>
                <w:rFonts w:ascii="Aptos" w:hAnsi="Aptos"/>
                <w:color w:val="000000"/>
                <w:sz w:val="16"/>
                <w:szCs w:val="16"/>
              </w:rPr>
              <w:lastRenderedPageBreak/>
              <w:t>Ronga, L.; Fato, I.; Lattanzio, R.; Bavaro, D. F.; Gualano, G.; Sarmati, L.; Saracino, A.; Palmieri, F.; Di Gennaro, F.</w:t>
            </w:r>
          </w:p>
        </w:tc>
        <w:tc>
          <w:tcPr>
            <w:tcW w:w="567" w:type="dxa"/>
            <w:shd w:val="clear" w:color="auto" w:fill="auto"/>
            <w:noWrap/>
            <w:hideMark/>
          </w:tcPr>
          <w:p w14:paraId="121B956D"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2021</w:t>
            </w:r>
          </w:p>
        </w:tc>
        <w:tc>
          <w:tcPr>
            <w:tcW w:w="1417" w:type="dxa"/>
            <w:shd w:val="clear" w:color="auto" w:fill="auto"/>
            <w:noWrap/>
            <w:hideMark/>
          </w:tcPr>
          <w:p w14:paraId="47402EB8" w14:textId="77777777" w:rsidR="008F3151" w:rsidRPr="00D518FF" w:rsidRDefault="008F3151">
            <w:pPr>
              <w:rPr>
                <w:rFonts w:ascii="Aptos" w:hAnsi="Aptos"/>
                <w:color w:val="000000"/>
                <w:sz w:val="16"/>
                <w:szCs w:val="16"/>
              </w:rPr>
            </w:pPr>
            <w:r w:rsidRPr="00D518FF">
              <w:rPr>
                <w:rFonts w:ascii="Aptos" w:hAnsi="Aptos"/>
                <w:color w:val="000000"/>
                <w:sz w:val="16"/>
                <w:szCs w:val="16"/>
              </w:rPr>
              <w:t>Antibiotics (Basel, Switzerland)</w:t>
            </w:r>
          </w:p>
        </w:tc>
        <w:tc>
          <w:tcPr>
            <w:tcW w:w="851" w:type="dxa"/>
            <w:shd w:val="clear" w:color="auto" w:fill="auto"/>
            <w:noWrap/>
            <w:hideMark/>
          </w:tcPr>
          <w:p w14:paraId="044D248F" w14:textId="77777777" w:rsidR="008F3151" w:rsidRPr="00D518FF" w:rsidRDefault="008F3151">
            <w:pPr>
              <w:rPr>
                <w:rFonts w:ascii="Aptos" w:hAnsi="Aptos"/>
                <w:color w:val="000000"/>
                <w:sz w:val="16"/>
                <w:szCs w:val="16"/>
              </w:rPr>
            </w:pPr>
            <w:r w:rsidRPr="00D518FF">
              <w:rPr>
                <w:rFonts w:ascii="Aptos" w:hAnsi="Aptos"/>
                <w:color w:val="000000"/>
                <w:sz w:val="16"/>
                <w:szCs w:val="16"/>
              </w:rPr>
              <w:t>10</w:t>
            </w:r>
          </w:p>
        </w:tc>
        <w:tc>
          <w:tcPr>
            <w:tcW w:w="708" w:type="dxa"/>
            <w:shd w:val="clear" w:color="auto" w:fill="auto"/>
            <w:noWrap/>
            <w:hideMark/>
          </w:tcPr>
          <w:p w14:paraId="1E804204" w14:textId="77777777" w:rsidR="008F3151" w:rsidRPr="00D518FF" w:rsidRDefault="008F3151">
            <w:pPr>
              <w:rPr>
                <w:rFonts w:ascii="Aptos" w:hAnsi="Aptos"/>
                <w:color w:val="000000"/>
                <w:sz w:val="16"/>
                <w:szCs w:val="16"/>
              </w:rPr>
            </w:pPr>
            <w:r w:rsidRPr="00D518FF">
              <w:rPr>
                <w:rFonts w:ascii="Aptos" w:hAnsi="Aptos"/>
                <w:color w:val="000000"/>
                <w:sz w:val="16"/>
                <w:szCs w:val="16"/>
              </w:rPr>
              <w:t>11</w:t>
            </w:r>
          </w:p>
        </w:tc>
        <w:tc>
          <w:tcPr>
            <w:tcW w:w="709" w:type="dxa"/>
            <w:shd w:val="clear" w:color="auto" w:fill="auto"/>
            <w:noWrap/>
            <w:hideMark/>
          </w:tcPr>
          <w:p w14:paraId="3971528B" w14:textId="24F5379A" w:rsidR="008F3151" w:rsidRPr="00D518FF" w:rsidRDefault="00D272DD">
            <w:pPr>
              <w:rPr>
                <w:rFonts w:ascii="Aptos" w:hAnsi="Aptos"/>
                <w:color w:val="000000"/>
                <w:sz w:val="16"/>
                <w:szCs w:val="16"/>
              </w:rPr>
            </w:pPr>
            <w:r>
              <w:rPr>
                <w:rFonts w:ascii="Aptos" w:hAnsi="Aptos"/>
                <w:color w:val="000000"/>
                <w:sz w:val="16"/>
                <w:szCs w:val="16"/>
              </w:rPr>
              <w:t>1354</w:t>
            </w:r>
          </w:p>
        </w:tc>
        <w:tc>
          <w:tcPr>
            <w:tcW w:w="2410" w:type="dxa"/>
            <w:shd w:val="clear" w:color="auto" w:fill="auto"/>
            <w:noWrap/>
            <w:hideMark/>
          </w:tcPr>
          <w:p w14:paraId="4B787616"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0051D9EE" w14:textId="77777777" w:rsidTr="004C6AA1">
        <w:trPr>
          <w:trHeight w:val="320"/>
        </w:trPr>
        <w:tc>
          <w:tcPr>
            <w:tcW w:w="4248" w:type="dxa"/>
            <w:shd w:val="clear" w:color="auto" w:fill="auto"/>
            <w:noWrap/>
            <w:hideMark/>
          </w:tcPr>
          <w:p w14:paraId="122C1DAE" w14:textId="77777777" w:rsidR="008F3151" w:rsidRPr="00D518FF" w:rsidRDefault="008F3151">
            <w:pPr>
              <w:rPr>
                <w:rFonts w:ascii="Aptos" w:hAnsi="Aptos"/>
                <w:color w:val="000000"/>
                <w:sz w:val="16"/>
                <w:szCs w:val="16"/>
              </w:rPr>
            </w:pPr>
            <w:r w:rsidRPr="00D518FF">
              <w:rPr>
                <w:rFonts w:ascii="Aptos" w:hAnsi="Aptos"/>
                <w:color w:val="000000"/>
                <w:sz w:val="16"/>
                <w:szCs w:val="16"/>
              </w:rPr>
              <w:t>Preventive zinc supplementation among infants, preschoolers, and older prepubertal children</w:t>
            </w:r>
          </w:p>
        </w:tc>
        <w:tc>
          <w:tcPr>
            <w:tcW w:w="3544" w:type="dxa"/>
            <w:shd w:val="clear" w:color="auto" w:fill="auto"/>
            <w:noWrap/>
            <w:hideMark/>
          </w:tcPr>
          <w:p w14:paraId="417B5F32" w14:textId="77777777" w:rsidR="008F3151" w:rsidRPr="00D518FF" w:rsidRDefault="008F3151">
            <w:pPr>
              <w:rPr>
                <w:rFonts w:ascii="Aptos" w:hAnsi="Aptos"/>
                <w:color w:val="000000"/>
                <w:sz w:val="16"/>
                <w:szCs w:val="16"/>
              </w:rPr>
            </w:pPr>
            <w:r w:rsidRPr="00D518FF">
              <w:rPr>
                <w:rFonts w:ascii="Aptos" w:hAnsi="Aptos"/>
                <w:color w:val="000000"/>
                <w:sz w:val="16"/>
                <w:szCs w:val="16"/>
              </w:rPr>
              <w:t>Brown, K. H.; Peerson, J. M.; Baker, S. K.; Hess, S. Y.; Brown, Kenneth H.; Peerson, Janet M.; Baker, Shawn K.; Hess, Sonja Y.</w:t>
            </w:r>
          </w:p>
        </w:tc>
        <w:tc>
          <w:tcPr>
            <w:tcW w:w="567" w:type="dxa"/>
            <w:shd w:val="clear" w:color="auto" w:fill="auto"/>
            <w:noWrap/>
            <w:hideMark/>
          </w:tcPr>
          <w:p w14:paraId="34FFE9D7" w14:textId="77777777" w:rsidR="008F3151" w:rsidRPr="00D518FF" w:rsidRDefault="008F3151">
            <w:pPr>
              <w:rPr>
                <w:rFonts w:ascii="Aptos" w:hAnsi="Aptos"/>
                <w:color w:val="000000"/>
                <w:sz w:val="16"/>
                <w:szCs w:val="16"/>
              </w:rPr>
            </w:pPr>
            <w:r w:rsidRPr="00D518FF">
              <w:rPr>
                <w:rFonts w:ascii="Aptos" w:hAnsi="Aptos"/>
                <w:color w:val="000000"/>
                <w:sz w:val="16"/>
                <w:szCs w:val="16"/>
              </w:rPr>
              <w:t>2009</w:t>
            </w:r>
          </w:p>
        </w:tc>
        <w:tc>
          <w:tcPr>
            <w:tcW w:w="1417" w:type="dxa"/>
            <w:shd w:val="clear" w:color="auto" w:fill="auto"/>
            <w:noWrap/>
            <w:hideMark/>
          </w:tcPr>
          <w:p w14:paraId="58BAAD6D" w14:textId="77777777" w:rsidR="008F3151" w:rsidRPr="00D518FF" w:rsidRDefault="008F3151">
            <w:pPr>
              <w:rPr>
                <w:rFonts w:ascii="Aptos" w:hAnsi="Aptos"/>
                <w:color w:val="000000"/>
                <w:sz w:val="16"/>
                <w:szCs w:val="16"/>
              </w:rPr>
            </w:pPr>
            <w:r w:rsidRPr="00D518FF">
              <w:rPr>
                <w:rFonts w:ascii="Aptos" w:hAnsi="Aptos"/>
                <w:color w:val="000000"/>
                <w:sz w:val="16"/>
                <w:szCs w:val="16"/>
              </w:rPr>
              <w:t>Food &amp; Nutrition Bulletin</w:t>
            </w:r>
          </w:p>
        </w:tc>
        <w:tc>
          <w:tcPr>
            <w:tcW w:w="851" w:type="dxa"/>
            <w:shd w:val="clear" w:color="auto" w:fill="auto"/>
            <w:noWrap/>
            <w:hideMark/>
          </w:tcPr>
          <w:p w14:paraId="0C9C2404" w14:textId="77777777" w:rsidR="008F3151" w:rsidRPr="00D518FF" w:rsidRDefault="008F3151">
            <w:pPr>
              <w:rPr>
                <w:rFonts w:ascii="Aptos" w:hAnsi="Aptos"/>
                <w:color w:val="000000"/>
                <w:sz w:val="16"/>
                <w:szCs w:val="16"/>
              </w:rPr>
            </w:pPr>
            <w:r w:rsidRPr="00D518FF">
              <w:rPr>
                <w:rFonts w:ascii="Aptos" w:hAnsi="Aptos"/>
                <w:color w:val="000000"/>
                <w:sz w:val="16"/>
                <w:szCs w:val="16"/>
              </w:rPr>
              <w:t>30</w:t>
            </w:r>
          </w:p>
        </w:tc>
        <w:tc>
          <w:tcPr>
            <w:tcW w:w="708" w:type="dxa"/>
            <w:shd w:val="clear" w:color="auto" w:fill="auto"/>
            <w:noWrap/>
            <w:hideMark/>
          </w:tcPr>
          <w:p w14:paraId="5D1E52C4" w14:textId="77777777" w:rsidR="008F3151" w:rsidRPr="00D518FF" w:rsidRDefault="008F3151">
            <w:pPr>
              <w:rPr>
                <w:rFonts w:ascii="Aptos" w:hAnsi="Aptos"/>
                <w:color w:val="000000"/>
                <w:sz w:val="16"/>
                <w:szCs w:val="16"/>
              </w:rPr>
            </w:pPr>
            <w:r w:rsidRPr="00D518FF">
              <w:rPr>
                <w:rFonts w:ascii="Aptos" w:hAnsi="Aptos"/>
                <w:color w:val="000000"/>
                <w:sz w:val="16"/>
                <w:szCs w:val="16"/>
              </w:rPr>
              <w:t>1 Suppl</w:t>
            </w:r>
          </w:p>
        </w:tc>
        <w:tc>
          <w:tcPr>
            <w:tcW w:w="709" w:type="dxa"/>
            <w:shd w:val="clear" w:color="auto" w:fill="auto"/>
            <w:noWrap/>
            <w:hideMark/>
          </w:tcPr>
          <w:p w14:paraId="6F5A1493" w14:textId="77777777" w:rsidR="008F3151" w:rsidRPr="00D518FF" w:rsidRDefault="008F3151">
            <w:pPr>
              <w:rPr>
                <w:rFonts w:ascii="Aptos" w:hAnsi="Aptos"/>
                <w:color w:val="000000"/>
                <w:sz w:val="16"/>
                <w:szCs w:val="16"/>
              </w:rPr>
            </w:pPr>
            <w:r w:rsidRPr="00D518FF">
              <w:rPr>
                <w:rFonts w:ascii="Aptos" w:hAnsi="Aptos"/>
                <w:color w:val="000000"/>
                <w:sz w:val="16"/>
                <w:szCs w:val="16"/>
              </w:rPr>
              <w:t>Dec-40</w:t>
            </w:r>
          </w:p>
        </w:tc>
        <w:tc>
          <w:tcPr>
            <w:tcW w:w="2410" w:type="dxa"/>
            <w:shd w:val="clear" w:color="auto" w:fill="auto"/>
            <w:noWrap/>
            <w:hideMark/>
          </w:tcPr>
          <w:p w14:paraId="6DD43067"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6FA03CA2" w14:textId="77777777" w:rsidTr="004C6AA1">
        <w:trPr>
          <w:trHeight w:val="320"/>
        </w:trPr>
        <w:tc>
          <w:tcPr>
            <w:tcW w:w="4248" w:type="dxa"/>
            <w:shd w:val="clear" w:color="auto" w:fill="auto"/>
            <w:noWrap/>
            <w:hideMark/>
          </w:tcPr>
          <w:p w14:paraId="5F223256" w14:textId="77777777" w:rsidR="008F3151" w:rsidRPr="00D518FF" w:rsidRDefault="008F3151">
            <w:pPr>
              <w:rPr>
                <w:rFonts w:ascii="Aptos" w:hAnsi="Aptos"/>
                <w:color w:val="000000"/>
                <w:sz w:val="16"/>
                <w:szCs w:val="16"/>
              </w:rPr>
            </w:pPr>
            <w:r w:rsidRPr="00D518FF">
              <w:rPr>
                <w:rFonts w:ascii="Aptos" w:hAnsi="Aptos"/>
                <w:color w:val="000000"/>
                <w:sz w:val="16"/>
                <w:szCs w:val="16"/>
              </w:rPr>
              <w:t>A meta-analysis of the effects of oral zinc in the treatment of acute and persistent diarrhea</w:t>
            </w:r>
          </w:p>
        </w:tc>
        <w:tc>
          <w:tcPr>
            <w:tcW w:w="3544" w:type="dxa"/>
            <w:shd w:val="clear" w:color="auto" w:fill="auto"/>
            <w:noWrap/>
            <w:hideMark/>
          </w:tcPr>
          <w:p w14:paraId="3DF1F3E5" w14:textId="77777777" w:rsidR="008F3151" w:rsidRPr="00D518FF" w:rsidRDefault="008F3151">
            <w:pPr>
              <w:rPr>
                <w:rFonts w:ascii="Aptos" w:hAnsi="Aptos"/>
                <w:color w:val="000000"/>
                <w:sz w:val="16"/>
                <w:szCs w:val="16"/>
              </w:rPr>
            </w:pPr>
            <w:r w:rsidRPr="00D518FF">
              <w:rPr>
                <w:rFonts w:ascii="Aptos" w:hAnsi="Aptos"/>
                <w:color w:val="000000"/>
                <w:sz w:val="16"/>
                <w:szCs w:val="16"/>
              </w:rPr>
              <w:t>Lukacik, M.; Thomas, R. L.; Aranda, J. V.</w:t>
            </w:r>
          </w:p>
        </w:tc>
        <w:tc>
          <w:tcPr>
            <w:tcW w:w="567" w:type="dxa"/>
            <w:shd w:val="clear" w:color="auto" w:fill="auto"/>
            <w:noWrap/>
            <w:hideMark/>
          </w:tcPr>
          <w:p w14:paraId="06267A93" w14:textId="77777777" w:rsidR="008F3151" w:rsidRPr="00D518FF" w:rsidRDefault="008F3151">
            <w:pPr>
              <w:rPr>
                <w:rFonts w:ascii="Aptos" w:hAnsi="Aptos"/>
                <w:color w:val="000000"/>
                <w:sz w:val="16"/>
                <w:szCs w:val="16"/>
              </w:rPr>
            </w:pPr>
            <w:r w:rsidRPr="00D518FF">
              <w:rPr>
                <w:rFonts w:ascii="Aptos" w:hAnsi="Aptos"/>
                <w:color w:val="000000"/>
                <w:sz w:val="16"/>
                <w:szCs w:val="16"/>
              </w:rPr>
              <w:t>2008</w:t>
            </w:r>
          </w:p>
        </w:tc>
        <w:tc>
          <w:tcPr>
            <w:tcW w:w="1417" w:type="dxa"/>
            <w:shd w:val="clear" w:color="auto" w:fill="auto"/>
            <w:noWrap/>
            <w:hideMark/>
          </w:tcPr>
          <w:p w14:paraId="0D391FD7" w14:textId="77777777" w:rsidR="008F3151" w:rsidRPr="00D518FF" w:rsidRDefault="008F3151">
            <w:pPr>
              <w:rPr>
                <w:rFonts w:ascii="Aptos" w:hAnsi="Aptos"/>
                <w:color w:val="000000"/>
                <w:sz w:val="16"/>
                <w:szCs w:val="16"/>
              </w:rPr>
            </w:pPr>
            <w:r w:rsidRPr="00D518FF">
              <w:rPr>
                <w:rFonts w:ascii="Aptos" w:hAnsi="Aptos"/>
                <w:color w:val="000000"/>
                <w:sz w:val="16"/>
                <w:szCs w:val="16"/>
              </w:rPr>
              <w:t>Pediatrics</w:t>
            </w:r>
          </w:p>
        </w:tc>
        <w:tc>
          <w:tcPr>
            <w:tcW w:w="851" w:type="dxa"/>
            <w:shd w:val="clear" w:color="auto" w:fill="auto"/>
            <w:noWrap/>
            <w:hideMark/>
          </w:tcPr>
          <w:p w14:paraId="638724B0" w14:textId="77777777" w:rsidR="008F3151" w:rsidRPr="00D518FF" w:rsidRDefault="008F3151">
            <w:pPr>
              <w:rPr>
                <w:rFonts w:ascii="Aptos" w:hAnsi="Aptos"/>
                <w:color w:val="000000"/>
                <w:sz w:val="16"/>
                <w:szCs w:val="16"/>
              </w:rPr>
            </w:pPr>
            <w:r w:rsidRPr="00D518FF">
              <w:rPr>
                <w:rFonts w:ascii="Aptos" w:hAnsi="Aptos"/>
                <w:color w:val="000000"/>
                <w:sz w:val="16"/>
                <w:szCs w:val="16"/>
              </w:rPr>
              <w:t>121</w:t>
            </w:r>
          </w:p>
        </w:tc>
        <w:tc>
          <w:tcPr>
            <w:tcW w:w="708" w:type="dxa"/>
            <w:shd w:val="clear" w:color="auto" w:fill="auto"/>
            <w:noWrap/>
            <w:hideMark/>
          </w:tcPr>
          <w:p w14:paraId="52976CDF"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709" w:type="dxa"/>
            <w:shd w:val="clear" w:color="auto" w:fill="auto"/>
            <w:noWrap/>
            <w:hideMark/>
          </w:tcPr>
          <w:p w14:paraId="1638874C" w14:textId="77777777" w:rsidR="008F3151" w:rsidRPr="00D518FF" w:rsidRDefault="008F3151">
            <w:pPr>
              <w:rPr>
                <w:rFonts w:ascii="Aptos" w:hAnsi="Aptos"/>
                <w:color w:val="000000"/>
                <w:sz w:val="16"/>
                <w:szCs w:val="16"/>
              </w:rPr>
            </w:pPr>
            <w:r w:rsidRPr="00D518FF">
              <w:rPr>
                <w:rFonts w:ascii="Aptos" w:hAnsi="Aptos"/>
                <w:color w:val="000000"/>
                <w:sz w:val="16"/>
                <w:szCs w:val="16"/>
              </w:rPr>
              <w:t>326-36</w:t>
            </w:r>
          </w:p>
        </w:tc>
        <w:tc>
          <w:tcPr>
            <w:tcW w:w="2410" w:type="dxa"/>
            <w:shd w:val="clear" w:color="auto" w:fill="auto"/>
            <w:noWrap/>
            <w:hideMark/>
          </w:tcPr>
          <w:p w14:paraId="11AB31C0"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0256D8" w:rsidRPr="00D518FF" w14:paraId="1ED2FE79" w14:textId="77777777" w:rsidTr="00887C84">
        <w:trPr>
          <w:trHeight w:val="320"/>
        </w:trPr>
        <w:tc>
          <w:tcPr>
            <w:tcW w:w="4248" w:type="dxa"/>
            <w:shd w:val="clear" w:color="auto" w:fill="auto"/>
            <w:noWrap/>
            <w:hideMark/>
          </w:tcPr>
          <w:p w14:paraId="7143014B" w14:textId="77777777" w:rsidR="00BD188B" w:rsidRPr="00D518FF" w:rsidRDefault="00BD188B">
            <w:pPr>
              <w:rPr>
                <w:rFonts w:ascii="Aptos" w:hAnsi="Aptos"/>
                <w:color w:val="000000"/>
                <w:sz w:val="16"/>
                <w:szCs w:val="16"/>
              </w:rPr>
            </w:pPr>
            <w:r w:rsidRPr="00D518FF">
              <w:rPr>
                <w:rFonts w:ascii="Aptos" w:hAnsi="Aptos"/>
                <w:color w:val="000000"/>
                <w:sz w:val="16"/>
                <w:szCs w:val="16"/>
              </w:rPr>
              <w:t>A systematic review and meta-analysis of multiple micronutrient supplementation for the prevention and treatment of ARTIs, and implications for COVID-19</w:t>
            </w:r>
          </w:p>
        </w:tc>
        <w:tc>
          <w:tcPr>
            <w:tcW w:w="3544" w:type="dxa"/>
            <w:shd w:val="clear" w:color="auto" w:fill="auto"/>
            <w:noWrap/>
            <w:hideMark/>
          </w:tcPr>
          <w:p w14:paraId="2B9C8B64" w14:textId="77777777" w:rsidR="00BD188B" w:rsidRPr="00D518FF" w:rsidRDefault="00BD188B">
            <w:pPr>
              <w:rPr>
                <w:rFonts w:ascii="Aptos" w:hAnsi="Aptos"/>
                <w:color w:val="000000"/>
                <w:sz w:val="16"/>
                <w:szCs w:val="16"/>
              </w:rPr>
            </w:pPr>
            <w:r w:rsidRPr="00D518FF">
              <w:rPr>
                <w:rFonts w:ascii="Aptos" w:hAnsi="Aptos"/>
                <w:color w:val="000000"/>
                <w:sz w:val="16"/>
                <w:szCs w:val="16"/>
              </w:rPr>
              <w:t>Azza Sarfraz, Zouina Sarfraz Huma Ashraf Muzna Sarfraz Roshaan Ahmad</w:t>
            </w:r>
          </w:p>
        </w:tc>
        <w:tc>
          <w:tcPr>
            <w:tcW w:w="567" w:type="dxa"/>
            <w:shd w:val="clear" w:color="auto" w:fill="auto"/>
          </w:tcPr>
          <w:p w14:paraId="2F9C3AA5" w14:textId="5E2260AA" w:rsidR="00BD188B" w:rsidRPr="00D518FF" w:rsidRDefault="00052CEA">
            <w:pPr>
              <w:rPr>
                <w:rFonts w:ascii="Aptos" w:hAnsi="Aptos"/>
                <w:color w:val="000000"/>
                <w:sz w:val="16"/>
                <w:szCs w:val="16"/>
              </w:rPr>
            </w:pPr>
            <w:r>
              <w:rPr>
                <w:rFonts w:ascii="Aptos" w:hAnsi="Aptos"/>
                <w:color w:val="000000"/>
                <w:sz w:val="16"/>
                <w:szCs w:val="16"/>
              </w:rPr>
              <w:t>2022</w:t>
            </w:r>
          </w:p>
        </w:tc>
        <w:tc>
          <w:tcPr>
            <w:tcW w:w="1417" w:type="dxa"/>
            <w:shd w:val="clear" w:color="auto" w:fill="auto"/>
          </w:tcPr>
          <w:p w14:paraId="1782A914" w14:textId="3238008D" w:rsidR="00BD188B" w:rsidRPr="00D518FF" w:rsidRDefault="00052CEA">
            <w:pPr>
              <w:rPr>
                <w:rFonts w:ascii="Aptos" w:hAnsi="Aptos"/>
                <w:color w:val="000000"/>
                <w:sz w:val="16"/>
                <w:szCs w:val="16"/>
              </w:rPr>
            </w:pPr>
            <w:r>
              <w:rPr>
                <w:rFonts w:ascii="Aptos" w:hAnsi="Aptos"/>
                <w:color w:val="000000"/>
                <w:sz w:val="16"/>
                <w:szCs w:val="16"/>
              </w:rPr>
              <w:t>Pak J Med Sci</w:t>
            </w:r>
          </w:p>
        </w:tc>
        <w:tc>
          <w:tcPr>
            <w:tcW w:w="851" w:type="dxa"/>
            <w:shd w:val="clear" w:color="auto" w:fill="auto"/>
          </w:tcPr>
          <w:p w14:paraId="0A9D35A4" w14:textId="497AAA1A" w:rsidR="00BD188B" w:rsidRPr="00D518FF" w:rsidRDefault="00052CEA">
            <w:pPr>
              <w:rPr>
                <w:rFonts w:ascii="Aptos" w:hAnsi="Aptos"/>
                <w:color w:val="000000"/>
                <w:sz w:val="16"/>
                <w:szCs w:val="16"/>
              </w:rPr>
            </w:pPr>
            <w:r>
              <w:rPr>
                <w:rFonts w:ascii="Aptos" w:hAnsi="Aptos"/>
                <w:color w:val="000000"/>
                <w:sz w:val="16"/>
                <w:szCs w:val="16"/>
              </w:rPr>
              <w:t>38</w:t>
            </w:r>
          </w:p>
        </w:tc>
        <w:tc>
          <w:tcPr>
            <w:tcW w:w="708" w:type="dxa"/>
            <w:shd w:val="clear" w:color="auto" w:fill="auto"/>
          </w:tcPr>
          <w:p w14:paraId="4C1F9218" w14:textId="47255065" w:rsidR="00BD188B" w:rsidRPr="00D518FF" w:rsidRDefault="00052CEA">
            <w:pPr>
              <w:rPr>
                <w:rFonts w:ascii="Aptos" w:hAnsi="Aptos"/>
                <w:color w:val="000000"/>
                <w:sz w:val="16"/>
                <w:szCs w:val="16"/>
              </w:rPr>
            </w:pPr>
            <w:r>
              <w:rPr>
                <w:rFonts w:ascii="Aptos" w:hAnsi="Aptos"/>
                <w:color w:val="000000"/>
                <w:sz w:val="16"/>
                <w:szCs w:val="16"/>
              </w:rPr>
              <w:t>4</w:t>
            </w:r>
          </w:p>
        </w:tc>
        <w:tc>
          <w:tcPr>
            <w:tcW w:w="709" w:type="dxa"/>
            <w:shd w:val="clear" w:color="auto" w:fill="auto"/>
          </w:tcPr>
          <w:p w14:paraId="3295908F" w14:textId="4AABCB58" w:rsidR="00BD188B" w:rsidRPr="00D518FF" w:rsidRDefault="00052CEA">
            <w:pPr>
              <w:rPr>
                <w:rFonts w:ascii="Aptos" w:hAnsi="Aptos"/>
                <w:color w:val="000000"/>
                <w:sz w:val="16"/>
                <w:szCs w:val="16"/>
              </w:rPr>
            </w:pPr>
            <w:r>
              <w:rPr>
                <w:rFonts w:ascii="Aptos" w:hAnsi="Aptos"/>
                <w:color w:val="000000"/>
                <w:sz w:val="16"/>
                <w:szCs w:val="16"/>
              </w:rPr>
              <w:t>-</w:t>
            </w:r>
          </w:p>
        </w:tc>
        <w:tc>
          <w:tcPr>
            <w:tcW w:w="2410" w:type="dxa"/>
            <w:shd w:val="clear" w:color="auto" w:fill="auto"/>
            <w:noWrap/>
            <w:hideMark/>
          </w:tcPr>
          <w:p w14:paraId="2ED79099" w14:textId="77777777" w:rsidR="00BD188B" w:rsidRPr="00D518FF" w:rsidRDefault="00BD188B">
            <w:pPr>
              <w:rPr>
                <w:rFonts w:ascii="Aptos" w:hAnsi="Aptos"/>
                <w:color w:val="000000"/>
                <w:sz w:val="16"/>
                <w:szCs w:val="16"/>
              </w:rPr>
            </w:pPr>
            <w:r w:rsidRPr="00D518FF">
              <w:rPr>
                <w:rFonts w:ascii="Aptos" w:hAnsi="Aptos"/>
                <w:color w:val="000000"/>
                <w:sz w:val="16"/>
                <w:szCs w:val="16"/>
              </w:rPr>
              <w:t>Wrong intervention</w:t>
            </w:r>
          </w:p>
        </w:tc>
      </w:tr>
      <w:tr w:rsidR="000256D8" w:rsidRPr="00D518FF" w14:paraId="7ADD5512" w14:textId="77777777" w:rsidTr="004C6AA1">
        <w:trPr>
          <w:trHeight w:val="340"/>
        </w:trPr>
        <w:tc>
          <w:tcPr>
            <w:tcW w:w="4248" w:type="dxa"/>
            <w:shd w:val="clear" w:color="auto" w:fill="auto"/>
            <w:noWrap/>
            <w:hideMark/>
          </w:tcPr>
          <w:p w14:paraId="1F7926F9" w14:textId="77777777" w:rsidR="00BD188B" w:rsidRPr="00D518FF" w:rsidRDefault="00BD188B">
            <w:pPr>
              <w:rPr>
                <w:rFonts w:ascii="Aptos" w:hAnsi="Aptos"/>
                <w:color w:val="000000"/>
                <w:sz w:val="16"/>
                <w:szCs w:val="16"/>
              </w:rPr>
            </w:pPr>
            <w:r w:rsidRPr="00D518FF">
              <w:rPr>
                <w:rFonts w:ascii="Aptos" w:hAnsi="Aptos"/>
                <w:color w:val="000000"/>
                <w:sz w:val="16"/>
                <w:szCs w:val="16"/>
              </w:rPr>
              <w:t>Zinc Supplementation and the Prevention and Treatment of Sepsis in Young Infants: A Systematic Review and Meta-Analysis</w:t>
            </w:r>
          </w:p>
        </w:tc>
        <w:tc>
          <w:tcPr>
            <w:tcW w:w="3544" w:type="dxa"/>
            <w:shd w:val="clear" w:color="auto" w:fill="auto"/>
            <w:noWrap/>
            <w:hideMark/>
          </w:tcPr>
          <w:p w14:paraId="05D8EF15" w14:textId="77777777" w:rsidR="00BD188B" w:rsidRPr="00D518FF" w:rsidRDefault="00BD188B">
            <w:pPr>
              <w:rPr>
                <w:rFonts w:ascii="Aptos" w:hAnsi="Aptos"/>
                <w:color w:val="000000"/>
                <w:sz w:val="16"/>
                <w:szCs w:val="16"/>
              </w:rPr>
            </w:pPr>
            <w:r w:rsidRPr="00D518FF">
              <w:rPr>
                <w:rFonts w:ascii="Aptos" w:hAnsi="Aptos"/>
                <w:color w:val="000000"/>
                <w:sz w:val="16"/>
                <w:szCs w:val="16"/>
              </w:rPr>
              <w:t>Irfan, O.; Black, R. E.; Lassi, Z. S.; Bhutta, Z. A.</w:t>
            </w:r>
          </w:p>
        </w:tc>
        <w:tc>
          <w:tcPr>
            <w:tcW w:w="567" w:type="dxa"/>
            <w:shd w:val="clear" w:color="auto" w:fill="auto"/>
            <w:noWrap/>
            <w:hideMark/>
          </w:tcPr>
          <w:p w14:paraId="6E58BD30" w14:textId="77777777" w:rsidR="00BD188B" w:rsidRPr="00D518FF" w:rsidRDefault="00BD188B">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6B337FEC" w14:textId="77777777" w:rsidR="00BD188B" w:rsidRPr="00D518FF" w:rsidRDefault="00BD188B">
            <w:pPr>
              <w:rPr>
                <w:rFonts w:ascii="Aptos" w:hAnsi="Aptos"/>
                <w:color w:val="000000"/>
                <w:sz w:val="16"/>
                <w:szCs w:val="16"/>
              </w:rPr>
            </w:pPr>
            <w:r w:rsidRPr="00D518FF">
              <w:rPr>
                <w:rFonts w:ascii="Aptos" w:hAnsi="Aptos"/>
                <w:color w:val="000000"/>
                <w:sz w:val="16"/>
                <w:szCs w:val="16"/>
              </w:rPr>
              <w:t>Neonatology</w:t>
            </w:r>
          </w:p>
        </w:tc>
        <w:tc>
          <w:tcPr>
            <w:tcW w:w="851" w:type="dxa"/>
            <w:shd w:val="clear" w:color="auto" w:fill="auto"/>
          </w:tcPr>
          <w:p w14:paraId="5D5EBBFE" w14:textId="233096E4" w:rsidR="00BD188B" w:rsidRPr="00D518FF" w:rsidRDefault="00AA5A59">
            <w:pPr>
              <w:rPr>
                <w:rFonts w:ascii="Aptos" w:hAnsi="Aptos"/>
                <w:color w:val="000000"/>
                <w:sz w:val="16"/>
                <w:szCs w:val="16"/>
              </w:rPr>
            </w:pPr>
            <w:r>
              <w:rPr>
                <w:rFonts w:ascii="Aptos" w:hAnsi="Aptos"/>
                <w:color w:val="000000"/>
                <w:sz w:val="16"/>
                <w:szCs w:val="16"/>
              </w:rPr>
              <w:t>119</w:t>
            </w:r>
          </w:p>
        </w:tc>
        <w:tc>
          <w:tcPr>
            <w:tcW w:w="708" w:type="dxa"/>
            <w:shd w:val="clear" w:color="auto" w:fill="auto"/>
            <w:noWrap/>
            <w:hideMark/>
          </w:tcPr>
          <w:p w14:paraId="165EEC4C" w14:textId="067AD5EE" w:rsidR="00BD188B" w:rsidRPr="00D518FF" w:rsidRDefault="00AA5A59">
            <w:pPr>
              <w:rPr>
                <w:rFonts w:ascii="Aptos" w:hAnsi="Aptos"/>
                <w:color w:val="000000"/>
                <w:sz w:val="16"/>
                <w:szCs w:val="16"/>
              </w:rPr>
            </w:pPr>
            <w:r>
              <w:rPr>
                <w:rFonts w:ascii="Aptos" w:hAnsi="Aptos"/>
                <w:color w:val="000000"/>
                <w:sz w:val="16"/>
                <w:szCs w:val="16"/>
              </w:rPr>
              <w:t>2</w:t>
            </w:r>
          </w:p>
        </w:tc>
        <w:tc>
          <w:tcPr>
            <w:tcW w:w="709" w:type="dxa"/>
            <w:shd w:val="clear" w:color="auto" w:fill="auto"/>
            <w:noWrap/>
            <w:hideMark/>
          </w:tcPr>
          <w:p w14:paraId="529BDE19" w14:textId="1535BDBD" w:rsidR="00BD188B" w:rsidRPr="00D518FF" w:rsidRDefault="00AA5A59">
            <w:pPr>
              <w:rPr>
                <w:rFonts w:ascii="Aptos" w:hAnsi="Aptos"/>
                <w:color w:val="000000"/>
                <w:sz w:val="16"/>
                <w:szCs w:val="16"/>
              </w:rPr>
            </w:pPr>
            <w:r w:rsidRPr="00AA5A59">
              <w:rPr>
                <w:rFonts w:ascii="Aptos" w:hAnsi="Aptos"/>
                <w:color w:val="000000"/>
                <w:sz w:val="16"/>
                <w:szCs w:val="16"/>
              </w:rPr>
              <w:t>164–175</w:t>
            </w:r>
          </w:p>
        </w:tc>
        <w:tc>
          <w:tcPr>
            <w:tcW w:w="2410" w:type="dxa"/>
            <w:shd w:val="clear" w:color="auto" w:fill="auto"/>
            <w:hideMark/>
          </w:tcPr>
          <w:p w14:paraId="40A451A7" w14:textId="77777777" w:rsidR="00BD188B" w:rsidRPr="00D518FF" w:rsidRDefault="00BD188B">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6B1575D5" w14:textId="77777777" w:rsidTr="004C6AA1">
        <w:trPr>
          <w:trHeight w:val="340"/>
        </w:trPr>
        <w:tc>
          <w:tcPr>
            <w:tcW w:w="4248" w:type="dxa"/>
            <w:shd w:val="clear" w:color="auto" w:fill="auto"/>
            <w:noWrap/>
            <w:hideMark/>
          </w:tcPr>
          <w:p w14:paraId="181598D7" w14:textId="77777777" w:rsidR="008F3151" w:rsidRPr="00D518FF" w:rsidRDefault="008F3151">
            <w:pPr>
              <w:rPr>
                <w:rFonts w:ascii="Aptos" w:hAnsi="Aptos"/>
                <w:color w:val="000000"/>
                <w:sz w:val="16"/>
                <w:szCs w:val="16"/>
              </w:rPr>
            </w:pPr>
            <w:r w:rsidRPr="00D518FF">
              <w:rPr>
                <w:rFonts w:ascii="Aptos" w:hAnsi="Aptos"/>
                <w:color w:val="000000"/>
                <w:sz w:val="16"/>
                <w:szCs w:val="16"/>
              </w:rPr>
              <w:t>Zinc supplementation for the prevention of pneumonia in children aged 2 months to 59 months</w:t>
            </w:r>
          </w:p>
        </w:tc>
        <w:tc>
          <w:tcPr>
            <w:tcW w:w="3544" w:type="dxa"/>
            <w:shd w:val="clear" w:color="auto" w:fill="auto"/>
            <w:noWrap/>
            <w:hideMark/>
          </w:tcPr>
          <w:p w14:paraId="0F9528FB" w14:textId="77777777" w:rsidR="008F3151" w:rsidRPr="00D518FF" w:rsidRDefault="008F3151">
            <w:pPr>
              <w:rPr>
                <w:rFonts w:ascii="Aptos" w:hAnsi="Aptos"/>
                <w:color w:val="000000"/>
                <w:sz w:val="16"/>
                <w:szCs w:val="16"/>
              </w:rPr>
            </w:pPr>
            <w:r w:rsidRPr="00D518FF">
              <w:rPr>
                <w:rFonts w:ascii="Aptos" w:hAnsi="Aptos"/>
                <w:color w:val="000000"/>
                <w:sz w:val="16"/>
                <w:szCs w:val="16"/>
              </w:rPr>
              <w:t>Lassi, Zohra S.; Moin, Anoosh; Bhutta, Zulfiqar A.</w:t>
            </w:r>
          </w:p>
        </w:tc>
        <w:tc>
          <w:tcPr>
            <w:tcW w:w="567" w:type="dxa"/>
            <w:shd w:val="clear" w:color="auto" w:fill="auto"/>
            <w:noWrap/>
            <w:hideMark/>
          </w:tcPr>
          <w:p w14:paraId="6851D37D"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417" w:type="dxa"/>
            <w:shd w:val="clear" w:color="auto" w:fill="auto"/>
            <w:noWrap/>
            <w:hideMark/>
          </w:tcPr>
          <w:p w14:paraId="262B45FE" w14:textId="77777777" w:rsidR="008F3151" w:rsidRPr="00D518FF" w:rsidRDefault="008F3151">
            <w:pPr>
              <w:rPr>
                <w:rFonts w:ascii="Aptos" w:hAnsi="Aptos"/>
                <w:color w:val="000000"/>
                <w:sz w:val="16"/>
                <w:szCs w:val="16"/>
              </w:rPr>
            </w:pPr>
            <w:r w:rsidRPr="00D518FF">
              <w:rPr>
                <w:rFonts w:ascii="Aptos" w:hAnsi="Aptos"/>
                <w:color w:val="000000"/>
                <w:sz w:val="16"/>
                <w:szCs w:val="16"/>
              </w:rPr>
              <w:t>Cochrane Database of Systematic Reviews</w:t>
            </w:r>
          </w:p>
        </w:tc>
        <w:tc>
          <w:tcPr>
            <w:tcW w:w="851" w:type="dxa"/>
            <w:shd w:val="clear" w:color="auto" w:fill="auto"/>
            <w:noWrap/>
            <w:hideMark/>
          </w:tcPr>
          <w:p w14:paraId="6528E41C" w14:textId="77777777" w:rsidR="008F3151" w:rsidRPr="00D518FF" w:rsidRDefault="008F3151">
            <w:pPr>
              <w:rPr>
                <w:rFonts w:ascii="Aptos" w:hAnsi="Aptos"/>
                <w:color w:val="000000"/>
                <w:sz w:val="16"/>
                <w:szCs w:val="16"/>
              </w:rPr>
            </w:pPr>
            <w:r w:rsidRPr="00D518FF">
              <w:rPr>
                <w:rFonts w:ascii="Aptos" w:hAnsi="Aptos"/>
                <w:color w:val="000000"/>
                <w:sz w:val="16"/>
                <w:szCs w:val="16"/>
              </w:rPr>
              <w:t>12</w:t>
            </w:r>
          </w:p>
        </w:tc>
        <w:tc>
          <w:tcPr>
            <w:tcW w:w="708" w:type="dxa"/>
            <w:shd w:val="clear" w:color="auto" w:fill="auto"/>
            <w:noWrap/>
            <w:hideMark/>
          </w:tcPr>
          <w:p w14:paraId="6CC3E0E8" w14:textId="77777777" w:rsidR="008F3151" w:rsidRPr="00D518FF" w:rsidRDefault="008F3151">
            <w:pPr>
              <w:rPr>
                <w:rFonts w:ascii="Aptos" w:hAnsi="Aptos"/>
                <w:color w:val="000000"/>
                <w:sz w:val="16"/>
                <w:szCs w:val="16"/>
              </w:rPr>
            </w:pPr>
          </w:p>
        </w:tc>
        <w:tc>
          <w:tcPr>
            <w:tcW w:w="709" w:type="dxa"/>
            <w:shd w:val="clear" w:color="auto" w:fill="auto"/>
            <w:noWrap/>
            <w:hideMark/>
          </w:tcPr>
          <w:p w14:paraId="31982336" w14:textId="77777777" w:rsidR="008F3151" w:rsidRPr="00D518FF" w:rsidRDefault="008F3151">
            <w:pPr>
              <w:rPr>
                <w:rFonts w:ascii="Aptos" w:hAnsi="Aptos"/>
                <w:color w:val="000000"/>
                <w:sz w:val="16"/>
                <w:szCs w:val="16"/>
              </w:rPr>
            </w:pPr>
            <w:r w:rsidRPr="00D518FF">
              <w:rPr>
                <w:rFonts w:ascii="Aptos" w:hAnsi="Aptos"/>
                <w:color w:val="000000"/>
                <w:sz w:val="16"/>
                <w:szCs w:val="16"/>
              </w:rPr>
              <w:t>CD005978</w:t>
            </w:r>
          </w:p>
        </w:tc>
        <w:tc>
          <w:tcPr>
            <w:tcW w:w="2410" w:type="dxa"/>
            <w:shd w:val="clear" w:color="auto" w:fill="auto"/>
            <w:hideMark/>
          </w:tcPr>
          <w:p w14:paraId="348B9D11"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2F334510" w14:textId="77777777" w:rsidTr="00887C84">
        <w:trPr>
          <w:trHeight w:val="340"/>
        </w:trPr>
        <w:tc>
          <w:tcPr>
            <w:tcW w:w="4248" w:type="dxa"/>
            <w:shd w:val="clear" w:color="auto" w:fill="auto"/>
            <w:noWrap/>
            <w:hideMark/>
          </w:tcPr>
          <w:p w14:paraId="3156525C" w14:textId="77777777" w:rsidR="00BD188B" w:rsidRPr="00D518FF" w:rsidRDefault="00BD188B">
            <w:pPr>
              <w:rPr>
                <w:rFonts w:ascii="Aptos" w:hAnsi="Aptos"/>
                <w:color w:val="000000"/>
                <w:sz w:val="16"/>
                <w:szCs w:val="16"/>
              </w:rPr>
            </w:pPr>
            <w:r w:rsidRPr="00D518FF">
              <w:rPr>
                <w:rFonts w:ascii="Aptos" w:hAnsi="Aptos"/>
                <w:color w:val="000000"/>
                <w:sz w:val="16"/>
                <w:szCs w:val="16"/>
              </w:rPr>
              <w:t>Zinc to treat diarrhoea in children under the age of five in Africa</w:t>
            </w:r>
          </w:p>
        </w:tc>
        <w:tc>
          <w:tcPr>
            <w:tcW w:w="3544" w:type="dxa"/>
            <w:shd w:val="clear" w:color="auto" w:fill="auto"/>
            <w:noWrap/>
            <w:hideMark/>
          </w:tcPr>
          <w:p w14:paraId="3382206B" w14:textId="77777777" w:rsidR="00BD188B" w:rsidRPr="00D518FF" w:rsidRDefault="00BD188B">
            <w:pPr>
              <w:rPr>
                <w:rFonts w:ascii="Aptos" w:hAnsi="Aptos"/>
                <w:color w:val="000000"/>
                <w:sz w:val="16"/>
                <w:szCs w:val="16"/>
              </w:rPr>
            </w:pPr>
            <w:r w:rsidRPr="00D518FF">
              <w:rPr>
                <w:rFonts w:ascii="Aptos" w:hAnsi="Aptos"/>
                <w:color w:val="000000"/>
                <w:sz w:val="16"/>
                <w:szCs w:val="16"/>
              </w:rPr>
              <w:t>Melanie Ekani, Chris Caroll Charles Beck</w:t>
            </w:r>
          </w:p>
        </w:tc>
        <w:tc>
          <w:tcPr>
            <w:tcW w:w="567" w:type="dxa"/>
            <w:shd w:val="clear" w:color="auto" w:fill="auto"/>
          </w:tcPr>
          <w:p w14:paraId="22227D05" w14:textId="4451BA8C" w:rsidR="00BD188B" w:rsidRPr="00D518FF" w:rsidRDefault="008C553F">
            <w:pPr>
              <w:rPr>
                <w:rFonts w:ascii="Aptos" w:hAnsi="Aptos"/>
                <w:color w:val="000000"/>
                <w:sz w:val="16"/>
                <w:szCs w:val="16"/>
              </w:rPr>
            </w:pPr>
            <w:r>
              <w:rPr>
                <w:rFonts w:ascii="Aptos" w:hAnsi="Aptos"/>
                <w:color w:val="000000"/>
                <w:sz w:val="16"/>
                <w:szCs w:val="16"/>
              </w:rPr>
              <w:t>2012</w:t>
            </w:r>
          </w:p>
        </w:tc>
        <w:tc>
          <w:tcPr>
            <w:tcW w:w="1417" w:type="dxa"/>
            <w:shd w:val="clear" w:color="auto" w:fill="auto"/>
          </w:tcPr>
          <w:p w14:paraId="2022DB9F" w14:textId="7140B1A6" w:rsidR="00BD188B" w:rsidRPr="00D518FF" w:rsidRDefault="008C553F">
            <w:pPr>
              <w:rPr>
                <w:rFonts w:ascii="Aptos" w:hAnsi="Aptos"/>
                <w:color w:val="000000"/>
                <w:sz w:val="16"/>
                <w:szCs w:val="16"/>
              </w:rPr>
            </w:pPr>
            <w:r>
              <w:rPr>
                <w:rFonts w:ascii="Aptos" w:hAnsi="Aptos"/>
                <w:color w:val="000000"/>
                <w:sz w:val="16"/>
                <w:szCs w:val="16"/>
              </w:rPr>
              <w:t>PROSPERO</w:t>
            </w:r>
          </w:p>
        </w:tc>
        <w:tc>
          <w:tcPr>
            <w:tcW w:w="851" w:type="dxa"/>
            <w:shd w:val="clear" w:color="auto" w:fill="auto"/>
          </w:tcPr>
          <w:p w14:paraId="57A24F23" w14:textId="3896DB66" w:rsidR="00BD188B" w:rsidRPr="00D518FF" w:rsidRDefault="008C553F">
            <w:pPr>
              <w:rPr>
                <w:rFonts w:ascii="Aptos" w:hAnsi="Aptos"/>
                <w:color w:val="000000"/>
                <w:sz w:val="16"/>
                <w:szCs w:val="16"/>
              </w:rPr>
            </w:pPr>
            <w:r w:rsidRPr="008C553F">
              <w:rPr>
                <w:rFonts w:ascii="Aptos" w:hAnsi="Aptos"/>
                <w:color w:val="000000"/>
                <w:sz w:val="16"/>
                <w:szCs w:val="16"/>
              </w:rPr>
              <w:t>CRD42012002794</w:t>
            </w:r>
          </w:p>
        </w:tc>
        <w:tc>
          <w:tcPr>
            <w:tcW w:w="708" w:type="dxa"/>
            <w:shd w:val="clear" w:color="auto" w:fill="auto"/>
            <w:noWrap/>
            <w:hideMark/>
          </w:tcPr>
          <w:p w14:paraId="08C2E901" w14:textId="47601C1E" w:rsidR="00BD188B" w:rsidRPr="00D518FF" w:rsidRDefault="008C553F">
            <w:pPr>
              <w:rPr>
                <w:rFonts w:ascii="Aptos" w:hAnsi="Aptos"/>
                <w:color w:val="000000"/>
                <w:sz w:val="16"/>
                <w:szCs w:val="16"/>
              </w:rPr>
            </w:pPr>
            <w:r>
              <w:rPr>
                <w:rFonts w:ascii="Aptos" w:hAnsi="Aptos"/>
                <w:color w:val="000000"/>
                <w:sz w:val="16"/>
                <w:szCs w:val="16"/>
              </w:rPr>
              <w:t>-</w:t>
            </w:r>
          </w:p>
        </w:tc>
        <w:tc>
          <w:tcPr>
            <w:tcW w:w="709" w:type="dxa"/>
            <w:shd w:val="clear" w:color="auto" w:fill="auto"/>
            <w:noWrap/>
            <w:hideMark/>
          </w:tcPr>
          <w:p w14:paraId="3871856F" w14:textId="2C9E6DDD" w:rsidR="00BD188B" w:rsidRPr="00D518FF" w:rsidRDefault="008C553F">
            <w:pPr>
              <w:rPr>
                <w:rFonts w:ascii="Aptos" w:hAnsi="Aptos"/>
                <w:sz w:val="16"/>
                <w:szCs w:val="16"/>
              </w:rPr>
            </w:pPr>
            <w:r>
              <w:rPr>
                <w:rFonts w:ascii="Aptos" w:hAnsi="Aptos"/>
                <w:sz w:val="16"/>
                <w:szCs w:val="16"/>
              </w:rPr>
              <w:t>-</w:t>
            </w:r>
          </w:p>
        </w:tc>
        <w:tc>
          <w:tcPr>
            <w:tcW w:w="2410" w:type="dxa"/>
            <w:shd w:val="clear" w:color="auto" w:fill="auto"/>
            <w:hideMark/>
          </w:tcPr>
          <w:p w14:paraId="7618C465" w14:textId="77777777" w:rsidR="00BD188B" w:rsidRPr="00D518FF" w:rsidRDefault="00BD188B">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5FAFD758" w14:textId="77777777" w:rsidTr="004C6AA1">
        <w:trPr>
          <w:trHeight w:val="340"/>
        </w:trPr>
        <w:tc>
          <w:tcPr>
            <w:tcW w:w="4248" w:type="dxa"/>
            <w:shd w:val="clear" w:color="auto" w:fill="auto"/>
            <w:noWrap/>
            <w:hideMark/>
          </w:tcPr>
          <w:p w14:paraId="5CED3FB7" w14:textId="77777777" w:rsidR="008F3151" w:rsidRPr="00D518FF" w:rsidRDefault="008F3151">
            <w:pPr>
              <w:rPr>
                <w:rFonts w:ascii="Aptos" w:hAnsi="Aptos"/>
                <w:color w:val="000000"/>
                <w:sz w:val="16"/>
                <w:szCs w:val="16"/>
              </w:rPr>
            </w:pPr>
            <w:r w:rsidRPr="00D518FF">
              <w:rPr>
                <w:rFonts w:ascii="Aptos" w:hAnsi="Aptos"/>
                <w:color w:val="000000"/>
                <w:sz w:val="16"/>
                <w:szCs w:val="16"/>
              </w:rPr>
              <w:t>Complementary and alternative medicine for prevention and treatment of the common cold</w:t>
            </w:r>
          </w:p>
        </w:tc>
        <w:tc>
          <w:tcPr>
            <w:tcW w:w="3544" w:type="dxa"/>
            <w:shd w:val="clear" w:color="auto" w:fill="auto"/>
            <w:noWrap/>
            <w:hideMark/>
          </w:tcPr>
          <w:p w14:paraId="14B24592" w14:textId="77777777" w:rsidR="008F3151" w:rsidRPr="00D518FF" w:rsidRDefault="008F3151">
            <w:pPr>
              <w:rPr>
                <w:rFonts w:ascii="Aptos" w:hAnsi="Aptos"/>
                <w:color w:val="000000"/>
                <w:sz w:val="16"/>
                <w:szCs w:val="16"/>
              </w:rPr>
            </w:pPr>
            <w:r w:rsidRPr="00D518FF">
              <w:rPr>
                <w:rFonts w:ascii="Aptos" w:hAnsi="Aptos"/>
                <w:color w:val="000000"/>
                <w:sz w:val="16"/>
                <w:szCs w:val="16"/>
              </w:rPr>
              <w:t>Nahas, R.; Balla, A.</w:t>
            </w:r>
          </w:p>
        </w:tc>
        <w:tc>
          <w:tcPr>
            <w:tcW w:w="567" w:type="dxa"/>
            <w:shd w:val="clear" w:color="auto" w:fill="auto"/>
            <w:noWrap/>
            <w:hideMark/>
          </w:tcPr>
          <w:p w14:paraId="1623AFB5"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417" w:type="dxa"/>
            <w:shd w:val="clear" w:color="auto" w:fill="auto"/>
            <w:noWrap/>
            <w:hideMark/>
          </w:tcPr>
          <w:p w14:paraId="72187909" w14:textId="77777777" w:rsidR="008F3151" w:rsidRPr="00D518FF" w:rsidRDefault="008F3151">
            <w:pPr>
              <w:rPr>
                <w:rFonts w:ascii="Aptos" w:hAnsi="Aptos"/>
                <w:color w:val="000000"/>
                <w:sz w:val="16"/>
                <w:szCs w:val="16"/>
              </w:rPr>
            </w:pPr>
            <w:r w:rsidRPr="00D518FF">
              <w:rPr>
                <w:rFonts w:ascii="Aptos" w:hAnsi="Aptos"/>
                <w:color w:val="000000"/>
                <w:sz w:val="16"/>
                <w:szCs w:val="16"/>
              </w:rPr>
              <w:t>Canadian Family Physician</w:t>
            </w:r>
          </w:p>
        </w:tc>
        <w:tc>
          <w:tcPr>
            <w:tcW w:w="851" w:type="dxa"/>
            <w:shd w:val="clear" w:color="auto" w:fill="auto"/>
            <w:noWrap/>
            <w:hideMark/>
          </w:tcPr>
          <w:p w14:paraId="2FE836A5" w14:textId="77777777" w:rsidR="008F3151" w:rsidRPr="00D518FF" w:rsidRDefault="008F3151">
            <w:pPr>
              <w:rPr>
                <w:rFonts w:ascii="Aptos" w:hAnsi="Aptos"/>
                <w:color w:val="000000"/>
                <w:sz w:val="16"/>
                <w:szCs w:val="16"/>
              </w:rPr>
            </w:pPr>
            <w:r w:rsidRPr="00D518FF">
              <w:rPr>
                <w:rFonts w:ascii="Aptos" w:hAnsi="Aptos"/>
                <w:color w:val="000000"/>
                <w:sz w:val="16"/>
                <w:szCs w:val="16"/>
              </w:rPr>
              <w:t>57</w:t>
            </w:r>
          </w:p>
        </w:tc>
        <w:tc>
          <w:tcPr>
            <w:tcW w:w="708" w:type="dxa"/>
            <w:shd w:val="clear" w:color="auto" w:fill="auto"/>
            <w:noWrap/>
            <w:hideMark/>
          </w:tcPr>
          <w:p w14:paraId="7A8532D4"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62FBD584" w14:textId="77777777" w:rsidR="008F3151" w:rsidRPr="00D518FF" w:rsidRDefault="008F3151">
            <w:pPr>
              <w:rPr>
                <w:rFonts w:ascii="Aptos" w:hAnsi="Aptos"/>
                <w:color w:val="000000"/>
                <w:sz w:val="16"/>
                <w:szCs w:val="16"/>
              </w:rPr>
            </w:pPr>
            <w:r w:rsidRPr="00D518FF">
              <w:rPr>
                <w:rFonts w:ascii="Aptos" w:hAnsi="Aptos"/>
                <w:color w:val="000000"/>
                <w:sz w:val="16"/>
                <w:szCs w:val="16"/>
              </w:rPr>
              <w:t>31-36</w:t>
            </w:r>
          </w:p>
        </w:tc>
        <w:tc>
          <w:tcPr>
            <w:tcW w:w="2410" w:type="dxa"/>
            <w:shd w:val="clear" w:color="auto" w:fill="auto"/>
            <w:hideMark/>
          </w:tcPr>
          <w:p w14:paraId="723B155F"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0EB3CFE3" w14:textId="77777777" w:rsidTr="00887C84">
        <w:trPr>
          <w:trHeight w:val="340"/>
        </w:trPr>
        <w:tc>
          <w:tcPr>
            <w:tcW w:w="4248" w:type="dxa"/>
            <w:shd w:val="clear" w:color="auto" w:fill="auto"/>
            <w:noWrap/>
            <w:hideMark/>
          </w:tcPr>
          <w:p w14:paraId="77E5324B" w14:textId="77777777" w:rsidR="00BD188B" w:rsidRPr="00D518FF" w:rsidRDefault="00BD188B">
            <w:pPr>
              <w:rPr>
                <w:rFonts w:ascii="Aptos" w:hAnsi="Aptos"/>
                <w:color w:val="000000"/>
                <w:sz w:val="16"/>
                <w:szCs w:val="16"/>
              </w:rPr>
            </w:pPr>
            <w:r w:rsidRPr="00D518FF">
              <w:rPr>
                <w:rFonts w:ascii="Aptos" w:hAnsi="Aptos"/>
                <w:color w:val="000000"/>
                <w:sz w:val="16"/>
                <w:szCs w:val="16"/>
              </w:rPr>
              <w:t>The effect of zinc supplements in preventing and treating infections in older adults: protocol for a systematic review</w:t>
            </w:r>
          </w:p>
        </w:tc>
        <w:tc>
          <w:tcPr>
            <w:tcW w:w="3544" w:type="dxa"/>
            <w:shd w:val="clear" w:color="auto" w:fill="auto"/>
            <w:noWrap/>
            <w:hideMark/>
          </w:tcPr>
          <w:p w14:paraId="3551C72B" w14:textId="77777777" w:rsidR="00BD188B" w:rsidRPr="00D518FF" w:rsidRDefault="00BD188B">
            <w:pPr>
              <w:rPr>
                <w:rFonts w:ascii="Aptos" w:hAnsi="Aptos"/>
                <w:color w:val="000000"/>
                <w:sz w:val="16"/>
                <w:szCs w:val="16"/>
              </w:rPr>
            </w:pPr>
            <w:r w:rsidRPr="00D518FF">
              <w:rPr>
                <w:rFonts w:ascii="Aptos" w:hAnsi="Aptos"/>
                <w:color w:val="000000"/>
                <w:sz w:val="16"/>
                <w:szCs w:val="16"/>
              </w:rPr>
              <w:t>Pernille Holm Ellegaard, Hanne Nygaard Rikke Stefan Kamper Charlotte Suetta Cecilia Lund</w:t>
            </w:r>
          </w:p>
        </w:tc>
        <w:tc>
          <w:tcPr>
            <w:tcW w:w="567" w:type="dxa"/>
            <w:shd w:val="clear" w:color="auto" w:fill="auto"/>
          </w:tcPr>
          <w:p w14:paraId="1D528920" w14:textId="1090D16E" w:rsidR="00BD188B" w:rsidRPr="00D518FF" w:rsidRDefault="00F7264E">
            <w:pPr>
              <w:rPr>
                <w:rFonts w:ascii="Aptos" w:hAnsi="Aptos"/>
                <w:color w:val="000000"/>
                <w:sz w:val="16"/>
                <w:szCs w:val="16"/>
              </w:rPr>
            </w:pPr>
            <w:r>
              <w:rPr>
                <w:rFonts w:ascii="Aptos" w:hAnsi="Aptos"/>
                <w:color w:val="000000"/>
                <w:sz w:val="16"/>
                <w:szCs w:val="16"/>
              </w:rPr>
              <w:t>2023</w:t>
            </w:r>
          </w:p>
        </w:tc>
        <w:tc>
          <w:tcPr>
            <w:tcW w:w="1417" w:type="dxa"/>
            <w:shd w:val="clear" w:color="auto" w:fill="auto"/>
          </w:tcPr>
          <w:p w14:paraId="02635590" w14:textId="14C235E5" w:rsidR="00BD188B" w:rsidRPr="00D518FF" w:rsidRDefault="00F7264E">
            <w:pPr>
              <w:rPr>
                <w:rFonts w:ascii="Aptos" w:hAnsi="Aptos"/>
                <w:color w:val="000000"/>
                <w:sz w:val="16"/>
                <w:szCs w:val="16"/>
              </w:rPr>
            </w:pPr>
            <w:r>
              <w:rPr>
                <w:rFonts w:ascii="Aptos" w:hAnsi="Aptos"/>
                <w:color w:val="000000"/>
                <w:sz w:val="16"/>
                <w:szCs w:val="16"/>
              </w:rPr>
              <w:t>PROSPERO</w:t>
            </w:r>
          </w:p>
        </w:tc>
        <w:tc>
          <w:tcPr>
            <w:tcW w:w="851" w:type="dxa"/>
            <w:shd w:val="clear" w:color="auto" w:fill="auto"/>
          </w:tcPr>
          <w:p w14:paraId="37D62CFC" w14:textId="6A818D97" w:rsidR="00BD188B" w:rsidRPr="00D518FF" w:rsidRDefault="00F7264E">
            <w:pPr>
              <w:rPr>
                <w:rFonts w:ascii="Aptos" w:hAnsi="Aptos"/>
                <w:color w:val="000000"/>
                <w:sz w:val="16"/>
                <w:szCs w:val="16"/>
              </w:rPr>
            </w:pPr>
            <w:r w:rsidRPr="00F7264E">
              <w:rPr>
                <w:rFonts w:ascii="Aptos" w:hAnsi="Aptos"/>
                <w:color w:val="000000"/>
                <w:sz w:val="16"/>
                <w:szCs w:val="16"/>
              </w:rPr>
              <w:t>CRD42023425505</w:t>
            </w:r>
          </w:p>
        </w:tc>
        <w:tc>
          <w:tcPr>
            <w:tcW w:w="708" w:type="dxa"/>
            <w:shd w:val="clear" w:color="auto" w:fill="auto"/>
          </w:tcPr>
          <w:p w14:paraId="2E8897D1" w14:textId="0B921901" w:rsidR="00BD188B" w:rsidRPr="00D518FF" w:rsidRDefault="00F7264E">
            <w:pPr>
              <w:rPr>
                <w:rFonts w:ascii="Aptos" w:hAnsi="Aptos"/>
                <w:color w:val="000000"/>
                <w:sz w:val="16"/>
                <w:szCs w:val="16"/>
              </w:rPr>
            </w:pPr>
            <w:r>
              <w:rPr>
                <w:rFonts w:ascii="Aptos" w:hAnsi="Aptos"/>
                <w:color w:val="000000"/>
                <w:sz w:val="16"/>
                <w:szCs w:val="16"/>
              </w:rPr>
              <w:t>-</w:t>
            </w:r>
          </w:p>
        </w:tc>
        <w:tc>
          <w:tcPr>
            <w:tcW w:w="709" w:type="dxa"/>
            <w:shd w:val="clear" w:color="auto" w:fill="auto"/>
          </w:tcPr>
          <w:p w14:paraId="2EC75398" w14:textId="3F943FD2" w:rsidR="00BD188B" w:rsidRPr="00D518FF" w:rsidRDefault="00F7264E">
            <w:pPr>
              <w:rPr>
                <w:rFonts w:ascii="Aptos" w:hAnsi="Aptos"/>
                <w:color w:val="000000"/>
                <w:sz w:val="16"/>
                <w:szCs w:val="16"/>
              </w:rPr>
            </w:pPr>
            <w:r>
              <w:rPr>
                <w:rFonts w:ascii="Aptos" w:hAnsi="Aptos"/>
                <w:color w:val="000000"/>
                <w:sz w:val="16"/>
                <w:szCs w:val="16"/>
              </w:rPr>
              <w:t>-</w:t>
            </w:r>
          </w:p>
        </w:tc>
        <w:tc>
          <w:tcPr>
            <w:tcW w:w="2410" w:type="dxa"/>
            <w:shd w:val="clear" w:color="auto" w:fill="auto"/>
            <w:hideMark/>
          </w:tcPr>
          <w:p w14:paraId="2FDEBADF" w14:textId="77777777" w:rsidR="00BD188B" w:rsidRPr="00D518FF" w:rsidRDefault="00BD188B">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058464E9" w14:textId="77777777" w:rsidTr="004C6AA1">
        <w:trPr>
          <w:trHeight w:val="340"/>
        </w:trPr>
        <w:tc>
          <w:tcPr>
            <w:tcW w:w="4248" w:type="dxa"/>
            <w:shd w:val="clear" w:color="auto" w:fill="auto"/>
            <w:noWrap/>
            <w:hideMark/>
          </w:tcPr>
          <w:p w14:paraId="233AE6E6" w14:textId="77777777" w:rsidR="008F3151" w:rsidRPr="00D518FF" w:rsidRDefault="008F3151">
            <w:pPr>
              <w:rPr>
                <w:rFonts w:ascii="Aptos" w:hAnsi="Aptos"/>
                <w:color w:val="000000"/>
                <w:sz w:val="16"/>
                <w:szCs w:val="16"/>
              </w:rPr>
            </w:pPr>
            <w:r w:rsidRPr="00D518FF">
              <w:rPr>
                <w:rFonts w:ascii="Aptos" w:hAnsi="Aptos"/>
                <w:color w:val="000000"/>
                <w:sz w:val="16"/>
                <w:szCs w:val="16"/>
              </w:rPr>
              <w:t>Could nutrition modulate COVID-19 susceptibility and severity of disease? A systematic review</w:t>
            </w:r>
          </w:p>
        </w:tc>
        <w:tc>
          <w:tcPr>
            <w:tcW w:w="3544" w:type="dxa"/>
            <w:shd w:val="clear" w:color="auto" w:fill="auto"/>
            <w:noWrap/>
            <w:hideMark/>
          </w:tcPr>
          <w:p w14:paraId="25B8B835" w14:textId="77777777" w:rsidR="008F3151" w:rsidRPr="00D518FF" w:rsidRDefault="008F3151">
            <w:pPr>
              <w:rPr>
                <w:rFonts w:ascii="Aptos" w:hAnsi="Aptos"/>
                <w:color w:val="000000"/>
                <w:sz w:val="16"/>
                <w:szCs w:val="16"/>
              </w:rPr>
            </w:pPr>
            <w:r w:rsidRPr="00D518FF">
              <w:rPr>
                <w:rFonts w:ascii="Aptos" w:hAnsi="Aptos"/>
                <w:color w:val="000000"/>
                <w:sz w:val="16"/>
                <w:szCs w:val="16"/>
              </w:rPr>
              <w:t>Philip Thomas, James; Zakary, Ali; Andrew, E. Armitage; Ana, Bonell; Carla, Cerami; Hal, Drakesmith; Modou, Jobe; Kerry, S. Jones; Zara, Liew; Sophie, E. Moore; Fernanda, Morales-Berstein; Helen, Nabwera; Behzad, Nadjm; Sant-Rayn, Pasricha; Pauline, Scheelbeek; Matt, J. Silver; Megan, R. Teh; Andrew, M. Prentice; Asher, Brenner; Yair, E. Lewis; Eran, Friedler; Yael, Gilboa; Sara, Sabach; Yuval, Alfiya; Uta, Cheruti; Nadav, Davidovitch; Natalya, Bilenko; Jacob, Moran-Gilad; Yakir, Berchenko; Itay, Bar-Or; Ariel, Kushmaro; Timothy, Spector; Claire, J. Steves</w:t>
            </w:r>
          </w:p>
        </w:tc>
        <w:tc>
          <w:tcPr>
            <w:tcW w:w="567" w:type="dxa"/>
            <w:shd w:val="clear" w:color="auto" w:fill="auto"/>
            <w:noWrap/>
            <w:hideMark/>
          </w:tcPr>
          <w:p w14:paraId="3A7F9B00"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4C6A2F5B" w14:textId="01682100" w:rsidR="008F3151" w:rsidRPr="00D518FF" w:rsidRDefault="00175DCD">
            <w:pPr>
              <w:rPr>
                <w:rFonts w:ascii="Aptos" w:hAnsi="Aptos"/>
                <w:color w:val="000000"/>
                <w:sz w:val="16"/>
                <w:szCs w:val="16"/>
              </w:rPr>
            </w:pPr>
            <w:r>
              <w:rPr>
                <w:rFonts w:ascii="Aptos" w:hAnsi="Aptos"/>
                <w:color w:val="000000"/>
                <w:sz w:val="16"/>
                <w:szCs w:val="16"/>
              </w:rPr>
              <w:t>PRSOPERO</w:t>
            </w:r>
          </w:p>
        </w:tc>
        <w:tc>
          <w:tcPr>
            <w:tcW w:w="851" w:type="dxa"/>
            <w:shd w:val="clear" w:color="auto" w:fill="auto"/>
            <w:noWrap/>
            <w:hideMark/>
          </w:tcPr>
          <w:p w14:paraId="20A7A687" w14:textId="7E720456" w:rsidR="008F3151" w:rsidRPr="00D518FF" w:rsidRDefault="00175DCD">
            <w:pPr>
              <w:rPr>
                <w:rFonts w:ascii="Aptos" w:hAnsi="Aptos"/>
                <w:color w:val="000000"/>
                <w:sz w:val="16"/>
                <w:szCs w:val="16"/>
              </w:rPr>
            </w:pPr>
            <w:r w:rsidRPr="00175DCD">
              <w:rPr>
                <w:rFonts w:ascii="Aptos" w:hAnsi="Aptos"/>
                <w:color w:val="000000"/>
                <w:sz w:val="16"/>
                <w:szCs w:val="16"/>
              </w:rPr>
              <w:t>CRD42020186194</w:t>
            </w:r>
          </w:p>
        </w:tc>
        <w:tc>
          <w:tcPr>
            <w:tcW w:w="708" w:type="dxa"/>
            <w:shd w:val="clear" w:color="auto" w:fill="auto"/>
            <w:noWrap/>
            <w:hideMark/>
          </w:tcPr>
          <w:p w14:paraId="5AAC552B" w14:textId="75B9ED4C" w:rsidR="008F3151" w:rsidRPr="00D518FF" w:rsidRDefault="00175DCD">
            <w:pPr>
              <w:rPr>
                <w:rFonts w:ascii="Aptos" w:hAnsi="Aptos"/>
                <w:sz w:val="16"/>
                <w:szCs w:val="16"/>
              </w:rPr>
            </w:pPr>
            <w:r>
              <w:rPr>
                <w:rFonts w:ascii="Aptos" w:hAnsi="Aptos"/>
                <w:sz w:val="16"/>
                <w:szCs w:val="16"/>
              </w:rPr>
              <w:t>-</w:t>
            </w:r>
          </w:p>
        </w:tc>
        <w:tc>
          <w:tcPr>
            <w:tcW w:w="709" w:type="dxa"/>
            <w:shd w:val="clear" w:color="auto" w:fill="auto"/>
            <w:noWrap/>
            <w:hideMark/>
          </w:tcPr>
          <w:p w14:paraId="204C4171" w14:textId="7332579F" w:rsidR="008F3151" w:rsidRPr="00D518FF" w:rsidRDefault="00175DCD">
            <w:pPr>
              <w:rPr>
                <w:rFonts w:ascii="Aptos" w:hAnsi="Aptos"/>
                <w:sz w:val="16"/>
                <w:szCs w:val="16"/>
              </w:rPr>
            </w:pPr>
            <w:r>
              <w:rPr>
                <w:rFonts w:ascii="Aptos" w:hAnsi="Aptos"/>
                <w:sz w:val="16"/>
                <w:szCs w:val="16"/>
              </w:rPr>
              <w:t>-</w:t>
            </w:r>
          </w:p>
        </w:tc>
        <w:tc>
          <w:tcPr>
            <w:tcW w:w="2410" w:type="dxa"/>
            <w:shd w:val="clear" w:color="auto" w:fill="auto"/>
            <w:hideMark/>
          </w:tcPr>
          <w:p w14:paraId="28775854"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0F659352" w14:textId="77777777" w:rsidTr="004C6AA1">
        <w:trPr>
          <w:trHeight w:val="340"/>
        </w:trPr>
        <w:tc>
          <w:tcPr>
            <w:tcW w:w="4248" w:type="dxa"/>
            <w:shd w:val="clear" w:color="auto" w:fill="auto"/>
            <w:noWrap/>
            <w:hideMark/>
          </w:tcPr>
          <w:p w14:paraId="432002AE" w14:textId="77777777" w:rsidR="008F3151" w:rsidRPr="00D518FF" w:rsidRDefault="008F3151">
            <w:pPr>
              <w:rPr>
                <w:rFonts w:ascii="Aptos" w:hAnsi="Aptos"/>
                <w:color w:val="000000"/>
                <w:sz w:val="16"/>
                <w:szCs w:val="16"/>
              </w:rPr>
            </w:pPr>
            <w:r w:rsidRPr="00D518FF">
              <w:rPr>
                <w:rFonts w:ascii="Aptos" w:hAnsi="Aptos"/>
                <w:color w:val="000000"/>
                <w:sz w:val="16"/>
                <w:szCs w:val="16"/>
              </w:rPr>
              <w:t>A systematic review of multivitamin and multimineral supplementation for infection</w:t>
            </w:r>
          </w:p>
        </w:tc>
        <w:tc>
          <w:tcPr>
            <w:tcW w:w="3544" w:type="dxa"/>
            <w:shd w:val="clear" w:color="auto" w:fill="auto"/>
            <w:noWrap/>
            <w:hideMark/>
          </w:tcPr>
          <w:p w14:paraId="3E13A45A" w14:textId="77777777" w:rsidR="008F3151" w:rsidRPr="00D518FF" w:rsidRDefault="008F3151">
            <w:pPr>
              <w:rPr>
                <w:rFonts w:ascii="Aptos" w:hAnsi="Aptos"/>
                <w:color w:val="000000"/>
                <w:sz w:val="16"/>
                <w:szCs w:val="16"/>
              </w:rPr>
            </w:pPr>
            <w:r w:rsidRPr="00D518FF">
              <w:rPr>
                <w:rFonts w:ascii="Aptos" w:hAnsi="Aptos"/>
                <w:color w:val="000000"/>
                <w:sz w:val="16"/>
                <w:szCs w:val="16"/>
              </w:rPr>
              <w:t>Stephen, A. I.; Avenell, A.</w:t>
            </w:r>
          </w:p>
        </w:tc>
        <w:tc>
          <w:tcPr>
            <w:tcW w:w="567" w:type="dxa"/>
            <w:shd w:val="clear" w:color="auto" w:fill="auto"/>
            <w:noWrap/>
            <w:hideMark/>
          </w:tcPr>
          <w:p w14:paraId="1294F40E" w14:textId="77777777" w:rsidR="008F3151" w:rsidRPr="00D518FF" w:rsidRDefault="008F3151">
            <w:pPr>
              <w:rPr>
                <w:rFonts w:ascii="Aptos" w:hAnsi="Aptos"/>
                <w:color w:val="000000"/>
                <w:sz w:val="16"/>
                <w:szCs w:val="16"/>
              </w:rPr>
            </w:pPr>
            <w:r w:rsidRPr="00D518FF">
              <w:rPr>
                <w:rFonts w:ascii="Aptos" w:hAnsi="Aptos"/>
                <w:color w:val="000000"/>
                <w:sz w:val="16"/>
                <w:szCs w:val="16"/>
              </w:rPr>
              <w:t>2006</w:t>
            </w:r>
          </w:p>
        </w:tc>
        <w:tc>
          <w:tcPr>
            <w:tcW w:w="1417" w:type="dxa"/>
            <w:shd w:val="clear" w:color="auto" w:fill="auto"/>
            <w:noWrap/>
            <w:hideMark/>
          </w:tcPr>
          <w:p w14:paraId="77636B04"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Human Nutrition and Dietetics</w:t>
            </w:r>
          </w:p>
        </w:tc>
        <w:tc>
          <w:tcPr>
            <w:tcW w:w="851" w:type="dxa"/>
            <w:shd w:val="clear" w:color="auto" w:fill="auto"/>
            <w:noWrap/>
            <w:hideMark/>
          </w:tcPr>
          <w:p w14:paraId="3C0D5F8E" w14:textId="77777777" w:rsidR="008F3151" w:rsidRPr="00D518FF" w:rsidRDefault="008F3151">
            <w:pPr>
              <w:rPr>
                <w:rFonts w:ascii="Aptos" w:hAnsi="Aptos"/>
                <w:color w:val="000000"/>
                <w:sz w:val="16"/>
                <w:szCs w:val="16"/>
              </w:rPr>
            </w:pPr>
            <w:r w:rsidRPr="00D518FF">
              <w:rPr>
                <w:rFonts w:ascii="Aptos" w:hAnsi="Aptos"/>
                <w:color w:val="000000"/>
                <w:sz w:val="16"/>
                <w:szCs w:val="16"/>
              </w:rPr>
              <w:t>19</w:t>
            </w:r>
          </w:p>
        </w:tc>
        <w:tc>
          <w:tcPr>
            <w:tcW w:w="708" w:type="dxa"/>
            <w:shd w:val="clear" w:color="auto" w:fill="auto"/>
            <w:noWrap/>
            <w:hideMark/>
          </w:tcPr>
          <w:p w14:paraId="6817A206"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6DAFBF68" w14:textId="77777777" w:rsidR="008F3151" w:rsidRPr="00D518FF" w:rsidRDefault="008F3151">
            <w:pPr>
              <w:rPr>
                <w:rFonts w:ascii="Aptos" w:hAnsi="Aptos"/>
                <w:color w:val="000000"/>
                <w:sz w:val="16"/>
                <w:szCs w:val="16"/>
              </w:rPr>
            </w:pPr>
            <w:r w:rsidRPr="00D518FF">
              <w:rPr>
                <w:rFonts w:ascii="Aptos" w:hAnsi="Aptos"/>
                <w:color w:val="000000"/>
                <w:sz w:val="16"/>
                <w:szCs w:val="16"/>
              </w:rPr>
              <w:t>179-190</w:t>
            </w:r>
          </w:p>
        </w:tc>
        <w:tc>
          <w:tcPr>
            <w:tcW w:w="2410" w:type="dxa"/>
            <w:shd w:val="clear" w:color="auto" w:fill="auto"/>
            <w:hideMark/>
          </w:tcPr>
          <w:p w14:paraId="0A4EE2F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1E15C455" w14:textId="77777777" w:rsidTr="004C6AA1">
        <w:trPr>
          <w:trHeight w:val="340"/>
        </w:trPr>
        <w:tc>
          <w:tcPr>
            <w:tcW w:w="4248" w:type="dxa"/>
            <w:shd w:val="clear" w:color="auto" w:fill="auto"/>
            <w:noWrap/>
            <w:hideMark/>
          </w:tcPr>
          <w:p w14:paraId="46D15AC0" w14:textId="77777777" w:rsidR="008F3151" w:rsidRPr="00D518FF" w:rsidRDefault="008F3151">
            <w:pPr>
              <w:rPr>
                <w:rFonts w:ascii="Aptos" w:hAnsi="Aptos"/>
                <w:color w:val="000000"/>
                <w:sz w:val="16"/>
                <w:szCs w:val="16"/>
              </w:rPr>
            </w:pPr>
            <w:r w:rsidRPr="00D518FF">
              <w:rPr>
                <w:rFonts w:ascii="Aptos" w:hAnsi="Aptos"/>
                <w:color w:val="000000"/>
                <w:sz w:val="16"/>
                <w:szCs w:val="16"/>
              </w:rPr>
              <w:t>Role of zinc administration in prevention of childhood diarrhea and respiratory illnesses: A meta-analysis</w:t>
            </w:r>
          </w:p>
        </w:tc>
        <w:tc>
          <w:tcPr>
            <w:tcW w:w="3544" w:type="dxa"/>
            <w:shd w:val="clear" w:color="auto" w:fill="auto"/>
            <w:noWrap/>
            <w:hideMark/>
          </w:tcPr>
          <w:p w14:paraId="689346CC" w14:textId="77777777" w:rsidR="008F3151" w:rsidRPr="00D518FF" w:rsidRDefault="008F3151">
            <w:pPr>
              <w:rPr>
                <w:rFonts w:ascii="Aptos" w:hAnsi="Aptos"/>
                <w:color w:val="000000"/>
                <w:sz w:val="16"/>
                <w:szCs w:val="16"/>
              </w:rPr>
            </w:pPr>
            <w:r w:rsidRPr="00D518FF">
              <w:rPr>
                <w:rFonts w:ascii="Aptos" w:hAnsi="Aptos"/>
                <w:color w:val="000000"/>
                <w:sz w:val="16"/>
                <w:szCs w:val="16"/>
              </w:rPr>
              <w:t>Aggarwal, R.; Sentz, J.; Miller, M. A.</w:t>
            </w:r>
          </w:p>
        </w:tc>
        <w:tc>
          <w:tcPr>
            <w:tcW w:w="567" w:type="dxa"/>
            <w:shd w:val="clear" w:color="auto" w:fill="auto"/>
            <w:noWrap/>
            <w:hideMark/>
          </w:tcPr>
          <w:p w14:paraId="750FF226" w14:textId="77777777" w:rsidR="008F3151" w:rsidRPr="00D518FF" w:rsidRDefault="008F3151">
            <w:pPr>
              <w:rPr>
                <w:rFonts w:ascii="Aptos" w:hAnsi="Aptos"/>
                <w:color w:val="000000"/>
                <w:sz w:val="16"/>
                <w:szCs w:val="16"/>
              </w:rPr>
            </w:pPr>
            <w:r w:rsidRPr="00D518FF">
              <w:rPr>
                <w:rFonts w:ascii="Aptos" w:hAnsi="Aptos"/>
                <w:color w:val="000000"/>
                <w:sz w:val="16"/>
                <w:szCs w:val="16"/>
              </w:rPr>
              <w:t>2007</w:t>
            </w:r>
          </w:p>
        </w:tc>
        <w:tc>
          <w:tcPr>
            <w:tcW w:w="1417" w:type="dxa"/>
            <w:shd w:val="clear" w:color="auto" w:fill="auto"/>
            <w:noWrap/>
            <w:hideMark/>
          </w:tcPr>
          <w:p w14:paraId="7FC9872C" w14:textId="77777777" w:rsidR="008F3151" w:rsidRPr="00D518FF" w:rsidRDefault="008F3151">
            <w:pPr>
              <w:rPr>
                <w:rFonts w:ascii="Aptos" w:hAnsi="Aptos"/>
                <w:color w:val="000000"/>
                <w:sz w:val="16"/>
                <w:szCs w:val="16"/>
              </w:rPr>
            </w:pPr>
            <w:r w:rsidRPr="00D518FF">
              <w:rPr>
                <w:rFonts w:ascii="Aptos" w:hAnsi="Aptos"/>
                <w:color w:val="000000"/>
                <w:sz w:val="16"/>
                <w:szCs w:val="16"/>
              </w:rPr>
              <w:t>Pediatrics</w:t>
            </w:r>
          </w:p>
        </w:tc>
        <w:tc>
          <w:tcPr>
            <w:tcW w:w="851" w:type="dxa"/>
            <w:shd w:val="clear" w:color="auto" w:fill="auto"/>
            <w:noWrap/>
            <w:hideMark/>
          </w:tcPr>
          <w:p w14:paraId="7153AE6C" w14:textId="77777777" w:rsidR="008F3151" w:rsidRPr="00D518FF" w:rsidRDefault="008F3151">
            <w:pPr>
              <w:rPr>
                <w:rFonts w:ascii="Aptos" w:hAnsi="Aptos"/>
                <w:color w:val="000000"/>
                <w:sz w:val="16"/>
                <w:szCs w:val="16"/>
              </w:rPr>
            </w:pPr>
            <w:r w:rsidRPr="00D518FF">
              <w:rPr>
                <w:rFonts w:ascii="Aptos" w:hAnsi="Aptos"/>
                <w:color w:val="000000"/>
                <w:sz w:val="16"/>
                <w:szCs w:val="16"/>
              </w:rPr>
              <w:t>119</w:t>
            </w:r>
          </w:p>
        </w:tc>
        <w:tc>
          <w:tcPr>
            <w:tcW w:w="708" w:type="dxa"/>
            <w:shd w:val="clear" w:color="auto" w:fill="auto"/>
            <w:noWrap/>
            <w:hideMark/>
          </w:tcPr>
          <w:p w14:paraId="325766C9"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709" w:type="dxa"/>
            <w:shd w:val="clear" w:color="auto" w:fill="auto"/>
            <w:noWrap/>
            <w:hideMark/>
          </w:tcPr>
          <w:p w14:paraId="5E0F091B" w14:textId="77777777" w:rsidR="008F3151" w:rsidRPr="00D518FF" w:rsidRDefault="008F3151">
            <w:pPr>
              <w:rPr>
                <w:rFonts w:ascii="Aptos" w:hAnsi="Aptos"/>
                <w:color w:val="000000"/>
                <w:sz w:val="16"/>
                <w:szCs w:val="16"/>
              </w:rPr>
            </w:pPr>
            <w:r w:rsidRPr="00D518FF">
              <w:rPr>
                <w:rFonts w:ascii="Aptos" w:hAnsi="Aptos"/>
                <w:color w:val="000000"/>
                <w:sz w:val="16"/>
                <w:szCs w:val="16"/>
              </w:rPr>
              <w:t>1120-1130</w:t>
            </w:r>
          </w:p>
        </w:tc>
        <w:tc>
          <w:tcPr>
            <w:tcW w:w="2410" w:type="dxa"/>
            <w:shd w:val="clear" w:color="auto" w:fill="auto"/>
            <w:hideMark/>
          </w:tcPr>
          <w:p w14:paraId="01DD33B8"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24B87ACC" w14:textId="77777777" w:rsidTr="004C6AA1">
        <w:trPr>
          <w:trHeight w:val="340"/>
        </w:trPr>
        <w:tc>
          <w:tcPr>
            <w:tcW w:w="4248" w:type="dxa"/>
            <w:shd w:val="clear" w:color="auto" w:fill="auto"/>
            <w:noWrap/>
            <w:hideMark/>
          </w:tcPr>
          <w:p w14:paraId="4419A3FC"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Zinc and selenium supplementation in COVID-19 prevention and treatment: a systematic review of the experimental studies</w:t>
            </w:r>
          </w:p>
        </w:tc>
        <w:tc>
          <w:tcPr>
            <w:tcW w:w="3544" w:type="dxa"/>
            <w:shd w:val="clear" w:color="auto" w:fill="auto"/>
            <w:noWrap/>
            <w:hideMark/>
          </w:tcPr>
          <w:p w14:paraId="26B4C062" w14:textId="77777777" w:rsidR="008F3151" w:rsidRPr="00D518FF" w:rsidRDefault="008F3151">
            <w:pPr>
              <w:rPr>
                <w:rFonts w:ascii="Aptos" w:hAnsi="Aptos"/>
                <w:color w:val="000000"/>
                <w:sz w:val="16"/>
                <w:szCs w:val="16"/>
              </w:rPr>
            </w:pPr>
            <w:r w:rsidRPr="00D518FF">
              <w:rPr>
                <w:rFonts w:ascii="Aptos" w:hAnsi="Aptos"/>
                <w:color w:val="000000"/>
                <w:sz w:val="16"/>
                <w:szCs w:val="16"/>
              </w:rPr>
              <w:t>Balboni, E.; Zagnoli, F.; Filippini, T.; Fairweather-Tait, S. J.; Vinceti, M.</w:t>
            </w:r>
          </w:p>
        </w:tc>
        <w:tc>
          <w:tcPr>
            <w:tcW w:w="567" w:type="dxa"/>
            <w:shd w:val="clear" w:color="auto" w:fill="auto"/>
            <w:noWrap/>
            <w:hideMark/>
          </w:tcPr>
          <w:p w14:paraId="7F452E2A"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1C08F4CD"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trace elements in medicine and biology : organ of the Society for Minerals and Trace Elements (GMS)</w:t>
            </w:r>
          </w:p>
        </w:tc>
        <w:tc>
          <w:tcPr>
            <w:tcW w:w="851" w:type="dxa"/>
            <w:shd w:val="clear" w:color="auto" w:fill="auto"/>
            <w:noWrap/>
            <w:hideMark/>
          </w:tcPr>
          <w:p w14:paraId="1EA4138C" w14:textId="77777777" w:rsidR="008F3151" w:rsidRPr="00D518FF" w:rsidRDefault="008F3151">
            <w:pPr>
              <w:rPr>
                <w:rFonts w:ascii="Aptos" w:hAnsi="Aptos"/>
                <w:color w:val="000000"/>
                <w:sz w:val="16"/>
                <w:szCs w:val="16"/>
              </w:rPr>
            </w:pPr>
            <w:r w:rsidRPr="00D518FF">
              <w:rPr>
                <w:rFonts w:ascii="Aptos" w:hAnsi="Aptos"/>
                <w:color w:val="000000"/>
                <w:sz w:val="16"/>
                <w:szCs w:val="16"/>
              </w:rPr>
              <w:t>71</w:t>
            </w:r>
          </w:p>
        </w:tc>
        <w:tc>
          <w:tcPr>
            <w:tcW w:w="708" w:type="dxa"/>
            <w:shd w:val="clear" w:color="auto" w:fill="auto"/>
            <w:noWrap/>
            <w:hideMark/>
          </w:tcPr>
          <w:p w14:paraId="178EA8BF" w14:textId="77777777" w:rsidR="008F3151" w:rsidRPr="00D518FF" w:rsidRDefault="008F3151">
            <w:pPr>
              <w:rPr>
                <w:rFonts w:ascii="Aptos" w:hAnsi="Aptos"/>
                <w:color w:val="000000"/>
                <w:sz w:val="16"/>
                <w:szCs w:val="16"/>
              </w:rPr>
            </w:pPr>
          </w:p>
        </w:tc>
        <w:tc>
          <w:tcPr>
            <w:tcW w:w="709" w:type="dxa"/>
            <w:shd w:val="clear" w:color="auto" w:fill="auto"/>
            <w:noWrap/>
            <w:hideMark/>
          </w:tcPr>
          <w:p w14:paraId="56EC546B" w14:textId="77777777" w:rsidR="008F3151" w:rsidRPr="00D518FF" w:rsidRDefault="008F3151">
            <w:pPr>
              <w:rPr>
                <w:rFonts w:ascii="Aptos" w:hAnsi="Aptos"/>
                <w:color w:val="000000"/>
                <w:sz w:val="16"/>
                <w:szCs w:val="16"/>
              </w:rPr>
            </w:pPr>
            <w:r w:rsidRPr="00D518FF">
              <w:rPr>
                <w:rFonts w:ascii="Aptos" w:hAnsi="Aptos"/>
                <w:color w:val="000000"/>
                <w:sz w:val="16"/>
                <w:szCs w:val="16"/>
              </w:rPr>
              <w:t>126956</w:t>
            </w:r>
          </w:p>
        </w:tc>
        <w:tc>
          <w:tcPr>
            <w:tcW w:w="2410" w:type="dxa"/>
            <w:shd w:val="clear" w:color="auto" w:fill="auto"/>
            <w:hideMark/>
          </w:tcPr>
          <w:p w14:paraId="436F6D14"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0799BD3A" w14:textId="77777777" w:rsidTr="00887C84">
        <w:trPr>
          <w:trHeight w:val="340"/>
        </w:trPr>
        <w:tc>
          <w:tcPr>
            <w:tcW w:w="4248" w:type="dxa"/>
            <w:shd w:val="clear" w:color="auto" w:fill="auto"/>
            <w:noWrap/>
            <w:hideMark/>
          </w:tcPr>
          <w:p w14:paraId="544BB87A" w14:textId="77777777" w:rsidR="00BD188B" w:rsidRPr="00D518FF" w:rsidRDefault="00BD188B">
            <w:pPr>
              <w:rPr>
                <w:rFonts w:ascii="Aptos" w:hAnsi="Aptos"/>
                <w:color w:val="000000"/>
                <w:sz w:val="16"/>
                <w:szCs w:val="16"/>
              </w:rPr>
            </w:pPr>
            <w:r w:rsidRPr="00D518FF">
              <w:rPr>
                <w:rFonts w:ascii="Aptos" w:hAnsi="Aptos"/>
                <w:color w:val="000000"/>
                <w:sz w:val="16"/>
                <w:szCs w:val="16"/>
              </w:rPr>
              <w:t>Effect of Zinc and vitamin A supplementation on tuberculosis treatment outcomes and clinical responses: a systematic review and meta-analysis</w:t>
            </w:r>
          </w:p>
        </w:tc>
        <w:tc>
          <w:tcPr>
            <w:tcW w:w="3544" w:type="dxa"/>
            <w:shd w:val="clear" w:color="auto" w:fill="auto"/>
            <w:noWrap/>
            <w:hideMark/>
          </w:tcPr>
          <w:p w14:paraId="43E8185A" w14:textId="429F328C" w:rsidR="00BD188B" w:rsidRPr="00D518FF" w:rsidRDefault="000656E6">
            <w:pPr>
              <w:rPr>
                <w:rFonts w:ascii="Aptos" w:hAnsi="Aptos"/>
                <w:color w:val="000000"/>
                <w:sz w:val="16"/>
                <w:szCs w:val="16"/>
              </w:rPr>
            </w:pPr>
            <w:r w:rsidRPr="000656E6">
              <w:rPr>
                <w:rFonts w:ascii="Aptos" w:hAnsi="Aptos"/>
                <w:color w:val="000000"/>
                <w:sz w:val="16"/>
                <w:szCs w:val="16"/>
              </w:rPr>
              <w:t>Wagnew F, Alene KA, Eshetie S, Wingfield T, Kelly M, Gray D</w:t>
            </w:r>
          </w:p>
        </w:tc>
        <w:tc>
          <w:tcPr>
            <w:tcW w:w="567" w:type="dxa"/>
            <w:shd w:val="clear" w:color="auto" w:fill="auto"/>
          </w:tcPr>
          <w:p w14:paraId="39FB2011" w14:textId="79AA7EAA" w:rsidR="00BD188B" w:rsidRPr="00D518FF" w:rsidRDefault="000656E6">
            <w:pPr>
              <w:rPr>
                <w:rFonts w:ascii="Aptos" w:hAnsi="Aptos"/>
                <w:color w:val="000000"/>
                <w:sz w:val="16"/>
                <w:szCs w:val="16"/>
              </w:rPr>
            </w:pPr>
            <w:r>
              <w:rPr>
                <w:rFonts w:ascii="Aptos" w:hAnsi="Aptos"/>
                <w:color w:val="000000"/>
                <w:sz w:val="16"/>
                <w:szCs w:val="16"/>
              </w:rPr>
              <w:t>2022</w:t>
            </w:r>
          </w:p>
        </w:tc>
        <w:tc>
          <w:tcPr>
            <w:tcW w:w="1417" w:type="dxa"/>
            <w:shd w:val="clear" w:color="auto" w:fill="auto"/>
          </w:tcPr>
          <w:p w14:paraId="720A112D" w14:textId="02839C21" w:rsidR="00BD188B" w:rsidRPr="00D518FF" w:rsidRDefault="000656E6">
            <w:pPr>
              <w:rPr>
                <w:rFonts w:ascii="Aptos" w:hAnsi="Aptos"/>
                <w:color w:val="000000"/>
                <w:sz w:val="16"/>
                <w:szCs w:val="16"/>
              </w:rPr>
            </w:pPr>
            <w:r w:rsidRPr="000656E6">
              <w:rPr>
                <w:rFonts w:ascii="Aptos" w:hAnsi="Aptos"/>
                <w:color w:val="000000"/>
                <w:sz w:val="16"/>
                <w:szCs w:val="16"/>
              </w:rPr>
              <w:t>BMJ Glob Health</w:t>
            </w:r>
          </w:p>
        </w:tc>
        <w:tc>
          <w:tcPr>
            <w:tcW w:w="851" w:type="dxa"/>
            <w:shd w:val="clear" w:color="auto" w:fill="auto"/>
          </w:tcPr>
          <w:p w14:paraId="0741E5DC" w14:textId="198DDAA4" w:rsidR="00BD188B" w:rsidRPr="00D518FF" w:rsidRDefault="000656E6">
            <w:pPr>
              <w:rPr>
                <w:rFonts w:ascii="Aptos" w:hAnsi="Aptos"/>
                <w:color w:val="000000"/>
                <w:sz w:val="16"/>
                <w:szCs w:val="16"/>
              </w:rPr>
            </w:pPr>
            <w:r>
              <w:rPr>
                <w:rFonts w:ascii="Aptos" w:hAnsi="Aptos"/>
                <w:color w:val="000000"/>
                <w:sz w:val="16"/>
                <w:szCs w:val="16"/>
              </w:rPr>
              <w:t>7</w:t>
            </w:r>
          </w:p>
        </w:tc>
        <w:tc>
          <w:tcPr>
            <w:tcW w:w="708" w:type="dxa"/>
            <w:shd w:val="clear" w:color="auto" w:fill="auto"/>
          </w:tcPr>
          <w:p w14:paraId="77F10E63" w14:textId="608DB1E9" w:rsidR="00BD188B" w:rsidRPr="00D518FF" w:rsidRDefault="000656E6">
            <w:pPr>
              <w:rPr>
                <w:rFonts w:ascii="Aptos" w:hAnsi="Aptos"/>
                <w:color w:val="000000"/>
                <w:sz w:val="16"/>
                <w:szCs w:val="16"/>
              </w:rPr>
            </w:pPr>
            <w:r>
              <w:rPr>
                <w:rFonts w:ascii="Aptos" w:hAnsi="Aptos"/>
                <w:color w:val="000000"/>
                <w:sz w:val="16"/>
                <w:szCs w:val="16"/>
              </w:rPr>
              <w:t>9</w:t>
            </w:r>
          </w:p>
        </w:tc>
        <w:tc>
          <w:tcPr>
            <w:tcW w:w="709" w:type="dxa"/>
            <w:shd w:val="clear" w:color="auto" w:fill="auto"/>
            <w:noWrap/>
            <w:hideMark/>
          </w:tcPr>
          <w:p w14:paraId="75C1E5A5" w14:textId="3C21D201" w:rsidR="00BD188B" w:rsidRPr="00D518FF" w:rsidRDefault="000656E6">
            <w:pPr>
              <w:rPr>
                <w:rFonts w:ascii="Aptos" w:hAnsi="Aptos"/>
                <w:color w:val="000000"/>
                <w:sz w:val="16"/>
                <w:szCs w:val="16"/>
              </w:rPr>
            </w:pPr>
            <w:r w:rsidRPr="000656E6">
              <w:rPr>
                <w:rFonts w:ascii="Aptos" w:hAnsi="Aptos"/>
                <w:color w:val="000000"/>
                <w:sz w:val="16"/>
                <w:szCs w:val="16"/>
              </w:rPr>
              <w:t>e008625</w:t>
            </w:r>
          </w:p>
        </w:tc>
        <w:tc>
          <w:tcPr>
            <w:tcW w:w="2410" w:type="dxa"/>
            <w:shd w:val="clear" w:color="auto" w:fill="auto"/>
            <w:hideMark/>
          </w:tcPr>
          <w:p w14:paraId="2A93EA8C" w14:textId="77777777" w:rsidR="00BD188B" w:rsidRPr="00D518FF" w:rsidRDefault="00BD188B">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36BBE071" w14:textId="77777777" w:rsidTr="004C6AA1">
        <w:trPr>
          <w:trHeight w:val="340"/>
        </w:trPr>
        <w:tc>
          <w:tcPr>
            <w:tcW w:w="4248" w:type="dxa"/>
            <w:shd w:val="clear" w:color="auto" w:fill="auto"/>
            <w:noWrap/>
            <w:hideMark/>
          </w:tcPr>
          <w:p w14:paraId="2FFD0EAC" w14:textId="77777777" w:rsidR="008F3151" w:rsidRPr="00D518FF" w:rsidRDefault="008F3151">
            <w:pPr>
              <w:rPr>
                <w:rFonts w:ascii="Aptos" w:hAnsi="Aptos"/>
                <w:color w:val="000000"/>
                <w:sz w:val="16"/>
                <w:szCs w:val="16"/>
              </w:rPr>
            </w:pPr>
            <w:r w:rsidRPr="00D518FF">
              <w:rPr>
                <w:rFonts w:ascii="Aptos" w:hAnsi="Aptos"/>
                <w:color w:val="000000"/>
                <w:sz w:val="16"/>
                <w:szCs w:val="16"/>
              </w:rPr>
              <w:t>Zinc for the prevention or treatment of acute viral respiratory tract infections in adults: a rapid systematic review and meta-analysis of randomised controlled trials</w:t>
            </w:r>
          </w:p>
        </w:tc>
        <w:tc>
          <w:tcPr>
            <w:tcW w:w="3544" w:type="dxa"/>
            <w:shd w:val="clear" w:color="auto" w:fill="auto"/>
            <w:noWrap/>
            <w:hideMark/>
          </w:tcPr>
          <w:p w14:paraId="1A28A398" w14:textId="77777777" w:rsidR="008F3151" w:rsidRPr="00D518FF" w:rsidRDefault="008F3151">
            <w:pPr>
              <w:rPr>
                <w:rFonts w:ascii="Aptos" w:hAnsi="Aptos"/>
                <w:color w:val="000000"/>
                <w:sz w:val="16"/>
                <w:szCs w:val="16"/>
              </w:rPr>
            </w:pPr>
            <w:r w:rsidRPr="00D518FF">
              <w:rPr>
                <w:rFonts w:ascii="Aptos" w:hAnsi="Aptos"/>
                <w:color w:val="000000"/>
                <w:sz w:val="16"/>
                <w:szCs w:val="16"/>
              </w:rPr>
              <w:t>Hunter, J.; Arentz, S.; Goldenberg, J.; Yang, G.; Beardsley, J.; Myers, S. P.; Mertz, D.; Leeder, S.</w:t>
            </w:r>
          </w:p>
        </w:tc>
        <w:tc>
          <w:tcPr>
            <w:tcW w:w="567" w:type="dxa"/>
            <w:shd w:val="clear" w:color="auto" w:fill="auto"/>
            <w:noWrap/>
            <w:hideMark/>
          </w:tcPr>
          <w:p w14:paraId="2418C028"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1417" w:type="dxa"/>
            <w:shd w:val="clear" w:color="auto" w:fill="auto"/>
            <w:noWrap/>
            <w:hideMark/>
          </w:tcPr>
          <w:p w14:paraId="64909260" w14:textId="77777777" w:rsidR="008F3151" w:rsidRPr="00D518FF" w:rsidRDefault="008F3151">
            <w:pPr>
              <w:rPr>
                <w:rFonts w:ascii="Aptos" w:hAnsi="Aptos"/>
                <w:color w:val="000000"/>
                <w:sz w:val="16"/>
                <w:szCs w:val="16"/>
              </w:rPr>
            </w:pPr>
            <w:r w:rsidRPr="00D518FF">
              <w:rPr>
                <w:rFonts w:ascii="Aptos" w:hAnsi="Aptos"/>
                <w:color w:val="000000"/>
                <w:sz w:val="16"/>
                <w:szCs w:val="16"/>
              </w:rPr>
              <w:t>BMJ open</w:t>
            </w:r>
          </w:p>
        </w:tc>
        <w:tc>
          <w:tcPr>
            <w:tcW w:w="851" w:type="dxa"/>
            <w:shd w:val="clear" w:color="auto" w:fill="auto"/>
            <w:noWrap/>
            <w:hideMark/>
          </w:tcPr>
          <w:p w14:paraId="194C5088" w14:textId="77777777" w:rsidR="008F3151" w:rsidRPr="00D518FF" w:rsidRDefault="008F3151">
            <w:pPr>
              <w:rPr>
                <w:rFonts w:ascii="Aptos" w:hAnsi="Aptos"/>
                <w:color w:val="000000"/>
                <w:sz w:val="16"/>
                <w:szCs w:val="16"/>
              </w:rPr>
            </w:pPr>
            <w:r w:rsidRPr="00D518FF">
              <w:rPr>
                <w:rFonts w:ascii="Aptos" w:hAnsi="Aptos"/>
                <w:color w:val="000000"/>
                <w:sz w:val="16"/>
                <w:szCs w:val="16"/>
              </w:rPr>
              <w:t>11</w:t>
            </w:r>
          </w:p>
        </w:tc>
        <w:tc>
          <w:tcPr>
            <w:tcW w:w="708" w:type="dxa"/>
            <w:shd w:val="clear" w:color="auto" w:fill="auto"/>
            <w:noWrap/>
            <w:hideMark/>
          </w:tcPr>
          <w:p w14:paraId="1FBA3B37" w14:textId="77777777" w:rsidR="008F3151" w:rsidRPr="00D518FF" w:rsidRDefault="008F3151">
            <w:pPr>
              <w:rPr>
                <w:rFonts w:ascii="Aptos" w:hAnsi="Aptos"/>
                <w:color w:val="000000"/>
                <w:sz w:val="16"/>
                <w:szCs w:val="16"/>
              </w:rPr>
            </w:pPr>
            <w:r w:rsidRPr="00D518FF">
              <w:rPr>
                <w:rFonts w:ascii="Aptos" w:hAnsi="Aptos"/>
                <w:color w:val="000000"/>
                <w:sz w:val="16"/>
                <w:szCs w:val="16"/>
              </w:rPr>
              <w:t>11</w:t>
            </w:r>
          </w:p>
        </w:tc>
        <w:tc>
          <w:tcPr>
            <w:tcW w:w="709" w:type="dxa"/>
            <w:shd w:val="clear" w:color="auto" w:fill="auto"/>
            <w:noWrap/>
            <w:hideMark/>
          </w:tcPr>
          <w:p w14:paraId="467E5D3C" w14:textId="77777777" w:rsidR="008F3151" w:rsidRPr="00D518FF" w:rsidRDefault="008F3151">
            <w:pPr>
              <w:rPr>
                <w:rFonts w:ascii="Aptos" w:hAnsi="Aptos"/>
                <w:color w:val="000000"/>
                <w:sz w:val="16"/>
                <w:szCs w:val="16"/>
              </w:rPr>
            </w:pPr>
            <w:r w:rsidRPr="00D518FF">
              <w:rPr>
                <w:rFonts w:ascii="Aptos" w:hAnsi="Aptos"/>
                <w:color w:val="000000"/>
                <w:sz w:val="16"/>
                <w:szCs w:val="16"/>
              </w:rPr>
              <w:t>e047474</w:t>
            </w:r>
          </w:p>
        </w:tc>
        <w:tc>
          <w:tcPr>
            <w:tcW w:w="2410" w:type="dxa"/>
            <w:shd w:val="clear" w:color="auto" w:fill="auto"/>
            <w:hideMark/>
          </w:tcPr>
          <w:p w14:paraId="78CB9FB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7508D66A" w14:textId="77777777" w:rsidTr="004C6AA1">
        <w:trPr>
          <w:trHeight w:val="340"/>
        </w:trPr>
        <w:tc>
          <w:tcPr>
            <w:tcW w:w="4248" w:type="dxa"/>
            <w:shd w:val="clear" w:color="auto" w:fill="auto"/>
            <w:noWrap/>
            <w:hideMark/>
          </w:tcPr>
          <w:p w14:paraId="609E0D51" w14:textId="77777777" w:rsidR="008F3151" w:rsidRPr="00D518FF" w:rsidRDefault="008F3151">
            <w:pPr>
              <w:rPr>
                <w:rFonts w:ascii="Aptos" w:hAnsi="Aptos"/>
                <w:color w:val="000000"/>
                <w:sz w:val="16"/>
                <w:szCs w:val="16"/>
              </w:rPr>
            </w:pPr>
            <w:r w:rsidRPr="00D518FF">
              <w:rPr>
                <w:rFonts w:ascii="Aptos" w:hAnsi="Aptos"/>
                <w:color w:val="000000"/>
                <w:sz w:val="16"/>
                <w:szCs w:val="16"/>
              </w:rPr>
              <w:t>Benefits and risks of zinc for adults during covid-19: rapid systematic review and meta-analysis of randomised controlled trials</w:t>
            </w:r>
          </w:p>
        </w:tc>
        <w:tc>
          <w:tcPr>
            <w:tcW w:w="3544" w:type="dxa"/>
            <w:shd w:val="clear" w:color="auto" w:fill="auto"/>
            <w:noWrap/>
            <w:hideMark/>
          </w:tcPr>
          <w:p w14:paraId="2A71B418" w14:textId="77777777" w:rsidR="008F3151" w:rsidRPr="00D518FF" w:rsidRDefault="008F3151">
            <w:pPr>
              <w:rPr>
                <w:rFonts w:ascii="Aptos" w:hAnsi="Aptos"/>
                <w:color w:val="000000"/>
                <w:sz w:val="16"/>
                <w:szCs w:val="16"/>
              </w:rPr>
            </w:pPr>
            <w:r w:rsidRPr="00D518FF">
              <w:rPr>
                <w:rFonts w:ascii="Aptos" w:hAnsi="Aptos"/>
                <w:color w:val="000000"/>
                <w:sz w:val="16"/>
                <w:szCs w:val="16"/>
              </w:rPr>
              <w:t>Jennifer, Hunter; Susan, Arentz; Joshua, Goldenberg; Dominik, Mertz; Guoyan, Yang; Jennifer, Beardsley; Stephen, P. Myers; Stephen, Leeder</w:t>
            </w:r>
          </w:p>
        </w:tc>
        <w:tc>
          <w:tcPr>
            <w:tcW w:w="567" w:type="dxa"/>
            <w:shd w:val="clear" w:color="auto" w:fill="auto"/>
            <w:noWrap/>
            <w:hideMark/>
          </w:tcPr>
          <w:p w14:paraId="6716C420"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6F6EDD6F" w14:textId="2A250EBF" w:rsidR="008F3151" w:rsidRPr="00D518FF" w:rsidRDefault="008F3151">
            <w:pPr>
              <w:rPr>
                <w:rFonts w:ascii="Aptos" w:hAnsi="Aptos"/>
                <w:color w:val="000000"/>
                <w:sz w:val="16"/>
                <w:szCs w:val="16"/>
              </w:rPr>
            </w:pPr>
            <w:r w:rsidRPr="00D518FF">
              <w:rPr>
                <w:rFonts w:ascii="Aptos" w:hAnsi="Aptos"/>
                <w:color w:val="000000"/>
                <w:sz w:val="16"/>
                <w:szCs w:val="16"/>
              </w:rPr>
              <w:t>medRxiv</w:t>
            </w:r>
          </w:p>
        </w:tc>
        <w:tc>
          <w:tcPr>
            <w:tcW w:w="851" w:type="dxa"/>
            <w:shd w:val="clear" w:color="auto" w:fill="auto"/>
            <w:noWrap/>
            <w:hideMark/>
          </w:tcPr>
          <w:p w14:paraId="0B31D50D" w14:textId="3AF2CED6" w:rsidR="008F3151" w:rsidRPr="00D518FF" w:rsidRDefault="00A9335D">
            <w:pPr>
              <w:rPr>
                <w:rFonts w:ascii="Aptos" w:hAnsi="Aptos"/>
                <w:color w:val="000000"/>
                <w:sz w:val="16"/>
                <w:szCs w:val="16"/>
              </w:rPr>
            </w:pPr>
            <w:r>
              <w:rPr>
                <w:rFonts w:ascii="Aptos" w:hAnsi="Aptos"/>
                <w:color w:val="000000"/>
                <w:sz w:val="16"/>
                <w:szCs w:val="16"/>
              </w:rPr>
              <w:t>-</w:t>
            </w:r>
          </w:p>
        </w:tc>
        <w:tc>
          <w:tcPr>
            <w:tcW w:w="708" w:type="dxa"/>
            <w:shd w:val="clear" w:color="auto" w:fill="auto"/>
            <w:noWrap/>
            <w:hideMark/>
          </w:tcPr>
          <w:p w14:paraId="11C71297" w14:textId="708FDFBB" w:rsidR="008F3151" w:rsidRPr="00D518FF" w:rsidRDefault="00A9335D">
            <w:pPr>
              <w:rPr>
                <w:rFonts w:ascii="Aptos" w:hAnsi="Aptos"/>
                <w:sz w:val="16"/>
                <w:szCs w:val="16"/>
              </w:rPr>
            </w:pPr>
            <w:r>
              <w:rPr>
                <w:rFonts w:ascii="Aptos" w:hAnsi="Aptos"/>
                <w:sz w:val="16"/>
                <w:szCs w:val="16"/>
              </w:rPr>
              <w:t>-</w:t>
            </w:r>
          </w:p>
        </w:tc>
        <w:tc>
          <w:tcPr>
            <w:tcW w:w="709" w:type="dxa"/>
            <w:shd w:val="clear" w:color="auto" w:fill="auto"/>
            <w:noWrap/>
            <w:hideMark/>
          </w:tcPr>
          <w:p w14:paraId="1D20ED8B" w14:textId="3A4BD8F8" w:rsidR="008F3151" w:rsidRPr="00D518FF" w:rsidRDefault="00A9335D">
            <w:pPr>
              <w:rPr>
                <w:rFonts w:ascii="Aptos" w:hAnsi="Aptos"/>
                <w:sz w:val="16"/>
                <w:szCs w:val="16"/>
              </w:rPr>
            </w:pPr>
            <w:r>
              <w:rPr>
                <w:rFonts w:ascii="Aptos" w:hAnsi="Aptos"/>
                <w:sz w:val="16"/>
                <w:szCs w:val="16"/>
              </w:rPr>
              <w:t>-</w:t>
            </w:r>
          </w:p>
        </w:tc>
        <w:tc>
          <w:tcPr>
            <w:tcW w:w="2410" w:type="dxa"/>
            <w:shd w:val="clear" w:color="auto" w:fill="auto"/>
            <w:hideMark/>
          </w:tcPr>
          <w:p w14:paraId="1345BA4D"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7A12ED52" w14:textId="77777777" w:rsidTr="004C6AA1">
        <w:trPr>
          <w:trHeight w:val="340"/>
        </w:trPr>
        <w:tc>
          <w:tcPr>
            <w:tcW w:w="4248" w:type="dxa"/>
            <w:shd w:val="clear" w:color="auto" w:fill="auto"/>
            <w:noWrap/>
            <w:hideMark/>
          </w:tcPr>
          <w:p w14:paraId="6F16946B" w14:textId="77777777" w:rsidR="008F3151" w:rsidRPr="00D518FF" w:rsidRDefault="008F3151">
            <w:pPr>
              <w:rPr>
                <w:rFonts w:ascii="Aptos" w:hAnsi="Aptos"/>
                <w:color w:val="000000"/>
                <w:sz w:val="16"/>
                <w:szCs w:val="16"/>
              </w:rPr>
            </w:pPr>
            <w:r w:rsidRPr="00D518FF">
              <w:rPr>
                <w:rFonts w:ascii="Aptos" w:hAnsi="Aptos"/>
                <w:color w:val="000000"/>
                <w:sz w:val="16"/>
                <w:szCs w:val="16"/>
              </w:rPr>
              <w:t>Interventions for High-Burden Infectious Diseases in Children and Adolescents: A Meta-analysis</w:t>
            </w:r>
          </w:p>
        </w:tc>
        <w:tc>
          <w:tcPr>
            <w:tcW w:w="3544" w:type="dxa"/>
            <w:shd w:val="clear" w:color="auto" w:fill="auto"/>
            <w:noWrap/>
            <w:hideMark/>
          </w:tcPr>
          <w:p w14:paraId="5048CD13" w14:textId="77777777" w:rsidR="008F3151" w:rsidRPr="00D518FF" w:rsidRDefault="008F3151">
            <w:pPr>
              <w:rPr>
                <w:rFonts w:ascii="Aptos" w:hAnsi="Aptos"/>
                <w:color w:val="000000"/>
                <w:sz w:val="16"/>
                <w:szCs w:val="16"/>
              </w:rPr>
            </w:pPr>
            <w:r w:rsidRPr="00D518FF">
              <w:rPr>
                <w:rFonts w:ascii="Aptos" w:hAnsi="Aptos"/>
                <w:color w:val="000000"/>
                <w:sz w:val="16"/>
                <w:szCs w:val="16"/>
              </w:rPr>
              <w:t>Khan, D. S. A.; Naseem, R.; Salam, R. A.; Lassi, Z. S.; Das, J. K.; Bhutta, Z. A.</w:t>
            </w:r>
          </w:p>
        </w:tc>
        <w:tc>
          <w:tcPr>
            <w:tcW w:w="567" w:type="dxa"/>
            <w:shd w:val="clear" w:color="auto" w:fill="auto"/>
            <w:noWrap/>
            <w:hideMark/>
          </w:tcPr>
          <w:p w14:paraId="13F023A7"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1417" w:type="dxa"/>
            <w:shd w:val="clear" w:color="auto" w:fill="auto"/>
            <w:noWrap/>
            <w:hideMark/>
          </w:tcPr>
          <w:p w14:paraId="7E9477A9" w14:textId="77777777" w:rsidR="008F3151" w:rsidRPr="00D518FF" w:rsidRDefault="008F3151">
            <w:pPr>
              <w:rPr>
                <w:rFonts w:ascii="Aptos" w:hAnsi="Aptos"/>
                <w:color w:val="000000"/>
                <w:sz w:val="16"/>
                <w:szCs w:val="16"/>
              </w:rPr>
            </w:pPr>
            <w:r w:rsidRPr="00D518FF">
              <w:rPr>
                <w:rFonts w:ascii="Aptos" w:hAnsi="Aptos"/>
                <w:color w:val="000000"/>
                <w:sz w:val="16"/>
                <w:szCs w:val="16"/>
              </w:rPr>
              <w:t>Pediatrics</w:t>
            </w:r>
          </w:p>
        </w:tc>
        <w:tc>
          <w:tcPr>
            <w:tcW w:w="851" w:type="dxa"/>
            <w:shd w:val="clear" w:color="auto" w:fill="auto"/>
            <w:noWrap/>
            <w:hideMark/>
          </w:tcPr>
          <w:p w14:paraId="20BF7EDD" w14:textId="77777777" w:rsidR="008F3151" w:rsidRPr="00D518FF" w:rsidRDefault="008F3151">
            <w:pPr>
              <w:rPr>
                <w:rFonts w:ascii="Aptos" w:hAnsi="Aptos"/>
                <w:color w:val="000000"/>
                <w:sz w:val="16"/>
                <w:szCs w:val="16"/>
              </w:rPr>
            </w:pPr>
            <w:r w:rsidRPr="00D518FF">
              <w:rPr>
                <w:rFonts w:ascii="Aptos" w:hAnsi="Aptos"/>
                <w:color w:val="000000"/>
                <w:sz w:val="16"/>
                <w:szCs w:val="16"/>
              </w:rPr>
              <w:t>149</w:t>
            </w:r>
          </w:p>
        </w:tc>
        <w:tc>
          <w:tcPr>
            <w:tcW w:w="708" w:type="dxa"/>
            <w:shd w:val="clear" w:color="auto" w:fill="auto"/>
            <w:noWrap/>
            <w:hideMark/>
          </w:tcPr>
          <w:p w14:paraId="6D72B07C" w14:textId="77777777" w:rsidR="008F3151" w:rsidRPr="00D518FF" w:rsidRDefault="008F3151">
            <w:pPr>
              <w:rPr>
                <w:rFonts w:ascii="Aptos" w:hAnsi="Aptos"/>
                <w:color w:val="000000"/>
                <w:sz w:val="16"/>
                <w:szCs w:val="16"/>
              </w:rPr>
            </w:pPr>
            <w:r w:rsidRPr="00D518FF">
              <w:rPr>
                <w:rFonts w:ascii="Aptos" w:hAnsi="Aptos"/>
                <w:color w:val="000000"/>
                <w:sz w:val="16"/>
                <w:szCs w:val="16"/>
              </w:rPr>
              <w:t>Suppl 5</w:t>
            </w:r>
          </w:p>
        </w:tc>
        <w:tc>
          <w:tcPr>
            <w:tcW w:w="709" w:type="dxa"/>
            <w:shd w:val="clear" w:color="auto" w:fill="auto"/>
            <w:noWrap/>
            <w:hideMark/>
          </w:tcPr>
          <w:p w14:paraId="63E97AD5" w14:textId="303CB837" w:rsidR="008F3151" w:rsidRPr="00D518FF" w:rsidRDefault="000256D8">
            <w:pPr>
              <w:rPr>
                <w:rFonts w:ascii="Aptos" w:hAnsi="Aptos"/>
                <w:color w:val="000000"/>
                <w:sz w:val="16"/>
                <w:szCs w:val="16"/>
              </w:rPr>
            </w:pPr>
            <w:r>
              <w:rPr>
                <w:rFonts w:ascii="Aptos" w:hAnsi="Aptos"/>
                <w:color w:val="000000"/>
                <w:sz w:val="16"/>
                <w:szCs w:val="16"/>
              </w:rPr>
              <w:t>-</w:t>
            </w:r>
          </w:p>
        </w:tc>
        <w:tc>
          <w:tcPr>
            <w:tcW w:w="2410" w:type="dxa"/>
            <w:shd w:val="clear" w:color="auto" w:fill="auto"/>
            <w:hideMark/>
          </w:tcPr>
          <w:p w14:paraId="0F1A2BE7"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38A53BD4" w14:textId="77777777" w:rsidTr="004C6AA1">
        <w:trPr>
          <w:trHeight w:val="340"/>
        </w:trPr>
        <w:tc>
          <w:tcPr>
            <w:tcW w:w="4248" w:type="dxa"/>
            <w:shd w:val="clear" w:color="auto" w:fill="auto"/>
            <w:noWrap/>
            <w:hideMark/>
          </w:tcPr>
          <w:p w14:paraId="432749AA" w14:textId="77777777" w:rsidR="008F3151" w:rsidRPr="00D518FF" w:rsidRDefault="008F3151">
            <w:pPr>
              <w:rPr>
                <w:rFonts w:ascii="Aptos" w:hAnsi="Aptos"/>
                <w:color w:val="000000"/>
                <w:sz w:val="16"/>
                <w:szCs w:val="16"/>
              </w:rPr>
            </w:pPr>
            <w:r w:rsidRPr="00D518FF">
              <w:rPr>
                <w:rFonts w:ascii="Aptos" w:hAnsi="Aptos"/>
                <w:color w:val="000000"/>
                <w:sz w:val="16"/>
                <w:szCs w:val="16"/>
              </w:rPr>
              <w:t>Zinc supplementation for the promotion of growth and prevention of infections in infants less than six months of age</w:t>
            </w:r>
          </w:p>
        </w:tc>
        <w:tc>
          <w:tcPr>
            <w:tcW w:w="3544" w:type="dxa"/>
            <w:shd w:val="clear" w:color="auto" w:fill="auto"/>
            <w:noWrap/>
            <w:hideMark/>
          </w:tcPr>
          <w:p w14:paraId="5541E7BB" w14:textId="77777777" w:rsidR="008F3151" w:rsidRPr="00D518FF" w:rsidRDefault="008F3151">
            <w:pPr>
              <w:rPr>
                <w:rFonts w:ascii="Aptos" w:hAnsi="Aptos"/>
                <w:color w:val="000000"/>
                <w:sz w:val="16"/>
                <w:szCs w:val="16"/>
              </w:rPr>
            </w:pPr>
            <w:r w:rsidRPr="00D518FF">
              <w:rPr>
                <w:rFonts w:ascii="Aptos" w:hAnsi="Aptos"/>
                <w:color w:val="000000"/>
                <w:sz w:val="16"/>
                <w:szCs w:val="16"/>
              </w:rPr>
              <w:t>Lassi, Z. S.; Kurji, J.; Oliveira, C. S. D.; Moin, A.; Bhutta, Z. A.</w:t>
            </w:r>
          </w:p>
        </w:tc>
        <w:tc>
          <w:tcPr>
            <w:tcW w:w="567" w:type="dxa"/>
            <w:shd w:val="clear" w:color="auto" w:fill="auto"/>
            <w:noWrap/>
            <w:hideMark/>
          </w:tcPr>
          <w:p w14:paraId="5C63DD21"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1417" w:type="dxa"/>
            <w:shd w:val="clear" w:color="auto" w:fill="auto"/>
            <w:noWrap/>
            <w:hideMark/>
          </w:tcPr>
          <w:p w14:paraId="7E271FEA" w14:textId="77777777" w:rsidR="008F3151" w:rsidRPr="00D518FF" w:rsidRDefault="008F3151">
            <w:pPr>
              <w:rPr>
                <w:rFonts w:ascii="Aptos" w:hAnsi="Aptos"/>
                <w:color w:val="000000"/>
                <w:sz w:val="16"/>
                <w:szCs w:val="16"/>
              </w:rPr>
            </w:pPr>
            <w:r w:rsidRPr="00D518FF">
              <w:rPr>
                <w:rFonts w:ascii="Aptos" w:hAnsi="Aptos"/>
                <w:color w:val="000000"/>
                <w:sz w:val="16"/>
                <w:szCs w:val="16"/>
              </w:rPr>
              <w:t>Cochrane Database of Systematic Reviews</w:t>
            </w:r>
          </w:p>
        </w:tc>
        <w:tc>
          <w:tcPr>
            <w:tcW w:w="851" w:type="dxa"/>
            <w:shd w:val="clear" w:color="auto" w:fill="auto"/>
            <w:noWrap/>
            <w:hideMark/>
          </w:tcPr>
          <w:p w14:paraId="3E00478C"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708" w:type="dxa"/>
            <w:shd w:val="clear" w:color="auto" w:fill="auto"/>
            <w:noWrap/>
            <w:hideMark/>
          </w:tcPr>
          <w:p w14:paraId="2BC5A34C"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5816617E" w14:textId="77777777" w:rsidR="008F3151" w:rsidRPr="00D518FF" w:rsidRDefault="008F3151">
            <w:pPr>
              <w:rPr>
                <w:rFonts w:ascii="Aptos" w:hAnsi="Aptos"/>
                <w:color w:val="000000"/>
                <w:sz w:val="16"/>
                <w:szCs w:val="16"/>
              </w:rPr>
            </w:pPr>
            <w:r w:rsidRPr="00D518FF">
              <w:rPr>
                <w:rFonts w:ascii="Aptos" w:hAnsi="Aptos"/>
                <w:color w:val="000000"/>
                <w:sz w:val="16"/>
                <w:szCs w:val="16"/>
              </w:rPr>
              <w:t>CD010205</w:t>
            </w:r>
          </w:p>
        </w:tc>
        <w:tc>
          <w:tcPr>
            <w:tcW w:w="2410" w:type="dxa"/>
            <w:shd w:val="clear" w:color="auto" w:fill="auto"/>
            <w:hideMark/>
          </w:tcPr>
          <w:p w14:paraId="6DA6F22B"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5DA1377C" w14:textId="77777777" w:rsidTr="004C6AA1">
        <w:trPr>
          <w:trHeight w:val="340"/>
        </w:trPr>
        <w:tc>
          <w:tcPr>
            <w:tcW w:w="4248" w:type="dxa"/>
            <w:shd w:val="clear" w:color="auto" w:fill="auto"/>
            <w:noWrap/>
            <w:hideMark/>
          </w:tcPr>
          <w:p w14:paraId="35F5168C" w14:textId="77777777" w:rsidR="008F3151" w:rsidRPr="00D518FF" w:rsidRDefault="008F3151">
            <w:pPr>
              <w:rPr>
                <w:rFonts w:ascii="Aptos" w:hAnsi="Aptos"/>
                <w:color w:val="000000"/>
                <w:sz w:val="16"/>
                <w:szCs w:val="16"/>
              </w:rPr>
            </w:pPr>
            <w:r w:rsidRPr="00D518FF">
              <w:rPr>
                <w:rFonts w:ascii="Aptos" w:hAnsi="Aptos"/>
                <w:color w:val="000000"/>
                <w:sz w:val="16"/>
                <w:szCs w:val="16"/>
              </w:rPr>
              <w:t>Preventive zinc supplementation for children, and the effect of additional iron: A systematic review and meta-analysis</w:t>
            </w:r>
          </w:p>
        </w:tc>
        <w:tc>
          <w:tcPr>
            <w:tcW w:w="3544" w:type="dxa"/>
            <w:shd w:val="clear" w:color="auto" w:fill="auto"/>
            <w:noWrap/>
            <w:hideMark/>
          </w:tcPr>
          <w:p w14:paraId="166ECD3B" w14:textId="77777777" w:rsidR="008F3151" w:rsidRPr="00D518FF" w:rsidRDefault="008F3151">
            <w:pPr>
              <w:rPr>
                <w:rFonts w:ascii="Aptos" w:hAnsi="Aptos"/>
                <w:color w:val="000000"/>
                <w:sz w:val="16"/>
                <w:szCs w:val="16"/>
              </w:rPr>
            </w:pPr>
            <w:r w:rsidRPr="00D518FF">
              <w:rPr>
                <w:rFonts w:ascii="Aptos" w:hAnsi="Aptos"/>
                <w:color w:val="000000"/>
                <w:sz w:val="16"/>
                <w:szCs w:val="16"/>
              </w:rPr>
              <w:t>Mayo-Wilson, E.; Imdad, A.; Junior, J.; Dean, S.; Bhutta, Z. A.</w:t>
            </w:r>
          </w:p>
        </w:tc>
        <w:tc>
          <w:tcPr>
            <w:tcW w:w="567" w:type="dxa"/>
            <w:shd w:val="clear" w:color="auto" w:fill="auto"/>
            <w:noWrap/>
            <w:hideMark/>
          </w:tcPr>
          <w:p w14:paraId="33C41824" w14:textId="77777777" w:rsidR="008F3151" w:rsidRPr="00D518FF" w:rsidRDefault="008F3151">
            <w:pPr>
              <w:rPr>
                <w:rFonts w:ascii="Aptos" w:hAnsi="Aptos"/>
                <w:color w:val="000000"/>
                <w:sz w:val="16"/>
                <w:szCs w:val="16"/>
              </w:rPr>
            </w:pPr>
            <w:r w:rsidRPr="00D518FF">
              <w:rPr>
                <w:rFonts w:ascii="Aptos" w:hAnsi="Aptos"/>
                <w:color w:val="000000"/>
                <w:sz w:val="16"/>
                <w:szCs w:val="16"/>
              </w:rPr>
              <w:t>2014</w:t>
            </w:r>
          </w:p>
        </w:tc>
        <w:tc>
          <w:tcPr>
            <w:tcW w:w="1417" w:type="dxa"/>
            <w:shd w:val="clear" w:color="auto" w:fill="auto"/>
            <w:noWrap/>
            <w:hideMark/>
          </w:tcPr>
          <w:p w14:paraId="04DEF067" w14:textId="77777777" w:rsidR="008F3151" w:rsidRPr="00D518FF" w:rsidRDefault="008F3151">
            <w:pPr>
              <w:rPr>
                <w:rFonts w:ascii="Aptos" w:hAnsi="Aptos"/>
                <w:color w:val="000000"/>
                <w:sz w:val="16"/>
                <w:szCs w:val="16"/>
              </w:rPr>
            </w:pPr>
            <w:r w:rsidRPr="00D518FF">
              <w:rPr>
                <w:rFonts w:ascii="Aptos" w:hAnsi="Aptos"/>
                <w:color w:val="000000"/>
                <w:sz w:val="16"/>
                <w:szCs w:val="16"/>
              </w:rPr>
              <w:t>BMJ open</w:t>
            </w:r>
          </w:p>
        </w:tc>
        <w:tc>
          <w:tcPr>
            <w:tcW w:w="851" w:type="dxa"/>
            <w:shd w:val="clear" w:color="auto" w:fill="auto"/>
            <w:noWrap/>
            <w:hideMark/>
          </w:tcPr>
          <w:p w14:paraId="77B9524B"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8" w:type="dxa"/>
            <w:shd w:val="clear" w:color="auto" w:fill="auto"/>
            <w:noWrap/>
            <w:hideMark/>
          </w:tcPr>
          <w:p w14:paraId="1B96EDE7"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709" w:type="dxa"/>
            <w:shd w:val="clear" w:color="auto" w:fill="auto"/>
            <w:noWrap/>
            <w:hideMark/>
          </w:tcPr>
          <w:p w14:paraId="083164B4" w14:textId="77777777" w:rsidR="008F3151" w:rsidRPr="00D518FF" w:rsidRDefault="008F3151">
            <w:pPr>
              <w:rPr>
                <w:rFonts w:ascii="Aptos" w:hAnsi="Aptos"/>
                <w:color w:val="000000"/>
                <w:sz w:val="16"/>
                <w:szCs w:val="16"/>
              </w:rPr>
            </w:pPr>
            <w:r w:rsidRPr="00D518FF">
              <w:rPr>
                <w:rFonts w:ascii="Aptos" w:hAnsi="Aptos"/>
                <w:color w:val="000000"/>
                <w:sz w:val="16"/>
                <w:szCs w:val="16"/>
              </w:rPr>
              <w:t>e004647</w:t>
            </w:r>
          </w:p>
        </w:tc>
        <w:tc>
          <w:tcPr>
            <w:tcW w:w="2410" w:type="dxa"/>
            <w:shd w:val="clear" w:color="auto" w:fill="auto"/>
            <w:hideMark/>
          </w:tcPr>
          <w:p w14:paraId="69F10031"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69513ED5" w14:textId="77777777" w:rsidTr="004C6AA1">
        <w:trPr>
          <w:trHeight w:val="340"/>
        </w:trPr>
        <w:tc>
          <w:tcPr>
            <w:tcW w:w="4248" w:type="dxa"/>
            <w:shd w:val="clear" w:color="auto" w:fill="auto"/>
            <w:noWrap/>
            <w:hideMark/>
          </w:tcPr>
          <w:p w14:paraId="0CDA682A" w14:textId="77777777" w:rsidR="008F3151" w:rsidRPr="00D518FF" w:rsidRDefault="008F3151">
            <w:pPr>
              <w:rPr>
                <w:rFonts w:ascii="Aptos" w:hAnsi="Aptos"/>
                <w:color w:val="000000"/>
                <w:sz w:val="16"/>
                <w:szCs w:val="16"/>
              </w:rPr>
            </w:pPr>
            <w:r w:rsidRPr="00D518FF">
              <w:rPr>
                <w:rFonts w:ascii="Aptos" w:hAnsi="Aptos"/>
                <w:color w:val="000000"/>
                <w:sz w:val="16"/>
                <w:szCs w:val="16"/>
              </w:rPr>
              <w:t>Therapeutic value of zinc supplementation in acute and persistent diarrhea: A systematic review</w:t>
            </w:r>
          </w:p>
        </w:tc>
        <w:tc>
          <w:tcPr>
            <w:tcW w:w="3544" w:type="dxa"/>
            <w:shd w:val="clear" w:color="auto" w:fill="auto"/>
            <w:noWrap/>
            <w:hideMark/>
          </w:tcPr>
          <w:p w14:paraId="31DADE1D" w14:textId="77777777" w:rsidR="008F3151" w:rsidRPr="00D518FF" w:rsidRDefault="008F3151">
            <w:pPr>
              <w:rPr>
                <w:rFonts w:ascii="Aptos" w:hAnsi="Aptos"/>
                <w:color w:val="000000"/>
                <w:sz w:val="16"/>
                <w:szCs w:val="16"/>
              </w:rPr>
            </w:pPr>
            <w:r w:rsidRPr="00D518FF">
              <w:rPr>
                <w:rFonts w:ascii="Aptos" w:hAnsi="Aptos"/>
                <w:color w:val="000000"/>
                <w:sz w:val="16"/>
                <w:szCs w:val="16"/>
              </w:rPr>
              <w:t>Patel, A.; Mamtani, M.; Dibley, M. J.; Badhoniya, N.; Kulkarni, H.</w:t>
            </w:r>
          </w:p>
        </w:tc>
        <w:tc>
          <w:tcPr>
            <w:tcW w:w="567" w:type="dxa"/>
            <w:shd w:val="clear" w:color="auto" w:fill="auto"/>
            <w:noWrap/>
            <w:hideMark/>
          </w:tcPr>
          <w:p w14:paraId="3487C39F"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417" w:type="dxa"/>
            <w:shd w:val="clear" w:color="auto" w:fill="auto"/>
            <w:noWrap/>
            <w:hideMark/>
          </w:tcPr>
          <w:p w14:paraId="5768705E" w14:textId="77777777" w:rsidR="008F3151" w:rsidRPr="00D518FF" w:rsidRDefault="008F3151">
            <w:pPr>
              <w:rPr>
                <w:rFonts w:ascii="Aptos" w:hAnsi="Aptos"/>
                <w:color w:val="000000"/>
                <w:sz w:val="16"/>
                <w:szCs w:val="16"/>
              </w:rPr>
            </w:pPr>
            <w:r w:rsidRPr="00D518FF">
              <w:rPr>
                <w:rFonts w:ascii="Aptos" w:hAnsi="Aptos"/>
                <w:color w:val="000000"/>
                <w:sz w:val="16"/>
                <w:szCs w:val="16"/>
              </w:rPr>
              <w:t>PloS one</w:t>
            </w:r>
          </w:p>
        </w:tc>
        <w:tc>
          <w:tcPr>
            <w:tcW w:w="851" w:type="dxa"/>
            <w:shd w:val="clear" w:color="auto" w:fill="auto"/>
            <w:noWrap/>
            <w:hideMark/>
          </w:tcPr>
          <w:p w14:paraId="5CABBC89"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8" w:type="dxa"/>
            <w:shd w:val="clear" w:color="auto" w:fill="auto"/>
            <w:noWrap/>
            <w:hideMark/>
          </w:tcPr>
          <w:p w14:paraId="436CAD4F"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3B418BDD" w14:textId="77777777" w:rsidR="008F3151" w:rsidRPr="00D518FF" w:rsidRDefault="008F3151">
            <w:pPr>
              <w:rPr>
                <w:rFonts w:ascii="Aptos" w:hAnsi="Aptos"/>
                <w:color w:val="000000"/>
                <w:sz w:val="16"/>
                <w:szCs w:val="16"/>
              </w:rPr>
            </w:pPr>
            <w:r w:rsidRPr="00D518FF">
              <w:rPr>
                <w:rFonts w:ascii="Aptos" w:hAnsi="Aptos"/>
                <w:color w:val="000000"/>
                <w:sz w:val="16"/>
                <w:szCs w:val="16"/>
              </w:rPr>
              <w:t>e10386</w:t>
            </w:r>
          </w:p>
        </w:tc>
        <w:tc>
          <w:tcPr>
            <w:tcW w:w="2410" w:type="dxa"/>
            <w:shd w:val="clear" w:color="auto" w:fill="auto"/>
            <w:hideMark/>
          </w:tcPr>
          <w:p w14:paraId="5C9F60CB"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27854B50" w14:textId="77777777" w:rsidTr="004C6AA1">
        <w:trPr>
          <w:trHeight w:val="340"/>
        </w:trPr>
        <w:tc>
          <w:tcPr>
            <w:tcW w:w="4248" w:type="dxa"/>
            <w:shd w:val="clear" w:color="auto" w:fill="auto"/>
            <w:noWrap/>
            <w:hideMark/>
          </w:tcPr>
          <w:p w14:paraId="6CE47194" w14:textId="77777777" w:rsidR="008F3151" w:rsidRPr="00D518FF" w:rsidRDefault="008F3151">
            <w:pPr>
              <w:rPr>
                <w:rFonts w:ascii="Aptos" w:hAnsi="Aptos"/>
                <w:color w:val="000000"/>
                <w:sz w:val="16"/>
                <w:szCs w:val="16"/>
              </w:rPr>
            </w:pPr>
            <w:r w:rsidRPr="00D518FF">
              <w:rPr>
                <w:rFonts w:ascii="Aptos" w:hAnsi="Aptos"/>
                <w:color w:val="000000"/>
                <w:sz w:val="16"/>
                <w:szCs w:val="16"/>
              </w:rPr>
              <w:t>What zinc supplementation does and does not achieve in diarrhea prevention: a systematic review and meta-analysis</w:t>
            </w:r>
          </w:p>
        </w:tc>
        <w:tc>
          <w:tcPr>
            <w:tcW w:w="3544" w:type="dxa"/>
            <w:shd w:val="clear" w:color="auto" w:fill="auto"/>
            <w:noWrap/>
            <w:hideMark/>
          </w:tcPr>
          <w:p w14:paraId="12E632CE" w14:textId="77777777" w:rsidR="008F3151" w:rsidRPr="00D518FF" w:rsidRDefault="008F3151">
            <w:pPr>
              <w:rPr>
                <w:rFonts w:ascii="Aptos" w:hAnsi="Aptos"/>
                <w:color w:val="000000"/>
                <w:sz w:val="16"/>
                <w:szCs w:val="16"/>
              </w:rPr>
            </w:pPr>
            <w:r w:rsidRPr="00D518FF">
              <w:rPr>
                <w:rFonts w:ascii="Aptos" w:hAnsi="Aptos"/>
                <w:color w:val="000000"/>
                <w:sz w:val="16"/>
                <w:szCs w:val="16"/>
              </w:rPr>
              <w:t>Patel, Archana B.; Mamtani, Manju; Badhoniya, Neetu; Kulkarni, Hemant</w:t>
            </w:r>
          </w:p>
        </w:tc>
        <w:tc>
          <w:tcPr>
            <w:tcW w:w="567" w:type="dxa"/>
            <w:shd w:val="clear" w:color="auto" w:fill="auto"/>
            <w:noWrap/>
            <w:hideMark/>
          </w:tcPr>
          <w:p w14:paraId="2437BC04"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1417" w:type="dxa"/>
            <w:shd w:val="clear" w:color="auto" w:fill="auto"/>
            <w:noWrap/>
            <w:hideMark/>
          </w:tcPr>
          <w:p w14:paraId="09349B41" w14:textId="77777777" w:rsidR="008F3151" w:rsidRPr="00D518FF" w:rsidRDefault="008F3151">
            <w:pPr>
              <w:rPr>
                <w:rFonts w:ascii="Aptos" w:hAnsi="Aptos"/>
                <w:color w:val="000000"/>
                <w:sz w:val="16"/>
                <w:szCs w:val="16"/>
              </w:rPr>
            </w:pPr>
            <w:r w:rsidRPr="00D518FF">
              <w:rPr>
                <w:rFonts w:ascii="Aptos" w:hAnsi="Aptos"/>
                <w:color w:val="000000"/>
                <w:sz w:val="16"/>
                <w:szCs w:val="16"/>
              </w:rPr>
              <w:t>BMC infectious diseases</w:t>
            </w:r>
          </w:p>
        </w:tc>
        <w:tc>
          <w:tcPr>
            <w:tcW w:w="851" w:type="dxa"/>
            <w:shd w:val="clear" w:color="auto" w:fill="auto"/>
            <w:noWrap/>
            <w:hideMark/>
          </w:tcPr>
          <w:p w14:paraId="4234D020" w14:textId="77777777" w:rsidR="008F3151" w:rsidRPr="00D518FF" w:rsidRDefault="008F3151">
            <w:pPr>
              <w:rPr>
                <w:rFonts w:ascii="Aptos" w:hAnsi="Aptos"/>
                <w:color w:val="000000"/>
                <w:sz w:val="16"/>
                <w:szCs w:val="16"/>
              </w:rPr>
            </w:pPr>
            <w:r w:rsidRPr="00D518FF">
              <w:rPr>
                <w:rFonts w:ascii="Aptos" w:hAnsi="Aptos"/>
                <w:color w:val="000000"/>
                <w:sz w:val="16"/>
                <w:szCs w:val="16"/>
              </w:rPr>
              <w:t>11</w:t>
            </w:r>
          </w:p>
        </w:tc>
        <w:tc>
          <w:tcPr>
            <w:tcW w:w="708" w:type="dxa"/>
            <w:shd w:val="clear" w:color="auto" w:fill="auto"/>
            <w:noWrap/>
            <w:hideMark/>
          </w:tcPr>
          <w:p w14:paraId="7F212859"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709" w:type="dxa"/>
            <w:shd w:val="clear" w:color="auto" w:fill="auto"/>
            <w:noWrap/>
            <w:hideMark/>
          </w:tcPr>
          <w:p w14:paraId="3615DE89" w14:textId="77777777" w:rsidR="008F3151" w:rsidRPr="00D518FF" w:rsidRDefault="008F3151">
            <w:pPr>
              <w:rPr>
                <w:rFonts w:ascii="Aptos" w:hAnsi="Aptos"/>
                <w:color w:val="000000"/>
                <w:sz w:val="16"/>
                <w:szCs w:val="16"/>
              </w:rPr>
            </w:pPr>
            <w:r w:rsidRPr="00D518FF">
              <w:rPr>
                <w:rFonts w:ascii="Aptos" w:hAnsi="Aptos"/>
                <w:color w:val="000000"/>
                <w:sz w:val="16"/>
                <w:szCs w:val="16"/>
              </w:rPr>
              <w:t>122</w:t>
            </w:r>
          </w:p>
        </w:tc>
        <w:tc>
          <w:tcPr>
            <w:tcW w:w="2410" w:type="dxa"/>
            <w:shd w:val="clear" w:color="auto" w:fill="auto"/>
            <w:hideMark/>
          </w:tcPr>
          <w:p w14:paraId="0006FF8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67D9E129" w14:textId="77777777" w:rsidTr="004C6AA1">
        <w:trPr>
          <w:trHeight w:val="340"/>
        </w:trPr>
        <w:tc>
          <w:tcPr>
            <w:tcW w:w="4248" w:type="dxa"/>
            <w:shd w:val="clear" w:color="auto" w:fill="auto"/>
            <w:noWrap/>
            <w:hideMark/>
          </w:tcPr>
          <w:p w14:paraId="3FA7062B" w14:textId="77777777" w:rsidR="008F3151" w:rsidRPr="00D518FF" w:rsidRDefault="008F3151">
            <w:pPr>
              <w:rPr>
                <w:rFonts w:ascii="Aptos" w:hAnsi="Aptos"/>
                <w:color w:val="000000"/>
                <w:sz w:val="16"/>
                <w:szCs w:val="16"/>
              </w:rPr>
            </w:pPr>
            <w:r w:rsidRPr="00D518FF">
              <w:rPr>
                <w:rFonts w:ascii="Aptos" w:hAnsi="Aptos"/>
                <w:color w:val="000000"/>
                <w:sz w:val="16"/>
                <w:szCs w:val="16"/>
              </w:rPr>
              <w:t>Zinc supplementation for the prevention of acute lower respiratory infection in children in developing countries: meta-analysis and meta-regression of randomized trials</w:t>
            </w:r>
          </w:p>
        </w:tc>
        <w:tc>
          <w:tcPr>
            <w:tcW w:w="3544" w:type="dxa"/>
            <w:shd w:val="clear" w:color="auto" w:fill="auto"/>
            <w:noWrap/>
            <w:hideMark/>
          </w:tcPr>
          <w:p w14:paraId="05A47964" w14:textId="77777777" w:rsidR="008F3151" w:rsidRPr="00D518FF" w:rsidRDefault="008F3151">
            <w:pPr>
              <w:rPr>
                <w:rFonts w:ascii="Aptos" w:hAnsi="Aptos"/>
                <w:color w:val="000000"/>
                <w:sz w:val="16"/>
                <w:szCs w:val="16"/>
              </w:rPr>
            </w:pPr>
            <w:r w:rsidRPr="00D518FF">
              <w:rPr>
                <w:rFonts w:ascii="Aptos" w:hAnsi="Aptos"/>
                <w:color w:val="000000"/>
                <w:sz w:val="16"/>
                <w:szCs w:val="16"/>
              </w:rPr>
              <w:t>Roth, D. E.; Richard, S. A.; Black, R. E.</w:t>
            </w:r>
          </w:p>
        </w:tc>
        <w:tc>
          <w:tcPr>
            <w:tcW w:w="567" w:type="dxa"/>
            <w:shd w:val="clear" w:color="auto" w:fill="auto"/>
            <w:noWrap/>
            <w:hideMark/>
          </w:tcPr>
          <w:p w14:paraId="11D195AC" w14:textId="77777777" w:rsidR="008F3151" w:rsidRPr="00D518FF" w:rsidRDefault="008F3151">
            <w:pPr>
              <w:rPr>
                <w:rFonts w:ascii="Aptos" w:hAnsi="Aptos"/>
                <w:color w:val="000000"/>
                <w:sz w:val="16"/>
                <w:szCs w:val="16"/>
              </w:rPr>
            </w:pPr>
            <w:r w:rsidRPr="00D518FF">
              <w:rPr>
                <w:rFonts w:ascii="Aptos" w:hAnsi="Aptos"/>
                <w:color w:val="000000"/>
                <w:sz w:val="16"/>
                <w:szCs w:val="16"/>
              </w:rPr>
              <w:t>2010</w:t>
            </w:r>
          </w:p>
        </w:tc>
        <w:tc>
          <w:tcPr>
            <w:tcW w:w="1417" w:type="dxa"/>
            <w:shd w:val="clear" w:color="auto" w:fill="auto"/>
            <w:noWrap/>
            <w:hideMark/>
          </w:tcPr>
          <w:p w14:paraId="30679EA2"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epidemiology</w:t>
            </w:r>
          </w:p>
        </w:tc>
        <w:tc>
          <w:tcPr>
            <w:tcW w:w="851" w:type="dxa"/>
            <w:shd w:val="clear" w:color="auto" w:fill="auto"/>
            <w:noWrap/>
            <w:hideMark/>
          </w:tcPr>
          <w:p w14:paraId="123D7AB5" w14:textId="77777777" w:rsidR="008F3151" w:rsidRPr="00D518FF" w:rsidRDefault="008F3151">
            <w:pPr>
              <w:rPr>
                <w:rFonts w:ascii="Aptos" w:hAnsi="Aptos"/>
                <w:color w:val="000000"/>
                <w:sz w:val="16"/>
                <w:szCs w:val="16"/>
              </w:rPr>
            </w:pPr>
            <w:r w:rsidRPr="00D518FF">
              <w:rPr>
                <w:rFonts w:ascii="Aptos" w:hAnsi="Aptos"/>
                <w:color w:val="000000"/>
                <w:sz w:val="16"/>
                <w:szCs w:val="16"/>
              </w:rPr>
              <w:t>39</w:t>
            </w:r>
          </w:p>
        </w:tc>
        <w:tc>
          <w:tcPr>
            <w:tcW w:w="708" w:type="dxa"/>
            <w:shd w:val="clear" w:color="auto" w:fill="auto"/>
            <w:noWrap/>
            <w:hideMark/>
          </w:tcPr>
          <w:p w14:paraId="5B991AAA" w14:textId="77777777" w:rsidR="008F3151" w:rsidRPr="00D518FF" w:rsidRDefault="008F3151">
            <w:pPr>
              <w:rPr>
                <w:rFonts w:ascii="Aptos" w:hAnsi="Aptos"/>
                <w:color w:val="000000"/>
                <w:sz w:val="16"/>
                <w:szCs w:val="16"/>
              </w:rPr>
            </w:pPr>
            <w:r w:rsidRPr="00D518FF">
              <w:rPr>
                <w:rFonts w:ascii="Aptos" w:hAnsi="Aptos"/>
                <w:color w:val="000000"/>
                <w:sz w:val="16"/>
                <w:szCs w:val="16"/>
              </w:rPr>
              <w:t>3</w:t>
            </w:r>
          </w:p>
        </w:tc>
        <w:tc>
          <w:tcPr>
            <w:tcW w:w="709" w:type="dxa"/>
            <w:shd w:val="clear" w:color="auto" w:fill="auto"/>
            <w:noWrap/>
            <w:hideMark/>
          </w:tcPr>
          <w:p w14:paraId="1BA0CC58" w14:textId="77777777" w:rsidR="008F3151" w:rsidRPr="00D518FF" w:rsidRDefault="008F3151">
            <w:pPr>
              <w:rPr>
                <w:rFonts w:ascii="Aptos" w:hAnsi="Aptos"/>
                <w:color w:val="000000"/>
                <w:sz w:val="16"/>
                <w:szCs w:val="16"/>
              </w:rPr>
            </w:pPr>
            <w:r w:rsidRPr="00D518FF">
              <w:rPr>
                <w:rFonts w:ascii="Aptos" w:hAnsi="Aptos"/>
                <w:color w:val="000000"/>
                <w:sz w:val="16"/>
                <w:szCs w:val="16"/>
              </w:rPr>
              <w:t>795-808</w:t>
            </w:r>
          </w:p>
        </w:tc>
        <w:tc>
          <w:tcPr>
            <w:tcW w:w="2410" w:type="dxa"/>
            <w:shd w:val="clear" w:color="auto" w:fill="auto"/>
            <w:hideMark/>
          </w:tcPr>
          <w:p w14:paraId="02CC049E"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641BA369" w14:textId="77777777" w:rsidTr="004C6AA1">
        <w:trPr>
          <w:trHeight w:val="340"/>
        </w:trPr>
        <w:tc>
          <w:tcPr>
            <w:tcW w:w="4248" w:type="dxa"/>
            <w:shd w:val="clear" w:color="auto" w:fill="auto"/>
            <w:noWrap/>
            <w:hideMark/>
          </w:tcPr>
          <w:p w14:paraId="2C9FD1D7" w14:textId="77777777" w:rsidR="008F3151" w:rsidRPr="00D518FF" w:rsidRDefault="008F3151">
            <w:pPr>
              <w:rPr>
                <w:rFonts w:ascii="Aptos" w:hAnsi="Aptos"/>
                <w:color w:val="000000"/>
                <w:sz w:val="16"/>
                <w:szCs w:val="16"/>
              </w:rPr>
            </w:pPr>
            <w:r w:rsidRPr="00D518FF">
              <w:rPr>
                <w:rFonts w:ascii="Aptos" w:hAnsi="Aptos"/>
                <w:color w:val="000000"/>
                <w:sz w:val="16"/>
                <w:szCs w:val="16"/>
              </w:rPr>
              <w:t>Oral zinc for arterial and venous leg ulcers</w:t>
            </w:r>
          </w:p>
        </w:tc>
        <w:tc>
          <w:tcPr>
            <w:tcW w:w="3544" w:type="dxa"/>
            <w:shd w:val="clear" w:color="auto" w:fill="auto"/>
            <w:noWrap/>
            <w:hideMark/>
          </w:tcPr>
          <w:p w14:paraId="0A41FDD3" w14:textId="77777777" w:rsidR="008F3151" w:rsidRPr="00D518FF" w:rsidRDefault="008F3151">
            <w:pPr>
              <w:rPr>
                <w:rFonts w:ascii="Aptos" w:hAnsi="Aptos"/>
                <w:color w:val="000000"/>
                <w:sz w:val="16"/>
                <w:szCs w:val="16"/>
              </w:rPr>
            </w:pPr>
            <w:r w:rsidRPr="00D518FF">
              <w:rPr>
                <w:rFonts w:ascii="Aptos" w:hAnsi="Aptos"/>
                <w:color w:val="000000"/>
                <w:sz w:val="16"/>
                <w:szCs w:val="16"/>
              </w:rPr>
              <w:t>Ewan, A. J. Wilkinson</w:t>
            </w:r>
          </w:p>
        </w:tc>
        <w:tc>
          <w:tcPr>
            <w:tcW w:w="567" w:type="dxa"/>
            <w:shd w:val="clear" w:color="auto" w:fill="auto"/>
            <w:noWrap/>
            <w:hideMark/>
          </w:tcPr>
          <w:p w14:paraId="20B33D87" w14:textId="77777777" w:rsidR="008F3151" w:rsidRPr="00D518FF" w:rsidRDefault="008F3151">
            <w:pPr>
              <w:rPr>
                <w:rFonts w:ascii="Aptos" w:hAnsi="Aptos"/>
                <w:color w:val="000000"/>
                <w:sz w:val="16"/>
                <w:szCs w:val="16"/>
              </w:rPr>
            </w:pPr>
            <w:r w:rsidRPr="00D518FF">
              <w:rPr>
                <w:rFonts w:ascii="Aptos" w:hAnsi="Aptos"/>
                <w:color w:val="000000"/>
                <w:sz w:val="16"/>
                <w:szCs w:val="16"/>
              </w:rPr>
              <w:t>2014</w:t>
            </w:r>
          </w:p>
        </w:tc>
        <w:tc>
          <w:tcPr>
            <w:tcW w:w="1417" w:type="dxa"/>
            <w:shd w:val="clear" w:color="auto" w:fill="auto"/>
            <w:noWrap/>
            <w:hideMark/>
          </w:tcPr>
          <w:p w14:paraId="174C2E86" w14:textId="77777777" w:rsidR="008F3151" w:rsidRPr="00D518FF" w:rsidRDefault="008F3151">
            <w:pPr>
              <w:rPr>
                <w:rFonts w:ascii="Aptos" w:hAnsi="Aptos"/>
                <w:color w:val="000000"/>
                <w:sz w:val="16"/>
                <w:szCs w:val="16"/>
              </w:rPr>
            </w:pPr>
            <w:r w:rsidRPr="00D518FF">
              <w:rPr>
                <w:rFonts w:ascii="Aptos" w:hAnsi="Aptos"/>
                <w:color w:val="000000"/>
                <w:sz w:val="16"/>
                <w:szCs w:val="16"/>
              </w:rPr>
              <w:t>Cochrane Database of Systematic Reviews</w:t>
            </w:r>
          </w:p>
        </w:tc>
        <w:tc>
          <w:tcPr>
            <w:tcW w:w="851" w:type="dxa"/>
            <w:shd w:val="clear" w:color="auto" w:fill="auto"/>
            <w:noWrap/>
            <w:hideMark/>
          </w:tcPr>
          <w:p w14:paraId="60A19349"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708" w:type="dxa"/>
            <w:shd w:val="clear" w:color="auto" w:fill="auto"/>
            <w:noWrap/>
            <w:hideMark/>
          </w:tcPr>
          <w:p w14:paraId="319C31BC"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709" w:type="dxa"/>
            <w:shd w:val="clear" w:color="auto" w:fill="auto"/>
            <w:noWrap/>
            <w:hideMark/>
          </w:tcPr>
          <w:p w14:paraId="502CC772" w14:textId="77777777" w:rsidR="008F3151" w:rsidRPr="00D518FF" w:rsidRDefault="008F3151">
            <w:pPr>
              <w:rPr>
                <w:rFonts w:ascii="Aptos" w:hAnsi="Aptos"/>
                <w:color w:val="000000"/>
                <w:sz w:val="16"/>
                <w:szCs w:val="16"/>
              </w:rPr>
            </w:pPr>
            <w:r w:rsidRPr="00D518FF">
              <w:rPr>
                <w:rFonts w:ascii="Aptos" w:hAnsi="Aptos"/>
                <w:color w:val="000000"/>
                <w:sz w:val="16"/>
                <w:szCs w:val="16"/>
              </w:rPr>
              <w:t>CD001273</w:t>
            </w:r>
          </w:p>
        </w:tc>
        <w:tc>
          <w:tcPr>
            <w:tcW w:w="2410" w:type="dxa"/>
            <w:shd w:val="clear" w:color="auto" w:fill="auto"/>
            <w:hideMark/>
          </w:tcPr>
          <w:p w14:paraId="60EC4B8F"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7A955DA9" w14:textId="77777777" w:rsidTr="004C6AA1">
        <w:trPr>
          <w:trHeight w:val="340"/>
        </w:trPr>
        <w:tc>
          <w:tcPr>
            <w:tcW w:w="4248" w:type="dxa"/>
            <w:shd w:val="clear" w:color="auto" w:fill="auto"/>
            <w:noWrap/>
            <w:hideMark/>
          </w:tcPr>
          <w:p w14:paraId="1358D3A8" w14:textId="77777777" w:rsidR="008F3151" w:rsidRPr="00D518FF" w:rsidRDefault="008F3151">
            <w:pPr>
              <w:rPr>
                <w:rFonts w:ascii="Aptos" w:hAnsi="Aptos"/>
                <w:color w:val="000000"/>
                <w:sz w:val="16"/>
                <w:szCs w:val="16"/>
              </w:rPr>
            </w:pPr>
            <w:r w:rsidRPr="00D518FF">
              <w:rPr>
                <w:rFonts w:ascii="Aptos" w:hAnsi="Aptos"/>
                <w:color w:val="000000"/>
                <w:sz w:val="16"/>
                <w:szCs w:val="16"/>
              </w:rPr>
              <w:t>Zinc supplementation as an adjunct to standard therapy in childhood nephrotic syndrome - a systematic review</w:t>
            </w:r>
          </w:p>
        </w:tc>
        <w:tc>
          <w:tcPr>
            <w:tcW w:w="3544" w:type="dxa"/>
            <w:shd w:val="clear" w:color="auto" w:fill="auto"/>
            <w:noWrap/>
            <w:hideMark/>
          </w:tcPr>
          <w:p w14:paraId="51BC85B5" w14:textId="77777777" w:rsidR="008F3151" w:rsidRPr="00D518FF" w:rsidRDefault="008F3151">
            <w:pPr>
              <w:rPr>
                <w:rFonts w:ascii="Aptos" w:hAnsi="Aptos"/>
                <w:color w:val="000000"/>
                <w:sz w:val="16"/>
                <w:szCs w:val="16"/>
              </w:rPr>
            </w:pPr>
            <w:r w:rsidRPr="00D518FF">
              <w:rPr>
                <w:rFonts w:ascii="Aptos" w:hAnsi="Aptos"/>
                <w:color w:val="000000"/>
                <w:sz w:val="16"/>
                <w:szCs w:val="16"/>
              </w:rPr>
              <w:t>Bhatt, G. C.; Jain, S.; Das, R. R.</w:t>
            </w:r>
          </w:p>
        </w:tc>
        <w:tc>
          <w:tcPr>
            <w:tcW w:w="567" w:type="dxa"/>
            <w:shd w:val="clear" w:color="auto" w:fill="auto"/>
            <w:noWrap/>
            <w:hideMark/>
          </w:tcPr>
          <w:p w14:paraId="48625B01"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1417" w:type="dxa"/>
            <w:shd w:val="clear" w:color="auto" w:fill="auto"/>
            <w:noWrap/>
            <w:hideMark/>
          </w:tcPr>
          <w:p w14:paraId="0049FE93" w14:textId="77777777" w:rsidR="008F3151" w:rsidRPr="00D518FF" w:rsidRDefault="008F3151">
            <w:pPr>
              <w:rPr>
                <w:rFonts w:ascii="Aptos" w:hAnsi="Aptos"/>
                <w:color w:val="000000"/>
                <w:sz w:val="16"/>
                <w:szCs w:val="16"/>
              </w:rPr>
            </w:pPr>
            <w:r w:rsidRPr="00D518FF">
              <w:rPr>
                <w:rFonts w:ascii="Aptos" w:hAnsi="Aptos"/>
                <w:color w:val="000000"/>
                <w:sz w:val="16"/>
                <w:szCs w:val="16"/>
              </w:rPr>
              <w:t>World journal of clinical pediatrics</w:t>
            </w:r>
          </w:p>
        </w:tc>
        <w:tc>
          <w:tcPr>
            <w:tcW w:w="851" w:type="dxa"/>
            <w:shd w:val="clear" w:color="auto" w:fill="auto"/>
            <w:noWrap/>
            <w:hideMark/>
          </w:tcPr>
          <w:p w14:paraId="31B7EC46" w14:textId="77777777" w:rsidR="008F3151" w:rsidRPr="00D518FF" w:rsidRDefault="008F3151">
            <w:pPr>
              <w:rPr>
                <w:rFonts w:ascii="Aptos" w:hAnsi="Aptos"/>
                <w:color w:val="000000"/>
                <w:sz w:val="16"/>
                <w:szCs w:val="16"/>
              </w:rPr>
            </w:pPr>
            <w:r w:rsidRPr="00D518FF">
              <w:rPr>
                <w:rFonts w:ascii="Aptos" w:hAnsi="Aptos"/>
                <w:color w:val="000000"/>
                <w:sz w:val="16"/>
                <w:szCs w:val="16"/>
              </w:rPr>
              <w:t>5</w:t>
            </w:r>
          </w:p>
        </w:tc>
        <w:tc>
          <w:tcPr>
            <w:tcW w:w="708" w:type="dxa"/>
            <w:shd w:val="clear" w:color="auto" w:fill="auto"/>
            <w:noWrap/>
            <w:hideMark/>
          </w:tcPr>
          <w:p w14:paraId="77F00CF9"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709" w:type="dxa"/>
            <w:shd w:val="clear" w:color="auto" w:fill="auto"/>
            <w:noWrap/>
            <w:hideMark/>
          </w:tcPr>
          <w:p w14:paraId="4F2EA8FD" w14:textId="77777777" w:rsidR="008F3151" w:rsidRPr="00D518FF" w:rsidRDefault="008F3151">
            <w:pPr>
              <w:rPr>
                <w:rFonts w:ascii="Aptos" w:hAnsi="Aptos"/>
                <w:color w:val="000000"/>
                <w:sz w:val="16"/>
                <w:szCs w:val="16"/>
              </w:rPr>
            </w:pPr>
            <w:r w:rsidRPr="00D518FF">
              <w:rPr>
                <w:rFonts w:ascii="Aptos" w:hAnsi="Aptos"/>
                <w:color w:val="000000"/>
                <w:sz w:val="16"/>
                <w:szCs w:val="16"/>
              </w:rPr>
              <w:t>383-390</w:t>
            </w:r>
          </w:p>
        </w:tc>
        <w:tc>
          <w:tcPr>
            <w:tcW w:w="2410" w:type="dxa"/>
            <w:shd w:val="clear" w:color="auto" w:fill="auto"/>
            <w:hideMark/>
          </w:tcPr>
          <w:p w14:paraId="4C15C78E"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0256D8" w:rsidRPr="00D518FF" w14:paraId="33CF512B" w14:textId="77777777" w:rsidTr="00887C84">
        <w:trPr>
          <w:trHeight w:val="340"/>
        </w:trPr>
        <w:tc>
          <w:tcPr>
            <w:tcW w:w="4248" w:type="dxa"/>
            <w:shd w:val="clear" w:color="auto" w:fill="auto"/>
            <w:noWrap/>
            <w:hideMark/>
          </w:tcPr>
          <w:p w14:paraId="4F371CBF" w14:textId="77777777" w:rsidR="008F3151" w:rsidRPr="00D518FF" w:rsidRDefault="008F3151">
            <w:pPr>
              <w:rPr>
                <w:rFonts w:ascii="Aptos" w:hAnsi="Aptos"/>
                <w:color w:val="000000"/>
                <w:sz w:val="16"/>
                <w:szCs w:val="16"/>
              </w:rPr>
            </w:pPr>
            <w:r w:rsidRPr="00D518FF">
              <w:rPr>
                <w:rFonts w:ascii="Aptos" w:hAnsi="Aptos"/>
                <w:color w:val="000000"/>
                <w:sz w:val="16"/>
                <w:szCs w:val="16"/>
              </w:rPr>
              <w:t>Nutrient supplementation for prevention of viral respiratory tract infections in healthy subjects: a systematic review and meta-analysis</w:t>
            </w:r>
          </w:p>
        </w:tc>
        <w:tc>
          <w:tcPr>
            <w:tcW w:w="3544" w:type="dxa"/>
            <w:shd w:val="clear" w:color="auto" w:fill="auto"/>
            <w:noWrap/>
            <w:hideMark/>
          </w:tcPr>
          <w:p w14:paraId="1056AB13"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Vlieg-Boerstra, B.; de Jong, N.; Meyer, R.; Agostoni, C.; De Cosmi, V.; Grimshaw, K.; Milani, G. P.; Muraro, A.; Oude Elberink, H.; Pali-Sch√∂ll, I.; Roduit, C.; Sasaki, M.; Skypala, I.; Solokowska, </w:t>
            </w:r>
            <w:r w:rsidRPr="00D518FF">
              <w:rPr>
                <w:rFonts w:ascii="Aptos" w:hAnsi="Aptos"/>
                <w:color w:val="000000"/>
                <w:sz w:val="16"/>
                <w:szCs w:val="16"/>
              </w:rPr>
              <w:lastRenderedPageBreak/>
              <w:t>M.; van Splunter, M.; Untersmayr, E.; Venter, C.; O'Mahony, L.; Nwaru, B. I.</w:t>
            </w:r>
          </w:p>
        </w:tc>
        <w:tc>
          <w:tcPr>
            <w:tcW w:w="567" w:type="dxa"/>
            <w:shd w:val="clear" w:color="auto" w:fill="auto"/>
            <w:noWrap/>
            <w:hideMark/>
          </w:tcPr>
          <w:p w14:paraId="67EDA9A7" w14:textId="5B683267" w:rsidR="008F3151" w:rsidRPr="00D518FF" w:rsidRDefault="008F3151">
            <w:pPr>
              <w:rPr>
                <w:rFonts w:ascii="Aptos" w:hAnsi="Aptos"/>
                <w:color w:val="000000"/>
                <w:sz w:val="16"/>
                <w:szCs w:val="16"/>
              </w:rPr>
            </w:pPr>
            <w:r w:rsidRPr="00D518FF">
              <w:rPr>
                <w:rFonts w:ascii="Aptos" w:hAnsi="Aptos"/>
                <w:color w:val="000000"/>
                <w:sz w:val="16"/>
                <w:szCs w:val="16"/>
              </w:rPr>
              <w:lastRenderedPageBreak/>
              <w:t>202</w:t>
            </w:r>
            <w:r w:rsidR="008E7286">
              <w:rPr>
                <w:rFonts w:ascii="Aptos" w:hAnsi="Aptos"/>
                <w:color w:val="000000"/>
                <w:sz w:val="16"/>
                <w:szCs w:val="16"/>
              </w:rPr>
              <w:t>2</w:t>
            </w:r>
          </w:p>
        </w:tc>
        <w:tc>
          <w:tcPr>
            <w:tcW w:w="1417" w:type="dxa"/>
            <w:shd w:val="clear" w:color="auto" w:fill="auto"/>
            <w:noWrap/>
            <w:hideMark/>
          </w:tcPr>
          <w:p w14:paraId="23925CE3" w14:textId="77777777" w:rsidR="008F3151" w:rsidRPr="00D518FF" w:rsidRDefault="008F3151">
            <w:pPr>
              <w:rPr>
                <w:rFonts w:ascii="Aptos" w:hAnsi="Aptos"/>
                <w:color w:val="000000"/>
                <w:sz w:val="16"/>
                <w:szCs w:val="16"/>
              </w:rPr>
            </w:pPr>
            <w:r w:rsidRPr="00D518FF">
              <w:rPr>
                <w:rFonts w:ascii="Aptos" w:hAnsi="Aptos"/>
                <w:color w:val="000000"/>
                <w:sz w:val="16"/>
                <w:szCs w:val="16"/>
              </w:rPr>
              <w:t>Allergy</w:t>
            </w:r>
          </w:p>
        </w:tc>
        <w:tc>
          <w:tcPr>
            <w:tcW w:w="851" w:type="dxa"/>
            <w:shd w:val="clear" w:color="auto" w:fill="auto"/>
            <w:noWrap/>
            <w:hideMark/>
          </w:tcPr>
          <w:p w14:paraId="4102358D" w14:textId="321E9FE4" w:rsidR="008F3151" w:rsidRPr="00D518FF" w:rsidRDefault="008E7286">
            <w:pPr>
              <w:rPr>
                <w:rFonts w:ascii="Aptos" w:hAnsi="Aptos"/>
                <w:color w:val="000000"/>
                <w:sz w:val="16"/>
                <w:szCs w:val="16"/>
              </w:rPr>
            </w:pPr>
            <w:r>
              <w:rPr>
                <w:rFonts w:ascii="Aptos" w:hAnsi="Aptos"/>
                <w:color w:val="000000"/>
                <w:sz w:val="16"/>
                <w:szCs w:val="16"/>
              </w:rPr>
              <w:t>77</w:t>
            </w:r>
          </w:p>
        </w:tc>
        <w:tc>
          <w:tcPr>
            <w:tcW w:w="708" w:type="dxa"/>
            <w:shd w:val="clear" w:color="auto" w:fill="auto"/>
            <w:noWrap/>
            <w:hideMark/>
          </w:tcPr>
          <w:p w14:paraId="0CCD27D6" w14:textId="5971C38A" w:rsidR="008F3151" w:rsidRPr="00D518FF" w:rsidRDefault="008E7286">
            <w:pPr>
              <w:rPr>
                <w:rFonts w:ascii="Aptos" w:hAnsi="Aptos"/>
                <w:sz w:val="16"/>
                <w:szCs w:val="16"/>
              </w:rPr>
            </w:pPr>
            <w:r>
              <w:rPr>
                <w:rFonts w:ascii="Aptos" w:hAnsi="Aptos"/>
                <w:sz w:val="16"/>
                <w:szCs w:val="16"/>
              </w:rPr>
              <w:t>5</w:t>
            </w:r>
          </w:p>
        </w:tc>
        <w:tc>
          <w:tcPr>
            <w:tcW w:w="709" w:type="dxa"/>
            <w:shd w:val="clear" w:color="auto" w:fill="auto"/>
            <w:noWrap/>
            <w:hideMark/>
          </w:tcPr>
          <w:p w14:paraId="357DE667" w14:textId="6FB474AD" w:rsidR="008F3151" w:rsidRPr="00D518FF" w:rsidRDefault="008E7286">
            <w:pPr>
              <w:rPr>
                <w:rFonts w:ascii="Aptos" w:hAnsi="Aptos"/>
                <w:sz w:val="16"/>
                <w:szCs w:val="16"/>
              </w:rPr>
            </w:pPr>
            <w:r w:rsidRPr="008E7286">
              <w:rPr>
                <w:rFonts w:ascii="Aptos" w:hAnsi="Aptos"/>
                <w:sz w:val="16"/>
                <w:szCs w:val="16"/>
              </w:rPr>
              <w:t>1373-1388</w:t>
            </w:r>
          </w:p>
        </w:tc>
        <w:tc>
          <w:tcPr>
            <w:tcW w:w="2410" w:type="dxa"/>
            <w:shd w:val="clear" w:color="auto" w:fill="auto"/>
            <w:hideMark/>
          </w:tcPr>
          <w:p w14:paraId="39FCD6F5"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bl>
    <w:p w14:paraId="3369A222" w14:textId="77777777" w:rsidR="008F3151" w:rsidRPr="00D518FF" w:rsidRDefault="008F3151" w:rsidP="008F3151">
      <w:pPr>
        <w:pStyle w:val="2024TABLECAPTION"/>
        <w:spacing w:before="120"/>
        <w:rPr>
          <w:rFonts w:ascii="Aptos" w:hAnsi="Aptos"/>
        </w:rPr>
      </w:pPr>
    </w:p>
    <w:p w14:paraId="307AC630" w14:textId="062840E3" w:rsidR="00A13A32" w:rsidRDefault="00A13A32" w:rsidP="00A13A32">
      <w:pPr>
        <w:pStyle w:val="Caption"/>
      </w:pPr>
      <w:bookmarkStart w:id="127" w:name="_Toc185254542"/>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15</w:t>
      </w:r>
      <w:r w:rsidR="00DC4767" w:rsidRPr="004C6AA1">
        <w:rPr>
          <w:rFonts w:ascii="Aptos" w:hAnsi="Aptos"/>
        </w:rPr>
        <w:fldChar w:fldCharType="end"/>
      </w:r>
      <w:r w:rsidRPr="004C6AA1">
        <w:rPr>
          <w:rFonts w:ascii="Aptos" w:hAnsi="Aptos"/>
        </w:rPr>
        <w:t xml:space="preserve">. </w:t>
      </w:r>
      <w:r w:rsidRPr="00D518FF">
        <w:rPr>
          <w:rFonts w:ascii="Aptos" w:hAnsi="Aptos"/>
        </w:rPr>
        <w:t xml:space="preserve">Excluded reviews, reason for exclusion – </w:t>
      </w:r>
      <w:bookmarkStart w:id="128" w:name="_Toc161114548"/>
      <w:r w:rsidRPr="00D518FF">
        <w:rPr>
          <w:rFonts w:ascii="Aptos" w:hAnsi="Aptos"/>
        </w:rPr>
        <w:t>Diabetes (Type II) (including metabolic syndrome), Antioxidants (specifically CoQ10 and ALA)</w:t>
      </w:r>
      <w:bookmarkEnd w:id="128"/>
      <w:r>
        <w:rPr>
          <w:rFonts w:ascii="Aptos" w:hAnsi="Aptos"/>
        </w:rPr>
        <w:t>.</w:t>
      </w:r>
      <w:bookmarkEnd w:id="127"/>
    </w:p>
    <w:tbl>
      <w:tblPr>
        <w:tblW w:w="50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4249"/>
        <w:gridCol w:w="3541"/>
        <w:gridCol w:w="567"/>
        <w:gridCol w:w="1419"/>
        <w:gridCol w:w="850"/>
        <w:gridCol w:w="708"/>
        <w:gridCol w:w="711"/>
        <w:gridCol w:w="2408"/>
      </w:tblGrid>
      <w:tr w:rsidR="004C6AA1" w:rsidRPr="00D518FF" w14:paraId="5677C611" w14:textId="77777777" w:rsidTr="004C6AA1">
        <w:trPr>
          <w:trHeight w:val="147"/>
        </w:trPr>
        <w:tc>
          <w:tcPr>
            <w:tcW w:w="1470" w:type="pct"/>
            <w:shd w:val="clear" w:color="auto" w:fill="D9D9D9" w:themeFill="background1" w:themeFillShade="D9"/>
            <w:noWrap/>
            <w:hideMark/>
          </w:tcPr>
          <w:p w14:paraId="51183C1B"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Title</w:t>
            </w:r>
          </w:p>
        </w:tc>
        <w:tc>
          <w:tcPr>
            <w:tcW w:w="1225" w:type="pct"/>
            <w:shd w:val="clear" w:color="auto" w:fill="D9D9D9" w:themeFill="background1" w:themeFillShade="D9"/>
            <w:noWrap/>
            <w:hideMark/>
          </w:tcPr>
          <w:p w14:paraId="29C6A98F"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Authors</w:t>
            </w:r>
          </w:p>
        </w:tc>
        <w:tc>
          <w:tcPr>
            <w:tcW w:w="196" w:type="pct"/>
            <w:shd w:val="clear" w:color="auto" w:fill="D9D9D9" w:themeFill="background1" w:themeFillShade="D9"/>
            <w:noWrap/>
            <w:hideMark/>
          </w:tcPr>
          <w:p w14:paraId="45638CF2"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Year</w:t>
            </w:r>
          </w:p>
        </w:tc>
        <w:tc>
          <w:tcPr>
            <w:tcW w:w="491" w:type="pct"/>
            <w:shd w:val="clear" w:color="auto" w:fill="D9D9D9" w:themeFill="background1" w:themeFillShade="D9"/>
            <w:noWrap/>
            <w:hideMark/>
          </w:tcPr>
          <w:p w14:paraId="1722EA05"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Journal</w:t>
            </w:r>
          </w:p>
        </w:tc>
        <w:tc>
          <w:tcPr>
            <w:tcW w:w="294" w:type="pct"/>
            <w:shd w:val="clear" w:color="auto" w:fill="D9D9D9" w:themeFill="background1" w:themeFillShade="D9"/>
            <w:noWrap/>
            <w:hideMark/>
          </w:tcPr>
          <w:p w14:paraId="31788DF2"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Volume</w:t>
            </w:r>
          </w:p>
        </w:tc>
        <w:tc>
          <w:tcPr>
            <w:tcW w:w="245" w:type="pct"/>
            <w:shd w:val="clear" w:color="auto" w:fill="D9D9D9" w:themeFill="background1" w:themeFillShade="D9"/>
            <w:noWrap/>
            <w:hideMark/>
          </w:tcPr>
          <w:p w14:paraId="78EA455E"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Issue</w:t>
            </w:r>
          </w:p>
        </w:tc>
        <w:tc>
          <w:tcPr>
            <w:tcW w:w="246" w:type="pct"/>
            <w:shd w:val="clear" w:color="auto" w:fill="D9D9D9" w:themeFill="background1" w:themeFillShade="D9"/>
            <w:noWrap/>
            <w:hideMark/>
          </w:tcPr>
          <w:p w14:paraId="4E7419CA"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Pages</w:t>
            </w:r>
          </w:p>
        </w:tc>
        <w:tc>
          <w:tcPr>
            <w:tcW w:w="833" w:type="pct"/>
            <w:shd w:val="clear" w:color="auto" w:fill="D9D9D9" w:themeFill="background1" w:themeFillShade="D9"/>
            <w:noWrap/>
            <w:hideMark/>
          </w:tcPr>
          <w:p w14:paraId="570E30ED" w14:textId="31923BA3" w:rsidR="008F3151" w:rsidRPr="00D518FF" w:rsidRDefault="007717E4">
            <w:pPr>
              <w:rPr>
                <w:rFonts w:ascii="Aptos" w:hAnsi="Aptos"/>
                <w:b/>
                <w:bCs/>
                <w:color w:val="000000"/>
                <w:sz w:val="16"/>
                <w:szCs w:val="16"/>
              </w:rPr>
            </w:pPr>
            <w:r>
              <w:rPr>
                <w:rFonts w:ascii="Aptos" w:hAnsi="Aptos"/>
                <w:b/>
                <w:bCs/>
                <w:color w:val="000000"/>
                <w:sz w:val="16"/>
                <w:szCs w:val="16"/>
              </w:rPr>
              <w:t>Exclusion reason</w:t>
            </w:r>
          </w:p>
        </w:tc>
      </w:tr>
      <w:tr w:rsidR="004C6AA1" w:rsidRPr="00D518FF" w14:paraId="110D84F3" w14:textId="77777777" w:rsidTr="004C6AA1">
        <w:trPr>
          <w:trHeight w:val="320"/>
        </w:trPr>
        <w:tc>
          <w:tcPr>
            <w:tcW w:w="1470" w:type="pct"/>
            <w:shd w:val="clear" w:color="auto" w:fill="auto"/>
            <w:noWrap/>
            <w:hideMark/>
          </w:tcPr>
          <w:p w14:paraId="4BF66F70"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Nutritional supplementation for type 2 diabetes: A systematic review</w:t>
            </w:r>
          </w:p>
        </w:tc>
        <w:tc>
          <w:tcPr>
            <w:tcW w:w="1225" w:type="pct"/>
            <w:shd w:val="clear" w:color="auto" w:fill="auto"/>
            <w:noWrap/>
            <w:hideMark/>
          </w:tcPr>
          <w:p w14:paraId="481DFFCB" w14:textId="77777777" w:rsidR="008F3151" w:rsidRPr="00D518FF" w:rsidRDefault="008F3151">
            <w:pPr>
              <w:rPr>
                <w:rFonts w:ascii="Aptos" w:hAnsi="Aptos"/>
                <w:color w:val="000000"/>
                <w:sz w:val="16"/>
                <w:szCs w:val="16"/>
              </w:rPr>
            </w:pPr>
            <w:r w:rsidRPr="00D518FF">
              <w:rPr>
                <w:rFonts w:ascii="Aptos" w:hAnsi="Aptos"/>
                <w:color w:val="000000"/>
                <w:sz w:val="16"/>
                <w:szCs w:val="16"/>
              </w:rPr>
              <w:t>Bartlett, H. E.; Eperjesi, F.</w:t>
            </w:r>
          </w:p>
        </w:tc>
        <w:tc>
          <w:tcPr>
            <w:tcW w:w="196" w:type="pct"/>
            <w:shd w:val="clear" w:color="auto" w:fill="auto"/>
            <w:noWrap/>
            <w:hideMark/>
          </w:tcPr>
          <w:p w14:paraId="41EADBFF" w14:textId="77777777" w:rsidR="008F3151" w:rsidRPr="00D518FF" w:rsidRDefault="008F3151">
            <w:pPr>
              <w:rPr>
                <w:rFonts w:ascii="Aptos" w:hAnsi="Aptos"/>
                <w:color w:val="000000"/>
                <w:sz w:val="16"/>
                <w:szCs w:val="16"/>
              </w:rPr>
            </w:pPr>
            <w:r w:rsidRPr="00D518FF">
              <w:rPr>
                <w:rFonts w:ascii="Aptos" w:hAnsi="Aptos"/>
                <w:color w:val="000000"/>
                <w:sz w:val="16"/>
                <w:szCs w:val="16"/>
              </w:rPr>
              <w:t>2008</w:t>
            </w:r>
          </w:p>
        </w:tc>
        <w:tc>
          <w:tcPr>
            <w:tcW w:w="491" w:type="pct"/>
            <w:shd w:val="clear" w:color="auto" w:fill="auto"/>
            <w:noWrap/>
            <w:hideMark/>
          </w:tcPr>
          <w:p w14:paraId="6A06A9E3" w14:textId="77777777" w:rsidR="008F3151" w:rsidRPr="00D518FF" w:rsidRDefault="008F3151">
            <w:pPr>
              <w:rPr>
                <w:rFonts w:ascii="Aptos" w:hAnsi="Aptos"/>
                <w:color w:val="000000"/>
                <w:sz w:val="16"/>
                <w:szCs w:val="16"/>
              </w:rPr>
            </w:pPr>
            <w:r w:rsidRPr="00D518FF">
              <w:rPr>
                <w:rFonts w:ascii="Aptos" w:hAnsi="Aptos"/>
                <w:color w:val="000000"/>
                <w:sz w:val="16"/>
                <w:szCs w:val="16"/>
              </w:rPr>
              <w:t>Ophthalmic and Physiological Optics</w:t>
            </w:r>
          </w:p>
        </w:tc>
        <w:tc>
          <w:tcPr>
            <w:tcW w:w="294" w:type="pct"/>
            <w:shd w:val="clear" w:color="auto" w:fill="auto"/>
            <w:noWrap/>
            <w:hideMark/>
          </w:tcPr>
          <w:p w14:paraId="1CB06B05" w14:textId="77777777" w:rsidR="008F3151" w:rsidRPr="00D518FF" w:rsidRDefault="008F3151">
            <w:pPr>
              <w:rPr>
                <w:rFonts w:ascii="Aptos" w:hAnsi="Aptos"/>
                <w:color w:val="000000"/>
                <w:sz w:val="16"/>
                <w:szCs w:val="16"/>
              </w:rPr>
            </w:pPr>
            <w:r w:rsidRPr="00D518FF">
              <w:rPr>
                <w:rFonts w:ascii="Aptos" w:hAnsi="Aptos"/>
                <w:color w:val="000000"/>
                <w:sz w:val="16"/>
                <w:szCs w:val="16"/>
              </w:rPr>
              <w:t>28</w:t>
            </w:r>
          </w:p>
        </w:tc>
        <w:tc>
          <w:tcPr>
            <w:tcW w:w="245" w:type="pct"/>
            <w:shd w:val="clear" w:color="auto" w:fill="auto"/>
            <w:noWrap/>
            <w:hideMark/>
          </w:tcPr>
          <w:p w14:paraId="37065477"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246" w:type="pct"/>
            <w:shd w:val="clear" w:color="auto" w:fill="auto"/>
            <w:noWrap/>
            <w:hideMark/>
          </w:tcPr>
          <w:p w14:paraId="08E3352C" w14:textId="77777777" w:rsidR="008F3151" w:rsidRPr="00D518FF" w:rsidRDefault="008F3151">
            <w:pPr>
              <w:rPr>
                <w:rFonts w:ascii="Aptos" w:hAnsi="Aptos"/>
                <w:color w:val="000000"/>
                <w:sz w:val="16"/>
                <w:szCs w:val="16"/>
              </w:rPr>
            </w:pPr>
            <w:r w:rsidRPr="00D518FF">
              <w:rPr>
                <w:rFonts w:ascii="Aptos" w:hAnsi="Aptos"/>
                <w:color w:val="000000"/>
                <w:sz w:val="16"/>
                <w:szCs w:val="16"/>
              </w:rPr>
              <w:t>503-523</w:t>
            </w:r>
          </w:p>
        </w:tc>
        <w:tc>
          <w:tcPr>
            <w:tcW w:w="833" w:type="pct"/>
            <w:shd w:val="clear" w:color="auto" w:fill="auto"/>
            <w:noWrap/>
            <w:hideMark/>
          </w:tcPr>
          <w:p w14:paraId="0F7B8798"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48AA4FD6" w14:textId="77777777" w:rsidTr="004C6AA1">
        <w:trPr>
          <w:trHeight w:val="320"/>
        </w:trPr>
        <w:tc>
          <w:tcPr>
            <w:tcW w:w="1470" w:type="pct"/>
            <w:shd w:val="clear" w:color="auto" w:fill="auto"/>
            <w:noWrap/>
            <w:hideMark/>
          </w:tcPr>
          <w:p w14:paraId="4EB210A1" w14:textId="77777777" w:rsidR="008F3151" w:rsidRPr="00D518FF" w:rsidRDefault="008F3151">
            <w:pPr>
              <w:rPr>
                <w:rFonts w:ascii="Aptos" w:hAnsi="Aptos"/>
                <w:color w:val="000000"/>
                <w:sz w:val="16"/>
                <w:szCs w:val="16"/>
              </w:rPr>
            </w:pPr>
            <w:r w:rsidRPr="00D518FF">
              <w:rPr>
                <w:rFonts w:ascii="Aptos" w:hAnsi="Aptos"/>
                <w:color w:val="000000"/>
                <w:sz w:val="16"/>
                <w:szCs w:val="16"/>
              </w:rPr>
              <w:t>Role of Oral Antioxidant Supplementation in the Current Management of Diabetic Retinopathy</w:t>
            </w:r>
          </w:p>
        </w:tc>
        <w:tc>
          <w:tcPr>
            <w:tcW w:w="1225" w:type="pct"/>
            <w:shd w:val="clear" w:color="auto" w:fill="auto"/>
            <w:noWrap/>
            <w:hideMark/>
          </w:tcPr>
          <w:p w14:paraId="2034CCBA" w14:textId="77777777" w:rsidR="008F3151" w:rsidRPr="00D518FF" w:rsidRDefault="008F3151">
            <w:pPr>
              <w:rPr>
                <w:rFonts w:ascii="Aptos" w:hAnsi="Aptos"/>
                <w:color w:val="000000"/>
                <w:sz w:val="16"/>
                <w:szCs w:val="16"/>
              </w:rPr>
            </w:pPr>
            <w:r w:rsidRPr="00D518FF">
              <w:rPr>
                <w:rFonts w:ascii="Aptos" w:hAnsi="Aptos"/>
                <w:color w:val="000000"/>
                <w:sz w:val="16"/>
                <w:szCs w:val="16"/>
              </w:rPr>
              <w:t>Alfonso-Mu√±oz, E. A.; Burggraaf-S√°nchez de Las Matas, R.; Mataix Boronat, J.; Molina Mart√≠n, J. C.; Desco, C.</w:t>
            </w:r>
          </w:p>
        </w:tc>
        <w:tc>
          <w:tcPr>
            <w:tcW w:w="196" w:type="pct"/>
            <w:shd w:val="clear" w:color="auto" w:fill="auto"/>
            <w:noWrap/>
            <w:hideMark/>
          </w:tcPr>
          <w:p w14:paraId="249EC60D"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491" w:type="pct"/>
            <w:shd w:val="clear" w:color="auto" w:fill="auto"/>
            <w:noWrap/>
            <w:hideMark/>
          </w:tcPr>
          <w:p w14:paraId="7A20A953"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molecular sciences</w:t>
            </w:r>
          </w:p>
        </w:tc>
        <w:tc>
          <w:tcPr>
            <w:tcW w:w="294" w:type="pct"/>
            <w:shd w:val="clear" w:color="auto" w:fill="auto"/>
            <w:noWrap/>
            <w:hideMark/>
          </w:tcPr>
          <w:p w14:paraId="520CD5BA" w14:textId="77777777" w:rsidR="008F3151" w:rsidRPr="00D518FF" w:rsidRDefault="008F3151">
            <w:pPr>
              <w:rPr>
                <w:rFonts w:ascii="Aptos" w:hAnsi="Aptos"/>
                <w:color w:val="000000"/>
                <w:sz w:val="16"/>
                <w:szCs w:val="16"/>
              </w:rPr>
            </w:pPr>
            <w:r w:rsidRPr="00D518FF">
              <w:rPr>
                <w:rFonts w:ascii="Aptos" w:hAnsi="Aptos"/>
                <w:color w:val="000000"/>
                <w:sz w:val="16"/>
                <w:szCs w:val="16"/>
              </w:rPr>
              <w:t>22</w:t>
            </w:r>
          </w:p>
        </w:tc>
        <w:tc>
          <w:tcPr>
            <w:tcW w:w="245" w:type="pct"/>
            <w:shd w:val="clear" w:color="auto" w:fill="auto"/>
            <w:noWrap/>
            <w:hideMark/>
          </w:tcPr>
          <w:p w14:paraId="51703515" w14:textId="77777777" w:rsidR="008F3151" w:rsidRPr="00D518FF" w:rsidRDefault="008F3151">
            <w:pPr>
              <w:rPr>
                <w:rFonts w:ascii="Aptos" w:hAnsi="Aptos"/>
                <w:color w:val="000000"/>
                <w:sz w:val="16"/>
                <w:szCs w:val="16"/>
              </w:rPr>
            </w:pPr>
            <w:r w:rsidRPr="00D518FF">
              <w:rPr>
                <w:rFonts w:ascii="Aptos" w:hAnsi="Aptos"/>
                <w:color w:val="000000"/>
                <w:sz w:val="16"/>
                <w:szCs w:val="16"/>
              </w:rPr>
              <w:t>8</w:t>
            </w:r>
          </w:p>
        </w:tc>
        <w:tc>
          <w:tcPr>
            <w:tcW w:w="246" w:type="pct"/>
            <w:shd w:val="clear" w:color="auto" w:fill="auto"/>
            <w:noWrap/>
            <w:hideMark/>
          </w:tcPr>
          <w:p w14:paraId="58B151C6" w14:textId="77777777" w:rsidR="008F3151" w:rsidRPr="00D518FF" w:rsidRDefault="008F3151">
            <w:pPr>
              <w:rPr>
                <w:rFonts w:ascii="Aptos" w:hAnsi="Aptos"/>
                <w:color w:val="000000"/>
                <w:sz w:val="16"/>
                <w:szCs w:val="16"/>
              </w:rPr>
            </w:pPr>
          </w:p>
        </w:tc>
        <w:tc>
          <w:tcPr>
            <w:tcW w:w="833" w:type="pct"/>
            <w:shd w:val="clear" w:color="auto" w:fill="auto"/>
            <w:noWrap/>
            <w:hideMark/>
          </w:tcPr>
          <w:p w14:paraId="259B0F65"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57AB255B" w14:textId="77777777" w:rsidTr="004C6AA1">
        <w:trPr>
          <w:trHeight w:val="320"/>
        </w:trPr>
        <w:tc>
          <w:tcPr>
            <w:tcW w:w="1470" w:type="pct"/>
            <w:shd w:val="clear" w:color="auto" w:fill="auto"/>
            <w:noWrap/>
            <w:hideMark/>
          </w:tcPr>
          <w:p w14:paraId="48C59CC8" w14:textId="77777777" w:rsidR="008F3151" w:rsidRPr="00D518FF" w:rsidRDefault="008F3151">
            <w:pPr>
              <w:rPr>
                <w:rFonts w:ascii="Aptos" w:hAnsi="Aptos"/>
                <w:color w:val="000000"/>
                <w:sz w:val="16"/>
                <w:szCs w:val="16"/>
              </w:rPr>
            </w:pPr>
            <w:r w:rsidRPr="00D518FF">
              <w:rPr>
                <w:rFonts w:ascii="Aptos" w:hAnsi="Aptos"/>
                <w:color w:val="000000"/>
                <w:sz w:val="16"/>
                <w:szCs w:val="16"/>
              </w:rPr>
              <w:t>Critical appraisal of the use of alpha lipoic acid (thioctic acid) in the treatment of symptomatic diabetic polyneuropathy</w:t>
            </w:r>
          </w:p>
        </w:tc>
        <w:tc>
          <w:tcPr>
            <w:tcW w:w="1225" w:type="pct"/>
            <w:shd w:val="clear" w:color="auto" w:fill="auto"/>
            <w:noWrap/>
            <w:hideMark/>
          </w:tcPr>
          <w:p w14:paraId="601C8EE7" w14:textId="77777777" w:rsidR="008F3151" w:rsidRPr="00D518FF" w:rsidRDefault="008F3151">
            <w:pPr>
              <w:rPr>
                <w:rFonts w:ascii="Aptos" w:hAnsi="Aptos"/>
                <w:color w:val="000000"/>
                <w:sz w:val="16"/>
                <w:szCs w:val="16"/>
              </w:rPr>
            </w:pPr>
            <w:r w:rsidRPr="00D518FF">
              <w:rPr>
                <w:rFonts w:ascii="Aptos" w:hAnsi="Aptos"/>
                <w:color w:val="000000"/>
                <w:sz w:val="16"/>
                <w:szCs w:val="16"/>
              </w:rPr>
              <w:t>McIlduff, C. E.; Rutkove, S. B.</w:t>
            </w:r>
          </w:p>
        </w:tc>
        <w:tc>
          <w:tcPr>
            <w:tcW w:w="196" w:type="pct"/>
            <w:shd w:val="clear" w:color="auto" w:fill="auto"/>
            <w:noWrap/>
            <w:hideMark/>
          </w:tcPr>
          <w:p w14:paraId="42A3237D" w14:textId="77777777" w:rsidR="008F3151" w:rsidRPr="00D518FF" w:rsidRDefault="008F3151">
            <w:pPr>
              <w:rPr>
                <w:rFonts w:ascii="Aptos" w:hAnsi="Aptos"/>
                <w:color w:val="000000"/>
                <w:sz w:val="16"/>
                <w:szCs w:val="16"/>
              </w:rPr>
            </w:pPr>
            <w:r w:rsidRPr="00D518FF">
              <w:rPr>
                <w:rFonts w:ascii="Aptos" w:hAnsi="Aptos"/>
                <w:color w:val="000000"/>
                <w:sz w:val="16"/>
                <w:szCs w:val="16"/>
              </w:rPr>
              <w:t>2011</w:t>
            </w:r>
          </w:p>
        </w:tc>
        <w:tc>
          <w:tcPr>
            <w:tcW w:w="491" w:type="pct"/>
            <w:shd w:val="clear" w:color="auto" w:fill="auto"/>
            <w:noWrap/>
            <w:hideMark/>
          </w:tcPr>
          <w:p w14:paraId="079537A6" w14:textId="77777777" w:rsidR="008F3151" w:rsidRPr="00D518FF" w:rsidRDefault="008F3151">
            <w:pPr>
              <w:rPr>
                <w:rFonts w:ascii="Aptos" w:hAnsi="Aptos"/>
                <w:color w:val="000000"/>
                <w:sz w:val="16"/>
                <w:szCs w:val="16"/>
              </w:rPr>
            </w:pPr>
            <w:r w:rsidRPr="00D518FF">
              <w:rPr>
                <w:rFonts w:ascii="Aptos" w:hAnsi="Aptos"/>
                <w:color w:val="000000"/>
                <w:sz w:val="16"/>
                <w:szCs w:val="16"/>
              </w:rPr>
              <w:t>Therapeutics and clinical risk management</w:t>
            </w:r>
          </w:p>
        </w:tc>
        <w:tc>
          <w:tcPr>
            <w:tcW w:w="294" w:type="pct"/>
            <w:shd w:val="clear" w:color="auto" w:fill="auto"/>
            <w:noWrap/>
            <w:hideMark/>
          </w:tcPr>
          <w:p w14:paraId="0284887E" w14:textId="77777777" w:rsidR="008F3151" w:rsidRPr="00D518FF" w:rsidRDefault="008F3151">
            <w:pPr>
              <w:rPr>
                <w:rFonts w:ascii="Aptos" w:hAnsi="Aptos"/>
                <w:color w:val="000000"/>
                <w:sz w:val="16"/>
                <w:szCs w:val="16"/>
              </w:rPr>
            </w:pPr>
            <w:r w:rsidRPr="00D518FF">
              <w:rPr>
                <w:rFonts w:ascii="Aptos" w:hAnsi="Aptos"/>
                <w:color w:val="000000"/>
                <w:sz w:val="16"/>
                <w:szCs w:val="16"/>
              </w:rPr>
              <w:t>7</w:t>
            </w:r>
          </w:p>
        </w:tc>
        <w:tc>
          <w:tcPr>
            <w:tcW w:w="245" w:type="pct"/>
            <w:shd w:val="clear" w:color="auto" w:fill="auto"/>
            <w:noWrap/>
            <w:hideMark/>
          </w:tcPr>
          <w:p w14:paraId="3174EB31" w14:textId="77777777" w:rsidR="008F3151" w:rsidRPr="00D518FF" w:rsidRDefault="008F3151">
            <w:pPr>
              <w:rPr>
                <w:rFonts w:ascii="Aptos" w:hAnsi="Aptos"/>
                <w:color w:val="000000"/>
                <w:sz w:val="16"/>
                <w:szCs w:val="16"/>
              </w:rPr>
            </w:pPr>
          </w:p>
        </w:tc>
        <w:tc>
          <w:tcPr>
            <w:tcW w:w="246" w:type="pct"/>
            <w:shd w:val="clear" w:color="auto" w:fill="auto"/>
            <w:noWrap/>
            <w:hideMark/>
          </w:tcPr>
          <w:p w14:paraId="6D6F9117" w14:textId="77777777" w:rsidR="008F3151" w:rsidRPr="00D518FF" w:rsidRDefault="008F3151">
            <w:pPr>
              <w:rPr>
                <w:rFonts w:ascii="Aptos" w:hAnsi="Aptos"/>
                <w:color w:val="000000"/>
                <w:sz w:val="16"/>
                <w:szCs w:val="16"/>
              </w:rPr>
            </w:pPr>
            <w:r w:rsidRPr="00D518FF">
              <w:rPr>
                <w:rFonts w:ascii="Aptos" w:hAnsi="Aptos"/>
                <w:color w:val="000000"/>
                <w:sz w:val="16"/>
                <w:szCs w:val="16"/>
              </w:rPr>
              <w:t>377-85</w:t>
            </w:r>
          </w:p>
        </w:tc>
        <w:tc>
          <w:tcPr>
            <w:tcW w:w="833" w:type="pct"/>
            <w:shd w:val="clear" w:color="auto" w:fill="auto"/>
            <w:noWrap/>
            <w:hideMark/>
          </w:tcPr>
          <w:p w14:paraId="6C1E0B7A"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78C4F669" w14:textId="77777777" w:rsidTr="004C6AA1">
        <w:trPr>
          <w:trHeight w:val="320"/>
        </w:trPr>
        <w:tc>
          <w:tcPr>
            <w:tcW w:w="1470" w:type="pct"/>
            <w:shd w:val="clear" w:color="auto" w:fill="auto"/>
            <w:noWrap/>
            <w:hideMark/>
          </w:tcPr>
          <w:p w14:paraId="5BC4EC66" w14:textId="77777777" w:rsidR="008F3151" w:rsidRPr="00D518FF" w:rsidRDefault="008F3151">
            <w:pPr>
              <w:rPr>
                <w:rFonts w:ascii="Aptos" w:hAnsi="Aptos"/>
                <w:color w:val="000000"/>
                <w:sz w:val="16"/>
                <w:szCs w:val="16"/>
              </w:rPr>
            </w:pPr>
            <w:r w:rsidRPr="00D518FF">
              <w:rPr>
                <w:rFonts w:ascii="Aptos" w:hAnsi="Aptos"/>
                <w:color w:val="000000"/>
                <w:sz w:val="16"/>
                <w:szCs w:val="16"/>
              </w:rPr>
              <w:t>Effect of Coenzyme Q10 Supplementation on Diabetes Biomarkers: a Systematic Review and Meta-analysis of Randomized Controlled Clinical Trials</w:t>
            </w:r>
          </w:p>
        </w:tc>
        <w:tc>
          <w:tcPr>
            <w:tcW w:w="1225" w:type="pct"/>
            <w:shd w:val="clear" w:color="auto" w:fill="auto"/>
            <w:noWrap/>
            <w:hideMark/>
          </w:tcPr>
          <w:p w14:paraId="2CADE4D1" w14:textId="77777777" w:rsidR="008F3151" w:rsidRPr="00D518FF" w:rsidRDefault="008F3151">
            <w:pPr>
              <w:rPr>
                <w:rFonts w:ascii="Aptos" w:hAnsi="Aptos"/>
                <w:color w:val="000000"/>
                <w:sz w:val="16"/>
                <w:szCs w:val="16"/>
              </w:rPr>
            </w:pPr>
            <w:r w:rsidRPr="00D518FF">
              <w:rPr>
                <w:rFonts w:ascii="Aptos" w:hAnsi="Aptos"/>
                <w:color w:val="000000"/>
                <w:sz w:val="16"/>
                <w:szCs w:val="16"/>
              </w:rPr>
              <w:t>Moradi, Maedeh; Haghighatdoost, Fahimeh; Feizi, Awat; Azadbakht, Leila</w:t>
            </w:r>
          </w:p>
        </w:tc>
        <w:tc>
          <w:tcPr>
            <w:tcW w:w="196" w:type="pct"/>
            <w:shd w:val="clear" w:color="auto" w:fill="auto"/>
            <w:noWrap/>
            <w:hideMark/>
          </w:tcPr>
          <w:p w14:paraId="262FDEA6" w14:textId="77777777" w:rsidR="008F3151" w:rsidRPr="00D518FF" w:rsidRDefault="008F3151">
            <w:pPr>
              <w:rPr>
                <w:rFonts w:ascii="Aptos" w:hAnsi="Aptos"/>
                <w:color w:val="000000"/>
                <w:sz w:val="16"/>
                <w:szCs w:val="16"/>
              </w:rPr>
            </w:pPr>
            <w:r w:rsidRPr="00D518FF">
              <w:rPr>
                <w:rFonts w:ascii="Aptos" w:hAnsi="Aptos"/>
                <w:color w:val="000000"/>
                <w:sz w:val="16"/>
                <w:szCs w:val="16"/>
              </w:rPr>
              <w:t>2016</w:t>
            </w:r>
          </w:p>
        </w:tc>
        <w:tc>
          <w:tcPr>
            <w:tcW w:w="491" w:type="pct"/>
            <w:shd w:val="clear" w:color="auto" w:fill="auto"/>
            <w:noWrap/>
            <w:hideMark/>
          </w:tcPr>
          <w:p w14:paraId="157D4D0A" w14:textId="77777777" w:rsidR="008F3151" w:rsidRPr="00D518FF" w:rsidRDefault="008F3151">
            <w:pPr>
              <w:rPr>
                <w:rFonts w:ascii="Aptos" w:hAnsi="Aptos"/>
                <w:color w:val="000000"/>
                <w:sz w:val="16"/>
                <w:szCs w:val="16"/>
              </w:rPr>
            </w:pPr>
            <w:r w:rsidRPr="00D518FF">
              <w:rPr>
                <w:rFonts w:ascii="Aptos" w:hAnsi="Aptos"/>
                <w:color w:val="000000"/>
                <w:sz w:val="16"/>
                <w:szCs w:val="16"/>
              </w:rPr>
              <w:t>Archives of Iranian Medicine (AIM)</w:t>
            </w:r>
          </w:p>
        </w:tc>
        <w:tc>
          <w:tcPr>
            <w:tcW w:w="294" w:type="pct"/>
            <w:shd w:val="clear" w:color="auto" w:fill="auto"/>
            <w:noWrap/>
            <w:hideMark/>
          </w:tcPr>
          <w:p w14:paraId="03013E18" w14:textId="77777777" w:rsidR="008F3151" w:rsidRPr="00D518FF" w:rsidRDefault="008F3151">
            <w:pPr>
              <w:rPr>
                <w:rFonts w:ascii="Aptos" w:hAnsi="Aptos"/>
                <w:color w:val="000000"/>
                <w:sz w:val="16"/>
                <w:szCs w:val="16"/>
              </w:rPr>
            </w:pPr>
            <w:r w:rsidRPr="00D518FF">
              <w:rPr>
                <w:rFonts w:ascii="Aptos" w:hAnsi="Aptos"/>
                <w:color w:val="000000"/>
                <w:sz w:val="16"/>
                <w:szCs w:val="16"/>
              </w:rPr>
              <w:t>19</w:t>
            </w:r>
          </w:p>
        </w:tc>
        <w:tc>
          <w:tcPr>
            <w:tcW w:w="245" w:type="pct"/>
            <w:shd w:val="clear" w:color="auto" w:fill="auto"/>
            <w:noWrap/>
            <w:hideMark/>
          </w:tcPr>
          <w:p w14:paraId="61B7E0CE" w14:textId="77777777" w:rsidR="008F3151" w:rsidRPr="00D518FF" w:rsidRDefault="008F3151">
            <w:pPr>
              <w:rPr>
                <w:rFonts w:ascii="Aptos" w:hAnsi="Aptos"/>
                <w:color w:val="000000"/>
                <w:sz w:val="16"/>
                <w:szCs w:val="16"/>
              </w:rPr>
            </w:pPr>
            <w:r w:rsidRPr="00D518FF">
              <w:rPr>
                <w:rFonts w:ascii="Aptos" w:hAnsi="Aptos"/>
                <w:color w:val="000000"/>
                <w:sz w:val="16"/>
                <w:szCs w:val="16"/>
              </w:rPr>
              <w:t>8</w:t>
            </w:r>
          </w:p>
        </w:tc>
        <w:tc>
          <w:tcPr>
            <w:tcW w:w="246" w:type="pct"/>
            <w:shd w:val="clear" w:color="auto" w:fill="auto"/>
            <w:noWrap/>
            <w:hideMark/>
          </w:tcPr>
          <w:p w14:paraId="6638209E" w14:textId="77777777" w:rsidR="008F3151" w:rsidRPr="00D518FF" w:rsidRDefault="008F3151">
            <w:pPr>
              <w:rPr>
                <w:rFonts w:ascii="Aptos" w:hAnsi="Aptos"/>
                <w:color w:val="000000"/>
                <w:sz w:val="16"/>
                <w:szCs w:val="16"/>
              </w:rPr>
            </w:pPr>
            <w:r w:rsidRPr="00D518FF">
              <w:rPr>
                <w:rFonts w:ascii="Aptos" w:hAnsi="Aptos"/>
                <w:color w:val="000000"/>
                <w:sz w:val="16"/>
                <w:szCs w:val="16"/>
              </w:rPr>
              <w:t>588-596</w:t>
            </w:r>
          </w:p>
        </w:tc>
        <w:tc>
          <w:tcPr>
            <w:tcW w:w="833" w:type="pct"/>
            <w:shd w:val="clear" w:color="auto" w:fill="auto"/>
            <w:noWrap/>
            <w:hideMark/>
          </w:tcPr>
          <w:p w14:paraId="12483FD1"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458C00CB" w14:textId="77777777" w:rsidTr="004C6AA1">
        <w:trPr>
          <w:trHeight w:val="320"/>
        </w:trPr>
        <w:tc>
          <w:tcPr>
            <w:tcW w:w="1470" w:type="pct"/>
            <w:shd w:val="clear" w:color="auto" w:fill="auto"/>
            <w:noWrap/>
            <w:hideMark/>
          </w:tcPr>
          <w:p w14:paraId="372E10E8" w14:textId="77777777" w:rsidR="008F3151" w:rsidRPr="00D518FF" w:rsidRDefault="008F3151">
            <w:pPr>
              <w:rPr>
                <w:rFonts w:ascii="Aptos" w:hAnsi="Aptos"/>
                <w:color w:val="000000"/>
                <w:sz w:val="16"/>
                <w:szCs w:val="16"/>
              </w:rPr>
            </w:pPr>
            <w:r w:rsidRPr="00D518FF">
              <w:rPr>
                <w:rFonts w:ascii="Aptos" w:hAnsi="Aptos"/>
                <w:color w:val="000000"/>
                <w:sz w:val="16"/>
                <w:szCs w:val="16"/>
              </w:rPr>
              <w:t>A Case for Alpha-Lipoic Acid as an Alternative Treatment for Diabetic Polyneuropathy</w:t>
            </w:r>
          </w:p>
        </w:tc>
        <w:tc>
          <w:tcPr>
            <w:tcW w:w="1225" w:type="pct"/>
            <w:shd w:val="clear" w:color="auto" w:fill="auto"/>
            <w:noWrap/>
            <w:hideMark/>
          </w:tcPr>
          <w:p w14:paraId="7D4B6A5F" w14:textId="77777777" w:rsidR="008F3151" w:rsidRPr="00D518FF" w:rsidRDefault="008F3151">
            <w:pPr>
              <w:rPr>
                <w:rFonts w:ascii="Aptos" w:hAnsi="Aptos"/>
                <w:color w:val="000000"/>
                <w:sz w:val="16"/>
                <w:szCs w:val="16"/>
              </w:rPr>
            </w:pPr>
            <w:r w:rsidRPr="00D518FF">
              <w:rPr>
                <w:rFonts w:ascii="Aptos" w:hAnsi="Aptos"/>
                <w:color w:val="000000"/>
                <w:sz w:val="16"/>
                <w:szCs w:val="16"/>
              </w:rPr>
              <w:t>Nguyen, N.; Takemoto, J. K.</w:t>
            </w:r>
          </w:p>
        </w:tc>
        <w:tc>
          <w:tcPr>
            <w:tcW w:w="196" w:type="pct"/>
            <w:shd w:val="clear" w:color="auto" w:fill="auto"/>
            <w:noWrap/>
            <w:hideMark/>
          </w:tcPr>
          <w:p w14:paraId="513CB366"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491" w:type="pct"/>
            <w:shd w:val="clear" w:color="auto" w:fill="auto"/>
            <w:noWrap/>
            <w:hideMark/>
          </w:tcPr>
          <w:p w14:paraId="20BB37AF"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pharmacy &amp; pharmaceutical sciences : a publication of the Canadian Society for Pharmaceutical Sciences, Societe canadienne des sciences pharmaceutiques</w:t>
            </w:r>
          </w:p>
        </w:tc>
        <w:tc>
          <w:tcPr>
            <w:tcW w:w="294" w:type="pct"/>
            <w:shd w:val="clear" w:color="auto" w:fill="auto"/>
            <w:noWrap/>
            <w:hideMark/>
          </w:tcPr>
          <w:p w14:paraId="4953F011" w14:textId="77777777" w:rsidR="008F3151" w:rsidRPr="00D518FF" w:rsidRDefault="008F3151">
            <w:pPr>
              <w:rPr>
                <w:rFonts w:ascii="Aptos" w:hAnsi="Aptos"/>
                <w:color w:val="000000"/>
                <w:sz w:val="16"/>
                <w:szCs w:val="16"/>
              </w:rPr>
            </w:pPr>
            <w:r w:rsidRPr="00D518FF">
              <w:rPr>
                <w:rFonts w:ascii="Aptos" w:hAnsi="Aptos"/>
                <w:color w:val="000000"/>
                <w:sz w:val="16"/>
                <w:szCs w:val="16"/>
              </w:rPr>
              <w:t>21</w:t>
            </w:r>
          </w:p>
        </w:tc>
        <w:tc>
          <w:tcPr>
            <w:tcW w:w="245" w:type="pct"/>
            <w:shd w:val="clear" w:color="auto" w:fill="auto"/>
            <w:noWrap/>
            <w:hideMark/>
          </w:tcPr>
          <w:p w14:paraId="342D9E8F" w14:textId="77777777" w:rsidR="008F3151" w:rsidRPr="00D518FF" w:rsidRDefault="008F3151">
            <w:pPr>
              <w:rPr>
                <w:rFonts w:ascii="Aptos" w:hAnsi="Aptos"/>
                <w:color w:val="000000"/>
                <w:sz w:val="16"/>
                <w:szCs w:val="16"/>
              </w:rPr>
            </w:pPr>
            <w:r w:rsidRPr="00D518FF">
              <w:rPr>
                <w:rFonts w:ascii="Aptos" w:hAnsi="Aptos"/>
                <w:color w:val="000000"/>
                <w:sz w:val="16"/>
                <w:szCs w:val="16"/>
              </w:rPr>
              <w:t>1s</w:t>
            </w:r>
          </w:p>
        </w:tc>
        <w:tc>
          <w:tcPr>
            <w:tcW w:w="246" w:type="pct"/>
            <w:shd w:val="clear" w:color="auto" w:fill="auto"/>
            <w:noWrap/>
            <w:hideMark/>
          </w:tcPr>
          <w:p w14:paraId="55289A61" w14:textId="77777777" w:rsidR="008F3151" w:rsidRPr="00D518FF" w:rsidRDefault="008F3151">
            <w:pPr>
              <w:rPr>
                <w:rFonts w:ascii="Aptos" w:hAnsi="Aptos"/>
                <w:color w:val="000000"/>
                <w:sz w:val="16"/>
                <w:szCs w:val="16"/>
              </w:rPr>
            </w:pPr>
            <w:r w:rsidRPr="00D518FF">
              <w:rPr>
                <w:rFonts w:ascii="Aptos" w:hAnsi="Aptos"/>
                <w:color w:val="000000"/>
                <w:sz w:val="16"/>
                <w:szCs w:val="16"/>
              </w:rPr>
              <w:t>177s-191s</w:t>
            </w:r>
          </w:p>
        </w:tc>
        <w:tc>
          <w:tcPr>
            <w:tcW w:w="833" w:type="pct"/>
            <w:shd w:val="clear" w:color="auto" w:fill="auto"/>
            <w:noWrap/>
            <w:hideMark/>
          </w:tcPr>
          <w:p w14:paraId="11B7718E" w14:textId="77777777" w:rsidR="008F3151" w:rsidRPr="00D518FF" w:rsidRDefault="008F3151">
            <w:pPr>
              <w:rPr>
                <w:rFonts w:ascii="Aptos" w:hAnsi="Aptos"/>
                <w:color w:val="000000"/>
                <w:sz w:val="16"/>
                <w:szCs w:val="16"/>
              </w:rPr>
            </w:pPr>
            <w:r w:rsidRPr="00D518FF">
              <w:rPr>
                <w:rFonts w:ascii="Aptos" w:hAnsi="Aptos"/>
                <w:color w:val="000000"/>
                <w:sz w:val="16"/>
                <w:szCs w:val="16"/>
              </w:rPr>
              <w:t xml:space="preserve">Does not meet minimum criteria for systematic review </w:t>
            </w:r>
          </w:p>
        </w:tc>
      </w:tr>
      <w:tr w:rsidR="004C6AA1" w:rsidRPr="00D518FF" w14:paraId="26AF4A86" w14:textId="77777777" w:rsidTr="00887C84">
        <w:trPr>
          <w:trHeight w:val="320"/>
        </w:trPr>
        <w:tc>
          <w:tcPr>
            <w:tcW w:w="1470" w:type="pct"/>
            <w:shd w:val="clear" w:color="auto" w:fill="auto"/>
            <w:noWrap/>
            <w:hideMark/>
          </w:tcPr>
          <w:p w14:paraId="27074C08" w14:textId="77777777" w:rsidR="008F3151" w:rsidRPr="00D518FF" w:rsidRDefault="008F3151">
            <w:pPr>
              <w:rPr>
                <w:rFonts w:ascii="Aptos" w:hAnsi="Aptos"/>
                <w:color w:val="000000"/>
                <w:sz w:val="16"/>
                <w:szCs w:val="16"/>
              </w:rPr>
            </w:pPr>
            <w:r w:rsidRPr="00D518FF">
              <w:rPr>
                <w:rFonts w:ascii="Aptos" w:hAnsi="Aptos"/>
                <w:color w:val="000000"/>
                <w:sz w:val="16"/>
                <w:szCs w:val="16"/>
              </w:rPr>
              <w:t>Dietary supplements and glycemic control in patients with type 2 diabetes: a systematic review and meta-analysis</w:t>
            </w:r>
          </w:p>
        </w:tc>
        <w:tc>
          <w:tcPr>
            <w:tcW w:w="1225" w:type="pct"/>
            <w:shd w:val="clear" w:color="auto" w:fill="auto"/>
            <w:noWrap/>
            <w:hideMark/>
          </w:tcPr>
          <w:p w14:paraId="5DFC920A" w14:textId="77777777" w:rsidR="008F3151" w:rsidRPr="00D518FF" w:rsidRDefault="008F3151">
            <w:pPr>
              <w:rPr>
                <w:rFonts w:ascii="Aptos" w:hAnsi="Aptos"/>
                <w:color w:val="000000"/>
                <w:sz w:val="16"/>
                <w:szCs w:val="16"/>
              </w:rPr>
            </w:pPr>
            <w:r w:rsidRPr="00D518FF">
              <w:rPr>
                <w:rFonts w:ascii="Aptos" w:hAnsi="Aptos"/>
                <w:color w:val="000000"/>
                <w:sz w:val="16"/>
                <w:szCs w:val="16"/>
              </w:rPr>
              <w:t>Georg Hoffmann, Melanie Lehner Lukas Schwingshackl</w:t>
            </w:r>
          </w:p>
        </w:tc>
        <w:tc>
          <w:tcPr>
            <w:tcW w:w="196" w:type="pct"/>
            <w:shd w:val="clear" w:color="auto" w:fill="auto"/>
          </w:tcPr>
          <w:p w14:paraId="3D7B803F" w14:textId="7486488F" w:rsidR="008F3151" w:rsidRPr="00D518FF" w:rsidRDefault="00F601E5">
            <w:pPr>
              <w:rPr>
                <w:rFonts w:ascii="Aptos" w:hAnsi="Aptos"/>
                <w:color w:val="000000"/>
                <w:sz w:val="16"/>
                <w:szCs w:val="16"/>
              </w:rPr>
            </w:pPr>
            <w:r>
              <w:rPr>
                <w:rFonts w:ascii="Aptos" w:hAnsi="Aptos"/>
                <w:color w:val="000000"/>
                <w:sz w:val="16"/>
                <w:szCs w:val="16"/>
              </w:rPr>
              <w:t>2017</w:t>
            </w:r>
          </w:p>
        </w:tc>
        <w:tc>
          <w:tcPr>
            <w:tcW w:w="491" w:type="pct"/>
            <w:shd w:val="clear" w:color="auto" w:fill="auto"/>
          </w:tcPr>
          <w:p w14:paraId="45F3B8F8" w14:textId="3B891EB0" w:rsidR="008F3151" w:rsidRPr="00D518FF" w:rsidRDefault="00F601E5">
            <w:pPr>
              <w:rPr>
                <w:rFonts w:ascii="Aptos" w:hAnsi="Aptos"/>
                <w:color w:val="000000"/>
                <w:sz w:val="16"/>
                <w:szCs w:val="16"/>
              </w:rPr>
            </w:pPr>
            <w:r>
              <w:rPr>
                <w:rFonts w:ascii="Aptos" w:hAnsi="Aptos"/>
                <w:color w:val="000000"/>
                <w:sz w:val="16"/>
                <w:szCs w:val="16"/>
              </w:rPr>
              <w:t>PROSPERO</w:t>
            </w:r>
          </w:p>
        </w:tc>
        <w:tc>
          <w:tcPr>
            <w:tcW w:w="294" w:type="pct"/>
            <w:shd w:val="clear" w:color="auto" w:fill="auto"/>
          </w:tcPr>
          <w:p w14:paraId="320BD1E5" w14:textId="6053D5CF" w:rsidR="008F3151" w:rsidRPr="00D518FF" w:rsidRDefault="00F601E5">
            <w:pPr>
              <w:rPr>
                <w:rFonts w:ascii="Aptos" w:hAnsi="Aptos"/>
                <w:color w:val="000000"/>
                <w:sz w:val="16"/>
                <w:szCs w:val="16"/>
              </w:rPr>
            </w:pPr>
            <w:r w:rsidRPr="00F601E5">
              <w:rPr>
                <w:rFonts w:ascii="Aptos" w:hAnsi="Aptos"/>
                <w:color w:val="000000"/>
                <w:sz w:val="16"/>
                <w:szCs w:val="16"/>
              </w:rPr>
              <w:t>CRD42017076434</w:t>
            </w:r>
          </w:p>
        </w:tc>
        <w:tc>
          <w:tcPr>
            <w:tcW w:w="245" w:type="pct"/>
            <w:shd w:val="clear" w:color="auto" w:fill="auto"/>
          </w:tcPr>
          <w:p w14:paraId="0A8002D4" w14:textId="2D064DA8" w:rsidR="008F3151" w:rsidRPr="00D518FF" w:rsidRDefault="00F601E5">
            <w:pPr>
              <w:rPr>
                <w:rFonts w:ascii="Aptos" w:hAnsi="Aptos"/>
                <w:color w:val="000000"/>
                <w:sz w:val="16"/>
                <w:szCs w:val="16"/>
              </w:rPr>
            </w:pPr>
            <w:r>
              <w:rPr>
                <w:rFonts w:ascii="Aptos" w:hAnsi="Aptos"/>
                <w:color w:val="000000"/>
                <w:sz w:val="16"/>
                <w:szCs w:val="16"/>
              </w:rPr>
              <w:t>-</w:t>
            </w:r>
          </w:p>
        </w:tc>
        <w:tc>
          <w:tcPr>
            <w:tcW w:w="246" w:type="pct"/>
            <w:shd w:val="clear" w:color="auto" w:fill="auto"/>
            <w:noWrap/>
            <w:hideMark/>
          </w:tcPr>
          <w:p w14:paraId="6BF9412D" w14:textId="633472CA" w:rsidR="008F3151" w:rsidRPr="00D518FF" w:rsidRDefault="00F601E5">
            <w:pPr>
              <w:rPr>
                <w:rFonts w:ascii="Aptos" w:hAnsi="Aptos"/>
                <w:color w:val="000000"/>
                <w:sz w:val="16"/>
                <w:szCs w:val="16"/>
              </w:rPr>
            </w:pPr>
            <w:r>
              <w:rPr>
                <w:rFonts w:ascii="Aptos" w:hAnsi="Aptos"/>
                <w:color w:val="000000"/>
                <w:sz w:val="16"/>
                <w:szCs w:val="16"/>
              </w:rPr>
              <w:t>-</w:t>
            </w:r>
          </w:p>
        </w:tc>
        <w:tc>
          <w:tcPr>
            <w:tcW w:w="833" w:type="pct"/>
            <w:shd w:val="clear" w:color="auto" w:fill="auto"/>
            <w:noWrap/>
            <w:hideMark/>
          </w:tcPr>
          <w:p w14:paraId="54464419"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370D74C6" w14:textId="77777777" w:rsidTr="004C6AA1">
        <w:trPr>
          <w:trHeight w:val="320"/>
        </w:trPr>
        <w:tc>
          <w:tcPr>
            <w:tcW w:w="1470" w:type="pct"/>
            <w:shd w:val="clear" w:color="auto" w:fill="auto"/>
            <w:noWrap/>
            <w:hideMark/>
          </w:tcPr>
          <w:p w14:paraId="2DCACF8C" w14:textId="77777777" w:rsidR="008F3151" w:rsidRPr="00D518FF" w:rsidRDefault="008F3151">
            <w:pPr>
              <w:rPr>
                <w:rFonts w:ascii="Aptos" w:hAnsi="Aptos"/>
                <w:color w:val="000000"/>
                <w:sz w:val="16"/>
                <w:szCs w:val="16"/>
              </w:rPr>
            </w:pPr>
            <w:r w:rsidRPr="00D518FF">
              <w:rPr>
                <w:rFonts w:ascii="Aptos" w:hAnsi="Aptos"/>
                <w:color w:val="000000"/>
                <w:sz w:val="16"/>
                <w:szCs w:val="16"/>
              </w:rPr>
              <w:t>Effect of Alpha-Lipoic Acid in the Treatment of Diabetic Neuropathy: A Systematic Review</w:t>
            </w:r>
          </w:p>
        </w:tc>
        <w:tc>
          <w:tcPr>
            <w:tcW w:w="1225" w:type="pct"/>
            <w:shd w:val="clear" w:color="auto" w:fill="auto"/>
            <w:noWrap/>
            <w:hideMark/>
          </w:tcPr>
          <w:p w14:paraId="5888F1AB" w14:textId="77777777" w:rsidR="008F3151" w:rsidRPr="00D518FF" w:rsidRDefault="008F3151">
            <w:pPr>
              <w:rPr>
                <w:rFonts w:ascii="Aptos" w:hAnsi="Aptos"/>
                <w:color w:val="000000"/>
                <w:sz w:val="16"/>
                <w:szCs w:val="16"/>
              </w:rPr>
            </w:pPr>
            <w:r w:rsidRPr="00D518FF">
              <w:rPr>
                <w:rFonts w:ascii="Aptos" w:hAnsi="Aptos"/>
                <w:color w:val="000000"/>
                <w:sz w:val="16"/>
                <w:szCs w:val="16"/>
              </w:rPr>
              <w:t>Abubaker, S. A.; Alonazy, A. M.; Abdulrahman, A.</w:t>
            </w:r>
          </w:p>
        </w:tc>
        <w:tc>
          <w:tcPr>
            <w:tcW w:w="196" w:type="pct"/>
            <w:shd w:val="clear" w:color="auto" w:fill="auto"/>
            <w:noWrap/>
            <w:hideMark/>
          </w:tcPr>
          <w:p w14:paraId="18AC15B9"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491" w:type="pct"/>
            <w:shd w:val="clear" w:color="auto" w:fill="auto"/>
            <w:noWrap/>
            <w:hideMark/>
          </w:tcPr>
          <w:p w14:paraId="1CCA2390" w14:textId="77777777" w:rsidR="008F3151" w:rsidRPr="00D518FF" w:rsidRDefault="008F3151">
            <w:pPr>
              <w:rPr>
                <w:rFonts w:ascii="Aptos" w:hAnsi="Aptos"/>
                <w:color w:val="000000"/>
                <w:sz w:val="16"/>
                <w:szCs w:val="16"/>
              </w:rPr>
            </w:pPr>
            <w:r w:rsidRPr="00D518FF">
              <w:rPr>
                <w:rFonts w:ascii="Aptos" w:hAnsi="Aptos"/>
                <w:color w:val="000000"/>
                <w:sz w:val="16"/>
                <w:szCs w:val="16"/>
              </w:rPr>
              <w:t>Cureus</w:t>
            </w:r>
          </w:p>
        </w:tc>
        <w:tc>
          <w:tcPr>
            <w:tcW w:w="294" w:type="pct"/>
            <w:shd w:val="clear" w:color="auto" w:fill="auto"/>
            <w:noWrap/>
            <w:hideMark/>
          </w:tcPr>
          <w:p w14:paraId="11C31E7C" w14:textId="77777777" w:rsidR="008F3151" w:rsidRPr="00D518FF" w:rsidRDefault="008F3151">
            <w:pPr>
              <w:rPr>
                <w:rFonts w:ascii="Aptos" w:hAnsi="Aptos"/>
                <w:color w:val="000000"/>
                <w:sz w:val="16"/>
                <w:szCs w:val="16"/>
              </w:rPr>
            </w:pPr>
            <w:r w:rsidRPr="00D518FF">
              <w:rPr>
                <w:rFonts w:ascii="Aptos" w:hAnsi="Aptos"/>
                <w:color w:val="000000"/>
                <w:sz w:val="16"/>
                <w:szCs w:val="16"/>
              </w:rPr>
              <w:t>14</w:t>
            </w:r>
          </w:p>
        </w:tc>
        <w:tc>
          <w:tcPr>
            <w:tcW w:w="245" w:type="pct"/>
            <w:shd w:val="clear" w:color="auto" w:fill="auto"/>
            <w:noWrap/>
            <w:hideMark/>
          </w:tcPr>
          <w:p w14:paraId="0575465B"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246" w:type="pct"/>
            <w:shd w:val="clear" w:color="auto" w:fill="auto"/>
            <w:noWrap/>
            <w:hideMark/>
          </w:tcPr>
          <w:p w14:paraId="7F18B339" w14:textId="77777777" w:rsidR="008F3151" w:rsidRPr="00D518FF" w:rsidRDefault="008F3151">
            <w:pPr>
              <w:rPr>
                <w:rFonts w:ascii="Aptos" w:hAnsi="Aptos"/>
                <w:color w:val="000000"/>
                <w:sz w:val="16"/>
                <w:szCs w:val="16"/>
              </w:rPr>
            </w:pPr>
            <w:r w:rsidRPr="00D518FF">
              <w:rPr>
                <w:rFonts w:ascii="Aptos" w:hAnsi="Aptos"/>
                <w:color w:val="000000"/>
                <w:sz w:val="16"/>
                <w:szCs w:val="16"/>
              </w:rPr>
              <w:t>e25750</w:t>
            </w:r>
          </w:p>
        </w:tc>
        <w:tc>
          <w:tcPr>
            <w:tcW w:w="833" w:type="pct"/>
            <w:shd w:val="clear" w:color="auto" w:fill="auto"/>
            <w:noWrap/>
            <w:hideMark/>
          </w:tcPr>
          <w:p w14:paraId="71A08B50"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1E4FAB0B" w14:textId="77777777" w:rsidTr="004C6AA1">
        <w:trPr>
          <w:trHeight w:val="320"/>
        </w:trPr>
        <w:tc>
          <w:tcPr>
            <w:tcW w:w="1470" w:type="pct"/>
            <w:shd w:val="clear" w:color="auto" w:fill="auto"/>
            <w:noWrap/>
            <w:hideMark/>
          </w:tcPr>
          <w:p w14:paraId="1A459B63" w14:textId="77777777" w:rsidR="008F3151" w:rsidRPr="00D518FF" w:rsidRDefault="008F3151">
            <w:pPr>
              <w:rPr>
                <w:rFonts w:ascii="Aptos" w:hAnsi="Aptos"/>
                <w:color w:val="000000"/>
                <w:sz w:val="16"/>
                <w:szCs w:val="16"/>
              </w:rPr>
            </w:pPr>
            <w:r w:rsidRPr="00D518FF">
              <w:rPr>
                <w:rFonts w:ascii="Aptos" w:hAnsi="Aptos"/>
                <w:color w:val="000000"/>
                <w:sz w:val="16"/>
                <w:szCs w:val="16"/>
              </w:rPr>
              <w:t>Efficacy of Alpha-lipoic Acid in The Management of Diabetes Mellitus: A Systematic Review and Meta-analysis</w:t>
            </w:r>
          </w:p>
        </w:tc>
        <w:tc>
          <w:tcPr>
            <w:tcW w:w="1225" w:type="pct"/>
            <w:shd w:val="clear" w:color="auto" w:fill="auto"/>
            <w:noWrap/>
            <w:hideMark/>
          </w:tcPr>
          <w:p w14:paraId="7B66D511" w14:textId="77777777" w:rsidR="008F3151" w:rsidRPr="00D518FF" w:rsidRDefault="008F3151">
            <w:pPr>
              <w:rPr>
                <w:rFonts w:ascii="Aptos" w:hAnsi="Aptos"/>
                <w:color w:val="000000"/>
                <w:sz w:val="16"/>
                <w:szCs w:val="16"/>
              </w:rPr>
            </w:pPr>
            <w:r w:rsidRPr="00D518FF">
              <w:rPr>
                <w:rFonts w:ascii="Aptos" w:hAnsi="Aptos"/>
                <w:color w:val="000000"/>
                <w:sz w:val="16"/>
                <w:szCs w:val="16"/>
              </w:rPr>
              <w:t>Ebada, M. A.; Fayed, N.; Fayed, L.; Alkanj, S.; Abdelkarim, A.; Farwati, H.; Hanafy, A.; Negida, A.; Ebada, M.; Noser, Y.</w:t>
            </w:r>
          </w:p>
        </w:tc>
        <w:tc>
          <w:tcPr>
            <w:tcW w:w="196" w:type="pct"/>
            <w:shd w:val="clear" w:color="auto" w:fill="auto"/>
            <w:noWrap/>
            <w:hideMark/>
          </w:tcPr>
          <w:p w14:paraId="3308DE8B"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491" w:type="pct"/>
            <w:shd w:val="clear" w:color="auto" w:fill="auto"/>
            <w:noWrap/>
            <w:hideMark/>
          </w:tcPr>
          <w:p w14:paraId="764E4D97" w14:textId="77777777" w:rsidR="008F3151" w:rsidRPr="00D518FF" w:rsidRDefault="008F3151">
            <w:pPr>
              <w:rPr>
                <w:rFonts w:ascii="Aptos" w:hAnsi="Aptos"/>
                <w:color w:val="000000"/>
                <w:sz w:val="16"/>
                <w:szCs w:val="16"/>
              </w:rPr>
            </w:pPr>
            <w:r w:rsidRPr="00D518FF">
              <w:rPr>
                <w:rFonts w:ascii="Aptos" w:hAnsi="Aptos"/>
                <w:color w:val="000000"/>
                <w:sz w:val="16"/>
                <w:szCs w:val="16"/>
              </w:rPr>
              <w:t>Iranian journal of pharmaceutical research : IJPR</w:t>
            </w:r>
          </w:p>
        </w:tc>
        <w:tc>
          <w:tcPr>
            <w:tcW w:w="294" w:type="pct"/>
            <w:shd w:val="clear" w:color="auto" w:fill="auto"/>
            <w:noWrap/>
            <w:hideMark/>
          </w:tcPr>
          <w:p w14:paraId="3503848E"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245" w:type="pct"/>
            <w:shd w:val="clear" w:color="auto" w:fill="auto"/>
            <w:noWrap/>
            <w:hideMark/>
          </w:tcPr>
          <w:p w14:paraId="6301083C"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246" w:type="pct"/>
            <w:shd w:val="clear" w:color="auto" w:fill="auto"/>
            <w:noWrap/>
            <w:hideMark/>
          </w:tcPr>
          <w:p w14:paraId="39A5DF08" w14:textId="77777777" w:rsidR="008F3151" w:rsidRPr="00D518FF" w:rsidRDefault="008F3151">
            <w:pPr>
              <w:rPr>
                <w:rFonts w:ascii="Aptos" w:hAnsi="Aptos"/>
                <w:color w:val="000000"/>
                <w:sz w:val="16"/>
                <w:szCs w:val="16"/>
              </w:rPr>
            </w:pPr>
            <w:r w:rsidRPr="00D518FF">
              <w:rPr>
                <w:rFonts w:ascii="Aptos" w:hAnsi="Aptos"/>
                <w:color w:val="000000"/>
                <w:sz w:val="16"/>
                <w:szCs w:val="16"/>
              </w:rPr>
              <w:t>2144-2156</w:t>
            </w:r>
          </w:p>
        </w:tc>
        <w:tc>
          <w:tcPr>
            <w:tcW w:w="833" w:type="pct"/>
            <w:shd w:val="clear" w:color="auto" w:fill="auto"/>
            <w:noWrap/>
            <w:hideMark/>
          </w:tcPr>
          <w:p w14:paraId="2B6A0BB3" w14:textId="77777777" w:rsidR="008F3151" w:rsidRPr="00D518FF" w:rsidRDefault="008F3151">
            <w:pPr>
              <w:rPr>
                <w:rFonts w:ascii="Aptos" w:hAnsi="Aptos"/>
                <w:color w:val="000000"/>
                <w:sz w:val="16"/>
                <w:szCs w:val="16"/>
              </w:rPr>
            </w:pPr>
            <w:r w:rsidRPr="00D518FF">
              <w:rPr>
                <w:rFonts w:ascii="Aptos" w:hAnsi="Aptos"/>
                <w:color w:val="000000"/>
                <w:sz w:val="16"/>
                <w:szCs w:val="16"/>
              </w:rPr>
              <w:t>Wrong intervention</w:t>
            </w:r>
          </w:p>
        </w:tc>
      </w:tr>
      <w:tr w:rsidR="004C6AA1" w:rsidRPr="00D518FF" w14:paraId="6BD2C727" w14:textId="77777777" w:rsidTr="00887C84">
        <w:trPr>
          <w:trHeight w:val="320"/>
        </w:trPr>
        <w:tc>
          <w:tcPr>
            <w:tcW w:w="1470" w:type="pct"/>
            <w:shd w:val="clear" w:color="auto" w:fill="auto"/>
            <w:noWrap/>
            <w:hideMark/>
          </w:tcPr>
          <w:p w14:paraId="716196BD" w14:textId="5200380E" w:rsidR="008F3151" w:rsidRPr="00D518FF" w:rsidRDefault="008F3151">
            <w:pPr>
              <w:rPr>
                <w:rFonts w:ascii="Aptos" w:hAnsi="Aptos"/>
                <w:color w:val="000000"/>
                <w:sz w:val="16"/>
                <w:szCs w:val="16"/>
              </w:rPr>
            </w:pPr>
            <w:r w:rsidRPr="00D518FF">
              <w:rPr>
                <w:rFonts w:ascii="Aptos" w:hAnsi="Aptos"/>
                <w:color w:val="000000"/>
                <w:sz w:val="16"/>
                <w:szCs w:val="16"/>
              </w:rPr>
              <w:t>Effects of coenzyme Q10 supplementation on lipid profile: A systematic review and meta-analysis</w:t>
            </w:r>
          </w:p>
        </w:tc>
        <w:tc>
          <w:tcPr>
            <w:tcW w:w="1225" w:type="pct"/>
            <w:shd w:val="clear" w:color="auto" w:fill="auto"/>
            <w:noWrap/>
            <w:hideMark/>
          </w:tcPr>
          <w:p w14:paraId="47E0D762" w14:textId="77777777" w:rsidR="008F3151" w:rsidRPr="00D518FF" w:rsidRDefault="008F3151">
            <w:pPr>
              <w:rPr>
                <w:rFonts w:ascii="Aptos" w:hAnsi="Aptos"/>
                <w:color w:val="000000"/>
                <w:sz w:val="16"/>
                <w:szCs w:val="16"/>
              </w:rPr>
            </w:pPr>
            <w:r w:rsidRPr="00D518FF">
              <w:rPr>
                <w:rFonts w:ascii="Aptos" w:hAnsi="Aptos"/>
                <w:color w:val="000000"/>
                <w:sz w:val="16"/>
                <w:szCs w:val="16"/>
              </w:rPr>
              <w:t>Arash karimi, Mahdi Vajdi</w:t>
            </w:r>
          </w:p>
        </w:tc>
        <w:tc>
          <w:tcPr>
            <w:tcW w:w="196" w:type="pct"/>
            <w:shd w:val="clear" w:color="auto" w:fill="auto"/>
          </w:tcPr>
          <w:p w14:paraId="17B394DC" w14:textId="2BF5ABD5" w:rsidR="008F3151" w:rsidRPr="00D518FF" w:rsidRDefault="00553005">
            <w:pPr>
              <w:rPr>
                <w:rFonts w:ascii="Aptos" w:hAnsi="Aptos"/>
                <w:color w:val="000000"/>
                <w:sz w:val="16"/>
                <w:szCs w:val="16"/>
              </w:rPr>
            </w:pPr>
            <w:r>
              <w:rPr>
                <w:rFonts w:ascii="Aptos" w:hAnsi="Aptos"/>
                <w:color w:val="000000"/>
                <w:sz w:val="16"/>
                <w:szCs w:val="16"/>
              </w:rPr>
              <w:t>2022</w:t>
            </w:r>
          </w:p>
        </w:tc>
        <w:tc>
          <w:tcPr>
            <w:tcW w:w="491" w:type="pct"/>
            <w:shd w:val="clear" w:color="auto" w:fill="auto"/>
            <w:noWrap/>
            <w:hideMark/>
          </w:tcPr>
          <w:p w14:paraId="5F626F9F" w14:textId="65FE2481" w:rsidR="008F3151" w:rsidRPr="00D518FF" w:rsidRDefault="00553005">
            <w:pPr>
              <w:rPr>
                <w:rFonts w:ascii="Aptos" w:hAnsi="Aptos"/>
                <w:color w:val="000000"/>
                <w:sz w:val="16"/>
                <w:szCs w:val="16"/>
              </w:rPr>
            </w:pPr>
            <w:r>
              <w:rPr>
                <w:rFonts w:ascii="Aptos" w:hAnsi="Aptos"/>
                <w:color w:val="000000"/>
                <w:sz w:val="16"/>
                <w:szCs w:val="16"/>
              </w:rPr>
              <w:t>PROSPERO</w:t>
            </w:r>
          </w:p>
        </w:tc>
        <w:tc>
          <w:tcPr>
            <w:tcW w:w="294" w:type="pct"/>
            <w:shd w:val="clear" w:color="auto" w:fill="auto"/>
            <w:noWrap/>
            <w:hideMark/>
          </w:tcPr>
          <w:p w14:paraId="5E610D56" w14:textId="4D5BE1C8" w:rsidR="008F3151" w:rsidRPr="00D518FF" w:rsidRDefault="00553005">
            <w:pPr>
              <w:rPr>
                <w:rFonts w:ascii="Aptos" w:hAnsi="Aptos"/>
                <w:sz w:val="16"/>
                <w:szCs w:val="16"/>
              </w:rPr>
            </w:pPr>
            <w:r w:rsidRPr="00553005">
              <w:rPr>
                <w:rFonts w:ascii="Aptos" w:hAnsi="Aptos"/>
                <w:sz w:val="16"/>
                <w:szCs w:val="16"/>
              </w:rPr>
              <w:t>CRD42022350490</w:t>
            </w:r>
          </w:p>
        </w:tc>
        <w:tc>
          <w:tcPr>
            <w:tcW w:w="245" w:type="pct"/>
            <w:shd w:val="clear" w:color="auto" w:fill="auto"/>
            <w:noWrap/>
            <w:hideMark/>
          </w:tcPr>
          <w:p w14:paraId="4C498FA2" w14:textId="05F0B280" w:rsidR="008F3151" w:rsidRPr="00D518FF" w:rsidRDefault="00553005">
            <w:pPr>
              <w:rPr>
                <w:rFonts w:ascii="Aptos" w:hAnsi="Aptos"/>
                <w:sz w:val="16"/>
                <w:szCs w:val="16"/>
              </w:rPr>
            </w:pPr>
            <w:r>
              <w:rPr>
                <w:rFonts w:ascii="Aptos" w:hAnsi="Aptos"/>
                <w:sz w:val="16"/>
                <w:szCs w:val="16"/>
              </w:rPr>
              <w:t>-</w:t>
            </w:r>
          </w:p>
        </w:tc>
        <w:tc>
          <w:tcPr>
            <w:tcW w:w="246" w:type="pct"/>
            <w:shd w:val="clear" w:color="auto" w:fill="auto"/>
            <w:noWrap/>
            <w:hideMark/>
          </w:tcPr>
          <w:p w14:paraId="3D180933" w14:textId="43975B62" w:rsidR="008F3151" w:rsidRPr="00D518FF" w:rsidRDefault="00553005">
            <w:pPr>
              <w:rPr>
                <w:rFonts w:ascii="Aptos" w:hAnsi="Aptos"/>
                <w:sz w:val="16"/>
                <w:szCs w:val="16"/>
              </w:rPr>
            </w:pPr>
            <w:r>
              <w:rPr>
                <w:rFonts w:ascii="Aptos" w:hAnsi="Aptos"/>
                <w:sz w:val="16"/>
                <w:szCs w:val="16"/>
              </w:rPr>
              <w:t>-</w:t>
            </w:r>
          </w:p>
        </w:tc>
        <w:tc>
          <w:tcPr>
            <w:tcW w:w="833" w:type="pct"/>
            <w:shd w:val="clear" w:color="auto" w:fill="auto"/>
            <w:noWrap/>
            <w:hideMark/>
          </w:tcPr>
          <w:p w14:paraId="5E25D114"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4C6AA1" w:rsidRPr="00D518FF" w14:paraId="092D1618" w14:textId="77777777" w:rsidTr="00887C84">
        <w:trPr>
          <w:trHeight w:val="320"/>
        </w:trPr>
        <w:tc>
          <w:tcPr>
            <w:tcW w:w="1470" w:type="pct"/>
            <w:shd w:val="clear" w:color="auto" w:fill="auto"/>
            <w:noWrap/>
            <w:hideMark/>
          </w:tcPr>
          <w:p w14:paraId="102F09AC"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Effect of coenzyme Q10 supplementation on C-reactive protein: a systematic review and meta-analysis of randomized controlled trials</w:t>
            </w:r>
          </w:p>
        </w:tc>
        <w:tc>
          <w:tcPr>
            <w:tcW w:w="1225" w:type="pct"/>
            <w:shd w:val="clear" w:color="auto" w:fill="auto"/>
            <w:noWrap/>
            <w:hideMark/>
          </w:tcPr>
          <w:p w14:paraId="7792D18A" w14:textId="77777777" w:rsidR="008F3151" w:rsidRPr="00D518FF" w:rsidRDefault="008F3151">
            <w:pPr>
              <w:rPr>
                <w:rFonts w:ascii="Aptos" w:hAnsi="Aptos"/>
                <w:color w:val="000000"/>
                <w:sz w:val="16"/>
                <w:szCs w:val="16"/>
              </w:rPr>
            </w:pPr>
            <w:r w:rsidRPr="00D518FF">
              <w:rPr>
                <w:rFonts w:ascii="Aptos" w:hAnsi="Aptos"/>
                <w:color w:val="000000"/>
                <w:sz w:val="16"/>
                <w:szCs w:val="16"/>
              </w:rPr>
              <w:t>Mohsen Mohammadi Sartang, Zohreh Mazloom</w:t>
            </w:r>
          </w:p>
        </w:tc>
        <w:tc>
          <w:tcPr>
            <w:tcW w:w="196" w:type="pct"/>
            <w:shd w:val="clear" w:color="auto" w:fill="auto"/>
          </w:tcPr>
          <w:p w14:paraId="567D94F7" w14:textId="64405EC3" w:rsidR="008F3151" w:rsidRPr="00D518FF" w:rsidRDefault="00553005">
            <w:pPr>
              <w:rPr>
                <w:rFonts w:ascii="Aptos" w:hAnsi="Aptos"/>
                <w:color w:val="000000"/>
                <w:sz w:val="16"/>
                <w:szCs w:val="16"/>
              </w:rPr>
            </w:pPr>
            <w:r>
              <w:rPr>
                <w:rFonts w:ascii="Aptos" w:hAnsi="Aptos"/>
                <w:color w:val="000000"/>
                <w:sz w:val="16"/>
                <w:szCs w:val="16"/>
              </w:rPr>
              <w:t>2016</w:t>
            </w:r>
          </w:p>
        </w:tc>
        <w:tc>
          <w:tcPr>
            <w:tcW w:w="491" w:type="pct"/>
            <w:shd w:val="clear" w:color="auto" w:fill="auto"/>
          </w:tcPr>
          <w:p w14:paraId="2AC8AF0F" w14:textId="6940769E" w:rsidR="008F3151" w:rsidRPr="00D518FF" w:rsidRDefault="00553005">
            <w:pPr>
              <w:rPr>
                <w:rFonts w:ascii="Aptos" w:hAnsi="Aptos"/>
                <w:color w:val="000000"/>
                <w:sz w:val="16"/>
                <w:szCs w:val="16"/>
              </w:rPr>
            </w:pPr>
            <w:r>
              <w:rPr>
                <w:rFonts w:ascii="Aptos" w:hAnsi="Aptos"/>
                <w:color w:val="000000"/>
                <w:sz w:val="16"/>
                <w:szCs w:val="16"/>
              </w:rPr>
              <w:t>PROSPERO</w:t>
            </w:r>
          </w:p>
        </w:tc>
        <w:tc>
          <w:tcPr>
            <w:tcW w:w="294" w:type="pct"/>
            <w:shd w:val="clear" w:color="auto" w:fill="auto"/>
          </w:tcPr>
          <w:p w14:paraId="6FF0986E" w14:textId="5D9337CF" w:rsidR="008F3151" w:rsidRPr="00D518FF" w:rsidRDefault="00553005">
            <w:pPr>
              <w:rPr>
                <w:rFonts w:ascii="Aptos" w:hAnsi="Aptos"/>
                <w:color w:val="000000"/>
                <w:sz w:val="16"/>
                <w:szCs w:val="16"/>
              </w:rPr>
            </w:pPr>
            <w:r w:rsidRPr="00553005">
              <w:rPr>
                <w:rFonts w:ascii="Aptos" w:hAnsi="Aptos"/>
                <w:color w:val="000000"/>
                <w:sz w:val="16"/>
                <w:szCs w:val="16"/>
              </w:rPr>
              <w:t>CRD42016043073</w:t>
            </w:r>
          </w:p>
        </w:tc>
        <w:tc>
          <w:tcPr>
            <w:tcW w:w="245" w:type="pct"/>
            <w:shd w:val="clear" w:color="auto" w:fill="auto"/>
            <w:noWrap/>
            <w:hideMark/>
          </w:tcPr>
          <w:p w14:paraId="7C14A6D3" w14:textId="41EDE0A6" w:rsidR="008F3151" w:rsidRPr="00D518FF" w:rsidRDefault="00553005">
            <w:pPr>
              <w:rPr>
                <w:rFonts w:ascii="Aptos" w:hAnsi="Aptos"/>
                <w:color w:val="000000"/>
                <w:sz w:val="16"/>
                <w:szCs w:val="16"/>
              </w:rPr>
            </w:pPr>
            <w:r>
              <w:rPr>
                <w:rFonts w:ascii="Aptos" w:hAnsi="Aptos"/>
                <w:color w:val="000000"/>
                <w:sz w:val="16"/>
                <w:szCs w:val="16"/>
              </w:rPr>
              <w:t>-</w:t>
            </w:r>
          </w:p>
        </w:tc>
        <w:tc>
          <w:tcPr>
            <w:tcW w:w="246" w:type="pct"/>
            <w:shd w:val="clear" w:color="auto" w:fill="auto"/>
            <w:noWrap/>
            <w:hideMark/>
          </w:tcPr>
          <w:p w14:paraId="3F50D806" w14:textId="57C7564F" w:rsidR="008F3151" w:rsidRPr="00D518FF" w:rsidRDefault="00553005">
            <w:pPr>
              <w:rPr>
                <w:rFonts w:ascii="Aptos" w:hAnsi="Aptos"/>
                <w:sz w:val="16"/>
                <w:szCs w:val="16"/>
              </w:rPr>
            </w:pPr>
            <w:r>
              <w:rPr>
                <w:rFonts w:ascii="Aptos" w:hAnsi="Aptos"/>
                <w:sz w:val="16"/>
                <w:szCs w:val="16"/>
              </w:rPr>
              <w:t>-</w:t>
            </w:r>
          </w:p>
        </w:tc>
        <w:tc>
          <w:tcPr>
            <w:tcW w:w="833" w:type="pct"/>
            <w:shd w:val="clear" w:color="auto" w:fill="auto"/>
            <w:noWrap/>
            <w:hideMark/>
          </w:tcPr>
          <w:p w14:paraId="1B7C4343"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4C6AA1" w:rsidRPr="00D518FF" w14:paraId="365DFE97" w14:textId="77777777" w:rsidTr="004C6AA1">
        <w:trPr>
          <w:trHeight w:val="320"/>
        </w:trPr>
        <w:tc>
          <w:tcPr>
            <w:tcW w:w="1470" w:type="pct"/>
            <w:shd w:val="clear" w:color="auto" w:fill="auto"/>
            <w:noWrap/>
            <w:hideMark/>
          </w:tcPr>
          <w:p w14:paraId="21B54567"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effects of alpha-lipoic acid supplementation on inflammatory markers among patients with metabolic syndrome and related disorders: A systematic review and meta-analysis of randomized controlled trials</w:t>
            </w:r>
          </w:p>
        </w:tc>
        <w:tc>
          <w:tcPr>
            <w:tcW w:w="1225" w:type="pct"/>
            <w:shd w:val="clear" w:color="auto" w:fill="auto"/>
            <w:noWrap/>
            <w:hideMark/>
          </w:tcPr>
          <w:p w14:paraId="42343A1D" w14:textId="77777777" w:rsidR="008F3151" w:rsidRPr="00D518FF" w:rsidRDefault="008F3151">
            <w:pPr>
              <w:rPr>
                <w:rFonts w:ascii="Aptos" w:hAnsi="Aptos"/>
                <w:color w:val="000000"/>
                <w:sz w:val="16"/>
                <w:szCs w:val="16"/>
              </w:rPr>
            </w:pPr>
            <w:r w:rsidRPr="00D518FF">
              <w:rPr>
                <w:rFonts w:ascii="Aptos" w:hAnsi="Aptos"/>
                <w:color w:val="000000"/>
                <w:sz w:val="16"/>
                <w:szCs w:val="16"/>
              </w:rPr>
              <w:t>Akbari, M.; Ostadmohammadi, V.; Tabrizi, R.; Mobini, M.; Lankarani, K. B.; Moosazadeh, M.; Heydari, S. T.; Chamani, M.; Kolahdooz, F.; Asemi, Z.</w:t>
            </w:r>
          </w:p>
        </w:tc>
        <w:tc>
          <w:tcPr>
            <w:tcW w:w="196" w:type="pct"/>
            <w:shd w:val="clear" w:color="auto" w:fill="auto"/>
            <w:noWrap/>
            <w:hideMark/>
          </w:tcPr>
          <w:p w14:paraId="68A63F21"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491" w:type="pct"/>
            <w:shd w:val="clear" w:color="auto" w:fill="auto"/>
            <w:noWrap/>
            <w:hideMark/>
          </w:tcPr>
          <w:p w14:paraId="4CD0B199"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 and Metabolism</w:t>
            </w:r>
          </w:p>
        </w:tc>
        <w:tc>
          <w:tcPr>
            <w:tcW w:w="294" w:type="pct"/>
            <w:shd w:val="clear" w:color="auto" w:fill="auto"/>
            <w:noWrap/>
            <w:hideMark/>
          </w:tcPr>
          <w:p w14:paraId="7D3A27E6" w14:textId="77777777" w:rsidR="008F3151" w:rsidRPr="00D518FF" w:rsidRDefault="008F3151">
            <w:pPr>
              <w:rPr>
                <w:rFonts w:ascii="Aptos" w:hAnsi="Aptos"/>
                <w:color w:val="000000"/>
                <w:sz w:val="16"/>
                <w:szCs w:val="16"/>
              </w:rPr>
            </w:pPr>
            <w:r w:rsidRPr="00D518FF">
              <w:rPr>
                <w:rFonts w:ascii="Aptos" w:hAnsi="Aptos"/>
                <w:color w:val="000000"/>
                <w:sz w:val="16"/>
                <w:szCs w:val="16"/>
              </w:rPr>
              <w:t>15</w:t>
            </w:r>
          </w:p>
        </w:tc>
        <w:tc>
          <w:tcPr>
            <w:tcW w:w="245" w:type="pct"/>
            <w:shd w:val="clear" w:color="auto" w:fill="auto"/>
            <w:noWrap/>
            <w:hideMark/>
          </w:tcPr>
          <w:p w14:paraId="3B19A348"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246" w:type="pct"/>
            <w:shd w:val="clear" w:color="auto" w:fill="auto"/>
            <w:noWrap/>
            <w:hideMark/>
          </w:tcPr>
          <w:p w14:paraId="6199DD64" w14:textId="77777777" w:rsidR="008F3151" w:rsidRPr="00D518FF" w:rsidRDefault="008F3151">
            <w:pPr>
              <w:rPr>
                <w:rFonts w:ascii="Aptos" w:hAnsi="Aptos"/>
                <w:color w:val="000000"/>
                <w:sz w:val="16"/>
                <w:szCs w:val="16"/>
              </w:rPr>
            </w:pPr>
            <w:r w:rsidRPr="00D518FF">
              <w:rPr>
                <w:rFonts w:ascii="Aptos" w:hAnsi="Aptos"/>
                <w:color w:val="000000"/>
                <w:sz w:val="16"/>
                <w:szCs w:val="16"/>
              </w:rPr>
              <w:t>39</w:t>
            </w:r>
          </w:p>
        </w:tc>
        <w:tc>
          <w:tcPr>
            <w:tcW w:w="833" w:type="pct"/>
            <w:shd w:val="clear" w:color="auto" w:fill="auto"/>
            <w:noWrap/>
            <w:hideMark/>
          </w:tcPr>
          <w:p w14:paraId="66CF362B"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4C6AA1" w:rsidRPr="00D518FF" w14:paraId="6348A15B" w14:textId="77777777" w:rsidTr="004C6AA1">
        <w:trPr>
          <w:trHeight w:val="320"/>
        </w:trPr>
        <w:tc>
          <w:tcPr>
            <w:tcW w:w="1470" w:type="pct"/>
            <w:shd w:val="clear" w:color="auto" w:fill="auto"/>
            <w:noWrap/>
            <w:hideMark/>
          </w:tcPr>
          <w:p w14:paraId="4EFCC112" w14:textId="77777777" w:rsidR="008F3151" w:rsidRPr="00D518FF" w:rsidRDefault="008F3151">
            <w:pPr>
              <w:rPr>
                <w:rFonts w:ascii="Aptos" w:hAnsi="Aptos"/>
                <w:color w:val="000000"/>
                <w:sz w:val="16"/>
                <w:szCs w:val="16"/>
              </w:rPr>
            </w:pPr>
            <w:r w:rsidRPr="00D518FF">
              <w:rPr>
                <w:rFonts w:ascii="Aptos" w:hAnsi="Aptos"/>
                <w:color w:val="000000"/>
                <w:sz w:val="16"/>
                <w:szCs w:val="16"/>
              </w:rPr>
              <w:t>Coenzyme Q10 Supplementation Improves Adipokine Levels and Alleviates Inflammation and Lipid Peroxidation in Conditions of Metabolic Syndrome: A Meta-Analysis of Randomized Controlled Trials</w:t>
            </w:r>
          </w:p>
        </w:tc>
        <w:tc>
          <w:tcPr>
            <w:tcW w:w="1225" w:type="pct"/>
            <w:shd w:val="clear" w:color="auto" w:fill="auto"/>
            <w:noWrap/>
            <w:hideMark/>
          </w:tcPr>
          <w:p w14:paraId="51879DB0" w14:textId="77777777" w:rsidR="008F3151" w:rsidRPr="00D518FF" w:rsidRDefault="008F3151">
            <w:pPr>
              <w:rPr>
                <w:rFonts w:ascii="Aptos" w:hAnsi="Aptos"/>
                <w:color w:val="000000"/>
                <w:sz w:val="16"/>
                <w:szCs w:val="16"/>
              </w:rPr>
            </w:pPr>
            <w:r w:rsidRPr="00D518FF">
              <w:rPr>
                <w:rFonts w:ascii="Aptos" w:hAnsi="Aptos"/>
                <w:color w:val="000000"/>
                <w:sz w:val="16"/>
                <w:szCs w:val="16"/>
              </w:rPr>
              <w:t>Dludla, P. V.; Orlando, P.; Silvestri, S.; Marcheggiani, F.; Cirilli, I.; Nyambuya, T. M.; Mxinwa, V.; Mokgalaboni, K.; Nkambule, B. B.; Johnson, R.; Mazibuko-Mbeje, S. E.; Muller, C. J. F.; Louw, J.; Tiano, L.</w:t>
            </w:r>
          </w:p>
        </w:tc>
        <w:tc>
          <w:tcPr>
            <w:tcW w:w="196" w:type="pct"/>
            <w:shd w:val="clear" w:color="auto" w:fill="auto"/>
            <w:noWrap/>
            <w:hideMark/>
          </w:tcPr>
          <w:p w14:paraId="5AB95415"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491" w:type="pct"/>
            <w:shd w:val="clear" w:color="auto" w:fill="auto"/>
            <w:noWrap/>
            <w:hideMark/>
          </w:tcPr>
          <w:p w14:paraId="12DBA018" w14:textId="77777777" w:rsidR="008F3151" w:rsidRPr="00D518FF" w:rsidRDefault="008F3151">
            <w:pPr>
              <w:rPr>
                <w:rFonts w:ascii="Aptos" w:hAnsi="Aptos"/>
                <w:color w:val="000000"/>
                <w:sz w:val="16"/>
                <w:szCs w:val="16"/>
              </w:rPr>
            </w:pPr>
            <w:r w:rsidRPr="00D518FF">
              <w:rPr>
                <w:rFonts w:ascii="Aptos" w:hAnsi="Aptos"/>
                <w:color w:val="000000"/>
                <w:sz w:val="16"/>
                <w:szCs w:val="16"/>
              </w:rPr>
              <w:t>International journal of molecular sciences</w:t>
            </w:r>
          </w:p>
        </w:tc>
        <w:tc>
          <w:tcPr>
            <w:tcW w:w="294" w:type="pct"/>
            <w:shd w:val="clear" w:color="auto" w:fill="auto"/>
            <w:noWrap/>
            <w:hideMark/>
          </w:tcPr>
          <w:p w14:paraId="0E9972DE" w14:textId="77777777" w:rsidR="008F3151" w:rsidRPr="00D518FF" w:rsidRDefault="008F3151">
            <w:pPr>
              <w:rPr>
                <w:rFonts w:ascii="Aptos" w:hAnsi="Aptos"/>
                <w:color w:val="000000"/>
                <w:sz w:val="16"/>
                <w:szCs w:val="16"/>
              </w:rPr>
            </w:pPr>
            <w:r w:rsidRPr="00D518FF">
              <w:rPr>
                <w:rFonts w:ascii="Aptos" w:hAnsi="Aptos"/>
                <w:color w:val="000000"/>
                <w:sz w:val="16"/>
                <w:szCs w:val="16"/>
              </w:rPr>
              <w:t>21</w:t>
            </w:r>
          </w:p>
        </w:tc>
        <w:tc>
          <w:tcPr>
            <w:tcW w:w="245" w:type="pct"/>
            <w:shd w:val="clear" w:color="auto" w:fill="auto"/>
            <w:noWrap/>
            <w:hideMark/>
          </w:tcPr>
          <w:p w14:paraId="2FD86054" w14:textId="77777777" w:rsidR="008F3151" w:rsidRPr="00D518FF" w:rsidRDefault="008F3151">
            <w:pPr>
              <w:rPr>
                <w:rFonts w:ascii="Aptos" w:hAnsi="Aptos"/>
                <w:color w:val="000000"/>
                <w:sz w:val="16"/>
                <w:szCs w:val="16"/>
              </w:rPr>
            </w:pPr>
            <w:r w:rsidRPr="00D518FF">
              <w:rPr>
                <w:rFonts w:ascii="Aptos" w:hAnsi="Aptos"/>
                <w:color w:val="000000"/>
                <w:sz w:val="16"/>
                <w:szCs w:val="16"/>
              </w:rPr>
              <w:t>9</w:t>
            </w:r>
          </w:p>
        </w:tc>
        <w:tc>
          <w:tcPr>
            <w:tcW w:w="246" w:type="pct"/>
            <w:shd w:val="clear" w:color="auto" w:fill="auto"/>
            <w:noWrap/>
            <w:hideMark/>
          </w:tcPr>
          <w:p w14:paraId="1AF43A67" w14:textId="657559C7" w:rsidR="008F3151" w:rsidRPr="00D518FF" w:rsidRDefault="00553005">
            <w:pPr>
              <w:rPr>
                <w:rFonts w:ascii="Aptos" w:hAnsi="Aptos"/>
                <w:color w:val="000000"/>
                <w:sz w:val="16"/>
                <w:szCs w:val="16"/>
              </w:rPr>
            </w:pPr>
            <w:r w:rsidRPr="00553005">
              <w:rPr>
                <w:rFonts w:ascii="Aptos" w:hAnsi="Aptos"/>
                <w:color w:val="000000"/>
                <w:sz w:val="16"/>
                <w:szCs w:val="16"/>
              </w:rPr>
              <w:t>3247</w:t>
            </w:r>
          </w:p>
        </w:tc>
        <w:tc>
          <w:tcPr>
            <w:tcW w:w="833" w:type="pct"/>
            <w:shd w:val="clear" w:color="auto" w:fill="auto"/>
            <w:noWrap/>
            <w:hideMark/>
          </w:tcPr>
          <w:p w14:paraId="26714AA0"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4C6AA1" w:rsidRPr="00D518FF" w14:paraId="0F93AFDB" w14:textId="77777777" w:rsidTr="004C6AA1">
        <w:trPr>
          <w:trHeight w:val="320"/>
        </w:trPr>
        <w:tc>
          <w:tcPr>
            <w:tcW w:w="1470" w:type="pct"/>
            <w:shd w:val="clear" w:color="auto" w:fill="auto"/>
            <w:noWrap/>
            <w:hideMark/>
          </w:tcPr>
          <w:p w14:paraId="746319F7" w14:textId="77777777" w:rsidR="008F3151" w:rsidRPr="00D518FF" w:rsidRDefault="008F3151">
            <w:pPr>
              <w:rPr>
                <w:rFonts w:ascii="Aptos" w:hAnsi="Aptos"/>
                <w:color w:val="000000"/>
                <w:sz w:val="16"/>
                <w:szCs w:val="16"/>
              </w:rPr>
            </w:pPr>
            <w:r w:rsidRPr="00D518FF">
              <w:rPr>
                <w:rFonts w:ascii="Aptos" w:hAnsi="Aptos"/>
                <w:color w:val="000000"/>
                <w:sz w:val="16"/>
                <w:szCs w:val="16"/>
              </w:rPr>
              <w:t>Antioxidant for treatment of diabetic nephropathy: A systematic review and meta-analysis</w:t>
            </w:r>
          </w:p>
        </w:tc>
        <w:tc>
          <w:tcPr>
            <w:tcW w:w="1225" w:type="pct"/>
            <w:shd w:val="clear" w:color="auto" w:fill="auto"/>
            <w:noWrap/>
            <w:hideMark/>
          </w:tcPr>
          <w:p w14:paraId="18E806E1" w14:textId="77777777" w:rsidR="008F3151" w:rsidRPr="00D518FF" w:rsidRDefault="008F3151">
            <w:pPr>
              <w:rPr>
                <w:rFonts w:ascii="Aptos" w:hAnsi="Aptos"/>
                <w:color w:val="000000"/>
                <w:sz w:val="16"/>
                <w:szCs w:val="16"/>
              </w:rPr>
            </w:pPr>
            <w:r w:rsidRPr="00D518FF">
              <w:rPr>
                <w:rFonts w:ascii="Aptos" w:hAnsi="Aptos"/>
                <w:color w:val="000000"/>
                <w:sz w:val="16"/>
                <w:szCs w:val="16"/>
              </w:rPr>
              <w:t>Kandhare, A. D.; Mukherjee, A.; Bodhankar, S. L.</w:t>
            </w:r>
          </w:p>
        </w:tc>
        <w:tc>
          <w:tcPr>
            <w:tcW w:w="196" w:type="pct"/>
            <w:shd w:val="clear" w:color="auto" w:fill="auto"/>
            <w:noWrap/>
            <w:hideMark/>
          </w:tcPr>
          <w:p w14:paraId="185C99D1"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491" w:type="pct"/>
            <w:shd w:val="clear" w:color="auto" w:fill="auto"/>
            <w:noWrap/>
            <w:hideMark/>
          </w:tcPr>
          <w:p w14:paraId="3385A39E" w14:textId="77777777" w:rsidR="008F3151" w:rsidRPr="00D518FF" w:rsidRDefault="008F3151">
            <w:pPr>
              <w:rPr>
                <w:rFonts w:ascii="Aptos" w:hAnsi="Aptos"/>
                <w:color w:val="000000"/>
                <w:sz w:val="16"/>
                <w:szCs w:val="16"/>
              </w:rPr>
            </w:pPr>
            <w:r w:rsidRPr="00D518FF">
              <w:rPr>
                <w:rFonts w:ascii="Aptos" w:hAnsi="Aptos"/>
                <w:color w:val="000000"/>
                <w:sz w:val="16"/>
                <w:szCs w:val="16"/>
              </w:rPr>
              <w:t>Chemico-biological interactions</w:t>
            </w:r>
          </w:p>
        </w:tc>
        <w:tc>
          <w:tcPr>
            <w:tcW w:w="294" w:type="pct"/>
            <w:shd w:val="clear" w:color="auto" w:fill="auto"/>
            <w:noWrap/>
            <w:hideMark/>
          </w:tcPr>
          <w:p w14:paraId="28E2C32F" w14:textId="77777777" w:rsidR="008F3151" w:rsidRPr="00D518FF" w:rsidRDefault="008F3151">
            <w:pPr>
              <w:rPr>
                <w:rFonts w:ascii="Aptos" w:hAnsi="Aptos"/>
                <w:color w:val="000000"/>
                <w:sz w:val="16"/>
                <w:szCs w:val="16"/>
              </w:rPr>
            </w:pPr>
            <w:r w:rsidRPr="00D518FF">
              <w:rPr>
                <w:rFonts w:ascii="Aptos" w:hAnsi="Aptos"/>
                <w:color w:val="000000"/>
                <w:sz w:val="16"/>
                <w:szCs w:val="16"/>
              </w:rPr>
              <w:t>278</w:t>
            </w:r>
          </w:p>
        </w:tc>
        <w:tc>
          <w:tcPr>
            <w:tcW w:w="245" w:type="pct"/>
            <w:shd w:val="clear" w:color="auto" w:fill="auto"/>
            <w:noWrap/>
            <w:hideMark/>
          </w:tcPr>
          <w:p w14:paraId="1E66B34D" w14:textId="77777777" w:rsidR="008F3151" w:rsidRPr="00D518FF" w:rsidRDefault="008F3151">
            <w:pPr>
              <w:rPr>
                <w:rFonts w:ascii="Aptos" w:hAnsi="Aptos"/>
                <w:color w:val="000000"/>
                <w:sz w:val="16"/>
                <w:szCs w:val="16"/>
              </w:rPr>
            </w:pPr>
          </w:p>
        </w:tc>
        <w:tc>
          <w:tcPr>
            <w:tcW w:w="246" w:type="pct"/>
            <w:shd w:val="clear" w:color="auto" w:fill="auto"/>
            <w:noWrap/>
            <w:hideMark/>
          </w:tcPr>
          <w:p w14:paraId="64F9408D" w14:textId="77777777" w:rsidR="008F3151" w:rsidRPr="00D518FF" w:rsidRDefault="008F3151">
            <w:pPr>
              <w:rPr>
                <w:rFonts w:ascii="Aptos" w:hAnsi="Aptos"/>
                <w:color w:val="000000"/>
                <w:sz w:val="16"/>
                <w:szCs w:val="16"/>
              </w:rPr>
            </w:pPr>
            <w:r w:rsidRPr="00D518FF">
              <w:rPr>
                <w:rFonts w:ascii="Aptos" w:hAnsi="Aptos"/>
                <w:color w:val="000000"/>
                <w:sz w:val="16"/>
                <w:szCs w:val="16"/>
              </w:rPr>
              <w:t>212-221</w:t>
            </w:r>
          </w:p>
        </w:tc>
        <w:tc>
          <w:tcPr>
            <w:tcW w:w="833" w:type="pct"/>
            <w:shd w:val="clear" w:color="auto" w:fill="auto"/>
            <w:noWrap/>
            <w:hideMark/>
          </w:tcPr>
          <w:p w14:paraId="492E482D"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4C6AA1" w:rsidRPr="00D518FF" w14:paraId="16E463D8" w14:textId="77777777" w:rsidTr="004C6AA1">
        <w:trPr>
          <w:trHeight w:val="320"/>
        </w:trPr>
        <w:tc>
          <w:tcPr>
            <w:tcW w:w="1470" w:type="pct"/>
            <w:shd w:val="clear" w:color="auto" w:fill="auto"/>
            <w:noWrap/>
            <w:hideMark/>
          </w:tcPr>
          <w:p w14:paraId="2FCE1F4E"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effects of coenzyme Q10 supplementation on lipid profiles among patients with metabolic diseases: a systematic review and meta-analysis of randomized controlled trials</w:t>
            </w:r>
          </w:p>
        </w:tc>
        <w:tc>
          <w:tcPr>
            <w:tcW w:w="1225" w:type="pct"/>
            <w:shd w:val="clear" w:color="auto" w:fill="auto"/>
            <w:noWrap/>
            <w:hideMark/>
          </w:tcPr>
          <w:p w14:paraId="1193B666" w14:textId="77777777" w:rsidR="008F3151" w:rsidRPr="00D518FF" w:rsidRDefault="008F3151">
            <w:pPr>
              <w:rPr>
                <w:rFonts w:ascii="Aptos" w:hAnsi="Aptos"/>
                <w:color w:val="000000"/>
                <w:sz w:val="16"/>
                <w:szCs w:val="16"/>
              </w:rPr>
            </w:pPr>
            <w:r w:rsidRPr="00D518FF">
              <w:rPr>
                <w:rFonts w:ascii="Aptos" w:hAnsi="Aptos"/>
                <w:color w:val="000000"/>
                <w:sz w:val="16"/>
                <w:szCs w:val="16"/>
              </w:rPr>
              <w:t>Sharifi, N.; Tabrizi, R.; Moosazadeh, M.; Mirhosseini, N.; Lankarani, K. B.; Akbari, M.; Chamani, M.; Kolahdooz, F.; Asemi, Z.</w:t>
            </w:r>
          </w:p>
        </w:tc>
        <w:tc>
          <w:tcPr>
            <w:tcW w:w="196" w:type="pct"/>
            <w:shd w:val="clear" w:color="auto" w:fill="auto"/>
            <w:noWrap/>
            <w:hideMark/>
          </w:tcPr>
          <w:p w14:paraId="6AC93055"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491" w:type="pct"/>
            <w:shd w:val="clear" w:color="auto" w:fill="auto"/>
            <w:noWrap/>
            <w:hideMark/>
          </w:tcPr>
          <w:p w14:paraId="43501F72" w14:textId="77777777" w:rsidR="008F3151" w:rsidRPr="00D518FF" w:rsidRDefault="008F3151">
            <w:pPr>
              <w:rPr>
                <w:rFonts w:ascii="Aptos" w:hAnsi="Aptos"/>
                <w:color w:val="000000"/>
                <w:sz w:val="16"/>
                <w:szCs w:val="16"/>
              </w:rPr>
            </w:pPr>
            <w:r w:rsidRPr="00D518FF">
              <w:rPr>
                <w:rFonts w:ascii="Aptos" w:hAnsi="Aptos"/>
                <w:color w:val="000000"/>
                <w:sz w:val="16"/>
                <w:szCs w:val="16"/>
              </w:rPr>
              <w:t>Current pharmaceutical design</w:t>
            </w:r>
          </w:p>
        </w:tc>
        <w:tc>
          <w:tcPr>
            <w:tcW w:w="294" w:type="pct"/>
            <w:shd w:val="clear" w:color="auto" w:fill="auto"/>
            <w:noWrap/>
            <w:hideMark/>
          </w:tcPr>
          <w:p w14:paraId="73D327E9" w14:textId="77777777" w:rsidR="008F3151" w:rsidRPr="00D518FF" w:rsidRDefault="008F3151">
            <w:pPr>
              <w:rPr>
                <w:rFonts w:ascii="Aptos" w:hAnsi="Aptos"/>
                <w:color w:val="000000"/>
                <w:sz w:val="16"/>
                <w:szCs w:val="16"/>
              </w:rPr>
            </w:pPr>
            <w:r w:rsidRPr="00D518FF">
              <w:rPr>
                <w:rFonts w:ascii="Aptos" w:hAnsi="Aptos"/>
                <w:color w:val="000000"/>
                <w:sz w:val="16"/>
                <w:szCs w:val="16"/>
              </w:rPr>
              <w:t>24</w:t>
            </w:r>
          </w:p>
        </w:tc>
        <w:tc>
          <w:tcPr>
            <w:tcW w:w="245" w:type="pct"/>
            <w:shd w:val="clear" w:color="auto" w:fill="auto"/>
            <w:noWrap/>
            <w:hideMark/>
          </w:tcPr>
          <w:p w14:paraId="06AF0B23" w14:textId="77777777" w:rsidR="008F3151" w:rsidRPr="00D518FF" w:rsidRDefault="008F3151">
            <w:pPr>
              <w:rPr>
                <w:rFonts w:ascii="Aptos" w:hAnsi="Aptos"/>
                <w:color w:val="000000"/>
                <w:sz w:val="16"/>
                <w:szCs w:val="16"/>
              </w:rPr>
            </w:pPr>
            <w:r w:rsidRPr="00D518FF">
              <w:rPr>
                <w:rFonts w:ascii="Aptos" w:hAnsi="Aptos"/>
                <w:color w:val="000000"/>
                <w:sz w:val="16"/>
                <w:szCs w:val="16"/>
              </w:rPr>
              <w:t>23</w:t>
            </w:r>
          </w:p>
        </w:tc>
        <w:tc>
          <w:tcPr>
            <w:tcW w:w="246" w:type="pct"/>
            <w:shd w:val="clear" w:color="auto" w:fill="auto"/>
            <w:noWrap/>
            <w:hideMark/>
          </w:tcPr>
          <w:p w14:paraId="044AEA00" w14:textId="77777777" w:rsidR="008F3151" w:rsidRPr="00D518FF" w:rsidRDefault="008F3151">
            <w:pPr>
              <w:rPr>
                <w:rFonts w:ascii="Aptos" w:hAnsi="Aptos"/>
                <w:color w:val="000000"/>
                <w:sz w:val="16"/>
                <w:szCs w:val="16"/>
              </w:rPr>
            </w:pPr>
            <w:r w:rsidRPr="00D518FF">
              <w:rPr>
                <w:rFonts w:ascii="Aptos" w:hAnsi="Aptos"/>
                <w:color w:val="000000"/>
                <w:sz w:val="16"/>
                <w:szCs w:val="16"/>
              </w:rPr>
              <w:t>2729-2742</w:t>
            </w:r>
          </w:p>
        </w:tc>
        <w:tc>
          <w:tcPr>
            <w:tcW w:w="833" w:type="pct"/>
            <w:shd w:val="clear" w:color="auto" w:fill="auto"/>
            <w:noWrap/>
            <w:hideMark/>
          </w:tcPr>
          <w:p w14:paraId="48FFC2E3"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4C6AA1" w:rsidRPr="00D518FF" w14:paraId="661EDAFA" w14:textId="77777777" w:rsidTr="004C6AA1">
        <w:trPr>
          <w:trHeight w:val="320"/>
        </w:trPr>
        <w:tc>
          <w:tcPr>
            <w:tcW w:w="1470" w:type="pct"/>
            <w:shd w:val="clear" w:color="auto" w:fill="auto"/>
            <w:noWrap/>
            <w:hideMark/>
          </w:tcPr>
          <w:p w14:paraId="52D72617" w14:textId="77777777" w:rsidR="008F3151" w:rsidRPr="00D518FF" w:rsidRDefault="008F3151">
            <w:pPr>
              <w:rPr>
                <w:rFonts w:ascii="Aptos" w:hAnsi="Aptos"/>
                <w:color w:val="000000"/>
                <w:sz w:val="16"/>
                <w:szCs w:val="16"/>
              </w:rPr>
            </w:pPr>
            <w:r w:rsidRPr="00D518FF">
              <w:rPr>
                <w:rFonts w:ascii="Aptos" w:hAnsi="Aptos"/>
                <w:color w:val="000000"/>
                <w:sz w:val="16"/>
                <w:szCs w:val="16"/>
              </w:rPr>
              <w:t>Effects of Alpha-lipoic Acid Supplementation on Human Diabetic Nephropathy: A Systematic Review and Meta-analysis</w:t>
            </w:r>
          </w:p>
        </w:tc>
        <w:tc>
          <w:tcPr>
            <w:tcW w:w="1225" w:type="pct"/>
            <w:shd w:val="clear" w:color="auto" w:fill="auto"/>
            <w:noWrap/>
            <w:hideMark/>
          </w:tcPr>
          <w:p w14:paraId="22DD2B48" w14:textId="77777777" w:rsidR="008F3151" w:rsidRPr="00D518FF" w:rsidRDefault="008F3151">
            <w:pPr>
              <w:rPr>
                <w:rFonts w:ascii="Aptos" w:hAnsi="Aptos"/>
                <w:color w:val="000000"/>
                <w:sz w:val="16"/>
                <w:szCs w:val="16"/>
              </w:rPr>
            </w:pPr>
            <w:r w:rsidRPr="00D518FF">
              <w:rPr>
                <w:rFonts w:ascii="Aptos" w:hAnsi="Aptos"/>
                <w:color w:val="000000"/>
                <w:sz w:val="16"/>
                <w:szCs w:val="16"/>
              </w:rPr>
              <w:t>Vakali, E.; Rigopoulos, D.; Carrillo, A. E.; Flouris, A. D.; Dinas, P. C.</w:t>
            </w:r>
          </w:p>
        </w:tc>
        <w:tc>
          <w:tcPr>
            <w:tcW w:w="196" w:type="pct"/>
            <w:shd w:val="clear" w:color="auto" w:fill="auto"/>
            <w:noWrap/>
            <w:hideMark/>
          </w:tcPr>
          <w:p w14:paraId="19D2245A" w14:textId="77777777" w:rsidR="008F3151" w:rsidRPr="00D518FF" w:rsidRDefault="008F3151">
            <w:pPr>
              <w:rPr>
                <w:rFonts w:ascii="Aptos" w:hAnsi="Aptos"/>
                <w:color w:val="000000"/>
                <w:sz w:val="16"/>
                <w:szCs w:val="16"/>
              </w:rPr>
            </w:pPr>
            <w:r w:rsidRPr="00D518FF">
              <w:rPr>
                <w:rFonts w:ascii="Aptos" w:hAnsi="Aptos"/>
                <w:color w:val="000000"/>
                <w:sz w:val="16"/>
                <w:szCs w:val="16"/>
              </w:rPr>
              <w:t>2022</w:t>
            </w:r>
          </w:p>
        </w:tc>
        <w:tc>
          <w:tcPr>
            <w:tcW w:w="491" w:type="pct"/>
            <w:shd w:val="clear" w:color="auto" w:fill="auto"/>
            <w:noWrap/>
            <w:hideMark/>
          </w:tcPr>
          <w:p w14:paraId="2DC95734" w14:textId="77777777" w:rsidR="008F3151" w:rsidRPr="00D518FF" w:rsidRDefault="008F3151">
            <w:pPr>
              <w:rPr>
                <w:rFonts w:ascii="Aptos" w:hAnsi="Aptos"/>
                <w:color w:val="000000"/>
                <w:sz w:val="16"/>
                <w:szCs w:val="16"/>
              </w:rPr>
            </w:pPr>
            <w:r w:rsidRPr="00D518FF">
              <w:rPr>
                <w:rFonts w:ascii="Aptos" w:hAnsi="Aptos"/>
                <w:color w:val="000000"/>
                <w:sz w:val="16"/>
                <w:szCs w:val="16"/>
              </w:rPr>
              <w:t>Curr Diabetes Rev</w:t>
            </w:r>
          </w:p>
        </w:tc>
        <w:tc>
          <w:tcPr>
            <w:tcW w:w="294" w:type="pct"/>
            <w:shd w:val="clear" w:color="auto" w:fill="auto"/>
            <w:noWrap/>
            <w:hideMark/>
          </w:tcPr>
          <w:p w14:paraId="20233CCF"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245" w:type="pct"/>
            <w:shd w:val="clear" w:color="auto" w:fill="auto"/>
            <w:noWrap/>
            <w:hideMark/>
          </w:tcPr>
          <w:p w14:paraId="02E09FA7"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246" w:type="pct"/>
            <w:shd w:val="clear" w:color="auto" w:fill="auto"/>
            <w:noWrap/>
            <w:hideMark/>
          </w:tcPr>
          <w:p w14:paraId="7E5983F5" w14:textId="77777777" w:rsidR="008F3151" w:rsidRPr="00D518FF" w:rsidRDefault="008F3151">
            <w:pPr>
              <w:rPr>
                <w:rFonts w:ascii="Aptos" w:hAnsi="Aptos"/>
                <w:color w:val="000000"/>
                <w:sz w:val="16"/>
                <w:szCs w:val="16"/>
              </w:rPr>
            </w:pPr>
            <w:r w:rsidRPr="00D518FF">
              <w:rPr>
                <w:rFonts w:ascii="Aptos" w:hAnsi="Aptos"/>
                <w:color w:val="000000"/>
                <w:sz w:val="16"/>
                <w:szCs w:val="16"/>
              </w:rPr>
              <w:t>e140921196457</w:t>
            </w:r>
          </w:p>
        </w:tc>
        <w:tc>
          <w:tcPr>
            <w:tcW w:w="833" w:type="pct"/>
            <w:shd w:val="clear" w:color="auto" w:fill="auto"/>
            <w:noWrap/>
            <w:hideMark/>
          </w:tcPr>
          <w:p w14:paraId="4B285A59" w14:textId="77777777" w:rsidR="008F3151" w:rsidRPr="00D518FF" w:rsidRDefault="008F3151">
            <w:pPr>
              <w:rPr>
                <w:rFonts w:ascii="Aptos" w:hAnsi="Aptos"/>
                <w:color w:val="000000"/>
                <w:sz w:val="16"/>
                <w:szCs w:val="16"/>
              </w:rPr>
            </w:pPr>
            <w:r w:rsidRPr="00D518FF">
              <w:rPr>
                <w:rFonts w:ascii="Aptos" w:hAnsi="Aptos"/>
                <w:color w:val="000000"/>
                <w:sz w:val="16"/>
                <w:szCs w:val="16"/>
              </w:rPr>
              <w:t>Wrong outcomes</w:t>
            </w:r>
          </w:p>
        </w:tc>
      </w:tr>
      <w:tr w:rsidR="004C6AA1" w:rsidRPr="00D518FF" w14:paraId="6BB9E532" w14:textId="77777777" w:rsidTr="00887C84">
        <w:trPr>
          <w:trHeight w:val="320"/>
        </w:trPr>
        <w:tc>
          <w:tcPr>
            <w:tcW w:w="1470" w:type="pct"/>
            <w:shd w:val="clear" w:color="auto" w:fill="auto"/>
            <w:noWrap/>
            <w:hideMark/>
          </w:tcPr>
          <w:p w14:paraId="48C39012" w14:textId="77777777" w:rsidR="00BD188B" w:rsidRPr="00D518FF" w:rsidRDefault="00BD188B">
            <w:pPr>
              <w:rPr>
                <w:rFonts w:ascii="Aptos" w:hAnsi="Aptos"/>
                <w:color w:val="000000"/>
                <w:sz w:val="16"/>
                <w:szCs w:val="16"/>
              </w:rPr>
            </w:pPr>
            <w:r w:rsidRPr="00D518FF">
              <w:rPr>
                <w:rFonts w:ascii="Aptos" w:hAnsi="Aptos"/>
                <w:color w:val="000000"/>
                <w:sz w:val="16"/>
                <w:szCs w:val="16"/>
              </w:rPr>
              <w:t>The effect of CoenzymeQ10 supplementation on circulating adipokine levels in adults: a systematic review and meta-analysis of controlled clinical trials</w:t>
            </w:r>
          </w:p>
        </w:tc>
        <w:tc>
          <w:tcPr>
            <w:tcW w:w="1225" w:type="pct"/>
            <w:shd w:val="clear" w:color="auto" w:fill="auto"/>
            <w:noWrap/>
            <w:hideMark/>
          </w:tcPr>
          <w:p w14:paraId="2ED8B6D8" w14:textId="77777777" w:rsidR="00BD188B" w:rsidRPr="00D518FF" w:rsidRDefault="00BD188B">
            <w:pPr>
              <w:rPr>
                <w:rFonts w:ascii="Aptos" w:hAnsi="Aptos"/>
                <w:color w:val="000000"/>
                <w:sz w:val="16"/>
                <w:szCs w:val="16"/>
              </w:rPr>
            </w:pPr>
            <w:r w:rsidRPr="00D518FF">
              <w:rPr>
                <w:rFonts w:ascii="Aptos" w:hAnsi="Aptos"/>
                <w:color w:val="000000"/>
                <w:sz w:val="16"/>
                <w:szCs w:val="16"/>
              </w:rPr>
              <w:t>Amin Salehi-Abargouei, Fatemeh Moghtaderi Roya Sakhaei Sadegh Zarei</w:t>
            </w:r>
          </w:p>
        </w:tc>
        <w:tc>
          <w:tcPr>
            <w:tcW w:w="196" w:type="pct"/>
            <w:shd w:val="clear" w:color="auto" w:fill="auto"/>
          </w:tcPr>
          <w:p w14:paraId="4AEB4F1D" w14:textId="44C79175" w:rsidR="00BD188B" w:rsidRPr="00D518FF" w:rsidRDefault="00B4459A">
            <w:pPr>
              <w:rPr>
                <w:rFonts w:ascii="Aptos" w:hAnsi="Aptos"/>
                <w:color w:val="000000"/>
                <w:sz w:val="16"/>
                <w:szCs w:val="16"/>
              </w:rPr>
            </w:pPr>
            <w:r>
              <w:rPr>
                <w:rFonts w:ascii="Aptos" w:hAnsi="Aptos"/>
                <w:color w:val="000000"/>
                <w:sz w:val="16"/>
                <w:szCs w:val="16"/>
              </w:rPr>
              <w:t>2018</w:t>
            </w:r>
          </w:p>
        </w:tc>
        <w:tc>
          <w:tcPr>
            <w:tcW w:w="491" w:type="pct"/>
            <w:shd w:val="clear" w:color="auto" w:fill="auto"/>
          </w:tcPr>
          <w:p w14:paraId="4046F2C9" w14:textId="706FE61B" w:rsidR="00BD188B" w:rsidRPr="00D518FF" w:rsidRDefault="00B4459A">
            <w:pPr>
              <w:rPr>
                <w:rFonts w:ascii="Aptos" w:hAnsi="Aptos"/>
                <w:color w:val="000000"/>
                <w:sz w:val="16"/>
                <w:szCs w:val="16"/>
              </w:rPr>
            </w:pPr>
            <w:r>
              <w:rPr>
                <w:rFonts w:ascii="Aptos" w:hAnsi="Aptos"/>
                <w:color w:val="000000"/>
                <w:sz w:val="16"/>
                <w:szCs w:val="16"/>
              </w:rPr>
              <w:t>PROSPERO</w:t>
            </w:r>
          </w:p>
        </w:tc>
        <w:tc>
          <w:tcPr>
            <w:tcW w:w="294" w:type="pct"/>
            <w:shd w:val="clear" w:color="auto" w:fill="auto"/>
          </w:tcPr>
          <w:p w14:paraId="7CDCEE65" w14:textId="7D83BD60" w:rsidR="00BD188B" w:rsidRPr="00D518FF" w:rsidRDefault="00B4459A">
            <w:pPr>
              <w:rPr>
                <w:rFonts w:ascii="Aptos" w:hAnsi="Aptos"/>
                <w:color w:val="000000"/>
                <w:sz w:val="16"/>
                <w:szCs w:val="16"/>
              </w:rPr>
            </w:pPr>
            <w:r w:rsidRPr="00B4459A">
              <w:rPr>
                <w:rFonts w:ascii="Aptos" w:hAnsi="Aptos"/>
                <w:color w:val="000000"/>
                <w:sz w:val="16"/>
                <w:szCs w:val="16"/>
              </w:rPr>
              <w:t>CRD42018087959</w:t>
            </w:r>
          </w:p>
        </w:tc>
        <w:tc>
          <w:tcPr>
            <w:tcW w:w="245" w:type="pct"/>
            <w:shd w:val="clear" w:color="auto" w:fill="auto"/>
          </w:tcPr>
          <w:p w14:paraId="42B28FAD" w14:textId="0C6DC9E2" w:rsidR="00BD188B" w:rsidRPr="00D518FF" w:rsidRDefault="00B4459A">
            <w:pPr>
              <w:rPr>
                <w:rFonts w:ascii="Aptos" w:hAnsi="Aptos"/>
                <w:color w:val="000000"/>
                <w:sz w:val="16"/>
                <w:szCs w:val="16"/>
              </w:rPr>
            </w:pPr>
            <w:r>
              <w:rPr>
                <w:rFonts w:ascii="Aptos" w:hAnsi="Aptos"/>
                <w:color w:val="000000"/>
                <w:sz w:val="16"/>
                <w:szCs w:val="16"/>
              </w:rPr>
              <w:t>-</w:t>
            </w:r>
          </w:p>
        </w:tc>
        <w:tc>
          <w:tcPr>
            <w:tcW w:w="246" w:type="pct"/>
            <w:shd w:val="clear" w:color="auto" w:fill="auto"/>
          </w:tcPr>
          <w:p w14:paraId="117AE7EC" w14:textId="6AE695AD" w:rsidR="00BD188B" w:rsidRPr="00D518FF" w:rsidRDefault="00B4459A">
            <w:pPr>
              <w:rPr>
                <w:rFonts w:ascii="Aptos" w:hAnsi="Aptos"/>
                <w:color w:val="000000"/>
                <w:sz w:val="16"/>
                <w:szCs w:val="16"/>
              </w:rPr>
            </w:pPr>
            <w:r>
              <w:rPr>
                <w:rFonts w:ascii="Aptos" w:hAnsi="Aptos"/>
                <w:color w:val="000000"/>
                <w:sz w:val="16"/>
                <w:szCs w:val="16"/>
              </w:rPr>
              <w:t>-</w:t>
            </w:r>
          </w:p>
        </w:tc>
        <w:tc>
          <w:tcPr>
            <w:tcW w:w="833" w:type="pct"/>
            <w:shd w:val="clear" w:color="auto" w:fill="auto"/>
            <w:noWrap/>
            <w:hideMark/>
          </w:tcPr>
          <w:p w14:paraId="331FF2FF" w14:textId="77777777" w:rsidR="00BD188B" w:rsidRPr="00D518FF" w:rsidRDefault="00BD188B">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4BAC9513" w14:textId="77777777" w:rsidTr="004C6AA1">
        <w:trPr>
          <w:trHeight w:val="320"/>
        </w:trPr>
        <w:tc>
          <w:tcPr>
            <w:tcW w:w="1470" w:type="pct"/>
            <w:shd w:val="clear" w:color="auto" w:fill="auto"/>
            <w:noWrap/>
            <w:hideMark/>
          </w:tcPr>
          <w:p w14:paraId="559A90B8" w14:textId="77777777" w:rsidR="008F3151" w:rsidRPr="00D518FF" w:rsidRDefault="008F3151">
            <w:pPr>
              <w:rPr>
                <w:rFonts w:ascii="Aptos" w:hAnsi="Aptos"/>
                <w:color w:val="000000"/>
                <w:sz w:val="16"/>
                <w:szCs w:val="16"/>
              </w:rPr>
            </w:pPr>
            <w:r w:rsidRPr="00D518FF">
              <w:rPr>
                <w:rFonts w:ascii="Aptos" w:hAnsi="Aptos"/>
                <w:color w:val="000000"/>
                <w:sz w:val="16"/>
                <w:szCs w:val="16"/>
              </w:rPr>
              <w:t>Evaluating the Lipid-Lowering Effects of alpha-lipoic Acid Supplementation: A Systematic Review</w:t>
            </w:r>
          </w:p>
        </w:tc>
        <w:tc>
          <w:tcPr>
            <w:tcW w:w="1225" w:type="pct"/>
            <w:shd w:val="clear" w:color="auto" w:fill="auto"/>
            <w:noWrap/>
            <w:hideMark/>
          </w:tcPr>
          <w:p w14:paraId="25AECFDE" w14:textId="77777777" w:rsidR="008F3151" w:rsidRPr="00D518FF" w:rsidRDefault="008F3151">
            <w:pPr>
              <w:rPr>
                <w:rFonts w:ascii="Aptos" w:hAnsi="Aptos"/>
                <w:color w:val="000000"/>
                <w:sz w:val="16"/>
                <w:szCs w:val="16"/>
              </w:rPr>
            </w:pPr>
            <w:r w:rsidRPr="00D518FF">
              <w:rPr>
                <w:rFonts w:ascii="Aptos" w:hAnsi="Aptos"/>
                <w:color w:val="000000"/>
                <w:sz w:val="16"/>
                <w:szCs w:val="16"/>
              </w:rPr>
              <w:t>Erickson, N.; Zafron, M.; Harding, S. V.; Marinangeli, C. P. F.; Rideout, T. C.</w:t>
            </w:r>
          </w:p>
        </w:tc>
        <w:tc>
          <w:tcPr>
            <w:tcW w:w="196" w:type="pct"/>
            <w:shd w:val="clear" w:color="auto" w:fill="auto"/>
            <w:noWrap/>
            <w:hideMark/>
          </w:tcPr>
          <w:p w14:paraId="3E693624" w14:textId="77777777" w:rsidR="008F3151" w:rsidRPr="00D518FF" w:rsidRDefault="008F3151">
            <w:pPr>
              <w:rPr>
                <w:rFonts w:ascii="Aptos" w:hAnsi="Aptos"/>
                <w:color w:val="000000"/>
                <w:sz w:val="16"/>
                <w:szCs w:val="16"/>
              </w:rPr>
            </w:pPr>
            <w:r w:rsidRPr="00D518FF">
              <w:rPr>
                <w:rFonts w:ascii="Aptos" w:hAnsi="Aptos"/>
                <w:color w:val="000000"/>
                <w:sz w:val="16"/>
                <w:szCs w:val="16"/>
              </w:rPr>
              <w:t>2020</w:t>
            </w:r>
          </w:p>
        </w:tc>
        <w:tc>
          <w:tcPr>
            <w:tcW w:w="491" w:type="pct"/>
            <w:shd w:val="clear" w:color="auto" w:fill="auto"/>
            <w:noWrap/>
            <w:hideMark/>
          </w:tcPr>
          <w:p w14:paraId="654EC949"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Dietary Supplements</w:t>
            </w:r>
          </w:p>
        </w:tc>
        <w:tc>
          <w:tcPr>
            <w:tcW w:w="294" w:type="pct"/>
            <w:shd w:val="clear" w:color="auto" w:fill="auto"/>
            <w:noWrap/>
            <w:hideMark/>
          </w:tcPr>
          <w:p w14:paraId="1A8CD6EE" w14:textId="77777777" w:rsidR="008F3151" w:rsidRPr="00D518FF" w:rsidRDefault="008F3151">
            <w:pPr>
              <w:rPr>
                <w:rFonts w:ascii="Aptos" w:hAnsi="Aptos"/>
                <w:color w:val="000000"/>
                <w:sz w:val="16"/>
                <w:szCs w:val="16"/>
              </w:rPr>
            </w:pPr>
            <w:r w:rsidRPr="00D518FF">
              <w:rPr>
                <w:rFonts w:ascii="Aptos" w:hAnsi="Aptos"/>
                <w:color w:val="000000"/>
                <w:sz w:val="16"/>
                <w:szCs w:val="16"/>
              </w:rPr>
              <w:t>17</w:t>
            </w:r>
          </w:p>
        </w:tc>
        <w:tc>
          <w:tcPr>
            <w:tcW w:w="245" w:type="pct"/>
            <w:shd w:val="clear" w:color="auto" w:fill="auto"/>
            <w:noWrap/>
            <w:hideMark/>
          </w:tcPr>
          <w:p w14:paraId="281E2109" w14:textId="77777777" w:rsidR="008F3151" w:rsidRPr="00D518FF" w:rsidRDefault="008F3151">
            <w:pPr>
              <w:rPr>
                <w:rFonts w:ascii="Aptos" w:hAnsi="Aptos"/>
                <w:color w:val="000000"/>
                <w:sz w:val="16"/>
                <w:szCs w:val="16"/>
              </w:rPr>
            </w:pPr>
            <w:r w:rsidRPr="00D518FF">
              <w:rPr>
                <w:rFonts w:ascii="Aptos" w:hAnsi="Aptos"/>
                <w:color w:val="000000"/>
                <w:sz w:val="16"/>
                <w:szCs w:val="16"/>
              </w:rPr>
              <w:t>6</w:t>
            </w:r>
          </w:p>
        </w:tc>
        <w:tc>
          <w:tcPr>
            <w:tcW w:w="246" w:type="pct"/>
            <w:shd w:val="clear" w:color="auto" w:fill="auto"/>
            <w:noWrap/>
            <w:hideMark/>
          </w:tcPr>
          <w:p w14:paraId="26E60F11" w14:textId="77777777" w:rsidR="008F3151" w:rsidRPr="00D518FF" w:rsidRDefault="008F3151">
            <w:pPr>
              <w:rPr>
                <w:rFonts w:ascii="Aptos" w:hAnsi="Aptos"/>
                <w:color w:val="000000"/>
                <w:sz w:val="16"/>
                <w:szCs w:val="16"/>
              </w:rPr>
            </w:pPr>
            <w:r w:rsidRPr="00D518FF">
              <w:rPr>
                <w:rFonts w:ascii="Aptos" w:hAnsi="Aptos"/>
                <w:color w:val="000000"/>
                <w:sz w:val="16"/>
                <w:szCs w:val="16"/>
              </w:rPr>
              <w:t>753-767</w:t>
            </w:r>
          </w:p>
        </w:tc>
        <w:tc>
          <w:tcPr>
            <w:tcW w:w="833" w:type="pct"/>
            <w:shd w:val="clear" w:color="auto" w:fill="auto"/>
            <w:noWrap/>
            <w:hideMark/>
          </w:tcPr>
          <w:p w14:paraId="62DCCCE0"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679CF4CE" w14:textId="77777777" w:rsidTr="004C6AA1">
        <w:trPr>
          <w:trHeight w:val="320"/>
        </w:trPr>
        <w:tc>
          <w:tcPr>
            <w:tcW w:w="1470" w:type="pct"/>
            <w:shd w:val="clear" w:color="auto" w:fill="auto"/>
            <w:noWrap/>
            <w:hideMark/>
          </w:tcPr>
          <w:p w14:paraId="36DFE2BA" w14:textId="77777777" w:rsidR="008F3151" w:rsidRPr="00D518FF" w:rsidRDefault="008F3151">
            <w:pPr>
              <w:rPr>
                <w:rFonts w:ascii="Aptos" w:hAnsi="Aptos"/>
                <w:color w:val="000000"/>
                <w:sz w:val="16"/>
                <w:szCs w:val="16"/>
              </w:rPr>
            </w:pPr>
            <w:r w:rsidRPr="00D518FF">
              <w:rPr>
                <w:rFonts w:ascii="Aptos" w:hAnsi="Aptos"/>
                <w:color w:val="000000"/>
                <w:sz w:val="16"/>
                <w:szCs w:val="16"/>
              </w:rPr>
              <w:t>An updated systematic review and dose-response meta-analysis of the effects of alpha-lipoic acid supplementation on glycemic markers in adults</w:t>
            </w:r>
          </w:p>
        </w:tc>
        <w:tc>
          <w:tcPr>
            <w:tcW w:w="1225" w:type="pct"/>
            <w:shd w:val="clear" w:color="auto" w:fill="auto"/>
            <w:noWrap/>
            <w:hideMark/>
          </w:tcPr>
          <w:p w14:paraId="4609D7D4" w14:textId="77777777" w:rsidR="008F3151" w:rsidRPr="00D518FF" w:rsidRDefault="008F3151">
            <w:pPr>
              <w:rPr>
                <w:rFonts w:ascii="Aptos" w:hAnsi="Aptos"/>
                <w:color w:val="000000"/>
                <w:sz w:val="16"/>
                <w:szCs w:val="16"/>
              </w:rPr>
            </w:pPr>
            <w:r w:rsidRPr="00D518FF">
              <w:rPr>
                <w:rFonts w:ascii="Aptos" w:hAnsi="Aptos"/>
                <w:color w:val="000000"/>
                <w:sz w:val="16"/>
                <w:szCs w:val="16"/>
              </w:rPr>
              <w:t>Mahmoudi-Nezhad, M.; Vajdi, M.; Farhangi, M. A.</w:t>
            </w:r>
          </w:p>
        </w:tc>
        <w:tc>
          <w:tcPr>
            <w:tcW w:w="196" w:type="pct"/>
            <w:shd w:val="clear" w:color="auto" w:fill="auto"/>
            <w:noWrap/>
            <w:hideMark/>
          </w:tcPr>
          <w:p w14:paraId="02A9CD31" w14:textId="77777777" w:rsidR="008F3151" w:rsidRPr="00D518FF" w:rsidRDefault="008F3151">
            <w:pPr>
              <w:rPr>
                <w:rFonts w:ascii="Aptos" w:hAnsi="Aptos"/>
                <w:color w:val="000000"/>
                <w:sz w:val="16"/>
                <w:szCs w:val="16"/>
              </w:rPr>
            </w:pPr>
            <w:r w:rsidRPr="00D518FF">
              <w:rPr>
                <w:rFonts w:ascii="Aptos" w:hAnsi="Aptos"/>
                <w:color w:val="000000"/>
                <w:sz w:val="16"/>
                <w:szCs w:val="16"/>
              </w:rPr>
              <w:t>2021</w:t>
            </w:r>
          </w:p>
        </w:tc>
        <w:tc>
          <w:tcPr>
            <w:tcW w:w="491" w:type="pct"/>
            <w:shd w:val="clear" w:color="auto" w:fill="auto"/>
            <w:noWrap/>
            <w:hideMark/>
          </w:tcPr>
          <w:p w14:paraId="473176DD"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w:t>
            </w:r>
          </w:p>
        </w:tc>
        <w:tc>
          <w:tcPr>
            <w:tcW w:w="294" w:type="pct"/>
            <w:shd w:val="clear" w:color="auto" w:fill="auto"/>
            <w:noWrap/>
            <w:hideMark/>
          </w:tcPr>
          <w:p w14:paraId="4FA9E09E" w14:textId="77777777" w:rsidR="008F3151" w:rsidRPr="00D518FF" w:rsidRDefault="008F3151">
            <w:pPr>
              <w:rPr>
                <w:rFonts w:ascii="Aptos" w:hAnsi="Aptos"/>
                <w:color w:val="000000"/>
                <w:sz w:val="16"/>
                <w:szCs w:val="16"/>
              </w:rPr>
            </w:pPr>
            <w:r w:rsidRPr="00D518FF">
              <w:rPr>
                <w:rFonts w:ascii="Aptos" w:hAnsi="Aptos"/>
                <w:color w:val="000000"/>
                <w:sz w:val="16"/>
                <w:szCs w:val="16"/>
              </w:rPr>
              <w:t>82</w:t>
            </w:r>
          </w:p>
        </w:tc>
        <w:tc>
          <w:tcPr>
            <w:tcW w:w="245" w:type="pct"/>
            <w:shd w:val="clear" w:color="auto" w:fill="auto"/>
            <w:noWrap/>
            <w:hideMark/>
          </w:tcPr>
          <w:p w14:paraId="431AE032" w14:textId="77777777" w:rsidR="008F3151" w:rsidRPr="00D518FF" w:rsidRDefault="008F3151">
            <w:pPr>
              <w:rPr>
                <w:rFonts w:ascii="Aptos" w:hAnsi="Aptos"/>
                <w:color w:val="000000"/>
                <w:sz w:val="16"/>
                <w:szCs w:val="16"/>
              </w:rPr>
            </w:pPr>
          </w:p>
        </w:tc>
        <w:tc>
          <w:tcPr>
            <w:tcW w:w="246" w:type="pct"/>
            <w:shd w:val="clear" w:color="auto" w:fill="auto"/>
            <w:noWrap/>
            <w:hideMark/>
          </w:tcPr>
          <w:p w14:paraId="7917ACFC" w14:textId="77777777" w:rsidR="008F3151" w:rsidRPr="00D518FF" w:rsidRDefault="008F3151">
            <w:pPr>
              <w:rPr>
                <w:rFonts w:ascii="Aptos" w:hAnsi="Aptos"/>
                <w:color w:val="000000"/>
                <w:sz w:val="16"/>
                <w:szCs w:val="16"/>
              </w:rPr>
            </w:pPr>
            <w:r w:rsidRPr="00D518FF">
              <w:rPr>
                <w:rFonts w:ascii="Aptos" w:hAnsi="Aptos"/>
                <w:color w:val="000000"/>
                <w:sz w:val="16"/>
                <w:szCs w:val="16"/>
              </w:rPr>
              <w:t>111041</w:t>
            </w:r>
          </w:p>
        </w:tc>
        <w:tc>
          <w:tcPr>
            <w:tcW w:w="833" w:type="pct"/>
            <w:shd w:val="clear" w:color="auto" w:fill="auto"/>
            <w:noWrap/>
            <w:hideMark/>
          </w:tcPr>
          <w:p w14:paraId="1C54430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2CD4C5C4" w14:textId="77777777" w:rsidTr="004C6AA1">
        <w:trPr>
          <w:trHeight w:val="320"/>
        </w:trPr>
        <w:tc>
          <w:tcPr>
            <w:tcW w:w="1470" w:type="pct"/>
            <w:shd w:val="clear" w:color="auto" w:fill="auto"/>
            <w:noWrap/>
            <w:hideMark/>
          </w:tcPr>
          <w:p w14:paraId="0B686DB0" w14:textId="77777777" w:rsidR="008F3151" w:rsidRPr="00D518FF" w:rsidRDefault="008F3151">
            <w:pPr>
              <w:rPr>
                <w:rFonts w:ascii="Aptos" w:hAnsi="Aptos"/>
                <w:color w:val="000000"/>
                <w:sz w:val="16"/>
                <w:szCs w:val="16"/>
              </w:rPr>
            </w:pPr>
            <w:r w:rsidRPr="00D518FF">
              <w:rPr>
                <w:rFonts w:ascii="Aptos" w:hAnsi="Aptos"/>
                <w:color w:val="000000"/>
                <w:sz w:val="16"/>
                <w:szCs w:val="16"/>
              </w:rPr>
              <w:t>A meta-analysis of randomized and placebo-controlled clinical trials suggests that coenzyme Q10 at low dose improves glucose and HbA1c levels</w:t>
            </w:r>
          </w:p>
        </w:tc>
        <w:tc>
          <w:tcPr>
            <w:tcW w:w="1225" w:type="pct"/>
            <w:shd w:val="clear" w:color="auto" w:fill="auto"/>
            <w:noWrap/>
            <w:hideMark/>
          </w:tcPr>
          <w:p w14:paraId="4044AD2A" w14:textId="77777777" w:rsidR="008F3151" w:rsidRPr="00D518FF" w:rsidRDefault="008F3151">
            <w:pPr>
              <w:rPr>
                <w:rFonts w:ascii="Aptos" w:hAnsi="Aptos"/>
                <w:color w:val="000000"/>
                <w:sz w:val="16"/>
                <w:szCs w:val="16"/>
              </w:rPr>
            </w:pPr>
            <w:r w:rsidRPr="00D518FF">
              <w:rPr>
                <w:rFonts w:ascii="Aptos" w:hAnsi="Aptos"/>
                <w:color w:val="000000"/>
                <w:sz w:val="16"/>
                <w:szCs w:val="16"/>
              </w:rPr>
              <w:t>Stojanovic, M.; Radenkovic, M.</w:t>
            </w:r>
          </w:p>
        </w:tc>
        <w:tc>
          <w:tcPr>
            <w:tcW w:w="196" w:type="pct"/>
            <w:shd w:val="clear" w:color="auto" w:fill="auto"/>
            <w:noWrap/>
            <w:hideMark/>
          </w:tcPr>
          <w:p w14:paraId="25B3EEE3" w14:textId="77777777" w:rsidR="008F3151" w:rsidRPr="00D518FF" w:rsidRDefault="008F3151">
            <w:pPr>
              <w:rPr>
                <w:rFonts w:ascii="Aptos" w:hAnsi="Aptos"/>
                <w:color w:val="000000"/>
                <w:sz w:val="16"/>
                <w:szCs w:val="16"/>
              </w:rPr>
            </w:pPr>
            <w:r w:rsidRPr="00D518FF">
              <w:rPr>
                <w:rFonts w:ascii="Aptos" w:hAnsi="Aptos"/>
                <w:color w:val="000000"/>
                <w:sz w:val="16"/>
                <w:szCs w:val="16"/>
              </w:rPr>
              <w:t>2017</w:t>
            </w:r>
          </w:p>
        </w:tc>
        <w:tc>
          <w:tcPr>
            <w:tcW w:w="491" w:type="pct"/>
            <w:shd w:val="clear" w:color="auto" w:fill="auto"/>
            <w:noWrap/>
            <w:hideMark/>
          </w:tcPr>
          <w:p w14:paraId="02E05103" w14:textId="77777777" w:rsidR="008F3151" w:rsidRPr="00D518FF" w:rsidRDefault="008F3151">
            <w:pPr>
              <w:rPr>
                <w:rFonts w:ascii="Aptos" w:hAnsi="Aptos"/>
                <w:color w:val="000000"/>
                <w:sz w:val="16"/>
                <w:szCs w:val="16"/>
              </w:rPr>
            </w:pPr>
            <w:r w:rsidRPr="00D518FF">
              <w:rPr>
                <w:rFonts w:ascii="Aptos" w:hAnsi="Aptos"/>
                <w:color w:val="000000"/>
                <w:sz w:val="16"/>
                <w:szCs w:val="16"/>
              </w:rPr>
              <w:t>Nutrition Research</w:t>
            </w:r>
          </w:p>
        </w:tc>
        <w:tc>
          <w:tcPr>
            <w:tcW w:w="294" w:type="pct"/>
            <w:shd w:val="clear" w:color="auto" w:fill="auto"/>
            <w:noWrap/>
            <w:hideMark/>
          </w:tcPr>
          <w:p w14:paraId="72908BB2" w14:textId="77777777" w:rsidR="008F3151" w:rsidRPr="00D518FF" w:rsidRDefault="008F3151">
            <w:pPr>
              <w:rPr>
                <w:rFonts w:ascii="Aptos" w:hAnsi="Aptos"/>
                <w:color w:val="000000"/>
                <w:sz w:val="16"/>
                <w:szCs w:val="16"/>
              </w:rPr>
            </w:pPr>
            <w:r w:rsidRPr="00D518FF">
              <w:rPr>
                <w:rFonts w:ascii="Aptos" w:hAnsi="Aptos"/>
                <w:color w:val="000000"/>
                <w:sz w:val="16"/>
                <w:szCs w:val="16"/>
              </w:rPr>
              <w:t>38</w:t>
            </w:r>
          </w:p>
        </w:tc>
        <w:tc>
          <w:tcPr>
            <w:tcW w:w="245" w:type="pct"/>
            <w:shd w:val="clear" w:color="auto" w:fill="auto"/>
            <w:noWrap/>
            <w:hideMark/>
          </w:tcPr>
          <w:p w14:paraId="2E4C20EE" w14:textId="77777777" w:rsidR="008F3151" w:rsidRPr="00D518FF" w:rsidRDefault="008F3151">
            <w:pPr>
              <w:rPr>
                <w:rFonts w:ascii="Aptos" w:hAnsi="Aptos"/>
                <w:color w:val="000000"/>
                <w:sz w:val="16"/>
                <w:szCs w:val="16"/>
              </w:rPr>
            </w:pPr>
          </w:p>
        </w:tc>
        <w:tc>
          <w:tcPr>
            <w:tcW w:w="246" w:type="pct"/>
            <w:shd w:val="clear" w:color="auto" w:fill="auto"/>
            <w:noWrap/>
            <w:hideMark/>
          </w:tcPr>
          <w:p w14:paraId="39981F35" w14:textId="77777777" w:rsidR="008F3151" w:rsidRPr="00D518FF" w:rsidRDefault="008F3151">
            <w:pPr>
              <w:rPr>
                <w:rFonts w:ascii="Aptos" w:hAnsi="Aptos"/>
                <w:color w:val="000000"/>
                <w:sz w:val="16"/>
                <w:szCs w:val="16"/>
              </w:rPr>
            </w:pPr>
            <w:r w:rsidRPr="00D518FF">
              <w:rPr>
                <w:rFonts w:ascii="Aptos" w:hAnsi="Aptos"/>
                <w:color w:val="000000"/>
                <w:sz w:val="16"/>
                <w:szCs w:val="16"/>
              </w:rPr>
              <w:t>1-Dec</w:t>
            </w:r>
          </w:p>
        </w:tc>
        <w:tc>
          <w:tcPr>
            <w:tcW w:w="833" w:type="pct"/>
            <w:shd w:val="clear" w:color="auto" w:fill="auto"/>
            <w:noWrap/>
            <w:hideMark/>
          </w:tcPr>
          <w:p w14:paraId="1BF1F871"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5589D526" w14:textId="77777777" w:rsidTr="004C6AA1">
        <w:trPr>
          <w:trHeight w:val="320"/>
        </w:trPr>
        <w:tc>
          <w:tcPr>
            <w:tcW w:w="1470" w:type="pct"/>
            <w:shd w:val="clear" w:color="auto" w:fill="auto"/>
            <w:noWrap/>
            <w:hideMark/>
          </w:tcPr>
          <w:p w14:paraId="79B3CB50" w14:textId="77777777" w:rsidR="008F3151" w:rsidRPr="00D518FF" w:rsidRDefault="008F3151">
            <w:pPr>
              <w:rPr>
                <w:rFonts w:ascii="Aptos" w:hAnsi="Aptos"/>
                <w:color w:val="000000"/>
                <w:sz w:val="16"/>
                <w:szCs w:val="16"/>
              </w:rPr>
            </w:pPr>
            <w:r w:rsidRPr="00D518FF">
              <w:rPr>
                <w:rFonts w:ascii="Aptos" w:hAnsi="Aptos"/>
                <w:color w:val="000000"/>
                <w:sz w:val="16"/>
                <w:szCs w:val="16"/>
              </w:rPr>
              <w:t>Effects of coenzyme Q10 supplementation on metabolic profile in diabetes: a systematic review and meta-analysis</w:t>
            </w:r>
          </w:p>
        </w:tc>
        <w:tc>
          <w:tcPr>
            <w:tcW w:w="1225" w:type="pct"/>
            <w:shd w:val="clear" w:color="auto" w:fill="auto"/>
            <w:noWrap/>
            <w:hideMark/>
          </w:tcPr>
          <w:p w14:paraId="018BB779" w14:textId="77777777" w:rsidR="008F3151" w:rsidRPr="00D518FF" w:rsidRDefault="008F3151">
            <w:pPr>
              <w:rPr>
                <w:rFonts w:ascii="Aptos" w:hAnsi="Aptos"/>
                <w:color w:val="000000"/>
                <w:sz w:val="16"/>
                <w:szCs w:val="16"/>
              </w:rPr>
            </w:pPr>
            <w:r w:rsidRPr="00D518FF">
              <w:rPr>
                <w:rFonts w:ascii="Aptos" w:hAnsi="Aptos"/>
                <w:color w:val="000000"/>
                <w:sz w:val="16"/>
                <w:szCs w:val="16"/>
              </w:rPr>
              <w:t>Suksomboon, N.; Poolsup, N.; Juanak, N.</w:t>
            </w:r>
          </w:p>
        </w:tc>
        <w:tc>
          <w:tcPr>
            <w:tcW w:w="196" w:type="pct"/>
            <w:shd w:val="clear" w:color="auto" w:fill="auto"/>
            <w:noWrap/>
            <w:hideMark/>
          </w:tcPr>
          <w:p w14:paraId="680A56BA" w14:textId="77777777" w:rsidR="008F3151" w:rsidRPr="00D518FF" w:rsidRDefault="008F3151">
            <w:pPr>
              <w:rPr>
                <w:rFonts w:ascii="Aptos" w:hAnsi="Aptos"/>
                <w:color w:val="000000"/>
                <w:sz w:val="16"/>
                <w:szCs w:val="16"/>
              </w:rPr>
            </w:pPr>
            <w:r w:rsidRPr="00D518FF">
              <w:rPr>
                <w:rFonts w:ascii="Aptos" w:hAnsi="Aptos"/>
                <w:color w:val="000000"/>
                <w:sz w:val="16"/>
                <w:szCs w:val="16"/>
              </w:rPr>
              <w:t>2015</w:t>
            </w:r>
          </w:p>
        </w:tc>
        <w:tc>
          <w:tcPr>
            <w:tcW w:w="491" w:type="pct"/>
            <w:shd w:val="clear" w:color="auto" w:fill="auto"/>
            <w:noWrap/>
            <w:hideMark/>
          </w:tcPr>
          <w:p w14:paraId="6FADF922"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clinical pharmacy and therapeutics</w:t>
            </w:r>
          </w:p>
        </w:tc>
        <w:tc>
          <w:tcPr>
            <w:tcW w:w="294" w:type="pct"/>
            <w:shd w:val="clear" w:color="auto" w:fill="auto"/>
            <w:noWrap/>
            <w:hideMark/>
          </w:tcPr>
          <w:p w14:paraId="003B714F" w14:textId="77777777" w:rsidR="008F3151" w:rsidRPr="00D518FF" w:rsidRDefault="008F3151">
            <w:pPr>
              <w:rPr>
                <w:rFonts w:ascii="Aptos" w:hAnsi="Aptos"/>
                <w:color w:val="000000"/>
                <w:sz w:val="16"/>
                <w:szCs w:val="16"/>
              </w:rPr>
            </w:pPr>
            <w:r w:rsidRPr="00D518FF">
              <w:rPr>
                <w:rFonts w:ascii="Aptos" w:hAnsi="Aptos"/>
                <w:color w:val="000000"/>
                <w:sz w:val="16"/>
                <w:szCs w:val="16"/>
              </w:rPr>
              <w:t>40</w:t>
            </w:r>
          </w:p>
        </w:tc>
        <w:tc>
          <w:tcPr>
            <w:tcW w:w="245" w:type="pct"/>
            <w:shd w:val="clear" w:color="auto" w:fill="auto"/>
            <w:noWrap/>
            <w:hideMark/>
          </w:tcPr>
          <w:p w14:paraId="0376A32B" w14:textId="77777777" w:rsidR="008F3151" w:rsidRPr="00D518FF" w:rsidRDefault="008F3151">
            <w:pPr>
              <w:rPr>
                <w:rFonts w:ascii="Aptos" w:hAnsi="Aptos"/>
                <w:color w:val="000000"/>
                <w:sz w:val="16"/>
                <w:szCs w:val="16"/>
              </w:rPr>
            </w:pPr>
            <w:r w:rsidRPr="00D518FF">
              <w:rPr>
                <w:rFonts w:ascii="Aptos" w:hAnsi="Aptos"/>
                <w:color w:val="000000"/>
                <w:sz w:val="16"/>
                <w:szCs w:val="16"/>
              </w:rPr>
              <w:t>4</w:t>
            </w:r>
          </w:p>
        </w:tc>
        <w:tc>
          <w:tcPr>
            <w:tcW w:w="246" w:type="pct"/>
            <w:shd w:val="clear" w:color="auto" w:fill="auto"/>
            <w:noWrap/>
            <w:hideMark/>
          </w:tcPr>
          <w:p w14:paraId="795E5653" w14:textId="77777777" w:rsidR="008F3151" w:rsidRPr="00D518FF" w:rsidRDefault="008F3151">
            <w:pPr>
              <w:rPr>
                <w:rFonts w:ascii="Aptos" w:hAnsi="Aptos"/>
                <w:color w:val="000000"/>
                <w:sz w:val="16"/>
                <w:szCs w:val="16"/>
              </w:rPr>
            </w:pPr>
            <w:r w:rsidRPr="00D518FF">
              <w:rPr>
                <w:rFonts w:ascii="Aptos" w:hAnsi="Aptos"/>
                <w:color w:val="000000"/>
                <w:sz w:val="16"/>
                <w:szCs w:val="16"/>
              </w:rPr>
              <w:t>413-418</w:t>
            </w:r>
          </w:p>
        </w:tc>
        <w:tc>
          <w:tcPr>
            <w:tcW w:w="833" w:type="pct"/>
            <w:shd w:val="clear" w:color="auto" w:fill="auto"/>
            <w:noWrap/>
            <w:hideMark/>
          </w:tcPr>
          <w:p w14:paraId="3322B516"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4369D9DA" w14:textId="77777777" w:rsidTr="004C6AA1">
        <w:trPr>
          <w:trHeight w:val="320"/>
        </w:trPr>
        <w:tc>
          <w:tcPr>
            <w:tcW w:w="1470" w:type="pct"/>
            <w:shd w:val="clear" w:color="auto" w:fill="auto"/>
            <w:noWrap/>
            <w:hideMark/>
          </w:tcPr>
          <w:p w14:paraId="23C2E993" w14:textId="77777777" w:rsidR="008F3151" w:rsidRPr="00D518FF" w:rsidRDefault="008F3151">
            <w:pPr>
              <w:rPr>
                <w:rFonts w:ascii="Aptos" w:hAnsi="Aptos"/>
                <w:color w:val="000000"/>
                <w:sz w:val="16"/>
                <w:szCs w:val="16"/>
              </w:rPr>
            </w:pPr>
            <w:r w:rsidRPr="00D518FF">
              <w:rPr>
                <w:rFonts w:ascii="Aptos" w:hAnsi="Aptos"/>
                <w:color w:val="000000"/>
                <w:sz w:val="16"/>
                <w:szCs w:val="16"/>
              </w:rPr>
              <w:t>The Effects of Coenzyme Q10 Supplementation on Blood Pressures Among Patients with Metabolic Diseases: A Systematic Review and Meta-analysis of Randomized Controlled Trials</w:t>
            </w:r>
          </w:p>
        </w:tc>
        <w:tc>
          <w:tcPr>
            <w:tcW w:w="1225" w:type="pct"/>
            <w:shd w:val="clear" w:color="auto" w:fill="auto"/>
            <w:noWrap/>
            <w:hideMark/>
          </w:tcPr>
          <w:p w14:paraId="07876CEB" w14:textId="77777777" w:rsidR="008F3151" w:rsidRPr="00D518FF" w:rsidRDefault="008F3151">
            <w:pPr>
              <w:rPr>
                <w:rFonts w:ascii="Aptos" w:hAnsi="Aptos"/>
                <w:color w:val="000000"/>
                <w:sz w:val="16"/>
                <w:szCs w:val="16"/>
              </w:rPr>
            </w:pPr>
            <w:r w:rsidRPr="00D518FF">
              <w:rPr>
                <w:rFonts w:ascii="Aptos" w:hAnsi="Aptos"/>
                <w:color w:val="000000"/>
                <w:sz w:val="16"/>
                <w:szCs w:val="16"/>
              </w:rPr>
              <w:t>Tabrizi, R.; Akbari, M.; Sharifi, N.; Lankarani, K. B.; Moosazadeh, M.; Kolahdooz, F.; Taghizadeh, M.; Asemi, Z.</w:t>
            </w:r>
          </w:p>
        </w:tc>
        <w:tc>
          <w:tcPr>
            <w:tcW w:w="196" w:type="pct"/>
            <w:shd w:val="clear" w:color="auto" w:fill="auto"/>
            <w:noWrap/>
            <w:hideMark/>
          </w:tcPr>
          <w:p w14:paraId="716A35E8" w14:textId="77777777" w:rsidR="008F3151" w:rsidRPr="00D518FF" w:rsidRDefault="008F3151">
            <w:pPr>
              <w:rPr>
                <w:rFonts w:ascii="Aptos" w:hAnsi="Aptos"/>
                <w:color w:val="000000"/>
                <w:sz w:val="16"/>
                <w:szCs w:val="16"/>
              </w:rPr>
            </w:pPr>
            <w:r w:rsidRPr="00D518FF">
              <w:rPr>
                <w:rFonts w:ascii="Aptos" w:hAnsi="Aptos"/>
                <w:color w:val="000000"/>
                <w:sz w:val="16"/>
                <w:szCs w:val="16"/>
              </w:rPr>
              <w:t>2018</w:t>
            </w:r>
          </w:p>
        </w:tc>
        <w:tc>
          <w:tcPr>
            <w:tcW w:w="491" w:type="pct"/>
            <w:shd w:val="clear" w:color="auto" w:fill="auto"/>
            <w:noWrap/>
            <w:hideMark/>
          </w:tcPr>
          <w:p w14:paraId="12A2EA83" w14:textId="6F1BCBC6" w:rsidR="008F3151" w:rsidRPr="00D518FF" w:rsidRDefault="008F3151">
            <w:pPr>
              <w:rPr>
                <w:rFonts w:ascii="Aptos" w:hAnsi="Aptos"/>
                <w:color w:val="000000"/>
                <w:sz w:val="16"/>
                <w:szCs w:val="16"/>
              </w:rPr>
            </w:pPr>
            <w:r w:rsidRPr="00D518FF">
              <w:rPr>
                <w:rFonts w:ascii="Aptos" w:hAnsi="Aptos"/>
                <w:color w:val="000000"/>
                <w:sz w:val="16"/>
                <w:szCs w:val="16"/>
              </w:rPr>
              <w:t>High blood pressure &amp; cardiovascular prevention: the official journal of the Italian Society of Hypertension</w:t>
            </w:r>
          </w:p>
        </w:tc>
        <w:tc>
          <w:tcPr>
            <w:tcW w:w="294" w:type="pct"/>
            <w:shd w:val="clear" w:color="auto" w:fill="auto"/>
            <w:noWrap/>
            <w:hideMark/>
          </w:tcPr>
          <w:p w14:paraId="0F0B665B" w14:textId="77777777" w:rsidR="008F3151" w:rsidRPr="00D518FF" w:rsidRDefault="008F3151">
            <w:pPr>
              <w:rPr>
                <w:rFonts w:ascii="Aptos" w:hAnsi="Aptos"/>
                <w:color w:val="000000"/>
                <w:sz w:val="16"/>
                <w:szCs w:val="16"/>
              </w:rPr>
            </w:pPr>
            <w:r w:rsidRPr="00D518FF">
              <w:rPr>
                <w:rFonts w:ascii="Aptos" w:hAnsi="Aptos"/>
                <w:color w:val="000000"/>
                <w:sz w:val="16"/>
                <w:szCs w:val="16"/>
              </w:rPr>
              <w:t>25</w:t>
            </w:r>
          </w:p>
        </w:tc>
        <w:tc>
          <w:tcPr>
            <w:tcW w:w="245" w:type="pct"/>
            <w:shd w:val="clear" w:color="auto" w:fill="auto"/>
            <w:noWrap/>
            <w:hideMark/>
          </w:tcPr>
          <w:p w14:paraId="43625E77" w14:textId="77777777" w:rsidR="008F3151" w:rsidRPr="00D518FF" w:rsidRDefault="008F3151">
            <w:pPr>
              <w:rPr>
                <w:rFonts w:ascii="Aptos" w:hAnsi="Aptos"/>
                <w:color w:val="000000"/>
                <w:sz w:val="16"/>
                <w:szCs w:val="16"/>
              </w:rPr>
            </w:pPr>
            <w:r w:rsidRPr="00D518FF">
              <w:rPr>
                <w:rFonts w:ascii="Aptos" w:hAnsi="Aptos"/>
                <w:color w:val="000000"/>
                <w:sz w:val="16"/>
                <w:szCs w:val="16"/>
              </w:rPr>
              <w:t>1</w:t>
            </w:r>
          </w:p>
        </w:tc>
        <w:tc>
          <w:tcPr>
            <w:tcW w:w="246" w:type="pct"/>
            <w:shd w:val="clear" w:color="auto" w:fill="auto"/>
            <w:noWrap/>
            <w:hideMark/>
          </w:tcPr>
          <w:p w14:paraId="2FCED7EB" w14:textId="77777777" w:rsidR="008F3151" w:rsidRPr="00D518FF" w:rsidRDefault="008F3151">
            <w:pPr>
              <w:rPr>
                <w:rFonts w:ascii="Aptos" w:hAnsi="Aptos"/>
                <w:color w:val="000000"/>
                <w:sz w:val="16"/>
                <w:szCs w:val="16"/>
              </w:rPr>
            </w:pPr>
            <w:r w:rsidRPr="00D518FF">
              <w:rPr>
                <w:rFonts w:ascii="Aptos" w:hAnsi="Aptos"/>
                <w:color w:val="000000"/>
                <w:sz w:val="16"/>
                <w:szCs w:val="16"/>
              </w:rPr>
              <w:t>41-50</w:t>
            </w:r>
          </w:p>
        </w:tc>
        <w:tc>
          <w:tcPr>
            <w:tcW w:w="833" w:type="pct"/>
            <w:shd w:val="clear" w:color="auto" w:fill="auto"/>
            <w:noWrap/>
            <w:hideMark/>
          </w:tcPr>
          <w:p w14:paraId="2D3E204C"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70466701" w14:textId="77777777" w:rsidTr="004C6AA1">
        <w:trPr>
          <w:trHeight w:val="320"/>
        </w:trPr>
        <w:tc>
          <w:tcPr>
            <w:tcW w:w="1470" w:type="pct"/>
            <w:shd w:val="clear" w:color="auto" w:fill="auto"/>
            <w:noWrap/>
            <w:hideMark/>
          </w:tcPr>
          <w:p w14:paraId="4ED75CA8" w14:textId="77777777" w:rsidR="008F3151" w:rsidRPr="00D518FF" w:rsidRDefault="008F3151">
            <w:pPr>
              <w:rPr>
                <w:rFonts w:ascii="Aptos" w:hAnsi="Aptos"/>
                <w:color w:val="000000"/>
                <w:sz w:val="16"/>
                <w:szCs w:val="16"/>
              </w:rPr>
            </w:pPr>
            <w:r w:rsidRPr="00D518FF">
              <w:rPr>
                <w:rFonts w:ascii="Aptos" w:hAnsi="Aptos"/>
                <w:color w:val="000000"/>
                <w:sz w:val="16"/>
                <w:szCs w:val="16"/>
              </w:rPr>
              <w:lastRenderedPageBreak/>
              <w:t>Effects of coenzyme Q10 intervention on diabetic kidney disease: A systematic review and meta-analysis</w:t>
            </w:r>
          </w:p>
        </w:tc>
        <w:tc>
          <w:tcPr>
            <w:tcW w:w="1225" w:type="pct"/>
            <w:shd w:val="clear" w:color="auto" w:fill="auto"/>
            <w:noWrap/>
            <w:hideMark/>
          </w:tcPr>
          <w:p w14:paraId="370A786A" w14:textId="77777777" w:rsidR="008F3151" w:rsidRPr="00D518FF" w:rsidRDefault="008F3151">
            <w:pPr>
              <w:rPr>
                <w:rFonts w:ascii="Aptos" w:hAnsi="Aptos"/>
                <w:color w:val="000000"/>
                <w:sz w:val="16"/>
                <w:szCs w:val="16"/>
              </w:rPr>
            </w:pPr>
            <w:r w:rsidRPr="00D518FF">
              <w:rPr>
                <w:rFonts w:ascii="Aptos" w:hAnsi="Aptos"/>
                <w:color w:val="000000"/>
                <w:sz w:val="16"/>
                <w:szCs w:val="16"/>
              </w:rPr>
              <w:t>Zhang, X.; Shi, Z.; Liu, Q.; Quan, H.; Cheng, X.</w:t>
            </w:r>
          </w:p>
        </w:tc>
        <w:tc>
          <w:tcPr>
            <w:tcW w:w="196" w:type="pct"/>
            <w:shd w:val="clear" w:color="auto" w:fill="auto"/>
            <w:noWrap/>
            <w:hideMark/>
          </w:tcPr>
          <w:p w14:paraId="27BA5D1E"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491" w:type="pct"/>
            <w:shd w:val="clear" w:color="auto" w:fill="auto"/>
            <w:noWrap/>
            <w:hideMark/>
          </w:tcPr>
          <w:p w14:paraId="3392FCE0" w14:textId="77777777" w:rsidR="008F3151" w:rsidRPr="00D518FF" w:rsidRDefault="008F3151">
            <w:pPr>
              <w:rPr>
                <w:rFonts w:ascii="Aptos" w:hAnsi="Aptos"/>
                <w:color w:val="000000"/>
                <w:sz w:val="16"/>
                <w:szCs w:val="16"/>
              </w:rPr>
            </w:pPr>
            <w:r w:rsidRPr="00D518FF">
              <w:rPr>
                <w:rFonts w:ascii="Aptos" w:hAnsi="Aptos"/>
                <w:color w:val="000000"/>
                <w:sz w:val="16"/>
                <w:szCs w:val="16"/>
              </w:rPr>
              <w:t>Medicine</w:t>
            </w:r>
          </w:p>
        </w:tc>
        <w:tc>
          <w:tcPr>
            <w:tcW w:w="294" w:type="pct"/>
            <w:shd w:val="clear" w:color="auto" w:fill="auto"/>
            <w:noWrap/>
            <w:hideMark/>
          </w:tcPr>
          <w:p w14:paraId="28FBE0F6" w14:textId="77777777" w:rsidR="008F3151" w:rsidRPr="00D518FF" w:rsidRDefault="008F3151">
            <w:pPr>
              <w:rPr>
                <w:rFonts w:ascii="Aptos" w:hAnsi="Aptos"/>
                <w:color w:val="000000"/>
                <w:sz w:val="16"/>
                <w:szCs w:val="16"/>
              </w:rPr>
            </w:pPr>
            <w:r w:rsidRPr="00D518FF">
              <w:rPr>
                <w:rFonts w:ascii="Aptos" w:hAnsi="Aptos"/>
                <w:color w:val="000000"/>
                <w:sz w:val="16"/>
                <w:szCs w:val="16"/>
              </w:rPr>
              <w:t>98</w:t>
            </w:r>
          </w:p>
        </w:tc>
        <w:tc>
          <w:tcPr>
            <w:tcW w:w="245" w:type="pct"/>
            <w:shd w:val="clear" w:color="auto" w:fill="auto"/>
            <w:noWrap/>
            <w:hideMark/>
          </w:tcPr>
          <w:p w14:paraId="61F2110F" w14:textId="77777777" w:rsidR="008F3151" w:rsidRPr="00D518FF" w:rsidRDefault="008F3151">
            <w:pPr>
              <w:rPr>
                <w:rFonts w:ascii="Aptos" w:hAnsi="Aptos"/>
                <w:color w:val="000000"/>
                <w:sz w:val="16"/>
                <w:szCs w:val="16"/>
              </w:rPr>
            </w:pPr>
            <w:r w:rsidRPr="00D518FF">
              <w:rPr>
                <w:rFonts w:ascii="Aptos" w:hAnsi="Aptos"/>
                <w:color w:val="000000"/>
                <w:sz w:val="16"/>
                <w:szCs w:val="16"/>
              </w:rPr>
              <w:t>24</w:t>
            </w:r>
          </w:p>
        </w:tc>
        <w:tc>
          <w:tcPr>
            <w:tcW w:w="246" w:type="pct"/>
            <w:shd w:val="clear" w:color="auto" w:fill="auto"/>
            <w:noWrap/>
            <w:hideMark/>
          </w:tcPr>
          <w:p w14:paraId="1E856888" w14:textId="77777777" w:rsidR="008F3151" w:rsidRPr="00D518FF" w:rsidRDefault="008F3151">
            <w:pPr>
              <w:rPr>
                <w:rFonts w:ascii="Aptos" w:hAnsi="Aptos"/>
                <w:color w:val="000000"/>
                <w:sz w:val="16"/>
                <w:szCs w:val="16"/>
              </w:rPr>
            </w:pPr>
            <w:r w:rsidRPr="00D518FF">
              <w:rPr>
                <w:rFonts w:ascii="Aptos" w:hAnsi="Aptos"/>
                <w:color w:val="000000"/>
                <w:sz w:val="16"/>
                <w:szCs w:val="16"/>
              </w:rPr>
              <w:t>e15850</w:t>
            </w:r>
          </w:p>
        </w:tc>
        <w:tc>
          <w:tcPr>
            <w:tcW w:w="833" w:type="pct"/>
            <w:shd w:val="clear" w:color="auto" w:fill="auto"/>
            <w:noWrap/>
            <w:hideMark/>
          </w:tcPr>
          <w:p w14:paraId="7F07FB73"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1756BC8F" w14:textId="77777777" w:rsidTr="004C6AA1">
        <w:trPr>
          <w:trHeight w:val="320"/>
        </w:trPr>
        <w:tc>
          <w:tcPr>
            <w:tcW w:w="1470" w:type="pct"/>
            <w:shd w:val="clear" w:color="auto" w:fill="auto"/>
            <w:noWrap/>
          </w:tcPr>
          <w:p w14:paraId="57EA97DC" w14:textId="77777777" w:rsidR="008F3151" w:rsidRPr="00D518FF" w:rsidRDefault="008F3151">
            <w:pPr>
              <w:rPr>
                <w:rFonts w:ascii="Aptos" w:hAnsi="Aptos"/>
                <w:color w:val="000000"/>
                <w:sz w:val="16"/>
                <w:szCs w:val="16"/>
              </w:rPr>
            </w:pPr>
            <w:r w:rsidRPr="00D518FF">
              <w:rPr>
                <w:rFonts w:ascii="Aptos" w:hAnsi="Aptos" w:cs="Arial"/>
                <w:sz w:val="16"/>
                <w:szCs w:val="16"/>
              </w:rPr>
              <w:t>Dose-Response Effect of Coenzyme Q10 Supplementation on Blood Pressure among Patients with Cardiometabolic Disorders: A Grading of Recommendations Assessment, Development, and Evaluation (GRADE)-Assessed Systematic Review and Meta-Analysis of Randomized Controlled Trials</w:t>
            </w:r>
          </w:p>
        </w:tc>
        <w:tc>
          <w:tcPr>
            <w:tcW w:w="1225" w:type="pct"/>
            <w:shd w:val="clear" w:color="auto" w:fill="auto"/>
            <w:noWrap/>
          </w:tcPr>
          <w:p w14:paraId="5DD0AE8F" w14:textId="77777777" w:rsidR="008F3151" w:rsidRPr="00D518FF" w:rsidRDefault="008F3151">
            <w:pPr>
              <w:rPr>
                <w:rFonts w:ascii="Aptos" w:hAnsi="Aptos"/>
                <w:color w:val="000000"/>
                <w:sz w:val="16"/>
                <w:szCs w:val="16"/>
              </w:rPr>
            </w:pPr>
            <w:r w:rsidRPr="00D518FF">
              <w:rPr>
                <w:rFonts w:ascii="Aptos" w:hAnsi="Aptos" w:cs="Arial"/>
                <w:sz w:val="16"/>
                <w:szCs w:val="16"/>
              </w:rPr>
              <w:t>Zhao, D.; Liang, Y.; Dai, S.; Hou, S.; Liu, Z.; Liu, M.; Dong, X.; Zhan, Y.; Tian, Z.; Yang, Y.</w:t>
            </w:r>
          </w:p>
        </w:tc>
        <w:tc>
          <w:tcPr>
            <w:tcW w:w="196" w:type="pct"/>
            <w:shd w:val="clear" w:color="auto" w:fill="auto"/>
            <w:noWrap/>
          </w:tcPr>
          <w:p w14:paraId="29C58369" w14:textId="77777777" w:rsidR="008F3151" w:rsidRPr="00D518FF" w:rsidRDefault="008F3151">
            <w:pPr>
              <w:rPr>
                <w:rFonts w:ascii="Aptos" w:hAnsi="Aptos"/>
                <w:color w:val="000000"/>
                <w:sz w:val="16"/>
                <w:szCs w:val="16"/>
              </w:rPr>
            </w:pPr>
            <w:r w:rsidRPr="00D518FF">
              <w:rPr>
                <w:rFonts w:ascii="Aptos" w:hAnsi="Aptos" w:cs="Arial"/>
                <w:sz w:val="16"/>
                <w:szCs w:val="16"/>
              </w:rPr>
              <w:t>2022</w:t>
            </w:r>
          </w:p>
        </w:tc>
        <w:tc>
          <w:tcPr>
            <w:tcW w:w="491" w:type="pct"/>
            <w:shd w:val="clear" w:color="auto" w:fill="auto"/>
            <w:noWrap/>
          </w:tcPr>
          <w:p w14:paraId="194F165C" w14:textId="77777777" w:rsidR="008F3151" w:rsidRPr="00D518FF" w:rsidRDefault="008F3151">
            <w:pPr>
              <w:rPr>
                <w:rFonts w:ascii="Aptos" w:hAnsi="Aptos"/>
                <w:color w:val="000000"/>
                <w:sz w:val="16"/>
                <w:szCs w:val="16"/>
              </w:rPr>
            </w:pPr>
            <w:r w:rsidRPr="00D518FF">
              <w:rPr>
                <w:rFonts w:ascii="Aptos" w:hAnsi="Aptos" w:cs="Arial"/>
                <w:sz w:val="16"/>
                <w:szCs w:val="16"/>
              </w:rPr>
              <w:t>Advances in Nutrition</w:t>
            </w:r>
          </w:p>
        </w:tc>
        <w:tc>
          <w:tcPr>
            <w:tcW w:w="294" w:type="pct"/>
            <w:shd w:val="clear" w:color="auto" w:fill="auto"/>
            <w:noWrap/>
          </w:tcPr>
          <w:p w14:paraId="0A197847" w14:textId="77777777" w:rsidR="008F3151" w:rsidRPr="00D518FF" w:rsidRDefault="008F3151">
            <w:pPr>
              <w:rPr>
                <w:rFonts w:ascii="Aptos" w:hAnsi="Aptos"/>
                <w:color w:val="000000"/>
                <w:sz w:val="16"/>
                <w:szCs w:val="16"/>
              </w:rPr>
            </w:pPr>
            <w:r w:rsidRPr="00D518FF">
              <w:rPr>
                <w:rFonts w:ascii="Aptos" w:hAnsi="Aptos" w:cs="Arial"/>
                <w:sz w:val="16"/>
                <w:szCs w:val="16"/>
              </w:rPr>
              <w:t>13</w:t>
            </w:r>
          </w:p>
        </w:tc>
        <w:tc>
          <w:tcPr>
            <w:tcW w:w="245" w:type="pct"/>
            <w:shd w:val="clear" w:color="auto" w:fill="auto"/>
            <w:noWrap/>
          </w:tcPr>
          <w:p w14:paraId="0E27FFC2" w14:textId="77777777" w:rsidR="008F3151" w:rsidRPr="00D518FF" w:rsidRDefault="008F3151">
            <w:pPr>
              <w:rPr>
                <w:rFonts w:ascii="Aptos" w:hAnsi="Aptos"/>
                <w:color w:val="000000"/>
                <w:sz w:val="16"/>
                <w:szCs w:val="16"/>
              </w:rPr>
            </w:pPr>
            <w:r w:rsidRPr="00D518FF">
              <w:rPr>
                <w:rFonts w:ascii="Aptos" w:hAnsi="Aptos" w:cs="Arial"/>
                <w:sz w:val="16"/>
                <w:szCs w:val="16"/>
              </w:rPr>
              <w:t>6</w:t>
            </w:r>
          </w:p>
        </w:tc>
        <w:tc>
          <w:tcPr>
            <w:tcW w:w="246" w:type="pct"/>
            <w:shd w:val="clear" w:color="auto" w:fill="auto"/>
            <w:noWrap/>
          </w:tcPr>
          <w:p w14:paraId="2F8B5F4A" w14:textId="77777777" w:rsidR="008F3151" w:rsidRPr="00D518FF" w:rsidRDefault="008F3151">
            <w:pPr>
              <w:rPr>
                <w:rFonts w:ascii="Aptos" w:hAnsi="Aptos"/>
                <w:color w:val="000000"/>
                <w:sz w:val="16"/>
                <w:szCs w:val="16"/>
              </w:rPr>
            </w:pPr>
            <w:r w:rsidRPr="00D518FF">
              <w:rPr>
                <w:rFonts w:ascii="Aptos" w:hAnsi="Aptos" w:cs="Arial"/>
                <w:sz w:val="16"/>
                <w:szCs w:val="16"/>
              </w:rPr>
              <w:t>2180-2194</w:t>
            </w:r>
          </w:p>
        </w:tc>
        <w:tc>
          <w:tcPr>
            <w:tcW w:w="833" w:type="pct"/>
            <w:shd w:val="clear" w:color="auto" w:fill="auto"/>
            <w:noWrap/>
          </w:tcPr>
          <w:p w14:paraId="10D35B00" w14:textId="77777777" w:rsidR="008F3151" w:rsidRPr="00D518FF" w:rsidRDefault="008F3151">
            <w:pPr>
              <w:rPr>
                <w:rFonts w:ascii="Aptos" w:hAnsi="Aptos"/>
                <w:color w:val="000000"/>
                <w:sz w:val="16"/>
                <w:szCs w:val="16"/>
              </w:rPr>
            </w:pPr>
            <w:r w:rsidRPr="00D518FF">
              <w:rPr>
                <w:rFonts w:ascii="Aptos" w:hAnsi="Aptos"/>
                <w:color w:val="000000"/>
                <w:sz w:val="16"/>
                <w:szCs w:val="16"/>
              </w:rPr>
              <w:t>Wrong patient population</w:t>
            </w:r>
          </w:p>
        </w:tc>
      </w:tr>
      <w:tr w:rsidR="004C6AA1" w:rsidRPr="00D518FF" w14:paraId="5D0720FF" w14:textId="77777777" w:rsidTr="004C6AA1">
        <w:trPr>
          <w:trHeight w:val="320"/>
        </w:trPr>
        <w:tc>
          <w:tcPr>
            <w:tcW w:w="1470" w:type="pct"/>
            <w:shd w:val="clear" w:color="auto" w:fill="auto"/>
            <w:noWrap/>
            <w:hideMark/>
          </w:tcPr>
          <w:p w14:paraId="758C7E35" w14:textId="77777777" w:rsidR="008F3151" w:rsidRPr="00D518FF" w:rsidRDefault="008F3151">
            <w:pPr>
              <w:rPr>
                <w:rFonts w:ascii="Aptos" w:hAnsi="Aptos"/>
                <w:color w:val="000000"/>
                <w:sz w:val="16"/>
                <w:szCs w:val="16"/>
              </w:rPr>
            </w:pPr>
            <w:r w:rsidRPr="00D518FF">
              <w:rPr>
                <w:rFonts w:ascii="Aptos" w:hAnsi="Aptos"/>
                <w:color w:val="000000"/>
                <w:sz w:val="16"/>
                <w:szCs w:val="16"/>
              </w:rPr>
              <w:t>Dietary antioxidative supplements and diabetic retinopathy; a systematic review</w:t>
            </w:r>
          </w:p>
        </w:tc>
        <w:tc>
          <w:tcPr>
            <w:tcW w:w="1225" w:type="pct"/>
            <w:shd w:val="clear" w:color="auto" w:fill="auto"/>
            <w:noWrap/>
            <w:hideMark/>
          </w:tcPr>
          <w:p w14:paraId="29D2A34D" w14:textId="77777777" w:rsidR="008F3151" w:rsidRPr="00D518FF" w:rsidRDefault="008F3151">
            <w:pPr>
              <w:rPr>
                <w:rFonts w:ascii="Aptos" w:hAnsi="Aptos"/>
                <w:color w:val="000000"/>
                <w:sz w:val="16"/>
                <w:szCs w:val="16"/>
              </w:rPr>
            </w:pPr>
            <w:r w:rsidRPr="00D518FF">
              <w:rPr>
                <w:rFonts w:ascii="Aptos" w:hAnsi="Aptos"/>
                <w:color w:val="000000"/>
                <w:sz w:val="16"/>
                <w:szCs w:val="16"/>
              </w:rPr>
              <w:t>Tabatabaei-Malazy, O.; Ardeshirlarijani, E.; Namazi, N.; Nikfar, S.; Jalili, R. B.; Larijani, B.</w:t>
            </w:r>
          </w:p>
        </w:tc>
        <w:tc>
          <w:tcPr>
            <w:tcW w:w="196" w:type="pct"/>
            <w:shd w:val="clear" w:color="auto" w:fill="auto"/>
            <w:noWrap/>
            <w:hideMark/>
          </w:tcPr>
          <w:p w14:paraId="10CF981E" w14:textId="77777777" w:rsidR="008F3151" w:rsidRPr="00D518FF" w:rsidRDefault="008F3151">
            <w:pPr>
              <w:rPr>
                <w:rFonts w:ascii="Aptos" w:hAnsi="Aptos"/>
                <w:color w:val="000000"/>
                <w:sz w:val="16"/>
                <w:szCs w:val="16"/>
              </w:rPr>
            </w:pPr>
            <w:r w:rsidRPr="00D518FF">
              <w:rPr>
                <w:rFonts w:ascii="Aptos" w:hAnsi="Aptos"/>
                <w:color w:val="000000"/>
                <w:sz w:val="16"/>
                <w:szCs w:val="16"/>
              </w:rPr>
              <w:t>2019</w:t>
            </w:r>
          </w:p>
        </w:tc>
        <w:tc>
          <w:tcPr>
            <w:tcW w:w="491" w:type="pct"/>
            <w:shd w:val="clear" w:color="auto" w:fill="auto"/>
            <w:noWrap/>
            <w:hideMark/>
          </w:tcPr>
          <w:p w14:paraId="070B73E5" w14:textId="77777777" w:rsidR="008F3151" w:rsidRPr="00D518FF" w:rsidRDefault="008F3151">
            <w:pPr>
              <w:rPr>
                <w:rFonts w:ascii="Aptos" w:hAnsi="Aptos"/>
                <w:color w:val="000000"/>
                <w:sz w:val="16"/>
                <w:szCs w:val="16"/>
              </w:rPr>
            </w:pPr>
            <w:r w:rsidRPr="00D518FF">
              <w:rPr>
                <w:rFonts w:ascii="Aptos" w:hAnsi="Aptos"/>
                <w:color w:val="000000"/>
                <w:sz w:val="16"/>
                <w:szCs w:val="16"/>
              </w:rPr>
              <w:t>Journal of diabetes and metabolic disorders</w:t>
            </w:r>
          </w:p>
        </w:tc>
        <w:tc>
          <w:tcPr>
            <w:tcW w:w="294" w:type="pct"/>
            <w:shd w:val="clear" w:color="auto" w:fill="auto"/>
            <w:noWrap/>
            <w:hideMark/>
          </w:tcPr>
          <w:p w14:paraId="5D69C61F" w14:textId="77777777" w:rsidR="008F3151" w:rsidRPr="00D518FF" w:rsidRDefault="008F3151">
            <w:pPr>
              <w:rPr>
                <w:rFonts w:ascii="Aptos" w:hAnsi="Aptos"/>
                <w:color w:val="000000"/>
                <w:sz w:val="16"/>
                <w:szCs w:val="16"/>
              </w:rPr>
            </w:pPr>
            <w:r w:rsidRPr="00D518FF">
              <w:rPr>
                <w:rFonts w:ascii="Aptos" w:hAnsi="Aptos"/>
                <w:color w:val="000000"/>
                <w:sz w:val="16"/>
                <w:szCs w:val="16"/>
              </w:rPr>
              <w:t>18</w:t>
            </w:r>
          </w:p>
        </w:tc>
        <w:tc>
          <w:tcPr>
            <w:tcW w:w="245" w:type="pct"/>
            <w:shd w:val="clear" w:color="auto" w:fill="auto"/>
            <w:noWrap/>
            <w:hideMark/>
          </w:tcPr>
          <w:p w14:paraId="3DE27A5D" w14:textId="77777777" w:rsidR="008F3151" w:rsidRPr="00D518FF" w:rsidRDefault="008F3151">
            <w:pPr>
              <w:rPr>
                <w:rFonts w:ascii="Aptos" w:hAnsi="Aptos"/>
                <w:color w:val="000000"/>
                <w:sz w:val="16"/>
                <w:szCs w:val="16"/>
              </w:rPr>
            </w:pPr>
            <w:r w:rsidRPr="00D518FF">
              <w:rPr>
                <w:rFonts w:ascii="Aptos" w:hAnsi="Aptos"/>
                <w:color w:val="000000"/>
                <w:sz w:val="16"/>
                <w:szCs w:val="16"/>
              </w:rPr>
              <w:t>2</w:t>
            </w:r>
          </w:p>
        </w:tc>
        <w:tc>
          <w:tcPr>
            <w:tcW w:w="246" w:type="pct"/>
            <w:shd w:val="clear" w:color="auto" w:fill="auto"/>
            <w:noWrap/>
            <w:hideMark/>
          </w:tcPr>
          <w:p w14:paraId="347D193A" w14:textId="77777777" w:rsidR="008F3151" w:rsidRPr="00D518FF" w:rsidRDefault="008F3151">
            <w:pPr>
              <w:rPr>
                <w:rFonts w:ascii="Aptos" w:hAnsi="Aptos"/>
                <w:color w:val="000000"/>
                <w:sz w:val="16"/>
                <w:szCs w:val="16"/>
              </w:rPr>
            </w:pPr>
            <w:r w:rsidRPr="00D518FF">
              <w:rPr>
                <w:rFonts w:ascii="Aptos" w:hAnsi="Aptos"/>
                <w:color w:val="000000"/>
                <w:sz w:val="16"/>
                <w:szCs w:val="16"/>
              </w:rPr>
              <w:t>705-716</w:t>
            </w:r>
          </w:p>
        </w:tc>
        <w:tc>
          <w:tcPr>
            <w:tcW w:w="833" w:type="pct"/>
            <w:shd w:val="clear" w:color="auto" w:fill="auto"/>
            <w:noWrap/>
            <w:hideMark/>
          </w:tcPr>
          <w:p w14:paraId="3E3D9EF0" w14:textId="77777777" w:rsidR="008F3151" w:rsidRPr="00D518FF" w:rsidRDefault="008F3151">
            <w:pPr>
              <w:rPr>
                <w:rFonts w:ascii="Aptos" w:hAnsi="Aptos"/>
                <w:color w:val="000000"/>
                <w:sz w:val="16"/>
                <w:szCs w:val="16"/>
              </w:rPr>
            </w:pPr>
            <w:r w:rsidRPr="00D518FF">
              <w:rPr>
                <w:rFonts w:ascii="Aptos" w:hAnsi="Aptos"/>
                <w:color w:val="000000"/>
                <w:sz w:val="16"/>
                <w:szCs w:val="16"/>
              </w:rPr>
              <w:t>Wrong study design</w:t>
            </w:r>
          </w:p>
        </w:tc>
      </w:tr>
    </w:tbl>
    <w:p w14:paraId="3F1BFED1" w14:textId="11002A81" w:rsidR="008F3151" w:rsidRPr="00A740A6" w:rsidRDefault="00E77B7B" w:rsidP="00A740A6">
      <w:pPr>
        <w:pStyle w:val="heading2numbers"/>
        <w:rPr>
          <w:rStyle w:val="Heading1Char"/>
          <w:rFonts w:ascii="Aptos" w:eastAsia="Calibri" w:hAnsi="Aptos"/>
          <w:bCs w:val="0"/>
          <w:color w:val="C00000"/>
          <w:sz w:val="28"/>
          <w:szCs w:val="26"/>
        </w:rPr>
      </w:pPr>
      <w:bookmarkStart w:id="129" w:name="_Toc185254639"/>
      <w:r>
        <w:rPr>
          <w:rStyle w:val="Heading1Char"/>
          <w:rFonts w:ascii="Aptos" w:eastAsia="Calibri" w:hAnsi="Aptos"/>
          <w:bCs w:val="0"/>
          <w:color w:val="C00000"/>
          <w:sz w:val="28"/>
          <w:szCs w:val="26"/>
        </w:rPr>
        <w:t>Citation details of e</w:t>
      </w:r>
      <w:r w:rsidRPr="00A740A6">
        <w:rPr>
          <w:rStyle w:val="Heading1Char"/>
          <w:rFonts w:ascii="Aptos" w:eastAsia="Calibri" w:hAnsi="Aptos"/>
          <w:bCs w:val="0"/>
          <w:color w:val="C00000"/>
          <w:sz w:val="28"/>
          <w:szCs w:val="26"/>
        </w:rPr>
        <w:t xml:space="preserve">vidence </w:t>
      </w:r>
      <w:r w:rsidR="008F3151" w:rsidRPr="00A740A6">
        <w:rPr>
          <w:rStyle w:val="Heading1Char"/>
          <w:rFonts w:ascii="Aptos" w:eastAsia="Calibri" w:hAnsi="Aptos"/>
          <w:bCs w:val="0"/>
          <w:color w:val="C00000"/>
          <w:sz w:val="28"/>
          <w:szCs w:val="26"/>
        </w:rPr>
        <w:t>provided through the Department’s public call for evidence.</w:t>
      </w:r>
      <w:bookmarkEnd w:id="129"/>
    </w:p>
    <w:p w14:paraId="300B6D45" w14:textId="47037D0E" w:rsidR="008F3151" w:rsidRPr="00D518FF" w:rsidRDefault="008F3151" w:rsidP="008F3151">
      <w:pPr>
        <w:spacing w:before="120" w:after="120"/>
        <w:rPr>
          <w:rFonts w:ascii="Aptos" w:hAnsi="Aptos" w:cs="Arial"/>
          <w:sz w:val="21"/>
          <w:szCs w:val="21"/>
        </w:rPr>
      </w:pPr>
      <w:r w:rsidRPr="00D518FF">
        <w:rPr>
          <w:rFonts w:ascii="Aptos" w:hAnsi="Aptos" w:cs="Arial"/>
          <w:sz w:val="21"/>
          <w:szCs w:val="21"/>
        </w:rPr>
        <w:t xml:space="preserve">This appendix documents the studies that were provided through the Department’s public call for evidence for an overview on the effect of selected </w:t>
      </w:r>
      <w:r w:rsidRPr="00D518FF" w:rsidDel="008B625F">
        <w:rPr>
          <w:rFonts w:ascii="Aptos" w:hAnsi="Aptos" w:cs="Arial"/>
          <w:sz w:val="21"/>
          <w:szCs w:val="21"/>
        </w:rPr>
        <w:t>population-</w:t>
      </w:r>
      <w:r w:rsidR="008B625F">
        <w:rPr>
          <w:rFonts w:ascii="Aptos" w:hAnsi="Aptos" w:cs="Arial"/>
          <w:sz w:val="21"/>
          <w:szCs w:val="21"/>
        </w:rPr>
        <w:t>supplement pair</w:t>
      </w:r>
      <w:r w:rsidRPr="00D518FF">
        <w:rPr>
          <w:rFonts w:ascii="Aptos" w:hAnsi="Aptos" w:cs="Arial"/>
          <w:sz w:val="21"/>
          <w:szCs w:val="21"/>
        </w:rPr>
        <w:t>s prioritised based on a naturopathic context.</w:t>
      </w:r>
    </w:p>
    <w:p w14:paraId="0BA955F7" w14:textId="2E71A38B" w:rsidR="00591DCB" w:rsidRPr="00D518FF" w:rsidRDefault="008F3151" w:rsidP="008F3151">
      <w:pPr>
        <w:spacing w:before="120" w:after="120"/>
        <w:rPr>
          <w:rFonts w:ascii="Aptos" w:hAnsi="Aptos" w:cs="Arial"/>
          <w:sz w:val="21"/>
          <w:szCs w:val="21"/>
        </w:rPr>
      </w:pPr>
      <w:r w:rsidRPr="00D518FF">
        <w:rPr>
          <w:rFonts w:ascii="Aptos" w:hAnsi="Aptos" w:cs="Arial"/>
          <w:sz w:val="21"/>
          <w:szCs w:val="21"/>
        </w:rPr>
        <w:t>The table is ordered by population-</w:t>
      </w:r>
      <w:r w:rsidR="00BE06FD">
        <w:rPr>
          <w:rFonts w:ascii="Aptos" w:hAnsi="Aptos" w:cs="Arial"/>
          <w:sz w:val="21"/>
          <w:szCs w:val="21"/>
        </w:rPr>
        <w:t>supplement</w:t>
      </w:r>
      <w:r w:rsidR="00BE06FD" w:rsidRPr="00D518FF">
        <w:rPr>
          <w:rFonts w:ascii="Aptos" w:hAnsi="Aptos" w:cs="Arial"/>
          <w:sz w:val="21"/>
          <w:szCs w:val="21"/>
        </w:rPr>
        <w:t xml:space="preserve"> </w:t>
      </w:r>
      <w:r w:rsidRPr="00D518FF">
        <w:rPr>
          <w:rFonts w:ascii="Aptos" w:hAnsi="Aptos" w:cs="Arial"/>
          <w:sz w:val="21"/>
          <w:szCs w:val="21"/>
        </w:rPr>
        <w:t xml:space="preserve">pairing, then alphabetically. </w:t>
      </w:r>
    </w:p>
    <w:p w14:paraId="63D5A53D" w14:textId="48E8BF83" w:rsidR="003F5774" w:rsidRPr="004C6AA1" w:rsidRDefault="003F5774" w:rsidP="004C6AA1">
      <w:pPr>
        <w:pStyle w:val="Caption"/>
        <w:spacing w:before="240"/>
        <w:rPr>
          <w:rFonts w:ascii="Aptos" w:hAnsi="Aptos"/>
        </w:rPr>
      </w:pPr>
      <w:bookmarkStart w:id="130" w:name="_Toc185254543"/>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16</w:t>
      </w:r>
      <w:r w:rsidR="00DC4767" w:rsidRPr="004C6AA1">
        <w:rPr>
          <w:rFonts w:ascii="Aptos" w:hAnsi="Aptos"/>
        </w:rPr>
        <w:fldChar w:fldCharType="end"/>
      </w:r>
      <w:r w:rsidRPr="004C6AA1">
        <w:rPr>
          <w:rFonts w:ascii="Aptos" w:hAnsi="Aptos"/>
        </w:rPr>
        <w:t xml:space="preserve">. </w:t>
      </w:r>
      <w:r w:rsidRPr="00D518FF">
        <w:rPr>
          <w:rFonts w:ascii="Aptos" w:hAnsi="Aptos"/>
        </w:rPr>
        <w:t>Evidence provided through the Department’s public call for evidence</w:t>
      </w:r>
      <w:r>
        <w:rPr>
          <w:rFonts w:ascii="Aptos" w:hAnsi="Aptos"/>
        </w:rPr>
        <w:t>.</w:t>
      </w:r>
      <w:bookmarkEnd w:id="130"/>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1009"/>
        <w:gridCol w:w="2388"/>
        <w:gridCol w:w="709"/>
        <w:gridCol w:w="3544"/>
        <w:gridCol w:w="1417"/>
        <w:gridCol w:w="709"/>
        <w:gridCol w:w="851"/>
        <w:gridCol w:w="1559"/>
        <w:gridCol w:w="850"/>
        <w:gridCol w:w="1276"/>
      </w:tblGrid>
      <w:tr w:rsidR="00F3166B" w:rsidRPr="00D518FF" w14:paraId="5A488863" w14:textId="77777777" w:rsidTr="00924B3D">
        <w:trPr>
          <w:trHeight w:val="300"/>
        </w:trPr>
        <w:tc>
          <w:tcPr>
            <w:tcW w:w="1009" w:type="dxa"/>
            <w:shd w:val="clear" w:color="auto" w:fill="D9D9D9" w:themeFill="background1" w:themeFillShade="D9"/>
            <w:noWrap/>
            <w:hideMark/>
          </w:tcPr>
          <w:p w14:paraId="65F0C843" w14:textId="5027D921"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 xml:space="preserve">Relevant </w:t>
            </w:r>
            <w:r w:rsidRPr="00D518FF" w:rsidDel="008B625F">
              <w:rPr>
                <w:rFonts w:ascii="Aptos" w:hAnsi="Aptos" w:cs="Calibri"/>
                <w:b/>
                <w:bCs/>
                <w:color w:val="000000"/>
                <w:sz w:val="16"/>
                <w:szCs w:val="16"/>
              </w:rPr>
              <w:t>population-</w:t>
            </w:r>
            <w:r>
              <w:rPr>
                <w:rFonts w:ascii="Aptos" w:hAnsi="Aptos" w:cs="Calibri"/>
                <w:b/>
                <w:bCs/>
                <w:color w:val="000000"/>
                <w:sz w:val="16"/>
                <w:szCs w:val="16"/>
              </w:rPr>
              <w:t>supplement pair</w:t>
            </w:r>
          </w:p>
        </w:tc>
        <w:tc>
          <w:tcPr>
            <w:tcW w:w="2388" w:type="dxa"/>
            <w:shd w:val="clear" w:color="auto" w:fill="D9D9D9" w:themeFill="background1" w:themeFillShade="D9"/>
            <w:noWrap/>
            <w:hideMark/>
          </w:tcPr>
          <w:p w14:paraId="613F9192"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Author/s</w:t>
            </w:r>
          </w:p>
        </w:tc>
        <w:tc>
          <w:tcPr>
            <w:tcW w:w="709" w:type="dxa"/>
            <w:shd w:val="clear" w:color="auto" w:fill="D9D9D9" w:themeFill="background1" w:themeFillShade="D9"/>
            <w:noWrap/>
            <w:hideMark/>
          </w:tcPr>
          <w:p w14:paraId="5EC08912"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Publication year</w:t>
            </w:r>
          </w:p>
        </w:tc>
        <w:tc>
          <w:tcPr>
            <w:tcW w:w="3544" w:type="dxa"/>
            <w:shd w:val="clear" w:color="auto" w:fill="D9D9D9" w:themeFill="background1" w:themeFillShade="D9"/>
            <w:noWrap/>
            <w:hideMark/>
          </w:tcPr>
          <w:p w14:paraId="1B575B1F"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Title of article</w:t>
            </w:r>
          </w:p>
        </w:tc>
        <w:tc>
          <w:tcPr>
            <w:tcW w:w="1417" w:type="dxa"/>
            <w:shd w:val="clear" w:color="auto" w:fill="D9D9D9" w:themeFill="background1" w:themeFillShade="D9"/>
          </w:tcPr>
          <w:p w14:paraId="014F771A"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Name of journal or other source</w:t>
            </w:r>
          </w:p>
        </w:tc>
        <w:tc>
          <w:tcPr>
            <w:tcW w:w="709" w:type="dxa"/>
            <w:shd w:val="clear" w:color="auto" w:fill="D9D9D9" w:themeFill="background1" w:themeFillShade="D9"/>
          </w:tcPr>
          <w:p w14:paraId="6098D4D2"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Volume and issue number</w:t>
            </w:r>
          </w:p>
        </w:tc>
        <w:tc>
          <w:tcPr>
            <w:tcW w:w="851" w:type="dxa"/>
            <w:shd w:val="clear" w:color="auto" w:fill="D9D9D9" w:themeFill="background1" w:themeFillShade="D9"/>
          </w:tcPr>
          <w:p w14:paraId="622954DB"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Page numbers</w:t>
            </w:r>
          </w:p>
        </w:tc>
        <w:tc>
          <w:tcPr>
            <w:tcW w:w="1559" w:type="dxa"/>
            <w:shd w:val="clear" w:color="auto" w:fill="D9D9D9" w:themeFill="background1" w:themeFillShade="D9"/>
          </w:tcPr>
          <w:p w14:paraId="66A92F52"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Digital Object Identifier</w:t>
            </w:r>
          </w:p>
        </w:tc>
        <w:tc>
          <w:tcPr>
            <w:tcW w:w="850" w:type="dxa"/>
            <w:shd w:val="clear" w:color="auto" w:fill="D9D9D9" w:themeFill="background1" w:themeFillShade="D9"/>
            <w:noWrap/>
            <w:hideMark/>
          </w:tcPr>
          <w:p w14:paraId="03894DDC" w14:textId="77777777" w:rsidR="00F3166B" w:rsidRPr="00D518FF" w:rsidRDefault="00F3166B" w:rsidP="00924B3D">
            <w:pPr>
              <w:rPr>
                <w:rFonts w:ascii="Aptos" w:hAnsi="Aptos" w:cs="Calibri"/>
                <w:b/>
                <w:bCs/>
                <w:color w:val="000000"/>
                <w:sz w:val="16"/>
                <w:szCs w:val="16"/>
              </w:rPr>
            </w:pPr>
            <w:r w:rsidRPr="00D518FF">
              <w:rPr>
                <w:rFonts w:ascii="Aptos" w:hAnsi="Aptos" w:cs="Calibri"/>
                <w:b/>
                <w:bCs/>
                <w:color w:val="000000"/>
                <w:sz w:val="16"/>
                <w:szCs w:val="16"/>
              </w:rPr>
              <w:t>Inclusion result</w:t>
            </w:r>
          </w:p>
        </w:tc>
        <w:tc>
          <w:tcPr>
            <w:tcW w:w="1276" w:type="dxa"/>
            <w:shd w:val="clear" w:color="auto" w:fill="D9D9D9" w:themeFill="background1" w:themeFillShade="D9"/>
            <w:noWrap/>
            <w:hideMark/>
          </w:tcPr>
          <w:p w14:paraId="457CA812" w14:textId="67BF2EEA" w:rsidR="00F3166B" w:rsidRPr="00D518FF" w:rsidRDefault="00F3166B" w:rsidP="00924B3D">
            <w:pPr>
              <w:rPr>
                <w:rFonts w:ascii="Aptos" w:hAnsi="Aptos" w:cs="Calibri"/>
                <w:b/>
                <w:bCs/>
                <w:color w:val="000000"/>
                <w:sz w:val="16"/>
                <w:szCs w:val="16"/>
              </w:rPr>
            </w:pPr>
            <w:r>
              <w:rPr>
                <w:rFonts w:ascii="Aptos" w:hAnsi="Aptos"/>
                <w:b/>
                <w:bCs/>
                <w:color w:val="000000"/>
                <w:sz w:val="16"/>
                <w:szCs w:val="16"/>
              </w:rPr>
              <w:t>Exclusion reason</w:t>
            </w:r>
          </w:p>
        </w:tc>
      </w:tr>
      <w:tr w:rsidR="008F3151" w:rsidRPr="00D518FF" w14:paraId="24E02712" w14:textId="77777777" w:rsidTr="00924B3D">
        <w:trPr>
          <w:trHeight w:val="300"/>
        </w:trPr>
        <w:tc>
          <w:tcPr>
            <w:tcW w:w="1009" w:type="dxa"/>
            <w:shd w:val="clear" w:color="auto" w:fill="auto"/>
            <w:noWrap/>
            <w:hideMark/>
          </w:tcPr>
          <w:p w14:paraId="2BA533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w:t>
            </w:r>
          </w:p>
        </w:tc>
        <w:tc>
          <w:tcPr>
            <w:tcW w:w="2388" w:type="dxa"/>
            <w:shd w:val="clear" w:color="auto" w:fill="auto"/>
            <w:noWrap/>
            <w:hideMark/>
          </w:tcPr>
          <w:p w14:paraId="7BB97B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McCabe D, Lisy K, Lockwood C, Colbeck M.</w:t>
            </w:r>
          </w:p>
        </w:tc>
        <w:tc>
          <w:tcPr>
            <w:tcW w:w="709" w:type="dxa"/>
            <w:shd w:val="clear" w:color="auto" w:fill="auto"/>
            <w:noWrap/>
            <w:hideMark/>
          </w:tcPr>
          <w:p w14:paraId="15C4C9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961DD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impact of essential fatty acid, B vitamins, vitamin C, magnesium and zinc supplementation on stress levels in women: a systematic review. </w:t>
            </w:r>
          </w:p>
        </w:tc>
        <w:tc>
          <w:tcPr>
            <w:tcW w:w="1417" w:type="dxa"/>
          </w:tcPr>
          <w:p w14:paraId="7A88BD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JBI Database System Rev Implement Rep</w:t>
            </w:r>
          </w:p>
        </w:tc>
        <w:tc>
          <w:tcPr>
            <w:tcW w:w="709" w:type="dxa"/>
          </w:tcPr>
          <w:p w14:paraId="6AE53D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15(2)</w:t>
            </w:r>
          </w:p>
        </w:tc>
        <w:tc>
          <w:tcPr>
            <w:tcW w:w="851" w:type="dxa"/>
          </w:tcPr>
          <w:p w14:paraId="776234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402-453</w:t>
            </w:r>
          </w:p>
        </w:tc>
        <w:tc>
          <w:tcPr>
            <w:tcW w:w="1559" w:type="dxa"/>
          </w:tcPr>
          <w:p w14:paraId="0D8E2D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10.11124/JBISRIR-2016-002965</w:t>
            </w:r>
          </w:p>
        </w:tc>
        <w:tc>
          <w:tcPr>
            <w:tcW w:w="850" w:type="dxa"/>
            <w:shd w:val="clear" w:color="auto" w:fill="auto"/>
            <w:noWrap/>
            <w:hideMark/>
          </w:tcPr>
          <w:p w14:paraId="227CDD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B5632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0CAAFC97" w14:textId="77777777" w:rsidTr="00924B3D">
        <w:trPr>
          <w:trHeight w:val="300"/>
        </w:trPr>
        <w:tc>
          <w:tcPr>
            <w:tcW w:w="1009" w:type="dxa"/>
            <w:shd w:val="clear" w:color="auto" w:fill="auto"/>
            <w:noWrap/>
            <w:hideMark/>
          </w:tcPr>
          <w:p w14:paraId="4647B1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w:t>
            </w:r>
          </w:p>
        </w:tc>
        <w:tc>
          <w:tcPr>
            <w:tcW w:w="2388" w:type="dxa"/>
            <w:shd w:val="clear" w:color="auto" w:fill="auto"/>
            <w:noWrap/>
            <w:hideMark/>
          </w:tcPr>
          <w:p w14:paraId="476A00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Grace S, Barnes L, Reilly W, Vlass A, de Permentier P.</w:t>
            </w:r>
          </w:p>
        </w:tc>
        <w:tc>
          <w:tcPr>
            <w:tcW w:w="709" w:type="dxa"/>
            <w:shd w:val="clear" w:color="auto" w:fill="auto"/>
            <w:noWrap/>
            <w:hideMark/>
          </w:tcPr>
          <w:p w14:paraId="489DA3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62A538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integrative review of dietetic and naturopathic approaches to functional bowel disorders.</w:t>
            </w:r>
          </w:p>
        </w:tc>
        <w:tc>
          <w:tcPr>
            <w:tcW w:w="1417" w:type="dxa"/>
          </w:tcPr>
          <w:p w14:paraId="7764E6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74FECA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w:t>
            </w:r>
          </w:p>
        </w:tc>
        <w:tc>
          <w:tcPr>
            <w:tcW w:w="851" w:type="dxa"/>
          </w:tcPr>
          <w:p w14:paraId="6DA6F4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67-80</w:t>
            </w:r>
          </w:p>
        </w:tc>
        <w:tc>
          <w:tcPr>
            <w:tcW w:w="1559" w:type="dxa"/>
          </w:tcPr>
          <w:p w14:paraId="38F650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http://dx.doi.org.ezproxy1.library.usyd.edu.au/10.1016/j.ctim.2018.09.004Abs</w:t>
            </w:r>
          </w:p>
        </w:tc>
        <w:tc>
          <w:tcPr>
            <w:tcW w:w="850" w:type="dxa"/>
            <w:shd w:val="clear" w:color="auto" w:fill="auto"/>
            <w:noWrap/>
            <w:hideMark/>
          </w:tcPr>
          <w:p w14:paraId="5C7C84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FF95E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5990A042" w14:textId="77777777" w:rsidTr="00924B3D">
        <w:trPr>
          <w:trHeight w:val="300"/>
        </w:trPr>
        <w:tc>
          <w:tcPr>
            <w:tcW w:w="1009" w:type="dxa"/>
            <w:shd w:val="clear" w:color="auto" w:fill="auto"/>
            <w:noWrap/>
            <w:hideMark/>
          </w:tcPr>
          <w:p w14:paraId="16A8E7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w:t>
            </w:r>
          </w:p>
        </w:tc>
        <w:tc>
          <w:tcPr>
            <w:tcW w:w="2388" w:type="dxa"/>
            <w:shd w:val="clear" w:color="auto" w:fill="auto"/>
            <w:noWrap/>
            <w:hideMark/>
          </w:tcPr>
          <w:p w14:paraId="68B882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Hawrelak, J. A., Wohlmuth, H., Pattinson, M., Myers, S. P., Goldenberg, J. Z., Harnett, J., and Whitten, D. L.</w:t>
            </w:r>
          </w:p>
        </w:tc>
        <w:tc>
          <w:tcPr>
            <w:tcW w:w="709" w:type="dxa"/>
            <w:shd w:val="clear" w:color="auto" w:fill="auto"/>
            <w:noWrap/>
            <w:hideMark/>
          </w:tcPr>
          <w:p w14:paraId="097E14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44EB87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Western Herbal Medicines in the Treatment of Irritable Bowel Syndrome: A Systematic Review and Meta-analysis. </w:t>
            </w:r>
          </w:p>
        </w:tc>
        <w:tc>
          <w:tcPr>
            <w:tcW w:w="1417" w:type="dxa"/>
          </w:tcPr>
          <w:p w14:paraId="1AC235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2791D8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w:t>
            </w:r>
          </w:p>
        </w:tc>
        <w:tc>
          <w:tcPr>
            <w:tcW w:w="851" w:type="dxa"/>
          </w:tcPr>
          <w:p w14:paraId="211F4E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491747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doi.org/10.1016/j.ctim.2019.102233</w:t>
            </w:r>
          </w:p>
        </w:tc>
        <w:tc>
          <w:tcPr>
            <w:tcW w:w="850" w:type="dxa"/>
            <w:shd w:val="clear" w:color="auto" w:fill="auto"/>
            <w:noWrap/>
            <w:hideMark/>
          </w:tcPr>
          <w:p w14:paraId="1D1A41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34F05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4A870426" w14:textId="77777777" w:rsidTr="00924B3D">
        <w:trPr>
          <w:trHeight w:val="300"/>
        </w:trPr>
        <w:tc>
          <w:tcPr>
            <w:tcW w:w="1009" w:type="dxa"/>
            <w:shd w:val="clear" w:color="auto" w:fill="auto"/>
            <w:noWrap/>
            <w:hideMark/>
          </w:tcPr>
          <w:p w14:paraId="1C60E6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4C77DD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Bae JH, Kim G.</w:t>
            </w:r>
          </w:p>
        </w:tc>
        <w:tc>
          <w:tcPr>
            <w:tcW w:w="709" w:type="dxa"/>
            <w:shd w:val="clear" w:color="auto" w:fill="auto"/>
            <w:noWrap/>
            <w:hideMark/>
          </w:tcPr>
          <w:p w14:paraId="2D7CFE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F3430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Systematic review and meta-analysis of omega-3-fatty acids in elderly patients with depression. </w:t>
            </w:r>
          </w:p>
        </w:tc>
        <w:tc>
          <w:tcPr>
            <w:tcW w:w="1417" w:type="dxa"/>
          </w:tcPr>
          <w:p w14:paraId="002A14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 Research</w:t>
            </w:r>
          </w:p>
        </w:tc>
        <w:tc>
          <w:tcPr>
            <w:tcW w:w="709" w:type="dxa"/>
          </w:tcPr>
          <w:p w14:paraId="69531C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1(50)</w:t>
            </w:r>
          </w:p>
        </w:tc>
        <w:tc>
          <w:tcPr>
            <w:tcW w:w="851" w:type="dxa"/>
          </w:tcPr>
          <w:p w14:paraId="347E93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1-Sep</w:t>
            </w:r>
          </w:p>
        </w:tc>
        <w:tc>
          <w:tcPr>
            <w:tcW w:w="1559" w:type="dxa"/>
          </w:tcPr>
          <w:p w14:paraId="76F048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7B07A4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Included</w:t>
            </w:r>
          </w:p>
        </w:tc>
        <w:tc>
          <w:tcPr>
            <w:tcW w:w="1276" w:type="dxa"/>
            <w:shd w:val="clear" w:color="auto" w:fill="auto"/>
            <w:noWrap/>
            <w:hideMark/>
          </w:tcPr>
          <w:p w14:paraId="6F41CD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r>
      <w:tr w:rsidR="008F3151" w:rsidRPr="00D518FF" w14:paraId="57B8FC76" w14:textId="77777777" w:rsidTr="00924B3D">
        <w:trPr>
          <w:trHeight w:val="300"/>
        </w:trPr>
        <w:tc>
          <w:tcPr>
            <w:tcW w:w="1009" w:type="dxa"/>
            <w:shd w:val="clear" w:color="auto" w:fill="auto"/>
            <w:noWrap/>
            <w:hideMark/>
          </w:tcPr>
          <w:p w14:paraId="38B6FF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5</w:t>
            </w:r>
          </w:p>
        </w:tc>
        <w:tc>
          <w:tcPr>
            <w:tcW w:w="2388" w:type="dxa"/>
            <w:shd w:val="clear" w:color="auto" w:fill="auto"/>
            <w:noWrap/>
            <w:hideMark/>
          </w:tcPr>
          <w:p w14:paraId="5F632F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Grosso G, Micek A, Marventano S, Castellano S, Mistretta A, Pajak A, Galvano F.</w:t>
            </w:r>
          </w:p>
        </w:tc>
        <w:tc>
          <w:tcPr>
            <w:tcW w:w="709" w:type="dxa"/>
            <w:shd w:val="clear" w:color="auto" w:fill="auto"/>
            <w:noWrap/>
            <w:hideMark/>
          </w:tcPr>
          <w:p w14:paraId="7B27C7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4015A0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Dietary n-3 PUFA, fish consumption and depression: A systematic review and meta-analysis of observational studies. </w:t>
            </w:r>
          </w:p>
        </w:tc>
        <w:tc>
          <w:tcPr>
            <w:tcW w:w="1417" w:type="dxa"/>
          </w:tcPr>
          <w:p w14:paraId="18AFAC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affective disorders</w:t>
            </w:r>
          </w:p>
        </w:tc>
        <w:tc>
          <w:tcPr>
            <w:tcW w:w="709" w:type="dxa"/>
          </w:tcPr>
          <w:p w14:paraId="2677B5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15(205)</w:t>
            </w:r>
          </w:p>
        </w:tc>
        <w:tc>
          <w:tcPr>
            <w:tcW w:w="851" w:type="dxa"/>
          </w:tcPr>
          <w:p w14:paraId="597B0E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269-281</w:t>
            </w:r>
          </w:p>
        </w:tc>
        <w:tc>
          <w:tcPr>
            <w:tcW w:w="1559" w:type="dxa"/>
          </w:tcPr>
          <w:p w14:paraId="60D9A9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10.1016/j.jad.2016.08.011</w:t>
            </w:r>
          </w:p>
        </w:tc>
        <w:tc>
          <w:tcPr>
            <w:tcW w:w="850" w:type="dxa"/>
            <w:shd w:val="clear" w:color="auto" w:fill="auto"/>
            <w:noWrap/>
            <w:hideMark/>
          </w:tcPr>
          <w:p w14:paraId="194A94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D3BBC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584CC956" w14:textId="77777777" w:rsidTr="00924B3D">
        <w:trPr>
          <w:trHeight w:val="300"/>
        </w:trPr>
        <w:tc>
          <w:tcPr>
            <w:tcW w:w="1009" w:type="dxa"/>
            <w:shd w:val="clear" w:color="auto" w:fill="auto"/>
            <w:noWrap/>
            <w:hideMark/>
          </w:tcPr>
          <w:p w14:paraId="6EBA2A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77036F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Grosso G, Pajak A, Marventano S, Castellano S, Galvano F, Bucolo C, Drago F, Caraci F.</w:t>
            </w:r>
          </w:p>
        </w:tc>
        <w:tc>
          <w:tcPr>
            <w:tcW w:w="709" w:type="dxa"/>
            <w:shd w:val="clear" w:color="auto" w:fill="auto"/>
            <w:noWrap/>
            <w:hideMark/>
          </w:tcPr>
          <w:p w14:paraId="59DAA2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3386B6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Role of omega-3 fatty acids in the treatment of depressive disorders: a comprehensive meta-analysis of randomized clinical trials. </w:t>
            </w:r>
          </w:p>
        </w:tc>
        <w:tc>
          <w:tcPr>
            <w:tcW w:w="1417" w:type="dxa"/>
          </w:tcPr>
          <w:p w14:paraId="5213D2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5D795A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9(5)</w:t>
            </w:r>
          </w:p>
        </w:tc>
        <w:tc>
          <w:tcPr>
            <w:tcW w:w="851" w:type="dxa"/>
          </w:tcPr>
          <w:p w14:paraId="138832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96905</w:t>
            </w:r>
          </w:p>
        </w:tc>
        <w:tc>
          <w:tcPr>
            <w:tcW w:w="1559" w:type="dxa"/>
          </w:tcPr>
          <w:p w14:paraId="6B0FBF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64588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825D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386B7512" w14:textId="77777777" w:rsidTr="00924B3D">
        <w:trPr>
          <w:trHeight w:val="300"/>
        </w:trPr>
        <w:tc>
          <w:tcPr>
            <w:tcW w:w="1009" w:type="dxa"/>
            <w:shd w:val="clear" w:color="auto" w:fill="auto"/>
            <w:noWrap/>
            <w:hideMark/>
          </w:tcPr>
          <w:p w14:paraId="14D4C8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421DA6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Lin PY, Chang CH, Chong MF, Chen H, Su KP.</w:t>
            </w:r>
          </w:p>
        </w:tc>
        <w:tc>
          <w:tcPr>
            <w:tcW w:w="709" w:type="dxa"/>
            <w:shd w:val="clear" w:color="auto" w:fill="auto"/>
            <w:noWrap/>
            <w:hideMark/>
          </w:tcPr>
          <w:p w14:paraId="067D02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4E75F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Polyunsaturated fatty acids in perinatal depression: a systematic review and meta-analysis. </w:t>
            </w:r>
          </w:p>
        </w:tc>
        <w:tc>
          <w:tcPr>
            <w:tcW w:w="1417" w:type="dxa"/>
          </w:tcPr>
          <w:p w14:paraId="3B458E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Biological psychiatry</w:t>
            </w:r>
          </w:p>
        </w:tc>
        <w:tc>
          <w:tcPr>
            <w:tcW w:w="709" w:type="dxa"/>
          </w:tcPr>
          <w:p w14:paraId="767B88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82(8)</w:t>
            </w:r>
          </w:p>
        </w:tc>
        <w:tc>
          <w:tcPr>
            <w:tcW w:w="851" w:type="dxa"/>
          </w:tcPr>
          <w:p w14:paraId="7C2C99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560-569</w:t>
            </w:r>
          </w:p>
        </w:tc>
        <w:tc>
          <w:tcPr>
            <w:tcW w:w="1559" w:type="dxa"/>
          </w:tcPr>
          <w:p w14:paraId="560CAB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F1F9E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B048B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776A4A8" w14:textId="77777777" w:rsidTr="00924B3D">
        <w:trPr>
          <w:trHeight w:val="300"/>
        </w:trPr>
        <w:tc>
          <w:tcPr>
            <w:tcW w:w="1009" w:type="dxa"/>
            <w:shd w:val="clear" w:color="auto" w:fill="auto"/>
            <w:noWrap/>
            <w:hideMark/>
          </w:tcPr>
          <w:p w14:paraId="0D7718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2CE9E1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Liu Wei-Hong, Zhang Cheng-Gui, Gao Peng-Fei, Liu Heng, Yang Jian-Fang.</w:t>
            </w:r>
          </w:p>
        </w:tc>
        <w:tc>
          <w:tcPr>
            <w:tcW w:w="709" w:type="dxa"/>
            <w:shd w:val="clear" w:color="auto" w:fill="auto"/>
            <w:noWrap/>
            <w:hideMark/>
          </w:tcPr>
          <w:p w14:paraId="236FA5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D20B3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Fatty acids as Monotherapy in Treating Depression in Pregnant Women: A Meta-Analysis of Randomized Controlled Trials. </w:t>
            </w:r>
          </w:p>
        </w:tc>
        <w:tc>
          <w:tcPr>
            <w:tcW w:w="1417" w:type="dxa"/>
          </w:tcPr>
          <w:p w14:paraId="3AA23E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Iranian Journal of Pharmaceutical Research</w:t>
            </w:r>
          </w:p>
        </w:tc>
        <w:tc>
          <w:tcPr>
            <w:tcW w:w="709" w:type="dxa"/>
          </w:tcPr>
          <w:p w14:paraId="7D4079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16(4)</w:t>
            </w:r>
          </w:p>
        </w:tc>
        <w:tc>
          <w:tcPr>
            <w:tcW w:w="851" w:type="dxa"/>
          </w:tcPr>
          <w:p w14:paraId="2D77FD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1593–1599</w:t>
            </w:r>
          </w:p>
        </w:tc>
        <w:tc>
          <w:tcPr>
            <w:tcW w:w="1559" w:type="dxa"/>
          </w:tcPr>
          <w:p w14:paraId="6F3627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0B90EE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22819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3A3F8599" w14:textId="77777777" w:rsidTr="00924B3D">
        <w:trPr>
          <w:trHeight w:val="300"/>
        </w:trPr>
        <w:tc>
          <w:tcPr>
            <w:tcW w:w="1009" w:type="dxa"/>
            <w:shd w:val="clear" w:color="auto" w:fill="auto"/>
            <w:noWrap/>
            <w:hideMark/>
          </w:tcPr>
          <w:p w14:paraId="4D97B6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50503E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Mocking RJ, Harmsen I, Assies J, Koeter MW, Ruhé H, Schene AH.</w:t>
            </w:r>
          </w:p>
        </w:tc>
        <w:tc>
          <w:tcPr>
            <w:tcW w:w="709" w:type="dxa"/>
            <w:shd w:val="clear" w:color="auto" w:fill="auto"/>
            <w:noWrap/>
            <w:hideMark/>
          </w:tcPr>
          <w:p w14:paraId="31737C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366BA5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Meta-analysis and meta-regression of omega-3 polyunsaturated fatty acid supplementation for major depressive disorder. </w:t>
            </w:r>
          </w:p>
        </w:tc>
        <w:tc>
          <w:tcPr>
            <w:tcW w:w="1417" w:type="dxa"/>
          </w:tcPr>
          <w:p w14:paraId="5AC41B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Translational psychiatry</w:t>
            </w:r>
          </w:p>
        </w:tc>
        <w:tc>
          <w:tcPr>
            <w:tcW w:w="709" w:type="dxa"/>
          </w:tcPr>
          <w:p w14:paraId="3069D8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6(3)</w:t>
            </w:r>
          </w:p>
        </w:tc>
        <w:tc>
          <w:tcPr>
            <w:tcW w:w="851" w:type="dxa"/>
          </w:tcPr>
          <w:p w14:paraId="67A211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756</w:t>
            </w:r>
          </w:p>
        </w:tc>
        <w:tc>
          <w:tcPr>
            <w:tcW w:w="1559" w:type="dxa"/>
          </w:tcPr>
          <w:p w14:paraId="4F9153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10.1038/tp.2016.29</w:t>
            </w:r>
          </w:p>
        </w:tc>
        <w:tc>
          <w:tcPr>
            <w:tcW w:w="850" w:type="dxa"/>
            <w:shd w:val="clear" w:color="auto" w:fill="auto"/>
            <w:noWrap/>
            <w:hideMark/>
          </w:tcPr>
          <w:p w14:paraId="154E0B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E0B15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4AECCFD9" w14:textId="77777777" w:rsidTr="00924B3D">
        <w:trPr>
          <w:trHeight w:val="300"/>
        </w:trPr>
        <w:tc>
          <w:tcPr>
            <w:tcW w:w="1009" w:type="dxa"/>
            <w:shd w:val="clear" w:color="auto" w:fill="auto"/>
            <w:noWrap/>
            <w:hideMark/>
          </w:tcPr>
          <w:p w14:paraId="31F51F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23BF2D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Murphy J, Mischoulon D, Papakostas GI, Fava M, Berk M, Ng CH.</w:t>
            </w:r>
          </w:p>
        </w:tc>
        <w:tc>
          <w:tcPr>
            <w:tcW w:w="709" w:type="dxa"/>
            <w:shd w:val="clear" w:color="auto" w:fill="auto"/>
            <w:noWrap/>
            <w:hideMark/>
          </w:tcPr>
          <w:p w14:paraId="782E83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2B7BE8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Adjunctive nutraceuticals for depression: a systematic review and meta-analyses. </w:t>
            </w:r>
          </w:p>
        </w:tc>
        <w:tc>
          <w:tcPr>
            <w:tcW w:w="1417" w:type="dxa"/>
          </w:tcPr>
          <w:p w14:paraId="4B8E18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American Journal of Psychiatry</w:t>
            </w:r>
          </w:p>
        </w:tc>
        <w:tc>
          <w:tcPr>
            <w:tcW w:w="709" w:type="dxa"/>
          </w:tcPr>
          <w:p w14:paraId="255AEC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173(6)</w:t>
            </w:r>
          </w:p>
        </w:tc>
        <w:tc>
          <w:tcPr>
            <w:tcW w:w="851" w:type="dxa"/>
          </w:tcPr>
          <w:p w14:paraId="2C2B39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575-587</w:t>
            </w:r>
          </w:p>
        </w:tc>
        <w:tc>
          <w:tcPr>
            <w:tcW w:w="1559" w:type="dxa"/>
          </w:tcPr>
          <w:p w14:paraId="1136A7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78B8D5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5ECDD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 (supplement provided as adjunct therapy only)</w:t>
            </w:r>
          </w:p>
        </w:tc>
      </w:tr>
      <w:tr w:rsidR="008F3151" w:rsidRPr="00D518FF" w14:paraId="13E8EF91" w14:textId="77777777" w:rsidTr="00924B3D">
        <w:trPr>
          <w:trHeight w:val="300"/>
        </w:trPr>
        <w:tc>
          <w:tcPr>
            <w:tcW w:w="1009" w:type="dxa"/>
            <w:shd w:val="clear" w:color="auto" w:fill="auto"/>
            <w:noWrap/>
            <w:hideMark/>
          </w:tcPr>
          <w:p w14:paraId="79EE97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5145DA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Veronese N, Stubbs B, Solmi M, Ajnakina O, Carvalho AF, Maggi S.</w:t>
            </w:r>
          </w:p>
        </w:tc>
        <w:tc>
          <w:tcPr>
            <w:tcW w:w="709" w:type="dxa"/>
            <w:shd w:val="clear" w:color="auto" w:fill="auto"/>
            <w:noWrap/>
            <w:hideMark/>
          </w:tcPr>
          <w:p w14:paraId="7FD93D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4C2954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Acetyl-l-carnitine supplementation and the treatment of depressive symptoms: A systematic review and meta-analysis. </w:t>
            </w:r>
          </w:p>
        </w:tc>
        <w:tc>
          <w:tcPr>
            <w:tcW w:w="1417" w:type="dxa"/>
          </w:tcPr>
          <w:p w14:paraId="68A1AD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Psychosomatic medicine</w:t>
            </w:r>
          </w:p>
        </w:tc>
        <w:tc>
          <w:tcPr>
            <w:tcW w:w="709" w:type="dxa"/>
          </w:tcPr>
          <w:p w14:paraId="1D8F22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80(2)</w:t>
            </w:r>
          </w:p>
        </w:tc>
        <w:tc>
          <w:tcPr>
            <w:tcW w:w="851" w:type="dxa"/>
          </w:tcPr>
          <w:p w14:paraId="173226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154-159</w:t>
            </w:r>
          </w:p>
        </w:tc>
        <w:tc>
          <w:tcPr>
            <w:tcW w:w="1559" w:type="dxa"/>
          </w:tcPr>
          <w:p w14:paraId="79F188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1FCC2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8D08E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2C08172F" w14:textId="77777777" w:rsidTr="00924B3D">
        <w:trPr>
          <w:trHeight w:val="300"/>
        </w:trPr>
        <w:tc>
          <w:tcPr>
            <w:tcW w:w="1009" w:type="dxa"/>
            <w:shd w:val="clear" w:color="auto" w:fill="auto"/>
            <w:noWrap/>
            <w:hideMark/>
          </w:tcPr>
          <w:p w14:paraId="6A3B38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2388" w:type="dxa"/>
            <w:shd w:val="clear" w:color="auto" w:fill="auto"/>
            <w:noWrap/>
            <w:hideMark/>
          </w:tcPr>
          <w:p w14:paraId="7D0315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Yuhua Liao, Bo Xie, Huimin Zhang, Qian He, Lan Guo, M. Subramaniapillai, et al.</w:t>
            </w:r>
          </w:p>
        </w:tc>
        <w:tc>
          <w:tcPr>
            <w:tcW w:w="709" w:type="dxa"/>
            <w:shd w:val="clear" w:color="auto" w:fill="auto"/>
            <w:noWrap/>
            <w:hideMark/>
          </w:tcPr>
          <w:p w14:paraId="7A4BFF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09683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of omega-3 PUFAs in depression: A meta-analysis.</w:t>
            </w:r>
          </w:p>
        </w:tc>
        <w:tc>
          <w:tcPr>
            <w:tcW w:w="1417" w:type="dxa"/>
          </w:tcPr>
          <w:p w14:paraId="393185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Translational Psychiatry</w:t>
            </w:r>
          </w:p>
        </w:tc>
        <w:tc>
          <w:tcPr>
            <w:tcW w:w="709" w:type="dxa"/>
          </w:tcPr>
          <w:p w14:paraId="3BEA74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w:t>
            </w:r>
          </w:p>
        </w:tc>
        <w:tc>
          <w:tcPr>
            <w:tcW w:w="851" w:type="dxa"/>
          </w:tcPr>
          <w:p w14:paraId="2C773E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w:t>
            </w:r>
          </w:p>
        </w:tc>
        <w:tc>
          <w:tcPr>
            <w:tcW w:w="1559" w:type="dxa"/>
          </w:tcPr>
          <w:p w14:paraId="759868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72F302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FB273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016B2109" w14:textId="77777777" w:rsidTr="00924B3D">
        <w:trPr>
          <w:trHeight w:val="300"/>
        </w:trPr>
        <w:tc>
          <w:tcPr>
            <w:tcW w:w="1009" w:type="dxa"/>
            <w:shd w:val="clear" w:color="auto" w:fill="auto"/>
            <w:noWrap/>
            <w:hideMark/>
          </w:tcPr>
          <w:p w14:paraId="4D6E1E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w:t>
            </w:r>
          </w:p>
        </w:tc>
        <w:tc>
          <w:tcPr>
            <w:tcW w:w="2388" w:type="dxa"/>
            <w:shd w:val="clear" w:color="auto" w:fill="auto"/>
            <w:noWrap/>
            <w:hideMark/>
          </w:tcPr>
          <w:p w14:paraId="149A7F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Arentz S, Smith CA, Abbott J, Bensoussan A.</w:t>
            </w:r>
          </w:p>
        </w:tc>
        <w:tc>
          <w:tcPr>
            <w:tcW w:w="709" w:type="dxa"/>
            <w:shd w:val="clear" w:color="auto" w:fill="auto"/>
            <w:noWrap/>
            <w:hideMark/>
          </w:tcPr>
          <w:p w14:paraId="060AD6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8C631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Nutritional supplements and herbal medicines for women with polycystic ovary syndrome; a systematic review and meta-analysis.</w:t>
            </w:r>
          </w:p>
        </w:tc>
        <w:tc>
          <w:tcPr>
            <w:tcW w:w="1417" w:type="dxa"/>
          </w:tcPr>
          <w:p w14:paraId="16581A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4D0CEE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17:500</w:t>
            </w:r>
          </w:p>
        </w:tc>
        <w:tc>
          <w:tcPr>
            <w:tcW w:w="851" w:type="dxa"/>
          </w:tcPr>
          <w:p w14:paraId="041A21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7984B7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1472-6882</w:t>
            </w:r>
          </w:p>
        </w:tc>
        <w:tc>
          <w:tcPr>
            <w:tcW w:w="850" w:type="dxa"/>
            <w:shd w:val="clear" w:color="auto" w:fill="auto"/>
            <w:noWrap/>
            <w:hideMark/>
          </w:tcPr>
          <w:p w14:paraId="7389D8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A3DD6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26A72842" w14:textId="77777777" w:rsidTr="00924B3D">
        <w:trPr>
          <w:trHeight w:val="300"/>
        </w:trPr>
        <w:tc>
          <w:tcPr>
            <w:tcW w:w="1009" w:type="dxa"/>
            <w:shd w:val="clear" w:color="auto" w:fill="auto"/>
            <w:noWrap/>
            <w:hideMark/>
          </w:tcPr>
          <w:p w14:paraId="05DF0F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w:t>
            </w:r>
          </w:p>
        </w:tc>
        <w:tc>
          <w:tcPr>
            <w:tcW w:w="2388" w:type="dxa"/>
            <w:shd w:val="clear" w:color="auto" w:fill="auto"/>
            <w:noWrap/>
            <w:hideMark/>
          </w:tcPr>
          <w:p w14:paraId="5951CC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Hsiao-Yean Chiu, Tu-Hsueh Yeh, Yin-Cheng Huang, Pin-Yuan Chen.</w:t>
            </w:r>
          </w:p>
        </w:tc>
        <w:tc>
          <w:tcPr>
            <w:tcW w:w="709" w:type="dxa"/>
            <w:shd w:val="clear" w:color="auto" w:fill="auto"/>
            <w:noWrap/>
            <w:hideMark/>
          </w:tcPr>
          <w:p w14:paraId="322DA0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1B75F0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of Intravenous and Oral Magnesium on Reducing Migraine: A Meta-analysis of Randomized Controlled Trials. </w:t>
            </w:r>
          </w:p>
        </w:tc>
        <w:tc>
          <w:tcPr>
            <w:tcW w:w="1417" w:type="dxa"/>
          </w:tcPr>
          <w:p w14:paraId="16A7D5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Pain Physician </w:t>
            </w:r>
          </w:p>
        </w:tc>
        <w:tc>
          <w:tcPr>
            <w:tcW w:w="709" w:type="dxa"/>
          </w:tcPr>
          <w:p w14:paraId="3FB220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w:t>
            </w:r>
          </w:p>
        </w:tc>
        <w:tc>
          <w:tcPr>
            <w:tcW w:w="851" w:type="dxa"/>
          </w:tcPr>
          <w:p w14:paraId="2F9165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97-112</w:t>
            </w:r>
          </w:p>
        </w:tc>
        <w:tc>
          <w:tcPr>
            <w:tcW w:w="1559" w:type="dxa"/>
          </w:tcPr>
          <w:p w14:paraId="77F3DD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193A9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8E5E5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37B67857" w14:textId="77777777" w:rsidTr="00924B3D">
        <w:trPr>
          <w:trHeight w:val="300"/>
        </w:trPr>
        <w:tc>
          <w:tcPr>
            <w:tcW w:w="1009" w:type="dxa"/>
            <w:shd w:val="clear" w:color="auto" w:fill="auto"/>
            <w:noWrap/>
            <w:hideMark/>
          </w:tcPr>
          <w:p w14:paraId="75C02C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w:t>
            </w:r>
          </w:p>
        </w:tc>
        <w:tc>
          <w:tcPr>
            <w:tcW w:w="2388" w:type="dxa"/>
            <w:shd w:val="clear" w:color="auto" w:fill="auto"/>
            <w:noWrap/>
            <w:hideMark/>
          </w:tcPr>
          <w:p w14:paraId="687D60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Abdulrazaq M, Innes JK, Calder PC.</w:t>
            </w:r>
          </w:p>
        </w:tc>
        <w:tc>
          <w:tcPr>
            <w:tcW w:w="709" w:type="dxa"/>
            <w:shd w:val="clear" w:color="auto" w:fill="auto"/>
            <w:noWrap/>
            <w:hideMark/>
          </w:tcPr>
          <w:p w14:paraId="2CDAAF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C995C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ω-3 polyunsaturated fatty acids on arthritic pain: A systematic review.</w:t>
            </w:r>
          </w:p>
        </w:tc>
        <w:tc>
          <w:tcPr>
            <w:tcW w:w="1417" w:type="dxa"/>
          </w:tcPr>
          <w:p w14:paraId="02768D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w:t>
            </w:r>
          </w:p>
        </w:tc>
        <w:tc>
          <w:tcPr>
            <w:tcW w:w="709" w:type="dxa"/>
          </w:tcPr>
          <w:p w14:paraId="1910E3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39</w:t>
            </w:r>
          </w:p>
        </w:tc>
        <w:tc>
          <w:tcPr>
            <w:tcW w:w="851" w:type="dxa"/>
          </w:tcPr>
          <w:p w14:paraId="37EE24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57-66</w:t>
            </w:r>
          </w:p>
        </w:tc>
        <w:tc>
          <w:tcPr>
            <w:tcW w:w="1559" w:type="dxa"/>
          </w:tcPr>
          <w:p w14:paraId="45FB0D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B3661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0437A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Duplicate citation (already </w:t>
            </w:r>
            <w:r w:rsidRPr="00D518FF">
              <w:rPr>
                <w:rFonts w:ascii="Aptos" w:hAnsi="Aptos" w:cs="Calibri"/>
                <w:color w:val="000000"/>
                <w:sz w:val="16"/>
                <w:szCs w:val="16"/>
              </w:rPr>
              <w:lastRenderedPageBreak/>
              <w:t>identified in search)</w:t>
            </w:r>
          </w:p>
        </w:tc>
      </w:tr>
      <w:tr w:rsidR="008F3151" w:rsidRPr="00D518FF" w14:paraId="6B42076A" w14:textId="77777777" w:rsidTr="00924B3D">
        <w:trPr>
          <w:trHeight w:val="300"/>
        </w:trPr>
        <w:tc>
          <w:tcPr>
            <w:tcW w:w="1009" w:type="dxa"/>
            <w:shd w:val="clear" w:color="auto" w:fill="auto"/>
            <w:noWrap/>
            <w:hideMark/>
          </w:tcPr>
          <w:p w14:paraId="6E3382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12</w:t>
            </w:r>
          </w:p>
        </w:tc>
        <w:tc>
          <w:tcPr>
            <w:tcW w:w="2388" w:type="dxa"/>
            <w:shd w:val="clear" w:color="auto" w:fill="auto"/>
            <w:noWrap/>
            <w:hideMark/>
          </w:tcPr>
          <w:p w14:paraId="491658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AbuMweis S, Jew S, Tayyem R, Agraib L.</w:t>
            </w:r>
          </w:p>
        </w:tc>
        <w:tc>
          <w:tcPr>
            <w:tcW w:w="709" w:type="dxa"/>
            <w:shd w:val="clear" w:color="auto" w:fill="auto"/>
            <w:noWrap/>
            <w:hideMark/>
          </w:tcPr>
          <w:p w14:paraId="795AC4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A3952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Eicosapentaenoic acid and docosahexaenoic acid containing supplements modulate risk factors for cardiovascular disease: a meta</w:t>
            </w:r>
            <w:r w:rsidRPr="00D518FF">
              <w:rPr>
                <w:rFonts w:ascii="Cambria Math" w:hAnsi="Cambria Math" w:cs="Cambria Math"/>
                <w:color w:val="000000"/>
                <w:sz w:val="16"/>
                <w:szCs w:val="16"/>
              </w:rPr>
              <w:t>‐</w:t>
            </w:r>
            <w:r w:rsidRPr="00D518FF">
              <w:rPr>
                <w:rFonts w:ascii="Aptos" w:hAnsi="Aptos" w:cs="Calibri"/>
                <w:color w:val="000000"/>
                <w:sz w:val="16"/>
                <w:szCs w:val="16"/>
              </w:rPr>
              <w:t>analysis of randomised placebo</w:t>
            </w:r>
            <w:r w:rsidRPr="00D518FF">
              <w:rPr>
                <w:rFonts w:ascii="Cambria Math" w:hAnsi="Cambria Math" w:cs="Cambria Math"/>
                <w:color w:val="000000"/>
                <w:sz w:val="16"/>
                <w:szCs w:val="16"/>
              </w:rPr>
              <w:t>‐</w:t>
            </w:r>
            <w:r w:rsidRPr="00D518FF">
              <w:rPr>
                <w:rFonts w:ascii="Aptos" w:hAnsi="Aptos" w:cs="Calibri"/>
                <w:color w:val="000000"/>
                <w:sz w:val="16"/>
                <w:szCs w:val="16"/>
              </w:rPr>
              <w:t xml:space="preserve">control human clinical trials. </w:t>
            </w:r>
          </w:p>
        </w:tc>
        <w:tc>
          <w:tcPr>
            <w:tcW w:w="1417" w:type="dxa"/>
          </w:tcPr>
          <w:p w14:paraId="740ED3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human nutrition and dietetics</w:t>
            </w:r>
          </w:p>
        </w:tc>
        <w:tc>
          <w:tcPr>
            <w:tcW w:w="709" w:type="dxa"/>
          </w:tcPr>
          <w:p w14:paraId="77C3C1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31(1)</w:t>
            </w:r>
          </w:p>
        </w:tc>
        <w:tc>
          <w:tcPr>
            <w:tcW w:w="851" w:type="dxa"/>
          </w:tcPr>
          <w:p w14:paraId="2BEB46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67-84</w:t>
            </w:r>
          </w:p>
        </w:tc>
        <w:tc>
          <w:tcPr>
            <w:tcW w:w="1559" w:type="dxa"/>
          </w:tcPr>
          <w:p w14:paraId="7BF2C4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B7174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A9117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545963ED" w14:textId="77777777" w:rsidTr="00924B3D">
        <w:trPr>
          <w:trHeight w:val="300"/>
        </w:trPr>
        <w:tc>
          <w:tcPr>
            <w:tcW w:w="1009" w:type="dxa"/>
            <w:shd w:val="clear" w:color="auto" w:fill="auto"/>
            <w:noWrap/>
            <w:hideMark/>
          </w:tcPr>
          <w:p w14:paraId="5F2363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6BA802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Becic T, Studenik C.</w:t>
            </w:r>
          </w:p>
        </w:tc>
        <w:tc>
          <w:tcPr>
            <w:tcW w:w="709" w:type="dxa"/>
            <w:shd w:val="clear" w:color="auto" w:fill="auto"/>
            <w:noWrap/>
            <w:hideMark/>
          </w:tcPr>
          <w:p w14:paraId="277CD9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BB9BE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of Omega-3 Supplementation on Adipocytokines in Prediabetes and Type 2 Diabetes Mellitus: Systematic Review and Meta-Analysis of Randomized Controlled Trials. </w:t>
            </w:r>
          </w:p>
        </w:tc>
        <w:tc>
          <w:tcPr>
            <w:tcW w:w="1417" w:type="dxa"/>
          </w:tcPr>
          <w:p w14:paraId="1FBD51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Diabetes &amp; Metabolism Journal</w:t>
            </w:r>
          </w:p>
        </w:tc>
        <w:tc>
          <w:tcPr>
            <w:tcW w:w="709" w:type="dxa"/>
          </w:tcPr>
          <w:p w14:paraId="3CEEF4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w:t>
            </w:r>
          </w:p>
        </w:tc>
        <w:tc>
          <w:tcPr>
            <w:tcW w:w="851" w:type="dxa"/>
          </w:tcPr>
          <w:p w14:paraId="36370C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w:t>
            </w:r>
          </w:p>
        </w:tc>
        <w:tc>
          <w:tcPr>
            <w:tcW w:w="1559" w:type="dxa"/>
          </w:tcPr>
          <w:p w14:paraId="78E1B3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05BEC1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20351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49E54D30" w14:textId="77777777" w:rsidTr="00924B3D">
        <w:trPr>
          <w:trHeight w:val="300"/>
        </w:trPr>
        <w:tc>
          <w:tcPr>
            <w:tcW w:w="1009" w:type="dxa"/>
            <w:shd w:val="clear" w:color="auto" w:fill="auto"/>
            <w:noWrap/>
            <w:hideMark/>
          </w:tcPr>
          <w:p w14:paraId="045B54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3EB9A5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Farimani AR, Hariri M, Azimi-Nezhad M, Borji A, Zarei S, Hooshmand E.</w:t>
            </w:r>
          </w:p>
        </w:tc>
        <w:tc>
          <w:tcPr>
            <w:tcW w:w="709" w:type="dxa"/>
            <w:shd w:val="clear" w:color="auto" w:fill="auto"/>
            <w:noWrap/>
            <w:hideMark/>
          </w:tcPr>
          <w:p w14:paraId="7301C2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5973E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 of n-3 PUFAs on circulating adiponectin and leptin in patients with type 2 diabetes mellitus: a systematic review and meta-analysis of randomized controlled trials. </w:t>
            </w:r>
          </w:p>
        </w:tc>
        <w:tc>
          <w:tcPr>
            <w:tcW w:w="1417" w:type="dxa"/>
          </w:tcPr>
          <w:p w14:paraId="364CFB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Acta Diabetologica</w:t>
            </w:r>
          </w:p>
        </w:tc>
        <w:tc>
          <w:tcPr>
            <w:tcW w:w="709" w:type="dxa"/>
          </w:tcPr>
          <w:p w14:paraId="425060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55(7)</w:t>
            </w:r>
          </w:p>
        </w:tc>
        <w:tc>
          <w:tcPr>
            <w:tcW w:w="851" w:type="dxa"/>
          </w:tcPr>
          <w:p w14:paraId="208A78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641–652</w:t>
            </w:r>
          </w:p>
        </w:tc>
        <w:tc>
          <w:tcPr>
            <w:tcW w:w="1559" w:type="dxa"/>
          </w:tcPr>
          <w:p w14:paraId="7B3633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961EC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CAD28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6FC88477" w14:textId="77777777" w:rsidTr="00924B3D">
        <w:trPr>
          <w:trHeight w:val="300"/>
        </w:trPr>
        <w:tc>
          <w:tcPr>
            <w:tcW w:w="1009" w:type="dxa"/>
            <w:shd w:val="clear" w:color="auto" w:fill="auto"/>
            <w:noWrap/>
            <w:hideMark/>
          </w:tcPr>
          <w:p w14:paraId="7CCF10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2EBB54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Gao L, Lin L, Shan N, Ren C-Y, Long X, Sun Y-H, et al.</w:t>
            </w:r>
          </w:p>
        </w:tc>
        <w:tc>
          <w:tcPr>
            <w:tcW w:w="709" w:type="dxa"/>
            <w:shd w:val="clear" w:color="auto" w:fill="auto"/>
            <w:noWrap/>
            <w:hideMark/>
          </w:tcPr>
          <w:p w14:paraId="639C29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8FDE9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impact of omega-3 fatty acid supplementation on glycemic control in patients with gestational diabetes: a systematic review and meta-analysis of randomized controlled studies. </w:t>
            </w:r>
          </w:p>
        </w:tc>
        <w:tc>
          <w:tcPr>
            <w:tcW w:w="1417" w:type="dxa"/>
          </w:tcPr>
          <w:p w14:paraId="400629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Maternal-Fetal &amp; Neonatal Medicine: The Official Journal Of The European Association Of Perinatal Medicine, The Federation Of Asia And Oceania Perinatal Societies, The International Society Of Perinatal Obstetricians.</w:t>
            </w:r>
          </w:p>
        </w:tc>
        <w:tc>
          <w:tcPr>
            <w:tcW w:w="709" w:type="dxa"/>
          </w:tcPr>
          <w:p w14:paraId="47848B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w:t>
            </w:r>
          </w:p>
        </w:tc>
        <w:tc>
          <w:tcPr>
            <w:tcW w:w="851" w:type="dxa"/>
          </w:tcPr>
          <w:p w14:paraId="42F6CB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w:t>
            </w:r>
          </w:p>
        </w:tc>
        <w:tc>
          <w:tcPr>
            <w:tcW w:w="1559" w:type="dxa"/>
          </w:tcPr>
          <w:p w14:paraId="10DB27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28064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299C2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3632EB30" w14:textId="77777777" w:rsidTr="00924B3D">
        <w:trPr>
          <w:trHeight w:val="300"/>
        </w:trPr>
        <w:tc>
          <w:tcPr>
            <w:tcW w:w="1009" w:type="dxa"/>
            <w:shd w:val="clear" w:color="auto" w:fill="auto"/>
            <w:noWrap/>
            <w:hideMark/>
          </w:tcPr>
          <w:p w14:paraId="7A8EB7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502C17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Guo X-F, Li K-L, Li J-M, Li D.</w:t>
            </w:r>
          </w:p>
        </w:tc>
        <w:tc>
          <w:tcPr>
            <w:tcW w:w="709" w:type="dxa"/>
            <w:shd w:val="clear" w:color="auto" w:fill="auto"/>
            <w:noWrap/>
            <w:hideMark/>
          </w:tcPr>
          <w:p w14:paraId="4691E9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6C23C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of EPA and DHA on blood pressure and inflammatory factors: a meta-analysis of randomized controlled trials. </w:t>
            </w:r>
          </w:p>
        </w:tc>
        <w:tc>
          <w:tcPr>
            <w:tcW w:w="1417" w:type="dxa"/>
          </w:tcPr>
          <w:p w14:paraId="449E9A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Critical Reviews In Food Science And Nutrition</w:t>
            </w:r>
          </w:p>
        </w:tc>
        <w:tc>
          <w:tcPr>
            <w:tcW w:w="709" w:type="dxa"/>
          </w:tcPr>
          <w:p w14:paraId="13936E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w:t>
            </w:r>
          </w:p>
        </w:tc>
        <w:tc>
          <w:tcPr>
            <w:tcW w:w="851" w:type="dxa"/>
          </w:tcPr>
          <w:p w14:paraId="19FFD9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1–14</w:t>
            </w:r>
          </w:p>
        </w:tc>
        <w:tc>
          <w:tcPr>
            <w:tcW w:w="1559" w:type="dxa"/>
          </w:tcPr>
          <w:p w14:paraId="07578D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4E4B0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441AA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4B724619" w14:textId="77777777" w:rsidTr="00924B3D">
        <w:trPr>
          <w:trHeight w:val="300"/>
        </w:trPr>
        <w:tc>
          <w:tcPr>
            <w:tcW w:w="1009" w:type="dxa"/>
            <w:shd w:val="clear" w:color="auto" w:fill="auto"/>
            <w:noWrap/>
            <w:hideMark/>
          </w:tcPr>
          <w:p w14:paraId="5A756C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65BD14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Innes J, Calder P.</w:t>
            </w:r>
          </w:p>
        </w:tc>
        <w:tc>
          <w:tcPr>
            <w:tcW w:w="709" w:type="dxa"/>
            <w:shd w:val="clear" w:color="auto" w:fill="auto"/>
            <w:noWrap/>
            <w:hideMark/>
          </w:tcPr>
          <w:p w14:paraId="21C7ED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DDFFB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differential effects of eicosapentaenoic acid and docosahexaenoic acid on cardiometabolic risk factors: a systematic review. </w:t>
            </w:r>
          </w:p>
        </w:tc>
        <w:tc>
          <w:tcPr>
            <w:tcW w:w="1417" w:type="dxa"/>
          </w:tcPr>
          <w:p w14:paraId="64C5FD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molecular sciences</w:t>
            </w:r>
          </w:p>
        </w:tc>
        <w:tc>
          <w:tcPr>
            <w:tcW w:w="709" w:type="dxa"/>
          </w:tcPr>
          <w:p w14:paraId="1A8D7F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19(2)</w:t>
            </w:r>
          </w:p>
        </w:tc>
        <w:tc>
          <w:tcPr>
            <w:tcW w:w="851" w:type="dxa"/>
          </w:tcPr>
          <w:p w14:paraId="41645C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532</w:t>
            </w:r>
          </w:p>
        </w:tc>
        <w:tc>
          <w:tcPr>
            <w:tcW w:w="1559" w:type="dxa"/>
          </w:tcPr>
          <w:p w14:paraId="424657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F9628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E99C0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52E19236" w14:textId="77777777" w:rsidTr="00924B3D">
        <w:trPr>
          <w:trHeight w:val="300"/>
        </w:trPr>
        <w:tc>
          <w:tcPr>
            <w:tcW w:w="1009" w:type="dxa"/>
            <w:shd w:val="clear" w:color="auto" w:fill="auto"/>
            <w:noWrap/>
            <w:hideMark/>
          </w:tcPr>
          <w:p w14:paraId="79F812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3CFA48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Leslie MA, Cohen DJ, Liddle DM, Robinson LE, Ma DW.</w:t>
            </w:r>
          </w:p>
        </w:tc>
        <w:tc>
          <w:tcPr>
            <w:tcW w:w="709" w:type="dxa"/>
            <w:shd w:val="clear" w:color="auto" w:fill="auto"/>
            <w:noWrap/>
            <w:hideMark/>
          </w:tcPr>
          <w:p w14:paraId="68C466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51A99E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review of the effect of omega-3 polyunsaturated fatty acids on blood triacylglycerol levels in normolipidemic and borderline hyperlipidemic individuals. </w:t>
            </w:r>
          </w:p>
        </w:tc>
        <w:tc>
          <w:tcPr>
            <w:tcW w:w="1417" w:type="dxa"/>
          </w:tcPr>
          <w:p w14:paraId="732E58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Lipids in health and disease</w:t>
            </w:r>
          </w:p>
        </w:tc>
        <w:tc>
          <w:tcPr>
            <w:tcW w:w="709" w:type="dxa"/>
          </w:tcPr>
          <w:p w14:paraId="53FA1E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w:t>
            </w:r>
          </w:p>
        </w:tc>
        <w:tc>
          <w:tcPr>
            <w:tcW w:w="851" w:type="dxa"/>
          </w:tcPr>
          <w:p w14:paraId="3D813C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53</w:t>
            </w:r>
          </w:p>
        </w:tc>
        <w:tc>
          <w:tcPr>
            <w:tcW w:w="1559" w:type="dxa"/>
          </w:tcPr>
          <w:p w14:paraId="22042C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5235E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8F8FB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3123B659" w14:textId="77777777" w:rsidTr="00924B3D">
        <w:trPr>
          <w:trHeight w:val="300"/>
        </w:trPr>
        <w:tc>
          <w:tcPr>
            <w:tcW w:w="1009" w:type="dxa"/>
            <w:shd w:val="clear" w:color="auto" w:fill="auto"/>
            <w:noWrap/>
            <w:hideMark/>
          </w:tcPr>
          <w:p w14:paraId="32B303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188D9B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Miller E, Van Elswyk M, Alexander D.</w:t>
            </w:r>
          </w:p>
        </w:tc>
        <w:tc>
          <w:tcPr>
            <w:tcW w:w="709" w:type="dxa"/>
            <w:shd w:val="clear" w:color="auto" w:fill="auto"/>
            <w:noWrap/>
            <w:hideMark/>
          </w:tcPr>
          <w:p w14:paraId="0BA0F7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3942D1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Long-chain omega-3 fatty acids eicosapentaenoic acid and docosahexaenoic acid and blood </w:t>
            </w:r>
            <w:r w:rsidRPr="00D518FF">
              <w:rPr>
                <w:rFonts w:ascii="Aptos" w:hAnsi="Aptos" w:cs="Calibri"/>
                <w:color w:val="000000"/>
                <w:sz w:val="16"/>
                <w:szCs w:val="16"/>
              </w:rPr>
              <w:lastRenderedPageBreak/>
              <w:t xml:space="preserve">pressure: a meta-analysis of randomized controlled trials. </w:t>
            </w:r>
          </w:p>
        </w:tc>
        <w:tc>
          <w:tcPr>
            <w:tcW w:w="1417" w:type="dxa"/>
          </w:tcPr>
          <w:p w14:paraId="537653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American journal of hypertension</w:t>
            </w:r>
          </w:p>
        </w:tc>
        <w:tc>
          <w:tcPr>
            <w:tcW w:w="709" w:type="dxa"/>
          </w:tcPr>
          <w:p w14:paraId="7D6397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27(7)</w:t>
            </w:r>
          </w:p>
        </w:tc>
        <w:tc>
          <w:tcPr>
            <w:tcW w:w="851" w:type="dxa"/>
          </w:tcPr>
          <w:p w14:paraId="70BEF6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885-896</w:t>
            </w:r>
          </w:p>
        </w:tc>
        <w:tc>
          <w:tcPr>
            <w:tcW w:w="1559" w:type="dxa"/>
          </w:tcPr>
          <w:p w14:paraId="69067C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8D316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509B9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Duplicate citation (already </w:t>
            </w:r>
            <w:r w:rsidRPr="00D518FF">
              <w:rPr>
                <w:rFonts w:ascii="Aptos" w:hAnsi="Aptos" w:cs="Calibri"/>
                <w:color w:val="000000"/>
                <w:sz w:val="16"/>
                <w:szCs w:val="16"/>
              </w:rPr>
              <w:lastRenderedPageBreak/>
              <w:t>identified in search)</w:t>
            </w:r>
          </w:p>
        </w:tc>
      </w:tr>
      <w:tr w:rsidR="008F3151" w:rsidRPr="00D518FF" w14:paraId="07B73321" w14:textId="77777777" w:rsidTr="00924B3D">
        <w:trPr>
          <w:trHeight w:val="300"/>
        </w:trPr>
        <w:tc>
          <w:tcPr>
            <w:tcW w:w="1009" w:type="dxa"/>
            <w:shd w:val="clear" w:color="auto" w:fill="auto"/>
            <w:noWrap/>
            <w:hideMark/>
          </w:tcPr>
          <w:p w14:paraId="421752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12</w:t>
            </w:r>
          </w:p>
        </w:tc>
        <w:tc>
          <w:tcPr>
            <w:tcW w:w="2388" w:type="dxa"/>
            <w:shd w:val="clear" w:color="auto" w:fill="auto"/>
            <w:noWrap/>
            <w:hideMark/>
          </w:tcPr>
          <w:p w14:paraId="13B718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O’Mahoney LL, Matu J, Price OJ, Birch KM, Ajjan RA, Farrar D, Tapp R, West DJ, Deighton K, Campbell MD.</w:t>
            </w:r>
          </w:p>
        </w:tc>
        <w:tc>
          <w:tcPr>
            <w:tcW w:w="709" w:type="dxa"/>
            <w:shd w:val="clear" w:color="auto" w:fill="auto"/>
            <w:noWrap/>
            <w:hideMark/>
          </w:tcPr>
          <w:p w14:paraId="723F55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2C4BD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polyunsaturated fatty acids favourably modulate cardiometabolic biomarkers in type 2 diabetes: a meta-analysis and meta-regression of randomized controlled trials. </w:t>
            </w:r>
          </w:p>
        </w:tc>
        <w:tc>
          <w:tcPr>
            <w:tcW w:w="1417" w:type="dxa"/>
          </w:tcPr>
          <w:p w14:paraId="509B6B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Cardiovascular diabetology</w:t>
            </w:r>
          </w:p>
        </w:tc>
        <w:tc>
          <w:tcPr>
            <w:tcW w:w="709" w:type="dxa"/>
          </w:tcPr>
          <w:p w14:paraId="756E5D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w:t>
            </w:r>
          </w:p>
        </w:tc>
        <w:tc>
          <w:tcPr>
            <w:tcW w:w="851" w:type="dxa"/>
          </w:tcPr>
          <w:p w14:paraId="260BB3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98</w:t>
            </w:r>
          </w:p>
        </w:tc>
        <w:tc>
          <w:tcPr>
            <w:tcW w:w="1559" w:type="dxa"/>
          </w:tcPr>
          <w:p w14:paraId="29F6C0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7A4734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8C63A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50754769" w14:textId="77777777" w:rsidTr="00924B3D">
        <w:trPr>
          <w:trHeight w:val="300"/>
        </w:trPr>
        <w:tc>
          <w:tcPr>
            <w:tcW w:w="1009" w:type="dxa"/>
            <w:shd w:val="clear" w:color="auto" w:fill="auto"/>
            <w:noWrap/>
            <w:hideMark/>
          </w:tcPr>
          <w:p w14:paraId="1A3131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2388" w:type="dxa"/>
            <w:shd w:val="clear" w:color="auto" w:fill="auto"/>
            <w:noWrap/>
            <w:hideMark/>
          </w:tcPr>
          <w:p w14:paraId="6C3E7A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Rangel-Huerta OD, Gil A.</w:t>
            </w:r>
          </w:p>
        </w:tc>
        <w:tc>
          <w:tcPr>
            <w:tcW w:w="709" w:type="dxa"/>
            <w:shd w:val="clear" w:color="auto" w:fill="auto"/>
            <w:noWrap/>
            <w:hideMark/>
          </w:tcPr>
          <w:p w14:paraId="33EE34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54556F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 3 fatty acids in cardiovascular disease risk factors: an updated systematic review of randomised clinical trials. </w:t>
            </w:r>
          </w:p>
        </w:tc>
        <w:tc>
          <w:tcPr>
            <w:tcW w:w="1417" w:type="dxa"/>
          </w:tcPr>
          <w:p w14:paraId="6C99EB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Nutrition</w:t>
            </w:r>
          </w:p>
        </w:tc>
        <w:tc>
          <w:tcPr>
            <w:tcW w:w="709" w:type="dxa"/>
          </w:tcPr>
          <w:p w14:paraId="67EF53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37(1)</w:t>
            </w:r>
          </w:p>
        </w:tc>
        <w:tc>
          <w:tcPr>
            <w:tcW w:w="851" w:type="dxa"/>
          </w:tcPr>
          <w:p w14:paraId="63717A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72-77</w:t>
            </w:r>
          </w:p>
        </w:tc>
        <w:tc>
          <w:tcPr>
            <w:tcW w:w="1559" w:type="dxa"/>
          </w:tcPr>
          <w:p w14:paraId="137102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71846B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0296E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1BBA83DB" w14:textId="77777777" w:rsidTr="00924B3D">
        <w:trPr>
          <w:trHeight w:val="300"/>
        </w:trPr>
        <w:tc>
          <w:tcPr>
            <w:tcW w:w="1009" w:type="dxa"/>
            <w:shd w:val="clear" w:color="auto" w:fill="auto"/>
            <w:noWrap/>
            <w:hideMark/>
          </w:tcPr>
          <w:p w14:paraId="3E4159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w:t>
            </w:r>
          </w:p>
        </w:tc>
        <w:tc>
          <w:tcPr>
            <w:tcW w:w="2388" w:type="dxa"/>
            <w:shd w:val="clear" w:color="auto" w:fill="auto"/>
            <w:noWrap/>
            <w:hideMark/>
          </w:tcPr>
          <w:p w14:paraId="6C1030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Hu, X. Y., Wu, R. H., Logue, M., Blondel, C., Lai, L. Y. W., Stuart, B., Flower, A., Fei, Y. T., Moore, M., Shepherd, J., Liu, J. P. and Lewith, G</w:t>
            </w:r>
          </w:p>
        </w:tc>
        <w:tc>
          <w:tcPr>
            <w:tcW w:w="709" w:type="dxa"/>
            <w:shd w:val="clear" w:color="auto" w:fill="auto"/>
            <w:noWrap/>
            <w:hideMark/>
          </w:tcPr>
          <w:p w14:paraId="4427DE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8A0C7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Andrographis paniculata for symptomatic relief of acute respiratory tract infections in adults and children: A systematic review and meta-analysis</w:t>
            </w:r>
          </w:p>
        </w:tc>
        <w:tc>
          <w:tcPr>
            <w:tcW w:w="1417" w:type="dxa"/>
          </w:tcPr>
          <w:p w14:paraId="5B010F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52ACEF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12(8)</w:t>
            </w:r>
          </w:p>
        </w:tc>
        <w:tc>
          <w:tcPr>
            <w:tcW w:w="851" w:type="dxa"/>
          </w:tcPr>
          <w:p w14:paraId="4F709F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e0181780</w:t>
            </w:r>
          </w:p>
        </w:tc>
        <w:tc>
          <w:tcPr>
            <w:tcW w:w="1559" w:type="dxa"/>
          </w:tcPr>
          <w:p w14:paraId="2E9BCA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1932-6203</w:t>
            </w:r>
            <w:r w:rsidRPr="00D518FF">
              <w:rPr>
                <w:rFonts w:ascii="Aptos" w:hAnsi="Aptos" w:cs="Calibri"/>
                <w:color w:val="000000"/>
                <w:sz w:val="16"/>
                <w:szCs w:val="16"/>
              </w:rPr>
              <w:br/>
              <w:t>DOI: 10.1371/journal.pone.0181780</w:t>
            </w:r>
            <w:r w:rsidRPr="00D518FF">
              <w:rPr>
                <w:rFonts w:ascii="Aptos" w:hAnsi="Aptos" w:cs="Calibri"/>
                <w:color w:val="000000"/>
                <w:sz w:val="16"/>
                <w:szCs w:val="16"/>
              </w:rPr>
              <w:br/>
              <w:t>PMCID: PMC5544222</w:t>
            </w:r>
            <w:r w:rsidRPr="00D518FF">
              <w:rPr>
                <w:rFonts w:ascii="Aptos" w:hAnsi="Aptos" w:cs="Calibri"/>
                <w:color w:val="000000"/>
                <w:sz w:val="16"/>
                <w:szCs w:val="16"/>
              </w:rPr>
              <w:br/>
              <w:t>Accession Number: 28783743</w:t>
            </w:r>
          </w:p>
        </w:tc>
        <w:tc>
          <w:tcPr>
            <w:tcW w:w="850" w:type="dxa"/>
            <w:shd w:val="clear" w:color="auto" w:fill="auto"/>
            <w:noWrap/>
            <w:hideMark/>
          </w:tcPr>
          <w:p w14:paraId="29B46A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968FC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3BA301B" w14:textId="77777777" w:rsidTr="00924B3D">
        <w:trPr>
          <w:trHeight w:val="300"/>
        </w:trPr>
        <w:tc>
          <w:tcPr>
            <w:tcW w:w="1009" w:type="dxa"/>
            <w:shd w:val="clear" w:color="auto" w:fill="auto"/>
            <w:noWrap/>
            <w:hideMark/>
          </w:tcPr>
          <w:p w14:paraId="5D6137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w:t>
            </w:r>
          </w:p>
        </w:tc>
        <w:tc>
          <w:tcPr>
            <w:tcW w:w="2388" w:type="dxa"/>
            <w:shd w:val="clear" w:color="auto" w:fill="auto"/>
            <w:noWrap/>
            <w:hideMark/>
          </w:tcPr>
          <w:p w14:paraId="75AAA6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Bolignano,D, Cernaro, V,Gembillo,G., Baggetta, R, Buemi, M, and D'Arrigo, G.</w:t>
            </w:r>
          </w:p>
        </w:tc>
        <w:tc>
          <w:tcPr>
            <w:tcW w:w="709" w:type="dxa"/>
            <w:shd w:val="clear" w:color="auto" w:fill="auto"/>
            <w:noWrap/>
            <w:hideMark/>
          </w:tcPr>
          <w:p w14:paraId="2ECF14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9495B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Antioxidant agents for delaying diabetic kidney disease progression: A systematic review and meta-analysis</w:t>
            </w:r>
          </w:p>
        </w:tc>
        <w:tc>
          <w:tcPr>
            <w:tcW w:w="1417" w:type="dxa"/>
          </w:tcPr>
          <w:p w14:paraId="6E3FA6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1AD728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12(6)</w:t>
            </w:r>
          </w:p>
        </w:tc>
        <w:tc>
          <w:tcPr>
            <w:tcW w:w="851" w:type="dxa"/>
          </w:tcPr>
          <w:p w14:paraId="4B369E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e0178699-e0178699</w:t>
            </w:r>
          </w:p>
        </w:tc>
        <w:tc>
          <w:tcPr>
            <w:tcW w:w="1559" w:type="dxa"/>
          </w:tcPr>
          <w:p w14:paraId="09793F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1932-6203</w:t>
            </w:r>
            <w:r w:rsidRPr="00D518FF">
              <w:rPr>
                <w:rFonts w:ascii="Aptos" w:hAnsi="Aptos" w:cs="Calibri"/>
                <w:color w:val="000000"/>
                <w:sz w:val="16"/>
                <w:szCs w:val="16"/>
              </w:rPr>
              <w:br/>
              <w:t>DOI: 10.1371/journal.pone.0178699</w:t>
            </w:r>
          </w:p>
        </w:tc>
        <w:tc>
          <w:tcPr>
            <w:tcW w:w="850" w:type="dxa"/>
            <w:shd w:val="clear" w:color="auto" w:fill="auto"/>
            <w:noWrap/>
            <w:hideMark/>
          </w:tcPr>
          <w:p w14:paraId="0B9097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5178E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33224454" w14:textId="77777777" w:rsidTr="00924B3D">
        <w:trPr>
          <w:trHeight w:val="300"/>
        </w:trPr>
        <w:tc>
          <w:tcPr>
            <w:tcW w:w="1009" w:type="dxa"/>
            <w:shd w:val="clear" w:color="auto" w:fill="auto"/>
            <w:noWrap/>
            <w:hideMark/>
          </w:tcPr>
          <w:p w14:paraId="08D44E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w:t>
            </w:r>
          </w:p>
        </w:tc>
        <w:tc>
          <w:tcPr>
            <w:tcW w:w="2388" w:type="dxa"/>
            <w:shd w:val="clear" w:color="auto" w:fill="auto"/>
            <w:noWrap/>
            <w:hideMark/>
          </w:tcPr>
          <w:p w14:paraId="53CFBF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Dludla PV, Dias SC, Obonye N, Johnson R, Louw J, Nkambule BB.</w:t>
            </w:r>
          </w:p>
        </w:tc>
        <w:tc>
          <w:tcPr>
            <w:tcW w:w="709" w:type="dxa"/>
            <w:shd w:val="clear" w:color="auto" w:fill="auto"/>
            <w:noWrap/>
            <w:hideMark/>
          </w:tcPr>
          <w:p w14:paraId="63F33A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52434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systematic review on the protective effect of N-acetyl cysteine against diabetes-associated cardiovascular complications. </w:t>
            </w:r>
          </w:p>
        </w:tc>
        <w:tc>
          <w:tcPr>
            <w:tcW w:w="1417" w:type="dxa"/>
          </w:tcPr>
          <w:p w14:paraId="58F26A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American Journal of Cardiovascular Drugs</w:t>
            </w:r>
          </w:p>
        </w:tc>
        <w:tc>
          <w:tcPr>
            <w:tcW w:w="709" w:type="dxa"/>
          </w:tcPr>
          <w:p w14:paraId="66E9CD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18(4)</w:t>
            </w:r>
          </w:p>
        </w:tc>
        <w:tc>
          <w:tcPr>
            <w:tcW w:w="851" w:type="dxa"/>
          </w:tcPr>
          <w:p w14:paraId="328776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283-298</w:t>
            </w:r>
          </w:p>
        </w:tc>
        <w:tc>
          <w:tcPr>
            <w:tcW w:w="1559" w:type="dxa"/>
          </w:tcPr>
          <w:p w14:paraId="11D8E8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95B9F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003C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Duplicate citation (already identified in search)</w:t>
            </w:r>
          </w:p>
        </w:tc>
      </w:tr>
      <w:tr w:rsidR="008F3151" w:rsidRPr="00D518FF" w14:paraId="489B7BE7" w14:textId="77777777" w:rsidTr="00924B3D">
        <w:trPr>
          <w:trHeight w:val="300"/>
        </w:trPr>
        <w:tc>
          <w:tcPr>
            <w:tcW w:w="1009" w:type="dxa"/>
            <w:shd w:val="clear" w:color="auto" w:fill="auto"/>
            <w:noWrap/>
            <w:hideMark/>
          </w:tcPr>
          <w:p w14:paraId="44A416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w:t>
            </w:r>
          </w:p>
        </w:tc>
        <w:tc>
          <w:tcPr>
            <w:tcW w:w="2388" w:type="dxa"/>
            <w:shd w:val="clear" w:color="auto" w:fill="auto"/>
            <w:noWrap/>
            <w:hideMark/>
          </w:tcPr>
          <w:p w14:paraId="6602A0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Dludla PV, Nkambule BB, Dias SC, Johnson R.</w:t>
            </w:r>
          </w:p>
        </w:tc>
        <w:tc>
          <w:tcPr>
            <w:tcW w:w="709" w:type="dxa"/>
            <w:shd w:val="clear" w:color="auto" w:fill="auto"/>
            <w:noWrap/>
            <w:hideMark/>
          </w:tcPr>
          <w:p w14:paraId="0DD52B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5F064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Cardioprotective potential of N-acetyl cysteine against hyperglycaemia-induced oxidative damage: a protocol for a systematic review. </w:t>
            </w:r>
          </w:p>
        </w:tc>
        <w:tc>
          <w:tcPr>
            <w:tcW w:w="1417" w:type="dxa"/>
          </w:tcPr>
          <w:p w14:paraId="323BCE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Syst Rev</w:t>
            </w:r>
          </w:p>
        </w:tc>
        <w:tc>
          <w:tcPr>
            <w:tcW w:w="709" w:type="dxa"/>
          </w:tcPr>
          <w:p w14:paraId="3B5E5A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w:t>
            </w:r>
          </w:p>
        </w:tc>
        <w:tc>
          <w:tcPr>
            <w:tcW w:w="851" w:type="dxa"/>
          </w:tcPr>
          <w:p w14:paraId="2DC168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96</w:t>
            </w:r>
          </w:p>
        </w:tc>
        <w:tc>
          <w:tcPr>
            <w:tcW w:w="1559" w:type="dxa"/>
          </w:tcPr>
          <w:p w14:paraId="6FDAF4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10.1186/s13643-017-0493-8</w:t>
            </w:r>
          </w:p>
        </w:tc>
        <w:tc>
          <w:tcPr>
            <w:tcW w:w="850" w:type="dxa"/>
            <w:shd w:val="clear" w:color="auto" w:fill="auto"/>
            <w:noWrap/>
            <w:hideMark/>
          </w:tcPr>
          <w:p w14:paraId="3DD03E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90825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1835D5A0" w14:textId="77777777" w:rsidTr="00924B3D">
        <w:trPr>
          <w:trHeight w:val="300"/>
        </w:trPr>
        <w:tc>
          <w:tcPr>
            <w:tcW w:w="1009" w:type="dxa"/>
            <w:shd w:val="clear" w:color="auto" w:fill="auto"/>
            <w:noWrap/>
            <w:hideMark/>
          </w:tcPr>
          <w:p w14:paraId="0FED1D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684C2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Adams JB, Baral M, Geis E, et al</w:t>
            </w:r>
          </w:p>
        </w:tc>
        <w:tc>
          <w:tcPr>
            <w:tcW w:w="709" w:type="dxa"/>
            <w:shd w:val="clear" w:color="auto" w:fill="auto"/>
            <w:noWrap/>
            <w:hideMark/>
          </w:tcPr>
          <w:p w14:paraId="7E2E43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4FD473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Safety and efficacy of oral DMSA therapy for children with autism spectrum disorders: part A--medical results</w:t>
            </w:r>
          </w:p>
        </w:tc>
        <w:tc>
          <w:tcPr>
            <w:tcW w:w="1417" w:type="dxa"/>
          </w:tcPr>
          <w:p w14:paraId="245D51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Clinical Pharmacology</w:t>
            </w:r>
          </w:p>
        </w:tc>
        <w:tc>
          <w:tcPr>
            <w:tcW w:w="709" w:type="dxa"/>
          </w:tcPr>
          <w:p w14:paraId="2B19DA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w:t>
            </w:r>
          </w:p>
        </w:tc>
        <w:tc>
          <w:tcPr>
            <w:tcW w:w="851" w:type="dxa"/>
          </w:tcPr>
          <w:p w14:paraId="19E35D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w:t>
            </w:r>
          </w:p>
        </w:tc>
        <w:tc>
          <w:tcPr>
            <w:tcW w:w="1559" w:type="dxa"/>
          </w:tcPr>
          <w:p w14:paraId="4283C3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3E2EE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3DD34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4F3BAAF" w14:textId="77777777" w:rsidTr="00924B3D">
        <w:trPr>
          <w:trHeight w:val="300"/>
        </w:trPr>
        <w:tc>
          <w:tcPr>
            <w:tcW w:w="1009" w:type="dxa"/>
            <w:shd w:val="clear" w:color="auto" w:fill="auto"/>
            <w:noWrap/>
            <w:hideMark/>
          </w:tcPr>
          <w:p w14:paraId="64510A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41762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Adams JB, Baral M, Geis E, et al</w:t>
            </w:r>
          </w:p>
        </w:tc>
        <w:tc>
          <w:tcPr>
            <w:tcW w:w="709" w:type="dxa"/>
            <w:shd w:val="clear" w:color="auto" w:fill="auto"/>
            <w:noWrap/>
            <w:hideMark/>
          </w:tcPr>
          <w:p w14:paraId="601F9D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37E4DA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Safety and efficacy of oral DMSA therapy for children with autism spectrum disorders: Part B - Behavioral results</w:t>
            </w:r>
          </w:p>
        </w:tc>
        <w:tc>
          <w:tcPr>
            <w:tcW w:w="1417" w:type="dxa"/>
          </w:tcPr>
          <w:p w14:paraId="619648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Clinical Pharmacology</w:t>
            </w:r>
          </w:p>
        </w:tc>
        <w:tc>
          <w:tcPr>
            <w:tcW w:w="709" w:type="dxa"/>
          </w:tcPr>
          <w:p w14:paraId="5D6C3D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w:t>
            </w:r>
          </w:p>
        </w:tc>
        <w:tc>
          <w:tcPr>
            <w:tcW w:w="851" w:type="dxa"/>
          </w:tcPr>
          <w:p w14:paraId="1C7A4D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w:t>
            </w:r>
          </w:p>
        </w:tc>
        <w:tc>
          <w:tcPr>
            <w:tcW w:w="1559" w:type="dxa"/>
          </w:tcPr>
          <w:p w14:paraId="1AF872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85F1B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3B229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7EBC542" w14:textId="77777777" w:rsidTr="00924B3D">
        <w:trPr>
          <w:trHeight w:val="300"/>
        </w:trPr>
        <w:tc>
          <w:tcPr>
            <w:tcW w:w="1009" w:type="dxa"/>
            <w:shd w:val="clear" w:color="auto" w:fill="auto"/>
            <w:noWrap/>
            <w:hideMark/>
          </w:tcPr>
          <w:p w14:paraId="754DCA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45BA5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Akbari M, Tabrizi R, Lankarani KB, Heydari ST, Karamali M, Kashanian M et al.</w:t>
            </w:r>
          </w:p>
        </w:tc>
        <w:tc>
          <w:tcPr>
            <w:tcW w:w="709" w:type="dxa"/>
            <w:shd w:val="clear" w:color="auto" w:fill="auto"/>
            <w:noWrap/>
            <w:hideMark/>
          </w:tcPr>
          <w:p w14:paraId="0AE105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58D0A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effects of folate supplementation on diabetes biomarkers among patients with metabolic diseases: a systematic review and meta-analysis of randomized controlled trials. </w:t>
            </w:r>
          </w:p>
        </w:tc>
        <w:tc>
          <w:tcPr>
            <w:tcW w:w="1417" w:type="dxa"/>
          </w:tcPr>
          <w:p w14:paraId="3EE598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Horm Metab Res</w:t>
            </w:r>
          </w:p>
        </w:tc>
        <w:tc>
          <w:tcPr>
            <w:tcW w:w="709" w:type="dxa"/>
          </w:tcPr>
          <w:p w14:paraId="09190B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50(2)</w:t>
            </w:r>
          </w:p>
        </w:tc>
        <w:tc>
          <w:tcPr>
            <w:tcW w:w="851" w:type="dxa"/>
          </w:tcPr>
          <w:p w14:paraId="20EDFB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93-105</w:t>
            </w:r>
          </w:p>
        </w:tc>
        <w:tc>
          <w:tcPr>
            <w:tcW w:w="1559" w:type="dxa"/>
          </w:tcPr>
          <w:p w14:paraId="64E08F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10.1055/s-0043-125148</w:t>
            </w:r>
          </w:p>
        </w:tc>
        <w:tc>
          <w:tcPr>
            <w:tcW w:w="850" w:type="dxa"/>
            <w:shd w:val="clear" w:color="auto" w:fill="auto"/>
            <w:noWrap/>
            <w:hideMark/>
          </w:tcPr>
          <w:p w14:paraId="15DAFC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D1273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063DB299" w14:textId="77777777" w:rsidTr="00924B3D">
        <w:trPr>
          <w:trHeight w:val="300"/>
        </w:trPr>
        <w:tc>
          <w:tcPr>
            <w:tcW w:w="1009" w:type="dxa"/>
            <w:shd w:val="clear" w:color="auto" w:fill="auto"/>
            <w:noWrap/>
            <w:hideMark/>
          </w:tcPr>
          <w:p w14:paraId="4AFB24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FB642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Akison LK, Kuo J, Reid N, Boyd RN, Moritz KM.</w:t>
            </w:r>
          </w:p>
        </w:tc>
        <w:tc>
          <w:tcPr>
            <w:tcW w:w="709" w:type="dxa"/>
            <w:shd w:val="clear" w:color="auto" w:fill="auto"/>
            <w:noWrap/>
            <w:hideMark/>
          </w:tcPr>
          <w:p w14:paraId="2E2371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0CB5B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 of choline supplementation on neurological, cognitive, and behavioral outcomes in offspring arising from alcohol exposure during </w:t>
            </w:r>
            <w:r w:rsidRPr="00D518FF">
              <w:rPr>
                <w:rFonts w:ascii="Aptos" w:hAnsi="Aptos" w:cs="Calibri"/>
                <w:color w:val="000000"/>
                <w:sz w:val="16"/>
                <w:szCs w:val="16"/>
              </w:rPr>
              <w:lastRenderedPageBreak/>
              <w:t xml:space="preserve">development: a quantitative systematic review of clinical and preclinical studies. </w:t>
            </w:r>
          </w:p>
        </w:tc>
        <w:tc>
          <w:tcPr>
            <w:tcW w:w="1417" w:type="dxa"/>
          </w:tcPr>
          <w:p w14:paraId="347B42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Alcohol Clin Exp Res</w:t>
            </w:r>
          </w:p>
        </w:tc>
        <w:tc>
          <w:tcPr>
            <w:tcW w:w="709" w:type="dxa"/>
          </w:tcPr>
          <w:p w14:paraId="77A801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42(9)</w:t>
            </w:r>
          </w:p>
        </w:tc>
        <w:tc>
          <w:tcPr>
            <w:tcW w:w="851" w:type="dxa"/>
          </w:tcPr>
          <w:p w14:paraId="034533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1591-1611</w:t>
            </w:r>
          </w:p>
        </w:tc>
        <w:tc>
          <w:tcPr>
            <w:tcW w:w="1559" w:type="dxa"/>
          </w:tcPr>
          <w:p w14:paraId="10D72B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10.1111/acer.13817</w:t>
            </w:r>
          </w:p>
        </w:tc>
        <w:tc>
          <w:tcPr>
            <w:tcW w:w="850" w:type="dxa"/>
            <w:shd w:val="clear" w:color="auto" w:fill="auto"/>
            <w:noWrap/>
            <w:hideMark/>
          </w:tcPr>
          <w:p w14:paraId="299947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862ED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7E5CB39" w14:textId="77777777" w:rsidTr="00924B3D">
        <w:trPr>
          <w:trHeight w:val="300"/>
        </w:trPr>
        <w:tc>
          <w:tcPr>
            <w:tcW w:w="1009" w:type="dxa"/>
            <w:shd w:val="clear" w:color="auto" w:fill="auto"/>
            <w:noWrap/>
            <w:hideMark/>
          </w:tcPr>
          <w:p w14:paraId="07F957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39E7A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Alfaddagh A, Elajami TK, Ashfaque H, Saleh M, Bistrian BR, Welty FK.</w:t>
            </w:r>
          </w:p>
        </w:tc>
        <w:tc>
          <w:tcPr>
            <w:tcW w:w="709" w:type="dxa"/>
            <w:shd w:val="clear" w:color="auto" w:fill="auto"/>
            <w:noWrap/>
            <w:hideMark/>
          </w:tcPr>
          <w:p w14:paraId="71D438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75886C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 of eicosapentaenoic and docosahexaenoic acids added to statin therapy on coronary artery plaque in patients with coronary artery disease: a randomized clinical trial. </w:t>
            </w:r>
          </w:p>
        </w:tc>
        <w:tc>
          <w:tcPr>
            <w:tcW w:w="1417" w:type="dxa"/>
          </w:tcPr>
          <w:p w14:paraId="0DB946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Am Heart Assoc</w:t>
            </w:r>
          </w:p>
        </w:tc>
        <w:tc>
          <w:tcPr>
            <w:tcW w:w="709" w:type="dxa"/>
          </w:tcPr>
          <w:p w14:paraId="17CC98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6(12)</w:t>
            </w:r>
          </w:p>
        </w:tc>
        <w:tc>
          <w:tcPr>
            <w:tcW w:w="851" w:type="dxa"/>
          </w:tcPr>
          <w:p w14:paraId="1EF6DA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6981</w:t>
            </w:r>
          </w:p>
        </w:tc>
        <w:tc>
          <w:tcPr>
            <w:tcW w:w="1559" w:type="dxa"/>
          </w:tcPr>
          <w:p w14:paraId="7F1622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10.1161/JAHA.117.006981</w:t>
            </w:r>
          </w:p>
        </w:tc>
        <w:tc>
          <w:tcPr>
            <w:tcW w:w="850" w:type="dxa"/>
            <w:shd w:val="clear" w:color="auto" w:fill="auto"/>
            <w:noWrap/>
            <w:hideMark/>
          </w:tcPr>
          <w:p w14:paraId="0F29A2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B41D7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80D2222" w14:textId="77777777" w:rsidTr="00924B3D">
        <w:trPr>
          <w:trHeight w:val="300"/>
        </w:trPr>
        <w:tc>
          <w:tcPr>
            <w:tcW w:w="1009" w:type="dxa"/>
            <w:shd w:val="clear" w:color="auto" w:fill="auto"/>
            <w:noWrap/>
            <w:hideMark/>
          </w:tcPr>
          <w:p w14:paraId="05B22E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FA2B1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Ali A, Katz DL, Njike VY, et al</w:t>
            </w:r>
          </w:p>
        </w:tc>
        <w:tc>
          <w:tcPr>
            <w:tcW w:w="709" w:type="dxa"/>
            <w:shd w:val="clear" w:color="auto" w:fill="auto"/>
            <w:noWrap/>
            <w:hideMark/>
          </w:tcPr>
          <w:p w14:paraId="3F738E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4F25CA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fruit and vegetable concentrates on endothelial function in metabolic syndrome: a randomized controlled trial</w:t>
            </w:r>
          </w:p>
        </w:tc>
        <w:tc>
          <w:tcPr>
            <w:tcW w:w="1417" w:type="dxa"/>
          </w:tcPr>
          <w:p w14:paraId="77C81E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 Journal</w:t>
            </w:r>
          </w:p>
        </w:tc>
        <w:tc>
          <w:tcPr>
            <w:tcW w:w="709" w:type="dxa"/>
          </w:tcPr>
          <w:p w14:paraId="5342CA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w:t>
            </w:r>
          </w:p>
        </w:tc>
        <w:tc>
          <w:tcPr>
            <w:tcW w:w="851" w:type="dxa"/>
          </w:tcPr>
          <w:p w14:paraId="4458D6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w:t>
            </w:r>
          </w:p>
        </w:tc>
        <w:tc>
          <w:tcPr>
            <w:tcW w:w="1559" w:type="dxa"/>
          </w:tcPr>
          <w:p w14:paraId="1F3736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444B6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B243B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9D58BAF" w14:textId="77777777" w:rsidTr="00924B3D">
        <w:trPr>
          <w:trHeight w:val="300"/>
        </w:trPr>
        <w:tc>
          <w:tcPr>
            <w:tcW w:w="1009" w:type="dxa"/>
            <w:shd w:val="clear" w:color="auto" w:fill="auto"/>
            <w:noWrap/>
            <w:hideMark/>
          </w:tcPr>
          <w:p w14:paraId="6AE335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9906C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Ali A, Ma Y, Reynolds J, et al</w:t>
            </w:r>
          </w:p>
        </w:tc>
        <w:tc>
          <w:tcPr>
            <w:tcW w:w="709" w:type="dxa"/>
            <w:shd w:val="clear" w:color="auto" w:fill="auto"/>
            <w:noWrap/>
            <w:hideMark/>
          </w:tcPr>
          <w:p w14:paraId="249675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3B1EC3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Chromium effects on glucose tolerance and insulin sensitivity in persons at risk for diabetes mellitus</w:t>
            </w:r>
          </w:p>
        </w:tc>
        <w:tc>
          <w:tcPr>
            <w:tcW w:w="1417" w:type="dxa"/>
          </w:tcPr>
          <w:p w14:paraId="263DAA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Endocrine Practice</w:t>
            </w:r>
          </w:p>
        </w:tc>
        <w:tc>
          <w:tcPr>
            <w:tcW w:w="709" w:type="dxa"/>
          </w:tcPr>
          <w:p w14:paraId="26CDB2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w:t>
            </w:r>
          </w:p>
        </w:tc>
        <w:tc>
          <w:tcPr>
            <w:tcW w:w="851" w:type="dxa"/>
          </w:tcPr>
          <w:p w14:paraId="3C52C9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16-25</w:t>
            </w:r>
          </w:p>
        </w:tc>
        <w:tc>
          <w:tcPr>
            <w:tcW w:w="1559" w:type="dxa"/>
          </w:tcPr>
          <w:p w14:paraId="4F066D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49C3C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BE5B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Rationale for TBD/exclusion</w:t>
            </w:r>
          </w:p>
        </w:tc>
      </w:tr>
      <w:tr w:rsidR="008F3151" w:rsidRPr="00D518FF" w14:paraId="1DB94548" w14:textId="77777777" w:rsidTr="00924B3D">
        <w:trPr>
          <w:trHeight w:val="300"/>
        </w:trPr>
        <w:tc>
          <w:tcPr>
            <w:tcW w:w="1009" w:type="dxa"/>
            <w:shd w:val="clear" w:color="auto" w:fill="auto"/>
            <w:noWrap/>
            <w:hideMark/>
          </w:tcPr>
          <w:p w14:paraId="105CB7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FED1E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Ali A, Ma Y, Reynolds J, et al.</w:t>
            </w:r>
          </w:p>
        </w:tc>
        <w:tc>
          <w:tcPr>
            <w:tcW w:w="709" w:type="dxa"/>
            <w:shd w:val="clear" w:color="auto" w:fill="auto"/>
            <w:noWrap/>
            <w:hideMark/>
          </w:tcPr>
          <w:p w14:paraId="56C49C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4FA78F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Chromium picolinate for the prevention of type 2 diabetes</w:t>
            </w:r>
          </w:p>
        </w:tc>
        <w:tc>
          <w:tcPr>
            <w:tcW w:w="1417" w:type="dxa"/>
          </w:tcPr>
          <w:p w14:paraId="6A262F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Treatment strategies Diabetes</w:t>
            </w:r>
          </w:p>
        </w:tc>
        <w:tc>
          <w:tcPr>
            <w:tcW w:w="709" w:type="dxa"/>
          </w:tcPr>
          <w:p w14:paraId="56055A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w:t>
            </w:r>
          </w:p>
        </w:tc>
        <w:tc>
          <w:tcPr>
            <w:tcW w:w="851" w:type="dxa"/>
          </w:tcPr>
          <w:p w14:paraId="267E86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34</w:t>
            </w:r>
          </w:p>
        </w:tc>
        <w:tc>
          <w:tcPr>
            <w:tcW w:w="1559" w:type="dxa"/>
          </w:tcPr>
          <w:p w14:paraId="5EF10F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0F261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99BB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F0F38FE" w14:textId="77777777" w:rsidTr="00924B3D">
        <w:trPr>
          <w:trHeight w:val="300"/>
        </w:trPr>
        <w:tc>
          <w:tcPr>
            <w:tcW w:w="1009" w:type="dxa"/>
            <w:shd w:val="clear" w:color="auto" w:fill="auto"/>
            <w:noWrap/>
            <w:hideMark/>
          </w:tcPr>
          <w:p w14:paraId="67A3A3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BC2CA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Ali A, Weiss TR, McKee D, et al</w:t>
            </w:r>
          </w:p>
        </w:tc>
        <w:tc>
          <w:tcPr>
            <w:tcW w:w="709" w:type="dxa"/>
            <w:shd w:val="clear" w:color="auto" w:fill="auto"/>
            <w:noWrap/>
            <w:hideMark/>
          </w:tcPr>
          <w:p w14:paraId="4AE221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032AD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of individualised diets in patients with irritable bowel syndrome: a randomised controlled trial</w:t>
            </w:r>
          </w:p>
        </w:tc>
        <w:tc>
          <w:tcPr>
            <w:tcW w:w="1417" w:type="dxa"/>
          </w:tcPr>
          <w:p w14:paraId="1328CF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BMJ Open Gastroenterology</w:t>
            </w:r>
          </w:p>
        </w:tc>
        <w:tc>
          <w:tcPr>
            <w:tcW w:w="709" w:type="dxa"/>
          </w:tcPr>
          <w:p w14:paraId="1FAEA0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w:t>
            </w:r>
          </w:p>
        </w:tc>
        <w:tc>
          <w:tcPr>
            <w:tcW w:w="851" w:type="dxa"/>
          </w:tcPr>
          <w:p w14:paraId="096241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E000164</w:t>
            </w:r>
          </w:p>
        </w:tc>
        <w:tc>
          <w:tcPr>
            <w:tcW w:w="1559" w:type="dxa"/>
          </w:tcPr>
          <w:p w14:paraId="1964A7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573B4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2D135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589333E" w14:textId="77777777" w:rsidTr="00924B3D">
        <w:trPr>
          <w:trHeight w:val="300"/>
        </w:trPr>
        <w:tc>
          <w:tcPr>
            <w:tcW w:w="1009" w:type="dxa"/>
            <w:shd w:val="clear" w:color="auto" w:fill="auto"/>
            <w:noWrap/>
            <w:hideMark/>
          </w:tcPr>
          <w:p w14:paraId="760A24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E390D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Allen J, Bradley RD</w:t>
            </w:r>
          </w:p>
        </w:tc>
        <w:tc>
          <w:tcPr>
            <w:tcW w:w="709" w:type="dxa"/>
            <w:shd w:val="clear" w:color="auto" w:fill="auto"/>
            <w:noWrap/>
            <w:hideMark/>
          </w:tcPr>
          <w:p w14:paraId="6DC86F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3D694B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oral glutathione supplementation on systemic oxidative stress biomarkers in human volunteers</w:t>
            </w:r>
          </w:p>
        </w:tc>
        <w:tc>
          <w:tcPr>
            <w:tcW w:w="1417" w:type="dxa"/>
          </w:tcPr>
          <w:p w14:paraId="0B8DBF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57E65B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17(9)</w:t>
            </w:r>
          </w:p>
        </w:tc>
        <w:tc>
          <w:tcPr>
            <w:tcW w:w="851" w:type="dxa"/>
          </w:tcPr>
          <w:p w14:paraId="3B4907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827-33</w:t>
            </w:r>
          </w:p>
        </w:tc>
        <w:tc>
          <w:tcPr>
            <w:tcW w:w="1559" w:type="dxa"/>
          </w:tcPr>
          <w:p w14:paraId="7BAC60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F061A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845B6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91AF862" w14:textId="77777777" w:rsidTr="00924B3D">
        <w:trPr>
          <w:trHeight w:val="300"/>
        </w:trPr>
        <w:tc>
          <w:tcPr>
            <w:tcW w:w="1009" w:type="dxa"/>
            <w:shd w:val="clear" w:color="auto" w:fill="auto"/>
            <w:noWrap/>
            <w:hideMark/>
          </w:tcPr>
          <w:p w14:paraId="6B7FA1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A6831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Amini, L., Mojab, F., Jahanfar, S., Sepidarkish, M., Raoofi, Z., &amp; Maleki-Hajiagha, A</w:t>
            </w:r>
          </w:p>
        </w:tc>
        <w:tc>
          <w:tcPr>
            <w:tcW w:w="709" w:type="dxa"/>
            <w:shd w:val="clear" w:color="auto" w:fill="auto"/>
            <w:noWrap/>
            <w:hideMark/>
          </w:tcPr>
          <w:p w14:paraId="2A36FC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2020</w:t>
            </w:r>
          </w:p>
        </w:tc>
        <w:tc>
          <w:tcPr>
            <w:tcW w:w="3544" w:type="dxa"/>
            <w:shd w:val="clear" w:color="auto" w:fill="auto"/>
            <w:noWrap/>
            <w:hideMark/>
          </w:tcPr>
          <w:p w14:paraId="1A7282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Efficacy of Salvia officinalis extract on the prevention of insulin resistance in euglycemic patients with polycystic ovary syndrome: A double-blinded placebo-controlled clinical trial. </w:t>
            </w:r>
          </w:p>
        </w:tc>
        <w:tc>
          <w:tcPr>
            <w:tcW w:w="1417" w:type="dxa"/>
          </w:tcPr>
          <w:p w14:paraId="35F442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76ADEC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w:t>
            </w:r>
          </w:p>
        </w:tc>
        <w:tc>
          <w:tcPr>
            <w:tcW w:w="851" w:type="dxa"/>
          </w:tcPr>
          <w:p w14:paraId="094DC0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102245</w:t>
            </w:r>
          </w:p>
        </w:tc>
        <w:tc>
          <w:tcPr>
            <w:tcW w:w="1559" w:type="dxa"/>
          </w:tcPr>
          <w:p w14:paraId="06D51F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0965-2299</w:t>
            </w:r>
          </w:p>
        </w:tc>
        <w:tc>
          <w:tcPr>
            <w:tcW w:w="850" w:type="dxa"/>
            <w:shd w:val="clear" w:color="auto" w:fill="auto"/>
            <w:noWrap/>
            <w:hideMark/>
          </w:tcPr>
          <w:p w14:paraId="391730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99BCD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FD8DE88" w14:textId="77777777" w:rsidTr="00924B3D">
        <w:trPr>
          <w:trHeight w:val="300"/>
        </w:trPr>
        <w:tc>
          <w:tcPr>
            <w:tcW w:w="1009" w:type="dxa"/>
            <w:shd w:val="clear" w:color="auto" w:fill="auto"/>
            <w:noWrap/>
            <w:hideMark/>
          </w:tcPr>
          <w:p w14:paraId="1AB7BA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58A91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Apaydin, E. A., Maher, A. R., Shanman, R., Booth, M. S., Miles, J. N., Sorbero, M. E. and Hempel, S.</w:t>
            </w:r>
          </w:p>
        </w:tc>
        <w:tc>
          <w:tcPr>
            <w:tcW w:w="709" w:type="dxa"/>
            <w:shd w:val="clear" w:color="auto" w:fill="auto"/>
            <w:noWrap/>
            <w:hideMark/>
          </w:tcPr>
          <w:p w14:paraId="00093E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7DA799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systematic review of St. John's wort for major depressive disorder</w:t>
            </w:r>
          </w:p>
        </w:tc>
        <w:tc>
          <w:tcPr>
            <w:tcW w:w="1417" w:type="dxa"/>
          </w:tcPr>
          <w:p w14:paraId="21BDEC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Systematic Reviews</w:t>
            </w:r>
          </w:p>
        </w:tc>
        <w:tc>
          <w:tcPr>
            <w:tcW w:w="709" w:type="dxa"/>
          </w:tcPr>
          <w:p w14:paraId="0E2B27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w:t>
            </w:r>
          </w:p>
        </w:tc>
        <w:tc>
          <w:tcPr>
            <w:tcW w:w="851" w:type="dxa"/>
          </w:tcPr>
          <w:p w14:paraId="28A8FB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148</w:t>
            </w:r>
          </w:p>
        </w:tc>
        <w:tc>
          <w:tcPr>
            <w:tcW w:w="1559" w:type="dxa"/>
          </w:tcPr>
          <w:p w14:paraId="75D4D090" w14:textId="6A522575"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10.1186/s13643-016-0325-2</w:t>
            </w:r>
            <w:r w:rsidRPr="00D518FF">
              <w:rPr>
                <w:rFonts w:ascii="Aptos" w:hAnsi="Aptos" w:cs="Calibri"/>
                <w:color w:val="000000"/>
                <w:sz w:val="16"/>
                <w:szCs w:val="16"/>
              </w:rPr>
              <w:br/>
            </w:r>
          </w:p>
        </w:tc>
        <w:tc>
          <w:tcPr>
            <w:tcW w:w="850" w:type="dxa"/>
            <w:shd w:val="clear" w:color="auto" w:fill="auto"/>
            <w:noWrap/>
            <w:hideMark/>
          </w:tcPr>
          <w:p w14:paraId="005229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B2184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525ECB5C" w14:textId="77777777" w:rsidTr="00924B3D">
        <w:trPr>
          <w:trHeight w:val="300"/>
        </w:trPr>
        <w:tc>
          <w:tcPr>
            <w:tcW w:w="1009" w:type="dxa"/>
            <w:shd w:val="clear" w:color="auto" w:fill="auto"/>
            <w:noWrap/>
            <w:hideMark/>
          </w:tcPr>
          <w:p w14:paraId="3DDDFF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89A8B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Arankalle D, Wardle J, Nair PM</w:t>
            </w:r>
          </w:p>
        </w:tc>
        <w:tc>
          <w:tcPr>
            <w:tcW w:w="709" w:type="dxa"/>
            <w:shd w:val="clear" w:color="auto" w:fill="auto"/>
            <w:noWrap/>
            <w:hideMark/>
          </w:tcPr>
          <w:p w14:paraId="2BEC12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1A8535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Alternate hot and cold application in the management of heel pain: a pilot study</w:t>
            </w:r>
          </w:p>
        </w:tc>
        <w:tc>
          <w:tcPr>
            <w:tcW w:w="1417" w:type="dxa"/>
          </w:tcPr>
          <w:p w14:paraId="03580E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Foot</w:t>
            </w:r>
          </w:p>
        </w:tc>
        <w:tc>
          <w:tcPr>
            <w:tcW w:w="709" w:type="dxa"/>
          </w:tcPr>
          <w:p w14:paraId="6437A8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w:t>
            </w:r>
          </w:p>
        </w:tc>
        <w:tc>
          <w:tcPr>
            <w:tcW w:w="851" w:type="dxa"/>
          </w:tcPr>
          <w:p w14:paraId="463838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25-Aug</w:t>
            </w:r>
          </w:p>
        </w:tc>
        <w:tc>
          <w:tcPr>
            <w:tcW w:w="1559" w:type="dxa"/>
          </w:tcPr>
          <w:p w14:paraId="75D863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97A1C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CABB5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766457D" w14:textId="77777777" w:rsidTr="00924B3D">
        <w:trPr>
          <w:trHeight w:val="300"/>
        </w:trPr>
        <w:tc>
          <w:tcPr>
            <w:tcW w:w="1009" w:type="dxa"/>
            <w:shd w:val="clear" w:color="auto" w:fill="auto"/>
            <w:noWrap/>
            <w:hideMark/>
          </w:tcPr>
          <w:p w14:paraId="19AC7C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93C08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Arentz S, Smith CA, Abbott J, et al</w:t>
            </w:r>
          </w:p>
        </w:tc>
        <w:tc>
          <w:tcPr>
            <w:tcW w:w="709" w:type="dxa"/>
            <w:shd w:val="clear" w:color="auto" w:fill="auto"/>
            <w:noWrap/>
            <w:hideMark/>
          </w:tcPr>
          <w:p w14:paraId="5F1497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40F66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Combined lifestyle and herbal medicine in overweight women with polycystic ovary syndrome (PCOS): a randomized controlled trial</w:t>
            </w:r>
          </w:p>
        </w:tc>
        <w:tc>
          <w:tcPr>
            <w:tcW w:w="1417" w:type="dxa"/>
          </w:tcPr>
          <w:p w14:paraId="4DE34D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Phytotherapy Research</w:t>
            </w:r>
          </w:p>
        </w:tc>
        <w:tc>
          <w:tcPr>
            <w:tcW w:w="709" w:type="dxa"/>
          </w:tcPr>
          <w:p w14:paraId="240EA5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31(9)</w:t>
            </w:r>
          </w:p>
        </w:tc>
        <w:tc>
          <w:tcPr>
            <w:tcW w:w="851" w:type="dxa"/>
          </w:tcPr>
          <w:p w14:paraId="60FFC7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1330-40</w:t>
            </w:r>
          </w:p>
        </w:tc>
        <w:tc>
          <w:tcPr>
            <w:tcW w:w="1559" w:type="dxa"/>
          </w:tcPr>
          <w:p w14:paraId="4F9408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D1DDC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DB3D7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9672BC2" w14:textId="77777777" w:rsidTr="00924B3D">
        <w:trPr>
          <w:trHeight w:val="300"/>
        </w:trPr>
        <w:tc>
          <w:tcPr>
            <w:tcW w:w="1009" w:type="dxa"/>
            <w:shd w:val="clear" w:color="auto" w:fill="auto"/>
            <w:noWrap/>
            <w:hideMark/>
          </w:tcPr>
          <w:p w14:paraId="2984C2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52386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Arentz, S; Smith,C.A., Abbott,J., Fahey,P., Cheema,BS. and Bensoussan, A.</w:t>
            </w:r>
          </w:p>
        </w:tc>
        <w:tc>
          <w:tcPr>
            <w:tcW w:w="709" w:type="dxa"/>
            <w:shd w:val="clear" w:color="auto" w:fill="auto"/>
            <w:noWrap/>
            <w:hideMark/>
          </w:tcPr>
          <w:p w14:paraId="1EE6BB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14C2B0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Combined lifestyle and herbal medicine in overweight women with polycystic ovary syndrome (PCOS): A randomized controlled trial</w:t>
            </w:r>
          </w:p>
        </w:tc>
        <w:tc>
          <w:tcPr>
            <w:tcW w:w="1417" w:type="dxa"/>
          </w:tcPr>
          <w:p w14:paraId="0C0C6B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Phytotherapy research</w:t>
            </w:r>
          </w:p>
        </w:tc>
        <w:tc>
          <w:tcPr>
            <w:tcW w:w="709" w:type="dxa"/>
          </w:tcPr>
          <w:p w14:paraId="5393FA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31 (9) </w:t>
            </w:r>
          </w:p>
        </w:tc>
        <w:tc>
          <w:tcPr>
            <w:tcW w:w="851" w:type="dxa"/>
          </w:tcPr>
          <w:p w14:paraId="6EFBC1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1330-1340</w:t>
            </w:r>
          </w:p>
        </w:tc>
        <w:tc>
          <w:tcPr>
            <w:tcW w:w="1559" w:type="dxa"/>
          </w:tcPr>
          <w:p w14:paraId="4B3A4B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0951-418X</w:t>
            </w:r>
          </w:p>
        </w:tc>
        <w:tc>
          <w:tcPr>
            <w:tcW w:w="850" w:type="dxa"/>
            <w:shd w:val="clear" w:color="auto" w:fill="auto"/>
            <w:noWrap/>
            <w:hideMark/>
          </w:tcPr>
          <w:p w14:paraId="167E83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E8D9A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93FBFE5" w14:textId="77777777" w:rsidTr="00924B3D">
        <w:trPr>
          <w:trHeight w:val="300"/>
        </w:trPr>
        <w:tc>
          <w:tcPr>
            <w:tcW w:w="1009" w:type="dxa"/>
            <w:shd w:val="clear" w:color="auto" w:fill="auto"/>
            <w:noWrap/>
            <w:hideMark/>
          </w:tcPr>
          <w:p w14:paraId="3606B3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A11CF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Asevedo E, Mendes AC, Berk M, Brietzke E.</w:t>
            </w:r>
          </w:p>
        </w:tc>
        <w:tc>
          <w:tcPr>
            <w:tcW w:w="709" w:type="dxa"/>
            <w:shd w:val="clear" w:color="auto" w:fill="auto"/>
            <w:noWrap/>
            <w:hideMark/>
          </w:tcPr>
          <w:p w14:paraId="584F60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783297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Systematic review of N-acetylcysteine in the treatment of addictions. </w:t>
            </w:r>
          </w:p>
        </w:tc>
        <w:tc>
          <w:tcPr>
            <w:tcW w:w="1417" w:type="dxa"/>
          </w:tcPr>
          <w:p w14:paraId="47F85B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Braz J Psychiatry</w:t>
            </w:r>
          </w:p>
        </w:tc>
        <w:tc>
          <w:tcPr>
            <w:tcW w:w="709" w:type="dxa"/>
          </w:tcPr>
          <w:p w14:paraId="1DE532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36(2)</w:t>
            </w:r>
          </w:p>
        </w:tc>
        <w:tc>
          <w:tcPr>
            <w:tcW w:w="851" w:type="dxa"/>
          </w:tcPr>
          <w:p w14:paraId="7CCDC4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168-175</w:t>
            </w:r>
          </w:p>
        </w:tc>
        <w:tc>
          <w:tcPr>
            <w:tcW w:w="1559" w:type="dxa"/>
          </w:tcPr>
          <w:p w14:paraId="7D081B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B2701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27122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2D94BD45" w14:textId="77777777" w:rsidTr="00924B3D">
        <w:trPr>
          <w:trHeight w:val="300"/>
        </w:trPr>
        <w:tc>
          <w:tcPr>
            <w:tcW w:w="1009" w:type="dxa"/>
            <w:shd w:val="clear" w:color="auto" w:fill="auto"/>
            <w:noWrap/>
            <w:hideMark/>
          </w:tcPr>
          <w:p w14:paraId="0DB18E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6FC519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Askari G, Nasiri M, Mozaffari-Khosravi H, Rezaie M, Bagheri-Bidakhavidi M, Sadeghi O.</w:t>
            </w:r>
          </w:p>
        </w:tc>
        <w:tc>
          <w:tcPr>
            <w:tcW w:w="709" w:type="dxa"/>
            <w:shd w:val="clear" w:color="auto" w:fill="auto"/>
            <w:noWrap/>
            <w:hideMark/>
          </w:tcPr>
          <w:p w14:paraId="775DEF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9C704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effects of folic acid and pyridoxine supplementation on characteristics of migraine attacks in migraine patients with aura: A double-blind, randomized placebo-controlled, clinical trial.</w:t>
            </w:r>
          </w:p>
        </w:tc>
        <w:tc>
          <w:tcPr>
            <w:tcW w:w="1417" w:type="dxa"/>
          </w:tcPr>
          <w:p w14:paraId="12FB73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w:t>
            </w:r>
          </w:p>
        </w:tc>
        <w:tc>
          <w:tcPr>
            <w:tcW w:w="709" w:type="dxa"/>
          </w:tcPr>
          <w:p w14:paraId="538EBF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38</w:t>
            </w:r>
          </w:p>
        </w:tc>
        <w:tc>
          <w:tcPr>
            <w:tcW w:w="851" w:type="dxa"/>
          </w:tcPr>
          <w:p w14:paraId="264422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74-79</w:t>
            </w:r>
          </w:p>
        </w:tc>
        <w:tc>
          <w:tcPr>
            <w:tcW w:w="1559" w:type="dxa"/>
          </w:tcPr>
          <w:p w14:paraId="1EFE8E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10.1016/j.nut.2017.01.007</w:t>
            </w:r>
          </w:p>
        </w:tc>
        <w:tc>
          <w:tcPr>
            <w:tcW w:w="850" w:type="dxa"/>
            <w:shd w:val="clear" w:color="auto" w:fill="auto"/>
            <w:noWrap/>
            <w:hideMark/>
          </w:tcPr>
          <w:p w14:paraId="26B5B7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44607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BE18FE1" w14:textId="77777777" w:rsidTr="00924B3D">
        <w:trPr>
          <w:trHeight w:val="300"/>
        </w:trPr>
        <w:tc>
          <w:tcPr>
            <w:tcW w:w="1009" w:type="dxa"/>
            <w:shd w:val="clear" w:color="auto" w:fill="auto"/>
            <w:noWrap/>
            <w:hideMark/>
          </w:tcPr>
          <w:p w14:paraId="3E2DD5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F5293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Aucoin M, Cooley K, Anand L, et al.</w:t>
            </w:r>
          </w:p>
        </w:tc>
        <w:tc>
          <w:tcPr>
            <w:tcW w:w="709" w:type="dxa"/>
            <w:shd w:val="clear" w:color="auto" w:fill="auto"/>
            <w:noWrap/>
            <w:hideMark/>
          </w:tcPr>
          <w:p w14:paraId="1DEC09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3275F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Adjunctive vitamin D in the treatment of non-remitted depression: lessons from a failed clinical trial</w:t>
            </w:r>
          </w:p>
        </w:tc>
        <w:tc>
          <w:tcPr>
            <w:tcW w:w="1417" w:type="dxa"/>
          </w:tcPr>
          <w:p w14:paraId="1898DE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3B8E13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36</w:t>
            </w:r>
          </w:p>
        </w:tc>
        <w:tc>
          <w:tcPr>
            <w:tcW w:w="851" w:type="dxa"/>
          </w:tcPr>
          <w:p w14:paraId="549D1C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38-45</w:t>
            </w:r>
          </w:p>
        </w:tc>
        <w:tc>
          <w:tcPr>
            <w:tcW w:w="1559" w:type="dxa"/>
          </w:tcPr>
          <w:p w14:paraId="2A6935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13F32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90BE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8C2F503" w14:textId="77777777" w:rsidTr="00924B3D">
        <w:trPr>
          <w:trHeight w:val="300"/>
        </w:trPr>
        <w:tc>
          <w:tcPr>
            <w:tcW w:w="1009" w:type="dxa"/>
            <w:shd w:val="clear" w:color="auto" w:fill="auto"/>
            <w:noWrap/>
            <w:hideMark/>
          </w:tcPr>
          <w:p w14:paraId="375960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AD951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Aycinena AC, Valdovinos C, Crew KD, et al</w:t>
            </w:r>
          </w:p>
        </w:tc>
        <w:tc>
          <w:tcPr>
            <w:tcW w:w="709" w:type="dxa"/>
            <w:shd w:val="clear" w:color="auto" w:fill="auto"/>
            <w:noWrap/>
            <w:hideMark/>
          </w:tcPr>
          <w:p w14:paraId="7E1DF3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E19C0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Barriers to recruitment and adherence in a randomized controlled diet and exercise weight loss intervention among minority breast cancer survivors</w:t>
            </w:r>
          </w:p>
        </w:tc>
        <w:tc>
          <w:tcPr>
            <w:tcW w:w="1417" w:type="dxa"/>
          </w:tcPr>
          <w:p w14:paraId="1D0C6F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Immigrant and Minority Health</w:t>
            </w:r>
          </w:p>
        </w:tc>
        <w:tc>
          <w:tcPr>
            <w:tcW w:w="709" w:type="dxa"/>
          </w:tcPr>
          <w:p w14:paraId="010F8B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19(1)</w:t>
            </w:r>
          </w:p>
        </w:tc>
        <w:tc>
          <w:tcPr>
            <w:tcW w:w="851" w:type="dxa"/>
          </w:tcPr>
          <w:p w14:paraId="4C769A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120-9</w:t>
            </w:r>
          </w:p>
        </w:tc>
        <w:tc>
          <w:tcPr>
            <w:tcW w:w="1559" w:type="dxa"/>
          </w:tcPr>
          <w:p w14:paraId="7D0A21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8BD23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0ACF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D27456C" w14:textId="77777777" w:rsidTr="00924B3D">
        <w:trPr>
          <w:trHeight w:val="300"/>
        </w:trPr>
        <w:tc>
          <w:tcPr>
            <w:tcW w:w="1009" w:type="dxa"/>
            <w:shd w:val="clear" w:color="auto" w:fill="auto"/>
            <w:noWrap/>
            <w:hideMark/>
          </w:tcPr>
          <w:p w14:paraId="7A3E4B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2D33A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Aycinena AC, Valdovinos C, Crew KD, et al.</w:t>
            </w:r>
          </w:p>
        </w:tc>
        <w:tc>
          <w:tcPr>
            <w:tcW w:w="709" w:type="dxa"/>
            <w:shd w:val="clear" w:color="auto" w:fill="auto"/>
            <w:noWrap/>
            <w:hideMark/>
          </w:tcPr>
          <w:p w14:paraId="3C66BA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C1CC9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Barriers to recruitment and adherence in a randomized controlled diet and exercise weight loss intervention among minority breast cancer survivors</w:t>
            </w:r>
          </w:p>
        </w:tc>
        <w:tc>
          <w:tcPr>
            <w:tcW w:w="1417" w:type="dxa"/>
          </w:tcPr>
          <w:p w14:paraId="076CB7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Immigrant and Minority Health</w:t>
            </w:r>
          </w:p>
        </w:tc>
        <w:tc>
          <w:tcPr>
            <w:tcW w:w="709" w:type="dxa"/>
          </w:tcPr>
          <w:p w14:paraId="70DAF3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19(1)</w:t>
            </w:r>
          </w:p>
        </w:tc>
        <w:tc>
          <w:tcPr>
            <w:tcW w:w="851" w:type="dxa"/>
          </w:tcPr>
          <w:p w14:paraId="1ACB7E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120-9</w:t>
            </w:r>
          </w:p>
        </w:tc>
        <w:tc>
          <w:tcPr>
            <w:tcW w:w="1559" w:type="dxa"/>
          </w:tcPr>
          <w:p w14:paraId="0BC558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CF15A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22FC1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A04A69D" w14:textId="77777777" w:rsidTr="00924B3D">
        <w:trPr>
          <w:trHeight w:val="300"/>
        </w:trPr>
        <w:tc>
          <w:tcPr>
            <w:tcW w:w="1009" w:type="dxa"/>
            <w:shd w:val="clear" w:color="auto" w:fill="auto"/>
            <w:noWrap/>
            <w:hideMark/>
          </w:tcPr>
          <w:p w14:paraId="269F26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28407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Balercia G, Buldreghini E, Vignini A, Tiano L, Paggi F, Amoroso S, Ricciardo-Lamonica G, Boscaro M, Lenzi A, Littarru, GP.</w:t>
            </w:r>
          </w:p>
        </w:tc>
        <w:tc>
          <w:tcPr>
            <w:tcW w:w="709" w:type="dxa"/>
            <w:shd w:val="clear" w:color="auto" w:fill="auto"/>
            <w:noWrap/>
            <w:hideMark/>
          </w:tcPr>
          <w:p w14:paraId="5E2F3B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5502B6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Coenzyme Q10 treatment in infertile men with idiopathic asthenozoospermia: a placebo-controlled, double-blind randomized trial. </w:t>
            </w:r>
          </w:p>
        </w:tc>
        <w:tc>
          <w:tcPr>
            <w:tcW w:w="1417" w:type="dxa"/>
          </w:tcPr>
          <w:p w14:paraId="641CD8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Fertility and Sterility.</w:t>
            </w:r>
          </w:p>
        </w:tc>
        <w:tc>
          <w:tcPr>
            <w:tcW w:w="709" w:type="dxa"/>
          </w:tcPr>
          <w:p w14:paraId="41A0DD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91(5)</w:t>
            </w:r>
          </w:p>
        </w:tc>
        <w:tc>
          <w:tcPr>
            <w:tcW w:w="851" w:type="dxa"/>
          </w:tcPr>
          <w:p w14:paraId="53631C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1785-92.</w:t>
            </w:r>
          </w:p>
        </w:tc>
        <w:tc>
          <w:tcPr>
            <w:tcW w:w="1559" w:type="dxa"/>
          </w:tcPr>
          <w:p w14:paraId="1C5541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0015-0282</w:t>
            </w:r>
          </w:p>
        </w:tc>
        <w:tc>
          <w:tcPr>
            <w:tcW w:w="850" w:type="dxa"/>
            <w:shd w:val="clear" w:color="auto" w:fill="auto"/>
            <w:noWrap/>
            <w:hideMark/>
          </w:tcPr>
          <w:p w14:paraId="0DC4D2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2BA24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C46602D" w14:textId="77777777" w:rsidTr="00924B3D">
        <w:trPr>
          <w:trHeight w:val="300"/>
        </w:trPr>
        <w:tc>
          <w:tcPr>
            <w:tcW w:w="1009" w:type="dxa"/>
            <w:shd w:val="clear" w:color="auto" w:fill="auto"/>
            <w:noWrap/>
            <w:hideMark/>
          </w:tcPr>
          <w:p w14:paraId="2F78A3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2330C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Balercia, G.,F.Regoli, T. Armeni, A.Koverech,F.Mantero and M. Boscaro</w:t>
            </w:r>
          </w:p>
        </w:tc>
        <w:tc>
          <w:tcPr>
            <w:tcW w:w="709" w:type="dxa"/>
            <w:shd w:val="clear" w:color="auto" w:fill="auto"/>
            <w:noWrap/>
            <w:hideMark/>
          </w:tcPr>
          <w:p w14:paraId="3B626C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2005</w:t>
            </w:r>
          </w:p>
        </w:tc>
        <w:tc>
          <w:tcPr>
            <w:tcW w:w="3544" w:type="dxa"/>
            <w:shd w:val="clear" w:color="auto" w:fill="auto"/>
            <w:noWrap/>
            <w:hideMark/>
          </w:tcPr>
          <w:p w14:paraId="49F598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Placebo-controlled double-blind randomized trial on the use of L-carnitine, L-acetylcarnitine, or combined L-carnitine and L-acetylcarnitine in men with idiopathic asthenozoospermia.</w:t>
            </w:r>
          </w:p>
        </w:tc>
        <w:tc>
          <w:tcPr>
            <w:tcW w:w="1417" w:type="dxa"/>
          </w:tcPr>
          <w:p w14:paraId="6DDB88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Fertility and sterility </w:t>
            </w:r>
          </w:p>
        </w:tc>
        <w:tc>
          <w:tcPr>
            <w:tcW w:w="709" w:type="dxa"/>
          </w:tcPr>
          <w:p w14:paraId="1A09EF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84(3)</w:t>
            </w:r>
          </w:p>
        </w:tc>
        <w:tc>
          <w:tcPr>
            <w:tcW w:w="851" w:type="dxa"/>
          </w:tcPr>
          <w:p w14:paraId="0A27C5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662-671</w:t>
            </w:r>
          </w:p>
        </w:tc>
        <w:tc>
          <w:tcPr>
            <w:tcW w:w="1559" w:type="dxa"/>
          </w:tcPr>
          <w:p w14:paraId="32D039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0015-0282</w:t>
            </w:r>
          </w:p>
        </w:tc>
        <w:tc>
          <w:tcPr>
            <w:tcW w:w="850" w:type="dxa"/>
            <w:shd w:val="clear" w:color="auto" w:fill="auto"/>
            <w:noWrap/>
            <w:hideMark/>
          </w:tcPr>
          <w:p w14:paraId="794C34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B969E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4526CD8" w14:textId="77777777" w:rsidTr="00924B3D">
        <w:trPr>
          <w:trHeight w:val="300"/>
        </w:trPr>
        <w:tc>
          <w:tcPr>
            <w:tcW w:w="1009" w:type="dxa"/>
            <w:shd w:val="clear" w:color="auto" w:fill="auto"/>
            <w:noWrap/>
            <w:hideMark/>
          </w:tcPr>
          <w:p w14:paraId="12E48B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4B7FA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Balfour L, Spaans JN, Fergusson D, et al</w:t>
            </w:r>
          </w:p>
        </w:tc>
        <w:tc>
          <w:tcPr>
            <w:tcW w:w="709" w:type="dxa"/>
            <w:shd w:val="clear" w:color="auto" w:fill="auto"/>
            <w:noWrap/>
            <w:hideMark/>
          </w:tcPr>
          <w:p w14:paraId="011297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413807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Micronutrient deficiency and treatment adherence in a randomized controlled trial of micronutrient supplementation in ART-naïve persons with HIV</w:t>
            </w:r>
          </w:p>
        </w:tc>
        <w:tc>
          <w:tcPr>
            <w:tcW w:w="1417" w:type="dxa"/>
          </w:tcPr>
          <w:p w14:paraId="1D89BE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486C61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9(1)</w:t>
            </w:r>
          </w:p>
        </w:tc>
        <w:tc>
          <w:tcPr>
            <w:tcW w:w="851" w:type="dxa"/>
          </w:tcPr>
          <w:p w14:paraId="00DEB8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e85607</w:t>
            </w:r>
          </w:p>
        </w:tc>
        <w:tc>
          <w:tcPr>
            <w:tcW w:w="1559" w:type="dxa"/>
          </w:tcPr>
          <w:p w14:paraId="7B485B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1E0FE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F978E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3C51AEE" w14:textId="77777777" w:rsidTr="00924B3D">
        <w:trPr>
          <w:trHeight w:val="300"/>
        </w:trPr>
        <w:tc>
          <w:tcPr>
            <w:tcW w:w="1009" w:type="dxa"/>
            <w:shd w:val="clear" w:color="auto" w:fill="auto"/>
            <w:noWrap/>
            <w:hideMark/>
          </w:tcPr>
          <w:p w14:paraId="692659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F327B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Banerjee B, Vadiraj H, Ram A, et al.</w:t>
            </w:r>
          </w:p>
        </w:tc>
        <w:tc>
          <w:tcPr>
            <w:tcW w:w="709" w:type="dxa"/>
            <w:shd w:val="clear" w:color="auto" w:fill="auto"/>
            <w:noWrap/>
            <w:hideMark/>
          </w:tcPr>
          <w:p w14:paraId="4EB6A1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4F662F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an integrated yoga program in modulating psychological stress and radiation-induced genotoxic stress in breast cancer patients undergoing radiotherapy</w:t>
            </w:r>
          </w:p>
        </w:tc>
        <w:tc>
          <w:tcPr>
            <w:tcW w:w="1417" w:type="dxa"/>
          </w:tcPr>
          <w:p w14:paraId="1E35B1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Integrative Cancer Therapies</w:t>
            </w:r>
          </w:p>
        </w:tc>
        <w:tc>
          <w:tcPr>
            <w:tcW w:w="709" w:type="dxa"/>
          </w:tcPr>
          <w:p w14:paraId="0CF0EE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6(3)</w:t>
            </w:r>
          </w:p>
        </w:tc>
        <w:tc>
          <w:tcPr>
            <w:tcW w:w="851" w:type="dxa"/>
          </w:tcPr>
          <w:p w14:paraId="11EAAB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242-50</w:t>
            </w:r>
          </w:p>
        </w:tc>
        <w:tc>
          <w:tcPr>
            <w:tcW w:w="1559" w:type="dxa"/>
          </w:tcPr>
          <w:p w14:paraId="72D310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62316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B270A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061E6C8" w14:textId="77777777" w:rsidTr="00924B3D">
        <w:trPr>
          <w:trHeight w:val="300"/>
        </w:trPr>
        <w:tc>
          <w:tcPr>
            <w:tcW w:w="1009" w:type="dxa"/>
            <w:shd w:val="clear" w:color="auto" w:fill="auto"/>
            <w:noWrap/>
            <w:hideMark/>
          </w:tcPr>
          <w:p w14:paraId="0BA6D6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A6FB1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Barber GA, Weller CD, Gibson SJ.</w:t>
            </w:r>
          </w:p>
        </w:tc>
        <w:tc>
          <w:tcPr>
            <w:tcW w:w="709" w:type="dxa"/>
            <w:shd w:val="clear" w:color="auto" w:fill="auto"/>
            <w:noWrap/>
            <w:hideMark/>
          </w:tcPr>
          <w:p w14:paraId="49EFEB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4247B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and associations of nutrition in patients with venous leg ulcers: a systematic review. </w:t>
            </w:r>
          </w:p>
        </w:tc>
        <w:tc>
          <w:tcPr>
            <w:tcW w:w="1417" w:type="dxa"/>
          </w:tcPr>
          <w:p w14:paraId="56B29D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advanced nursing</w:t>
            </w:r>
          </w:p>
        </w:tc>
        <w:tc>
          <w:tcPr>
            <w:tcW w:w="709" w:type="dxa"/>
          </w:tcPr>
          <w:p w14:paraId="1D6024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74(4)</w:t>
            </w:r>
          </w:p>
        </w:tc>
        <w:tc>
          <w:tcPr>
            <w:tcW w:w="851" w:type="dxa"/>
          </w:tcPr>
          <w:p w14:paraId="0C65E3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774-787</w:t>
            </w:r>
          </w:p>
        </w:tc>
        <w:tc>
          <w:tcPr>
            <w:tcW w:w="1559" w:type="dxa"/>
          </w:tcPr>
          <w:p w14:paraId="3BCFAF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997A5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9BFDB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6877B82C" w14:textId="77777777" w:rsidTr="00924B3D">
        <w:trPr>
          <w:trHeight w:val="300"/>
        </w:trPr>
        <w:tc>
          <w:tcPr>
            <w:tcW w:w="1009" w:type="dxa"/>
            <w:shd w:val="clear" w:color="auto" w:fill="auto"/>
            <w:noWrap/>
            <w:hideMark/>
          </w:tcPr>
          <w:p w14:paraId="16DF3D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D3616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Bares JM, Berger J, Nelson JE, et al</w:t>
            </w:r>
          </w:p>
        </w:tc>
        <w:tc>
          <w:tcPr>
            <w:tcW w:w="709" w:type="dxa"/>
            <w:shd w:val="clear" w:color="auto" w:fill="auto"/>
            <w:noWrap/>
            <w:hideMark/>
          </w:tcPr>
          <w:p w14:paraId="6F1C6D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309A26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Silybin treatment is associated with reduction in serum ferritin in patients with chronic hepatitis C</w:t>
            </w:r>
          </w:p>
        </w:tc>
        <w:tc>
          <w:tcPr>
            <w:tcW w:w="1417" w:type="dxa"/>
          </w:tcPr>
          <w:p w14:paraId="24B741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Clinical Gastroenterology</w:t>
            </w:r>
          </w:p>
        </w:tc>
        <w:tc>
          <w:tcPr>
            <w:tcW w:w="709" w:type="dxa"/>
          </w:tcPr>
          <w:p w14:paraId="2568CF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42(8)</w:t>
            </w:r>
          </w:p>
        </w:tc>
        <w:tc>
          <w:tcPr>
            <w:tcW w:w="851" w:type="dxa"/>
          </w:tcPr>
          <w:p w14:paraId="40F505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937-44</w:t>
            </w:r>
          </w:p>
        </w:tc>
        <w:tc>
          <w:tcPr>
            <w:tcW w:w="1559" w:type="dxa"/>
          </w:tcPr>
          <w:p w14:paraId="12E018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A14DD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7A50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079ABE9" w14:textId="77777777" w:rsidTr="00924B3D">
        <w:trPr>
          <w:trHeight w:val="300"/>
        </w:trPr>
        <w:tc>
          <w:tcPr>
            <w:tcW w:w="1009" w:type="dxa"/>
            <w:shd w:val="clear" w:color="auto" w:fill="auto"/>
            <w:noWrap/>
            <w:hideMark/>
          </w:tcPr>
          <w:p w14:paraId="53E170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AA81277" w14:textId="77777777" w:rsidR="008F3151" w:rsidRPr="00D518FF" w:rsidRDefault="008F3151" w:rsidP="00924B3D">
            <w:pPr>
              <w:rPr>
                <w:rFonts w:ascii="Aptos" w:hAnsi="Aptos" w:cs="Calibri"/>
                <w:color w:val="303030"/>
                <w:sz w:val="16"/>
                <w:szCs w:val="16"/>
              </w:rPr>
            </w:pPr>
            <w:r w:rsidRPr="00D518FF">
              <w:rPr>
                <w:rFonts w:ascii="Aptos" w:hAnsi="Aptos" w:cs="Calibri"/>
                <w:color w:val="303030"/>
                <w:sz w:val="16"/>
                <w:szCs w:val="16"/>
              </w:rPr>
              <w:t>Barnes, L., Barclay, L., McCaffery, K., &amp; Aslani, P</w:t>
            </w:r>
          </w:p>
        </w:tc>
        <w:tc>
          <w:tcPr>
            <w:tcW w:w="709" w:type="dxa"/>
            <w:shd w:val="clear" w:color="auto" w:fill="auto"/>
            <w:noWrap/>
            <w:hideMark/>
          </w:tcPr>
          <w:p w14:paraId="6CD924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61477D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medicine products used in pregnancy and lactation and an examination of the information sources accessed pertaining to maternal health literacy: a systematic review of qualitative studies</w:t>
            </w:r>
          </w:p>
        </w:tc>
        <w:tc>
          <w:tcPr>
            <w:tcW w:w="1417" w:type="dxa"/>
          </w:tcPr>
          <w:p w14:paraId="0EA86A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BMC-Complementary and alternative medicine</w:t>
            </w:r>
          </w:p>
        </w:tc>
        <w:tc>
          <w:tcPr>
            <w:tcW w:w="709" w:type="dxa"/>
          </w:tcPr>
          <w:p w14:paraId="6E163F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18(1)</w:t>
            </w:r>
          </w:p>
        </w:tc>
        <w:tc>
          <w:tcPr>
            <w:tcW w:w="851" w:type="dxa"/>
          </w:tcPr>
          <w:p w14:paraId="669C27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229</w:t>
            </w:r>
          </w:p>
        </w:tc>
        <w:tc>
          <w:tcPr>
            <w:tcW w:w="1559" w:type="dxa"/>
          </w:tcPr>
          <w:p w14:paraId="0FA7E2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10.1186/s12906-018-2283-9</w:t>
            </w:r>
          </w:p>
        </w:tc>
        <w:tc>
          <w:tcPr>
            <w:tcW w:w="850" w:type="dxa"/>
            <w:shd w:val="clear" w:color="auto" w:fill="auto"/>
            <w:noWrap/>
            <w:hideMark/>
          </w:tcPr>
          <w:p w14:paraId="369F06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DD647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042526A0" w14:textId="77777777" w:rsidTr="00924B3D">
        <w:trPr>
          <w:trHeight w:val="300"/>
        </w:trPr>
        <w:tc>
          <w:tcPr>
            <w:tcW w:w="1009" w:type="dxa"/>
            <w:shd w:val="clear" w:color="auto" w:fill="auto"/>
            <w:noWrap/>
            <w:hideMark/>
          </w:tcPr>
          <w:p w14:paraId="06C4F5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CFE3F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Barrie SA, Wright JV, Pizzorno JE, et al</w:t>
            </w:r>
          </w:p>
        </w:tc>
        <w:tc>
          <w:tcPr>
            <w:tcW w:w="709" w:type="dxa"/>
            <w:shd w:val="clear" w:color="auto" w:fill="auto"/>
            <w:noWrap/>
            <w:hideMark/>
          </w:tcPr>
          <w:p w14:paraId="50CE33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1987</w:t>
            </w:r>
          </w:p>
        </w:tc>
        <w:tc>
          <w:tcPr>
            <w:tcW w:w="3544" w:type="dxa"/>
            <w:shd w:val="clear" w:color="auto" w:fill="auto"/>
            <w:noWrap/>
            <w:hideMark/>
          </w:tcPr>
          <w:p w14:paraId="1192E6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Comparative absorption of zinc picolinate, zinc citrate and zinc gluconate in humans</w:t>
            </w:r>
          </w:p>
        </w:tc>
        <w:tc>
          <w:tcPr>
            <w:tcW w:w="1417" w:type="dxa"/>
          </w:tcPr>
          <w:p w14:paraId="4BABC6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Agents and actions</w:t>
            </w:r>
          </w:p>
        </w:tc>
        <w:tc>
          <w:tcPr>
            <w:tcW w:w="709" w:type="dxa"/>
          </w:tcPr>
          <w:p w14:paraId="17E024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21(1-2)</w:t>
            </w:r>
          </w:p>
        </w:tc>
        <w:tc>
          <w:tcPr>
            <w:tcW w:w="851" w:type="dxa"/>
          </w:tcPr>
          <w:p w14:paraId="0CD566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223-8</w:t>
            </w:r>
          </w:p>
        </w:tc>
        <w:tc>
          <w:tcPr>
            <w:tcW w:w="1559" w:type="dxa"/>
          </w:tcPr>
          <w:p w14:paraId="71D244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A9DFA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9A46E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D8DD9A5" w14:textId="77777777" w:rsidTr="00924B3D">
        <w:trPr>
          <w:trHeight w:val="300"/>
        </w:trPr>
        <w:tc>
          <w:tcPr>
            <w:tcW w:w="1009" w:type="dxa"/>
            <w:shd w:val="clear" w:color="auto" w:fill="auto"/>
            <w:noWrap/>
            <w:hideMark/>
          </w:tcPr>
          <w:p w14:paraId="204778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70D95A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Bayes J, Agrawal N, Schloss J.</w:t>
            </w:r>
          </w:p>
        </w:tc>
        <w:tc>
          <w:tcPr>
            <w:tcW w:w="709" w:type="dxa"/>
            <w:shd w:val="clear" w:color="auto" w:fill="auto"/>
            <w:noWrap/>
            <w:hideMark/>
          </w:tcPr>
          <w:p w14:paraId="5D7443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05A8C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pilot trial examining the absorption of oral forms of folate supplementation in a healthy population: a randomised control trial</w:t>
            </w:r>
          </w:p>
        </w:tc>
        <w:tc>
          <w:tcPr>
            <w:tcW w:w="1417" w:type="dxa"/>
          </w:tcPr>
          <w:p w14:paraId="3CC75A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Advances in Integrative Medicine</w:t>
            </w:r>
          </w:p>
        </w:tc>
        <w:tc>
          <w:tcPr>
            <w:tcW w:w="709" w:type="dxa"/>
          </w:tcPr>
          <w:p w14:paraId="46E0DE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6(2)</w:t>
            </w:r>
          </w:p>
        </w:tc>
        <w:tc>
          <w:tcPr>
            <w:tcW w:w="851" w:type="dxa"/>
          </w:tcPr>
          <w:p w14:paraId="3BCF03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51-57</w:t>
            </w:r>
          </w:p>
        </w:tc>
        <w:tc>
          <w:tcPr>
            <w:tcW w:w="1559" w:type="dxa"/>
          </w:tcPr>
          <w:p w14:paraId="0FC19B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18868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91D21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01B7A3D" w14:textId="77777777" w:rsidTr="00924B3D">
        <w:trPr>
          <w:trHeight w:val="300"/>
        </w:trPr>
        <w:tc>
          <w:tcPr>
            <w:tcW w:w="1009" w:type="dxa"/>
            <w:shd w:val="clear" w:color="auto" w:fill="auto"/>
            <w:noWrap/>
            <w:hideMark/>
          </w:tcPr>
          <w:p w14:paraId="35E347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B46CB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Bayes, J, Agrawal, N, Schloss, J</w:t>
            </w:r>
          </w:p>
        </w:tc>
        <w:tc>
          <w:tcPr>
            <w:tcW w:w="709" w:type="dxa"/>
            <w:shd w:val="clear" w:color="auto" w:fill="auto"/>
            <w:noWrap/>
            <w:hideMark/>
          </w:tcPr>
          <w:p w14:paraId="15EF7A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F28AE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Bioavailability of Various Oral Forms of Folate Supplementation in Healthy Populations and Animal Models: A Systematic Review</w:t>
            </w:r>
          </w:p>
        </w:tc>
        <w:tc>
          <w:tcPr>
            <w:tcW w:w="1417" w:type="dxa"/>
          </w:tcPr>
          <w:p w14:paraId="76B607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404A41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7BB4D0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169-180</w:t>
            </w:r>
          </w:p>
        </w:tc>
        <w:tc>
          <w:tcPr>
            <w:tcW w:w="1559" w:type="dxa"/>
          </w:tcPr>
          <w:p w14:paraId="629FFE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10.1089/acm.2018.0086</w:t>
            </w:r>
          </w:p>
        </w:tc>
        <w:tc>
          <w:tcPr>
            <w:tcW w:w="850" w:type="dxa"/>
            <w:shd w:val="clear" w:color="auto" w:fill="auto"/>
            <w:noWrap/>
            <w:hideMark/>
          </w:tcPr>
          <w:p w14:paraId="2F0220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F969D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1FDDE63E" w14:textId="77777777" w:rsidTr="00924B3D">
        <w:trPr>
          <w:trHeight w:val="300"/>
        </w:trPr>
        <w:tc>
          <w:tcPr>
            <w:tcW w:w="1009" w:type="dxa"/>
            <w:shd w:val="clear" w:color="auto" w:fill="auto"/>
            <w:noWrap/>
            <w:hideMark/>
          </w:tcPr>
          <w:p w14:paraId="492D55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B4317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Bayes, J, Agrawal, N, Schloss, J</w:t>
            </w:r>
          </w:p>
        </w:tc>
        <w:tc>
          <w:tcPr>
            <w:tcW w:w="709" w:type="dxa"/>
            <w:shd w:val="clear" w:color="auto" w:fill="auto"/>
            <w:noWrap/>
            <w:hideMark/>
          </w:tcPr>
          <w:p w14:paraId="07ECA0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BD03B7E" w14:textId="77777777" w:rsidR="008F3151" w:rsidRPr="00D518FF" w:rsidRDefault="008F3151" w:rsidP="00924B3D">
            <w:pPr>
              <w:rPr>
                <w:rFonts w:ascii="Aptos" w:hAnsi="Aptos" w:cs="Calibri"/>
                <w:sz w:val="16"/>
                <w:szCs w:val="16"/>
              </w:rPr>
            </w:pPr>
            <w:r w:rsidRPr="00D518FF">
              <w:rPr>
                <w:rFonts w:ascii="Aptos" w:hAnsi="Aptos" w:cs="Calibri"/>
                <w:sz w:val="16"/>
                <w:szCs w:val="16"/>
              </w:rPr>
              <w:t>The Bioavailability of Various Oral Forms of Folate Supplementation in Healthy Populations and Animal Models: A Systematic Review</w:t>
            </w:r>
          </w:p>
        </w:tc>
        <w:tc>
          <w:tcPr>
            <w:tcW w:w="1417" w:type="dxa"/>
          </w:tcPr>
          <w:p w14:paraId="1E871D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407DD1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35DEB4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169-180</w:t>
            </w:r>
          </w:p>
        </w:tc>
        <w:tc>
          <w:tcPr>
            <w:tcW w:w="1559" w:type="dxa"/>
          </w:tcPr>
          <w:p w14:paraId="3BBF44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10.1089/acm.2018.0086</w:t>
            </w:r>
          </w:p>
        </w:tc>
        <w:tc>
          <w:tcPr>
            <w:tcW w:w="850" w:type="dxa"/>
            <w:shd w:val="clear" w:color="auto" w:fill="auto"/>
            <w:noWrap/>
            <w:hideMark/>
          </w:tcPr>
          <w:p w14:paraId="33BE5B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8CB71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4D3679E5" w14:textId="77777777" w:rsidTr="00924B3D">
        <w:trPr>
          <w:trHeight w:val="300"/>
        </w:trPr>
        <w:tc>
          <w:tcPr>
            <w:tcW w:w="1009" w:type="dxa"/>
            <w:shd w:val="clear" w:color="auto" w:fill="auto"/>
            <w:noWrap/>
            <w:hideMark/>
          </w:tcPr>
          <w:p w14:paraId="1ED68F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85B26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Berardi JM, Logan AC, Rao AV</w:t>
            </w:r>
          </w:p>
        </w:tc>
        <w:tc>
          <w:tcPr>
            <w:tcW w:w="709" w:type="dxa"/>
            <w:shd w:val="clear" w:color="auto" w:fill="auto"/>
            <w:noWrap/>
            <w:hideMark/>
          </w:tcPr>
          <w:p w14:paraId="4BF1FB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1D3E42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Plant based dietary supplement increases urinary pH</w:t>
            </w:r>
          </w:p>
        </w:tc>
        <w:tc>
          <w:tcPr>
            <w:tcW w:w="1417" w:type="dxa"/>
          </w:tcPr>
          <w:p w14:paraId="787C59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the International Society of Sports Nutrition</w:t>
            </w:r>
          </w:p>
        </w:tc>
        <w:tc>
          <w:tcPr>
            <w:tcW w:w="709" w:type="dxa"/>
          </w:tcPr>
          <w:p w14:paraId="559128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w:t>
            </w:r>
          </w:p>
        </w:tc>
        <w:tc>
          <w:tcPr>
            <w:tcW w:w="851" w:type="dxa"/>
          </w:tcPr>
          <w:p w14:paraId="3CBDBC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20-Jul</w:t>
            </w:r>
          </w:p>
        </w:tc>
        <w:tc>
          <w:tcPr>
            <w:tcW w:w="1559" w:type="dxa"/>
          </w:tcPr>
          <w:p w14:paraId="55F289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48451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33ED9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C478057" w14:textId="77777777" w:rsidTr="00924B3D">
        <w:trPr>
          <w:trHeight w:val="300"/>
        </w:trPr>
        <w:tc>
          <w:tcPr>
            <w:tcW w:w="1009" w:type="dxa"/>
            <w:shd w:val="clear" w:color="auto" w:fill="auto"/>
            <w:noWrap/>
            <w:hideMark/>
          </w:tcPr>
          <w:p w14:paraId="3DEF19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8BB2F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Bertinato J, Simpson JR, Sherrard L, et al</w:t>
            </w:r>
          </w:p>
        </w:tc>
        <w:tc>
          <w:tcPr>
            <w:tcW w:w="709" w:type="dxa"/>
            <w:shd w:val="clear" w:color="auto" w:fill="auto"/>
            <w:noWrap/>
            <w:hideMark/>
          </w:tcPr>
          <w:p w14:paraId="6017DC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0E6CCA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Zinc supplementation does not alter sensitive biomarkers of copper status in healthy boys</w:t>
            </w:r>
          </w:p>
        </w:tc>
        <w:tc>
          <w:tcPr>
            <w:tcW w:w="1417" w:type="dxa"/>
          </w:tcPr>
          <w:p w14:paraId="7EAA02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Nutrition</w:t>
            </w:r>
          </w:p>
        </w:tc>
        <w:tc>
          <w:tcPr>
            <w:tcW w:w="709" w:type="dxa"/>
          </w:tcPr>
          <w:p w14:paraId="5B2488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143(3)</w:t>
            </w:r>
          </w:p>
        </w:tc>
        <w:tc>
          <w:tcPr>
            <w:tcW w:w="851" w:type="dxa"/>
          </w:tcPr>
          <w:p w14:paraId="238C9C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284-9</w:t>
            </w:r>
          </w:p>
        </w:tc>
        <w:tc>
          <w:tcPr>
            <w:tcW w:w="1559" w:type="dxa"/>
          </w:tcPr>
          <w:p w14:paraId="645148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D4E16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7B741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78CBF81" w14:textId="77777777" w:rsidTr="00924B3D">
        <w:trPr>
          <w:trHeight w:val="300"/>
        </w:trPr>
        <w:tc>
          <w:tcPr>
            <w:tcW w:w="1009" w:type="dxa"/>
            <w:shd w:val="clear" w:color="auto" w:fill="auto"/>
            <w:noWrap/>
            <w:hideMark/>
          </w:tcPr>
          <w:p w14:paraId="4E1363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8E37D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Bisgaard H, Stokholm J, Chawes BL, Vissing NH, Bjarnadóttir E, Schoos AM, et al.</w:t>
            </w:r>
          </w:p>
        </w:tc>
        <w:tc>
          <w:tcPr>
            <w:tcW w:w="709" w:type="dxa"/>
            <w:shd w:val="clear" w:color="auto" w:fill="auto"/>
            <w:noWrap/>
            <w:hideMark/>
          </w:tcPr>
          <w:p w14:paraId="2A5A09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5B1A2D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Fish oil-derived fatty acids in pregnancy and wheeze and asthma in offspring.</w:t>
            </w:r>
          </w:p>
        </w:tc>
        <w:tc>
          <w:tcPr>
            <w:tcW w:w="1417" w:type="dxa"/>
          </w:tcPr>
          <w:p w14:paraId="164DE2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 Engl J Med</w:t>
            </w:r>
          </w:p>
        </w:tc>
        <w:tc>
          <w:tcPr>
            <w:tcW w:w="709" w:type="dxa"/>
          </w:tcPr>
          <w:p w14:paraId="450586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5(26)</w:t>
            </w:r>
          </w:p>
        </w:tc>
        <w:tc>
          <w:tcPr>
            <w:tcW w:w="851" w:type="dxa"/>
          </w:tcPr>
          <w:p w14:paraId="7FFC9E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2530-2539</w:t>
            </w:r>
          </w:p>
        </w:tc>
        <w:tc>
          <w:tcPr>
            <w:tcW w:w="1559" w:type="dxa"/>
          </w:tcPr>
          <w:p w14:paraId="19668A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10.1056/NEJMoa1503734</w:t>
            </w:r>
          </w:p>
        </w:tc>
        <w:tc>
          <w:tcPr>
            <w:tcW w:w="850" w:type="dxa"/>
            <w:shd w:val="clear" w:color="auto" w:fill="auto"/>
            <w:noWrap/>
            <w:hideMark/>
          </w:tcPr>
          <w:p w14:paraId="0DDD30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99DD8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5969E44" w14:textId="77777777" w:rsidTr="00924B3D">
        <w:trPr>
          <w:trHeight w:val="300"/>
        </w:trPr>
        <w:tc>
          <w:tcPr>
            <w:tcW w:w="1009" w:type="dxa"/>
            <w:shd w:val="clear" w:color="auto" w:fill="auto"/>
            <w:noWrap/>
            <w:hideMark/>
          </w:tcPr>
          <w:p w14:paraId="2D9B8D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37F40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Bishop SK, Erdrich S, Karunasinghe N, et al.</w:t>
            </w:r>
          </w:p>
        </w:tc>
        <w:tc>
          <w:tcPr>
            <w:tcW w:w="709" w:type="dxa"/>
            <w:shd w:val="clear" w:color="auto" w:fill="auto"/>
            <w:noWrap/>
            <w:hideMark/>
          </w:tcPr>
          <w:p w14:paraId="03CA31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7EEC47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investigation into the association between DNA damage and dietary fatty acid in men with prostate cancer</w:t>
            </w:r>
          </w:p>
        </w:tc>
        <w:tc>
          <w:tcPr>
            <w:tcW w:w="1417" w:type="dxa"/>
          </w:tcPr>
          <w:p w14:paraId="498185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08F5D4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7(1)</w:t>
            </w:r>
          </w:p>
        </w:tc>
        <w:tc>
          <w:tcPr>
            <w:tcW w:w="851" w:type="dxa"/>
          </w:tcPr>
          <w:p w14:paraId="59E6D9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405-22</w:t>
            </w:r>
          </w:p>
        </w:tc>
        <w:tc>
          <w:tcPr>
            <w:tcW w:w="1559" w:type="dxa"/>
          </w:tcPr>
          <w:p w14:paraId="082435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031EF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6B8AB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F618F56" w14:textId="77777777" w:rsidTr="00924B3D">
        <w:trPr>
          <w:trHeight w:val="300"/>
        </w:trPr>
        <w:tc>
          <w:tcPr>
            <w:tcW w:w="1009" w:type="dxa"/>
            <w:shd w:val="clear" w:color="auto" w:fill="auto"/>
            <w:noWrap/>
            <w:hideMark/>
          </w:tcPr>
          <w:p w14:paraId="6E426C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551BC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Bradbury J, Myers SP, Meyer B, et al</w:t>
            </w:r>
          </w:p>
        </w:tc>
        <w:tc>
          <w:tcPr>
            <w:tcW w:w="709" w:type="dxa"/>
            <w:shd w:val="clear" w:color="auto" w:fill="auto"/>
            <w:noWrap/>
            <w:hideMark/>
          </w:tcPr>
          <w:p w14:paraId="2BC370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3C5EB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Chronic psychological stress was not ameliorated by omega-3 eicosapentaenoic acid (EPA)</w:t>
            </w:r>
          </w:p>
        </w:tc>
        <w:tc>
          <w:tcPr>
            <w:tcW w:w="1417" w:type="dxa"/>
          </w:tcPr>
          <w:p w14:paraId="5AF59F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Frontiers in pharmacology</w:t>
            </w:r>
          </w:p>
        </w:tc>
        <w:tc>
          <w:tcPr>
            <w:tcW w:w="709" w:type="dxa"/>
          </w:tcPr>
          <w:p w14:paraId="1BEB35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w:t>
            </w:r>
          </w:p>
        </w:tc>
        <w:tc>
          <w:tcPr>
            <w:tcW w:w="851" w:type="dxa"/>
          </w:tcPr>
          <w:p w14:paraId="297685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551</w:t>
            </w:r>
          </w:p>
        </w:tc>
        <w:tc>
          <w:tcPr>
            <w:tcW w:w="1559" w:type="dxa"/>
          </w:tcPr>
          <w:p w14:paraId="42E51D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AAECC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EE0C1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00C88C2" w14:textId="77777777" w:rsidTr="00924B3D">
        <w:trPr>
          <w:trHeight w:val="300"/>
        </w:trPr>
        <w:tc>
          <w:tcPr>
            <w:tcW w:w="1009" w:type="dxa"/>
            <w:shd w:val="clear" w:color="auto" w:fill="auto"/>
            <w:noWrap/>
            <w:hideMark/>
          </w:tcPr>
          <w:p w14:paraId="7CC491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C17BB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Bradbury J, Myers SP, Oliver C</w:t>
            </w:r>
          </w:p>
        </w:tc>
        <w:tc>
          <w:tcPr>
            <w:tcW w:w="709" w:type="dxa"/>
            <w:shd w:val="clear" w:color="auto" w:fill="auto"/>
            <w:noWrap/>
            <w:hideMark/>
          </w:tcPr>
          <w:p w14:paraId="5587C8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2004</w:t>
            </w:r>
          </w:p>
        </w:tc>
        <w:tc>
          <w:tcPr>
            <w:tcW w:w="3544" w:type="dxa"/>
            <w:shd w:val="clear" w:color="auto" w:fill="auto"/>
            <w:noWrap/>
            <w:hideMark/>
          </w:tcPr>
          <w:p w14:paraId="552C11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adaptogenic role for omega-3 fatty acids in stress; a randomised placebo controlled double blind intervention study (pilot) [ISRCTN22569553]</w:t>
            </w:r>
          </w:p>
        </w:tc>
        <w:tc>
          <w:tcPr>
            <w:tcW w:w="1417" w:type="dxa"/>
          </w:tcPr>
          <w:p w14:paraId="16B234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 Journal</w:t>
            </w:r>
          </w:p>
        </w:tc>
        <w:tc>
          <w:tcPr>
            <w:tcW w:w="709" w:type="dxa"/>
          </w:tcPr>
          <w:p w14:paraId="4D8CDB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w:t>
            </w:r>
          </w:p>
        </w:tc>
        <w:tc>
          <w:tcPr>
            <w:tcW w:w="851" w:type="dxa"/>
          </w:tcPr>
          <w:p w14:paraId="2FCF23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w:t>
            </w:r>
          </w:p>
        </w:tc>
        <w:tc>
          <w:tcPr>
            <w:tcW w:w="1559" w:type="dxa"/>
          </w:tcPr>
          <w:p w14:paraId="3882CB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CB96D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0B0F7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8A0FE70" w14:textId="77777777" w:rsidTr="00924B3D">
        <w:trPr>
          <w:trHeight w:val="300"/>
        </w:trPr>
        <w:tc>
          <w:tcPr>
            <w:tcW w:w="1009" w:type="dxa"/>
            <w:shd w:val="clear" w:color="auto" w:fill="auto"/>
            <w:noWrap/>
            <w:hideMark/>
          </w:tcPr>
          <w:p w14:paraId="5BE76C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8352F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Bradley R, Sherman KJ, Catz S, et al</w:t>
            </w:r>
          </w:p>
        </w:tc>
        <w:tc>
          <w:tcPr>
            <w:tcW w:w="709" w:type="dxa"/>
            <w:shd w:val="clear" w:color="auto" w:fill="auto"/>
            <w:noWrap/>
            <w:hideMark/>
          </w:tcPr>
          <w:p w14:paraId="0B6F54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4904BA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Adjunctive naturopathic care for type 2 diabetes: patient-reported and clinical outcomes after one year</w:t>
            </w:r>
          </w:p>
        </w:tc>
        <w:tc>
          <w:tcPr>
            <w:tcW w:w="1417" w:type="dxa"/>
          </w:tcPr>
          <w:p w14:paraId="556AC9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7CB864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12(1)</w:t>
            </w:r>
          </w:p>
        </w:tc>
        <w:tc>
          <w:tcPr>
            <w:tcW w:w="851" w:type="dxa"/>
          </w:tcPr>
          <w:p w14:paraId="490605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44</w:t>
            </w:r>
          </w:p>
        </w:tc>
        <w:tc>
          <w:tcPr>
            <w:tcW w:w="1559" w:type="dxa"/>
          </w:tcPr>
          <w:p w14:paraId="0716EB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55608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085D0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5FAE219" w14:textId="77777777" w:rsidTr="00924B3D">
        <w:trPr>
          <w:trHeight w:val="300"/>
        </w:trPr>
        <w:tc>
          <w:tcPr>
            <w:tcW w:w="1009" w:type="dxa"/>
            <w:shd w:val="clear" w:color="auto" w:fill="auto"/>
            <w:noWrap/>
            <w:hideMark/>
          </w:tcPr>
          <w:p w14:paraId="634DDB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CEFEA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Bradley, Ryan; Harnett, Joanna; Cooley, Kieran; McIntyre, Erica; Goldenberg, Joshua; Adams, Jon</w:t>
            </w:r>
          </w:p>
        </w:tc>
        <w:tc>
          <w:tcPr>
            <w:tcW w:w="709" w:type="dxa"/>
            <w:shd w:val="clear" w:color="auto" w:fill="auto"/>
            <w:noWrap/>
            <w:hideMark/>
          </w:tcPr>
          <w:p w14:paraId="5B15A4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85B5B5C" w14:textId="77777777" w:rsidR="008F3151" w:rsidRPr="00D518FF" w:rsidRDefault="008F3151" w:rsidP="00924B3D">
            <w:pPr>
              <w:rPr>
                <w:rFonts w:ascii="Aptos" w:hAnsi="Aptos" w:cs="Calibri"/>
                <w:color w:val="222222"/>
                <w:sz w:val="16"/>
                <w:szCs w:val="16"/>
              </w:rPr>
            </w:pPr>
            <w:r w:rsidRPr="00D518FF">
              <w:rPr>
                <w:rFonts w:ascii="Aptos" w:hAnsi="Aptos" w:cs="Calibri"/>
                <w:color w:val="222222"/>
                <w:sz w:val="16"/>
                <w:szCs w:val="16"/>
              </w:rPr>
              <w:t>Naturopathy as a Model of Prevention-Oriented, Patient-Centered Primary Care: A Disruptive Innovation in Health Care</w:t>
            </w:r>
          </w:p>
        </w:tc>
        <w:tc>
          <w:tcPr>
            <w:tcW w:w="1417" w:type="dxa"/>
          </w:tcPr>
          <w:p w14:paraId="13CCC2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55(9</w:t>
            </w:r>
          </w:p>
        </w:tc>
        <w:tc>
          <w:tcPr>
            <w:tcW w:w="709" w:type="dxa"/>
          </w:tcPr>
          <w:p w14:paraId="314C6A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Medicina</w:t>
            </w:r>
          </w:p>
        </w:tc>
        <w:tc>
          <w:tcPr>
            <w:tcW w:w="851" w:type="dxa"/>
          </w:tcPr>
          <w:p w14:paraId="5B8E52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7E0DBA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mdpi.com/1010-660X/55/9/603/htm#</w:t>
            </w:r>
          </w:p>
        </w:tc>
        <w:tc>
          <w:tcPr>
            <w:tcW w:w="850" w:type="dxa"/>
            <w:shd w:val="clear" w:color="auto" w:fill="auto"/>
            <w:noWrap/>
            <w:hideMark/>
          </w:tcPr>
          <w:p w14:paraId="6FC084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798A4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Article does not examine clinical studies of health outcomes of any elements of naturopathy.</w:t>
            </w:r>
          </w:p>
        </w:tc>
      </w:tr>
      <w:tr w:rsidR="008F3151" w:rsidRPr="00D518FF" w14:paraId="50AAD003" w14:textId="77777777" w:rsidTr="00924B3D">
        <w:trPr>
          <w:trHeight w:val="300"/>
        </w:trPr>
        <w:tc>
          <w:tcPr>
            <w:tcW w:w="1009" w:type="dxa"/>
            <w:shd w:val="clear" w:color="auto" w:fill="auto"/>
            <w:noWrap/>
            <w:hideMark/>
          </w:tcPr>
          <w:p w14:paraId="44C0AB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E6F06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Buhling, K. J., A. Schumacher, C. zu Eulenburg and E. Laakmann</w:t>
            </w:r>
          </w:p>
        </w:tc>
        <w:tc>
          <w:tcPr>
            <w:tcW w:w="709" w:type="dxa"/>
            <w:shd w:val="clear" w:color="auto" w:fill="auto"/>
            <w:noWrap/>
            <w:hideMark/>
          </w:tcPr>
          <w:p w14:paraId="746BD5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7F034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Influence of oral vitamin and mineral supplementation on male infertility: a meta-analysis and systematic review. </w:t>
            </w:r>
          </w:p>
        </w:tc>
        <w:tc>
          <w:tcPr>
            <w:tcW w:w="1417" w:type="dxa"/>
          </w:tcPr>
          <w:p w14:paraId="052AFF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Reproductive biomedicine online.</w:t>
            </w:r>
          </w:p>
        </w:tc>
        <w:tc>
          <w:tcPr>
            <w:tcW w:w="709" w:type="dxa"/>
          </w:tcPr>
          <w:p w14:paraId="5DA058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Electronic journal</w:t>
            </w:r>
          </w:p>
        </w:tc>
        <w:tc>
          <w:tcPr>
            <w:tcW w:w="851" w:type="dxa"/>
          </w:tcPr>
          <w:p w14:paraId="6B63DA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Electronic </w:t>
            </w:r>
          </w:p>
        </w:tc>
        <w:tc>
          <w:tcPr>
            <w:tcW w:w="1559" w:type="dxa"/>
          </w:tcPr>
          <w:p w14:paraId="70D412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1472-6483</w:t>
            </w:r>
          </w:p>
        </w:tc>
        <w:tc>
          <w:tcPr>
            <w:tcW w:w="850" w:type="dxa"/>
            <w:shd w:val="clear" w:color="auto" w:fill="auto"/>
            <w:noWrap/>
            <w:hideMark/>
          </w:tcPr>
          <w:p w14:paraId="12C501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AD536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15CC7238" w14:textId="77777777" w:rsidTr="00924B3D">
        <w:trPr>
          <w:trHeight w:val="300"/>
        </w:trPr>
        <w:tc>
          <w:tcPr>
            <w:tcW w:w="1009" w:type="dxa"/>
            <w:shd w:val="clear" w:color="auto" w:fill="auto"/>
            <w:noWrap/>
            <w:hideMark/>
          </w:tcPr>
          <w:p w14:paraId="43FAEF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0CD487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Burr NE, Hull MA, Subramanian V.</w:t>
            </w:r>
          </w:p>
        </w:tc>
        <w:tc>
          <w:tcPr>
            <w:tcW w:w="709" w:type="dxa"/>
            <w:shd w:val="clear" w:color="auto" w:fill="auto"/>
            <w:noWrap/>
            <w:hideMark/>
          </w:tcPr>
          <w:p w14:paraId="5056C9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2C8F0F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Folic acid supplementation may reduce colorectal cancer risk in patients with inflammatory bowel disease.</w:t>
            </w:r>
          </w:p>
        </w:tc>
        <w:tc>
          <w:tcPr>
            <w:tcW w:w="1417" w:type="dxa"/>
          </w:tcPr>
          <w:p w14:paraId="075C1E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clinical gastroenterology</w:t>
            </w:r>
          </w:p>
        </w:tc>
        <w:tc>
          <w:tcPr>
            <w:tcW w:w="709" w:type="dxa"/>
          </w:tcPr>
          <w:p w14:paraId="7413A7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 (3)</w:t>
            </w:r>
          </w:p>
        </w:tc>
        <w:tc>
          <w:tcPr>
            <w:tcW w:w="851" w:type="dxa"/>
          </w:tcPr>
          <w:p w14:paraId="3110A2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247-253</w:t>
            </w:r>
          </w:p>
        </w:tc>
        <w:tc>
          <w:tcPr>
            <w:tcW w:w="1559" w:type="dxa"/>
          </w:tcPr>
          <w:p w14:paraId="663F51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62566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3DECF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6FE9546" w14:textId="77777777" w:rsidTr="00924B3D">
        <w:trPr>
          <w:trHeight w:val="300"/>
        </w:trPr>
        <w:tc>
          <w:tcPr>
            <w:tcW w:w="1009" w:type="dxa"/>
            <w:shd w:val="clear" w:color="auto" w:fill="auto"/>
            <w:noWrap/>
            <w:hideMark/>
          </w:tcPr>
          <w:p w14:paraId="5F4691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1508B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Calabrese C, Berman SH, Babish JG, et al.</w:t>
            </w:r>
          </w:p>
        </w:tc>
        <w:tc>
          <w:tcPr>
            <w:tcW w:w="709" w:type="dxa"/>
            <w:shd w:val="clear" w:color="auto" w:fill="auto"/>
            <w:noWrap/>
            <w:hideMark/>
          </w:tcPr>
          <w:p w14:paraId="7A0635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2000</w:t>
            </w:r>
          </w:p>
        </w:tc>
        <w:tc>
          <w:tcPr>
            <w:tcW w:w="3544" w:type="dxa"/>
            <w:shd w:val="clear" w:color="auto" w:fill="auto"/>
            <w:noWrap/>
            <w:hideMark/>
          </w:tcPr>
          <w:p w14:paraId="5B423F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phase I trial of andrographolide in HIV positive patients and normal volunteers.</w:t>
            </w:r>
          </w:p>
        </w:tc>
        <w:tc>
          <w:tcPr>
            <w:tcW w:w="1417" w:type="dxa"/>
          </w:tcPr>
          <w:p w14:paraId="179223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Phytotherapy Research</w:t>
            </w:r>
          </w:p>
        </w:tc>
        <w:tc>
          <w:tcPr>
            <w:tcW w:w="709" w:type="dxa"/>
          </w:tcPr>
          <w:p w14:paraId="5C63C4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w:t>
            </w:r>
          </w:p>
        </w:tc>
        <w:tc>
          <w:tcPr>
            <w:tcW w:w="851" w:type="dxa"/>
          </w:tcPr>
          <w:p w14:paraId="7A7976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333-8</w:t>
            </w:r>
          </w:p>
        </w:tc>
        <w:tc>
          <w:tcPr>
            <w:tcW w:w="1559" w:type="dxa"/>
          </w:tcPr>
          <w:p w14:paraId="20C3D5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3DBE6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62BBD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BC2F1A4" w14:textId="77777777" w:rsidTr="00924B3D">
        <w:trPr>
          <w:trHeight w:val="300"/>
        </w:trPr>
        <w:tc>
          <w:tcPr>
            <w:tcW w:w="1009" w:type="dxa"/>
            <w:shd w:val="clear" w:color="auto" w:fill="auto"/>
            <w:noWrap/>
            <w:hideMark/>
          </w:tcPr>
          <w:p w14:paraId="6FB164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357A3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Calabrese C, Gregory WL, Leo M, et al</w:t>
            </w:r>
          </w:p>
        </w:tc>
        <w:tc>
          <w:tcPr>
            <w:tcW w:w="709" w:type="dxa"/>
            <w:shd w:val="clear" w:color="auto" w:fill="auto"/>
            <w:noWrap/>
            <w:hideMark/>
          </w:tcPr>
          <w:p w14:paraId="542E3D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0CFCE6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 standardized Bacopa monnieri extract on cognitive performance, anxiety, and depression in the elderly: a randomized, double-blind, placebo-controlled trial</w:t>
            </w:r>
          </w:p>
        </w:tc>
        <w:tc>
          <w:tcPr>
            <w:tcW w:w="1417" w:type="dxa"/>
          </w:tcPr>
          <w:p w14:paraId="5D181C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010668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14(6)</w:t>
            </w:r>
          </w:p>
        </w:tc>
        <w:tc>
          <w:tcPr>
            <w:tcW w:w="851" w:type="dxa"/>
          </w:tcPr>
          <w:p w14:paraId="6DD62D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707-13</w:t>
            </w:r>
          </w:p>
        </w:tc>
        <w:tc>
          <w:tcPr>
            <w:tcW w:w="1559" w:type="dxa"/>
          </w:tcPr>
          <w:p w14:paraId="4C93F4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3244D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2CF0A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D48D5EB" w14:textId="77777777" w:rsidTr="00924B3D">
        <w:trPr>
          <w:trHeight w:val="300"/>
        </w:trPr>
        <w:tc>
          <w:tcPr>
            <w:tcW w:w="1009" w:type="dxa"/>
            <w:shd w:val="clear" w:color="auto" w:fill="auto"/>
            <w:noWrap/>
            <w:hideMark/>
          </w:tcPr>
          <w:p w14:paraId="60BCFF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DB19A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Calabrese C, Myer S, Munson S, et al</w:t>
            </w:r>
          </w:p>
        </w:tc>
        <w:tc>
          <w:tcPr>
            <w:tcW w:w="709" w:type="dxa"/>
            <w:shd w:val="clear" w:color="auto" w:fill="auto"/>
            <w:noWrap/>
            <w:hideMark/>
          </w:tcPr>
          <w:p w14:paraId="3171D4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1999</w:t>
            </w:r>
          </w:p>
        </w:tc>
        <w:tc>
          <w:tcPr>
            <w:tcW w:w="3544" w:type="dxa"/>
            <w:shd w:val="clear" w:color="auto" w:fill="auto"/>
            <w:noWrap/>
            <w:hideMark/>
          </w:tcPr>
          <w:p w14:paraId="76E692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cross-over study of the effect of a single oral feeding of medium chain triglyceride oil vs. canola oil on post-ingestion plasma triglyceride levels in healthy men</w:t>
            </w:r>
          </w:p>
        </w:tc>
        <w:tc>
          <w:tcPr>
            <w:tcW w:w="1417" w:type="dxa"/>
          </w:tcPr>
          <w:p w14:paraId="069F65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Alternative Medicine Review</w:t>
            </w:r>
          </w:p>
        </w:tc>
        <w:tc>
          <w:tcPr>
            <w:tcW w:w="709" w:type="dxa"/>
          </w:tcPr>
          <w:p w14:paraId="2BFBB8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w:t>
            </w:r>
          </w:p>
        </w:tc>
        <w:tc>
          <w:tcPr>
            <w:tcW w:w="851" w:type="dxa"/>
          </w:tcPr>
          <w:p w14:paraId="72E554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23-Aug</w:t>
            </w:r>
          </w:p>
        </w:tc>
        <w:tc>
          <w:tcPr>
            <w:tcW w:w="1559" w:type="dxa"/>
          </w:tcPr>
          <w:p w14:paraId="62D8E5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5F7C0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CA5BC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BBA5CA9" w14:textId="77777777" w:rsidTr="00924B3D">
        <w:trPr>
          <w:trHeight w:val="300"/>
        </w:trPr>
        <w:tc>
          <w:tcPr>
            <w:tcW w:w="1009" w:type="dxa"/>
            <w:shd w:val="clear" w:color="auto" w:fill="auto"/>
            <w:noWrap/>
            <w:hideMark/>
          </w:tcPr>
          <w:p w14:paraId="6E4383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F10B5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Camfield DA, Wetherell MA, Scholey AB, et al</w:t>
            </w:r>
          </w:p>
        </w:tc>
        <w:tc>
          <w:tcPr>
            <w:tcW w:w="709" w:type="dxa"/>
            <w:shd w:val="clear" w:color="auto" w:fill="auto"/>
            <w:noWrap/>
            <w:hideMark/>
          </w:tcPr>
          <w:p w14:paraId="2F1E46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377B5E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effects of multivitamin supplementation on diurnal cortisol secretion and perceived stress</w:t>
            </w:r>
          </w:p>
        </w:tc>
        <w:tc>
          <w:tcPr>
            <w:tcW w:w="1417" w:type="dxa"/>
          </w:tcPr>
          <w:p w14:paraId="12EAD1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556117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5(11)</w:t>
            </w:r>
          </w:p>
        </w:tc>
        <w:tc>
          <w:tcPr>
            <w:tcW w:w="851" w:type="dxa"/>
          </w:tcPr>
          <w:p w14:paraId="08C54D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4429-50</w:t>
            </w:r>
          </w:p>
        </w:tc>
        <w:tc>
          <w:tcPr>
            <w:tcW w:w="1559" w:type="dxa"/>
          </w:tcPr>
          <w:p w14:paraId="14283B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67A3F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ADDD8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18EDEFD" w14:textId="77777777" w:rsidTr="00924B3D">
        <w:trPr>
          <w:trHeight w:val="300"/>
        </w:trPr>
        <w:tc>
          <w:tcPr>
            <w:tcW w:w="1009" w:type="dxa"/>
            <w:shd w:val="clear" w:color="auto" w:fill="auto"/>
            <w:noWrap/>
            <w:hideMark/>
          </w:tcPr>
          <w:p w14:paraId="278189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F7380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Canhada S, Castro K, Perry IS, Luft VC.</w:t>
            </w:r>
          </w:p>
        </w:tc>
        <w:tc>
          <w:tcPr>
            <w:tcW w:w="709" w:type="dxa"/>
            <w:shd w:val="clear" w:color="auto" w:fill="auto"/>
            <w:noWrap/>
            <w:hideMark/>
          </w:tcPr>
          <w:p w14:paraId="7D11D0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F7C6D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fatty acids' supplementation in Alzheimer's disease: A systematic review. </w:t>
            </w:r>
          </w:p>
        </w:tc>
        <w:tc>
          <w:tcPr>
            <w:tcW w:w="1417" w:type="dxa"/>
          </w:tcPr>
          <w:p w14:paraId="5393D4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Nutritional neuroscience</w:t>
            </w:r>
          </w:p>
        </w:tc>
        <w:tc>
          <w:tcPr>
            <w:tcW w:w="709" w:type="dxa"/>
          </w:tcPr>
          <w:p w14:paraId="695E6D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21(8)</w:t>
            </w:r>
          </w:p>
        </w:tc>
        <w:tc>
          <w:tcPr>
            <w:tcW w:w="851" w:type="dxa"/>
          </w:tcPr>
          <w:p w14:paraId="66A59D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529-538</w:t>
            </w:r>
          </w:p>
        </w:tc>
        <w:tc>
          <w:tcPr>
            <w:tcW w:w="1559" w:type="dxa"/>
          </w:tcPr>
          <w:p w14:paraId="7AA15B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B50DE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88140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4F0C19F3" w14:textId="77777777" w:rsidTr="00924B3D">
        <w:trPr>
          <w:trHeight w:val="300"/>
        </w:trPr>
        <w:tc>
          <w:tcPr>
            <w:tcW w:w="1009" w:type="dxa"/>
            <w:shd w:val="clear" w:color="auto" w:fill="auto"/>
            <w:noWrap/>
            <w:hideMark/>
          </w:tcPr>
          <w:p w14:paraId="410D7A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D1CDF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Casanova MA, Medeiros F, Trindade M, Cohen C, Oigman W, Neves MF.</w:t>
            </w:r>
          </w:p>
        </w:tc>
        <w:tc>
          <w:tcPr>
            <w:tcW w:w="709" w:type="dxa"/>
            <w:shd w:val="clear" w:color="auto" w:fill="auto"/>
            <w:noWrap/>
            <w:hideMark/>
          </w:tcPr>
          <w:p w14:paraId="17BF28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1B7BD9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fatty acids supplementation improves endothelial function and arterial stiffness in hypertensive patients with hypertriglyceridemia and high cardiovascular risk.  </w:t>
            </w:r>
          </w:p>
        </w:tc>
        <w:tc>
          <w:tcPr>
            <w:tcW w:w="1417" w:type="dxa"/>
          </w:tcPr>
          <w:p w14:paraId="794EA8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Am Soc Hypertens</w:t>
            </w:r>
          </w:p>
        </w:tc>
        <w:tc>
          <w:tcPr>
            <w:tcW w:w="709" w:type="dxa"/>
          </w:tcPr>
          <w:p w14:paraId="599DE0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11(1)</w:t>
            </w:r>
          </w:p>
        </w:tc>
        <w:tc>
          <w:tcPr>
            <w:tcW w:w="851" w:type="dxa"/>
          </w:tcPr>
          <w:p w14:paraId="18CCFE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Oct-19</w:t>
            </w:r>
          </w:p>
        </w:tc>
        <w:tc>
          <w:tcPr>
            <w:tcW w:w="1559" w:type="dxa"/>
          </w:tcPr>
          <w:p w14:paraId="0B440F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10.1016/j.jash.2016.10.004</w:t>
            </w:r>
          </w:p>
        </w:tc>
        <w:tc>
          <w:tcPr>
            <w:tcW w:w="850" w:type="dxa"/>
            <w:shd w:val="clear" w:color="auto" w:fill="auto"/>
            <w:noWrap/>
            <w:hideMark/>
          </w:tcPr>
          <w:p w14:paraId="4D038D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C5048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57D27CA" w14:textId="77777777" w:rsidTr="00924B3D">
        <w:trPr>
          <w:trHeight w:val="300"/>
        </w:trPr>
        <w:tc>
          <w:tcPr>
            <w:tcW w:w="1009" w:type="dxa"/>
            <w:shd w:val="clear" w:color="auto" w:fill="auto"/>
            <w:noWrap/>
            <w:hideMark/>
          </w:tcPr>
          <w:p w14:paraId="1E4C60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32038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Caudill MA, Strupp BJ, Muscalu L, Nevins JEH, Canfield RL.</w:t>
            </w:r>
          </w:p>
        </w:tc>
        <w:tc>
          <w:tcPr>
            <w:tcW w:w="709" w:type="dxa"/>
            <w:shd w:val="clear" w:color="auto" w:fill="auto"/>
            <w:noWrap/>
            <w:hideMark/>
          </w:tcPr>
          <w:p w14:paraId="362E9E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35876D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Maternal choline supplementation during the third trimester of pregnancy improves infant information processing speed: a randomized, double-blind, controlled feeding study. </w:t>
            </w:r>
          </w:p>
        </w:tc>
        <w:tc>
          <w:tcPr>
            <w:tcW w:w="1417" w:type="dxa"/>
          </w:tcPr>
          <w:p w14:paraId="27776B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FASEB J</w:t>
            </w:r>
          </w:p>
        </w:tc>
        <w:tc>
          <w:tcPr>
            <w:tcW w:w="709" w:type="dxa"/>
          </w:tcPr>
          <w:p w14:paraId="2B6C5D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 (4)</w:t>
            </w:r>
          </w:p>
        </w:tc>
        <w:tc>
          <w:tcPr>
            <w:tcW w:w="851" w:type="dxa"/>
          </w:tcPr>
          <w:p w14:paraId="774C6B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2172-2180</w:t>
            </w:r>
          </w:p>
        </w:tc>
        <w:tc>
          <w:tcPr>
            <w:tcW w:w="1559" w:type="dxa"/>
          </w:tcPr>
          <w:p w14:paraId="49C39E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10.1096/fj.201700692RR</w:t>
            </w:r>
          </w:p>
        </w:tc>
        <w:tc>
          <w:tcPr>
            <w:tcW w:w="850" w:type="dxa"/>
            <w:shd w:val="clear" w:color="auto" w:fill="auto"/>
            <w:noWrap/>
            <w:hideMark/>
          </w:tcPr>
          <w:p w14:paraId="709AFE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51C9B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89A7AC5" w14:textId="77777777" w:rsidTr="00924B3D">
        <w:trPr>
          <w:trHeight w:val="300"/>
        </w:trPr>
        <w:tc>
          <w:tcPr>
            <w:tcW w:w="1009" w:type="dxa"/>
            <w:shd w:val="clear" w:color="auto" w:fill="auto"/>
            <w:noWrap/>
            <w:hideMark/>
          </w:tcPr>
          <w:p w14:paraId="1D6C51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F6DD2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Cazzola M, Calzetta L, Page C, Jardim J, Chuchalin AG, Rogliani P et al.</w:t>
            </w:r>
          </w:p>
        </w:tc>
        <w:tc>
          <w:tcPr>
            <w:tcW w:w="709" w:type="dxa"/>
            <w:shd w:val="clear" w:color="auto" w:fill="auto"/>
            <w:noWrap/>
            <w:hideMark/>
          </w:tcPr>
          <w:p w14:paraId="13358C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0862B9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Influence of N-acetylcysteine on chronic bronchitis or COPD exacerbations: a meta-analysis. </w:t>
            </w:r>
          </w:p>
        </w:tc>
        <w:tc>
          <w:tcPr>
            <w:tcW w:w="1417" w:type="dxa"/>
          </w:tcPr>
          <w:p w14:paraId="4E6664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 Respir Rev</w:t>
            </w:r>
          </w:p>
        </w:tc>
        <w:tc>
          <w:tcPr>
            <w:tcW w:w="709" w:type="dxa"/>
          </w:tcPr>
          <w:p w14:paraId="493650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24(137)</w:t>
            </w:r>
          </w:p>
        </w:tc>
        <w:tc>
          <w:tcPr>
            <w:tcW w:w="851" w:type="dxa"/>
          </w:tcPr>
          <w:p w14:paraId="43B1E5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451-461</w:t>
            </w:r>
          </w:p>
        </w:tc>
        <w:tc>
          <w:tcPr>
            <w:tcW w:w="1559" w:type="dxa"/>
          </w:tcPr>
          <w:p w14:paraId="1ACC53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10.1183/16000617.00002215</w:t>
            </w:r>
          </w:p>
        </w:tc>
        <w:tc>
          <w:tcPr>
            <w:tcW w:w="850" w:type="dxa"/>
            <w:shd w:val="clear" w:color="auto" w:fill="auto"/>
            <w:noWrap/>
            <w:hideMark/>
          </w:tcPr>
          <w:p w14:paraId="2B9C39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36519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052E54B8" w14:textId="77777777" w:rsidTr="00924B3D">
        <w:trPr>
          <w:trHeight w:val="300"/>
        </w:trPr>
        <w:tc>
          <w:tcPr>
            <w:tcW w:w="1009" w:type="dxa"/>
            <w:shd w:val="clear" w:color="auto" w:fill="auto"/>
            <w:noWrap/>
            <w:hideMark/>
          </w:tcPr>
          <w:p w14:paraId="5964E0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E03E3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Chandan, S., Mohan, B. P., Chandan, O. C., Ahmad, R., Challa, A., Tummala, H., and Adler, D. G.</w:t>
            </w:r>
          </w:p>
        </w:tc>
        <w:tc>
          <w:tcPr>
            <w:tcW w:w="709" w:type="dxa"/>
            <w:shd w:val="clear" w:color="auto" w:fill="auto"/>
            <w:noWrap/>
            <w:hideMark/>
          </w:tcPr>
          <w:p w14:paraId="463442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2020</w:t>
            </w:r>
          </w:p>
        </w:tc>
        <w:tc>
          <w:tcPr>
            <w:tcW w:w="3544" w:type="dxa"/>
            <w:shd w:val="clear" w:color="auto" w:fill="auto"/>
            <w:noWrap/>
            <w:hideMark/>
          </w:tcPr>
          <w:p w14:paraId="5DF11B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Curcumin use in ulcerative colitis: is it ready for prime time? A systematic review and meta-analysis of clinical trials. </w:t>
            </w:r>
          </w:p>
        </w:tc>
        <w:tc>
          <w:tcPr>
            <w:tcW w:w="1417" w:type="dxa"/>
          </w:tcPr>
          <w:p w14:paraId="05C6A0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Annals of Gastroenterology</w:t>
            </w:r>
          </w:p>
        </w:tc>
        <w:tc>
          <w:tcPr>
            <w:tcW w:w="709" w:type="dxa"/>
          </w:tcPr>
          <w:p w14:paraId="30098A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33(1)</w:t>
            </w:r>
          </w:p>
        </w:tc>
        <w:tc>
          <w:tcPr>
            <w:tcW w:w="851" w:type="dxa"/>
          </w:tcPr>
          <w:p w14:paraId="79227F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53</w:t>
            </w:r>
          </w:p>
        </w:tc>
        <w:tc>
          <w:tcPr>
            <w:tcW w:w="1559" w:type="dxa"/>
          </w:tcPr>
          <w:p w14:paraId="3B7AC6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PMCID: PMC6928475</w:t>
            </w:r>
            <w:r w:rsidRPr="00D518FF">
              <w:rPr>
                <w:rFonts w:ascii="Aptos" w:hAnsi="Aptos" w:cs="Calibri"/>
                <w:color w:val="000000"/>
                <w:sz w:val="16"/>
                <w:szCs w:val="16"/>
              </w:rPr>
              <w:br/>
              <w:t>PMID: 31892798</w:t>
            </w:r>
          </w:p>
        </w:tc>
        <w:tc>
          <w:tcPr>
            <w:tcW w:w="850" w:type="dxa"/>
            <w:shd w:val="clear" w:color="auto" w:fill="auto"/>
            <w:noWrap/>
            <w:hideMark/>
          </w:tcPr>
          <w:p w14:paraId="70297C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2A814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61B72A77" w14:textId="77777777" w:rsidTr="00924B3D">
        <w:trPr>
          <w:trHeight w:val="300"/>
        </w:trPr>
        <w:tc>
          <w:tcPr>
            <w:tcW w:w="1009" w:type="dxa"/>
            <w:shd w:val="clear" w:color="auto" w:fill="auto"/>
            <w:noWrap/>
            <w:hideMark/>
          </w:tcPr>
          <w:p w14:paraId="5D74D3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5EFA4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Chang JP, Su KP, Mondelli V, Pariante CM.</w:t>
            </w:r>
          </w:p>
        </w:tc>
        <w:tc>
          <w:tcPr>
            <w:tcW w:w="709" w:type="dxa"/>
            <w:shd w:val="clear" w:color="auto" w:fill="auto"/>
            <w:noWrap/>
            <w:hideMark/>
          </w:tcPr>
          <w:p w14:paraId="357495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549E24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polyunsaturated fatty acids in youths with attention deficit hyperactivity disorder: a systematic review and meta-analysis of clinical trials and biological studies. </w:t>
            </w:r>
          </w:p>
        </w:tc>
        <w:tc>
          <w:tcPr>
            <w:tcW w:w="1417" w:type="dxa"/>
          </w:tcPr>
          <w:p w14:paraId="51DF8E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Neuropsychopharmacology</w:t>
            </w:r>
          </w:p>
        </w:tc>
        <w:tc>
          <w:tcPr>
            <w:tcW w:w="709" w:type="dxa"/>
          </w:tcPr>
          <w:p w14:paraId="085839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43(3)</w:t>
            </w:r>
          </w:p>
        </w:tc>
        <w:tc>
          <w:tcPr>
            <w:tcW w:w="851" w:type="dxa"/>
          </w:tcPr>
          <w:p w14:paraId="3B9BE1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534</w:t>
            </w:r>
          </w:p>
        </w:tc>
        <w:tc>
          <w:tcPr>
            <w:tcW w:w="1559" w:type="dxa"/>
          </w:tcPr>
          <w:p w14:paraId="66145B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10.1038/npp.2017.160</w:t>
            </w:r>
          </w:p>
        </w:tc>
        <w:tc>
          <w:tcPr>
            <w:tcW w:w="850" w:type="dxa"/>
            <w:shd w:val="clear" w:color="auto" w:fill="auto"/>
            <w:noWrap/>
            <w:hideMark/>
          </w:tcPr>
          <w:p w14:paraId="360DD4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B8C55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389EE17A" w14:textId="77777777" w:rsidTr="00924B3D">
        <w:trPr>
          <w:trHeight w:val="300"/>
        </w:trPr>
        <w:tc>
          <w:tcPr>
            <w:tcW w:w="1009" w:type="dxa"/>
            <w:shd w:val="clear" w:color="auto" w:fill="auto"/>
            <w:noWrap/>
            <w:hideMark/>
          </w:tcPr>
          <w:p w14:paraId="4AE503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EC711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Chen AC, Martin AJ, Choy B, Fernández-Peñas P, Dalziell RA, McKenzie CA et al.</w:t>
            </w:r>
          </w:p>
        </w:tc>
        <w:tc>
          <w:tcPr>
            <w:tcW w:w="709" w:type="dxa"/>
            <w:shd w:val="clear" w:color="auto" w:fill="auto"/>
            <w:noWrap/>
            <w:hideMark/>
          </w:tcPr>
          <w:p w14:paraId="45EE49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617363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phase 3 randomized trial of nicotinamide for skin-cancer chemoprevention. </w:t>
            </w:r>
          </w:p>
        </w:tc>
        <w:tc>
          <w:tcPr>
            <w:tcW w:w="1417" w:type="dxa"/>
          </w:tcPr>
          <w:p w14:paraId="22AB28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 Engl J Med</w:t>
            </w:r>
          </w:p>
        </w:tc>
        <w:tc>
          <w:tcPr>
            <w:tcW w:w="709" w:type="dxa"/>
          </w:tcPr>
          <w:p w14:paraId="1B3EE8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373 (17)</w:t>
            </w:r>
          </w:p>
        </w:tc>
        <w:tc>
          <w:tcPr>
            <w:tcW w:w="851" w:type="dxa"/>
          </w:tcPr>
          <w:p w14:paraId="576C99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1618-1626</w:t>
            </w:r>
          </w:p>
        </w:tc>
        <w:tc>
          <w:tcPr>
            <w:tcW w:w="1559" w:type="dxa"/>
          </w:tcPr>
          <w:p w14:paraId="7C3C59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10.1056/NEJMoa1506197</w:t>
            </w:r>
          </w:p>
        </w:tc>
        <w:tc>
          <w:tcPr>
            <w:tcW w:w="850" w:type="dxa"/>
            <w:shd w:val="clear" w:color="auto" w:fill="auto"/>
            <w:noWrap/>
            <w:hideMark/>
          </w:tcPr>
          <w:p w14:paraId="325148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36304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0DC7579" w14:textId="77777777" w:rsidTr="00924B3D">
        <w:trPr>
          <w:trHeight w:val="300"/>
        </w:trPr>
        <w:tc>
          <w:tcPr>
            <w:tcW w:w="1009" w:type="dxa"/>
            <w:shd w:val="clear" w:color="auto" w:fill="auto"/>
            <w:noWrap/>
            <w:hideMark/>
          </w:tcPr>
          <w:p w14:paraId="423CEA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5F366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Chen H, Liu S, Ji L, Wu T, Ji Y, Zhou Y, et al.</w:t>
            </w:r>
          </w:p>
        </w:tc>
        <w:tc>
          <w:tcPr>
            <w:tcW w:w="709" w:type="dxa"/>
            <w:shd w:val="clear" w:color="auto" w:fill="auto"/>
            <w:noWrap/>
            <w:hideMark/>
          </w:tcPr>
          <w:p w14:paraId="55AD40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729EFD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Folic acid supplementation mitigates Alzheimer's disease by reducing inflammation: a randomized controlled trial.</w:t>
            </w:r>
          </w:p>
        </w:tc>
        <w:tc>
          <w:tcPr>
            <w:tcW w:w="1417" w:type="dxa"/>
          </w:tcPr>
          <w:p w14:paraId="586C80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Mediators of Inflammation Epub</w:t>
            </w:r>
          </w:p>
        </w:tc>
        <w:tc>
          <w:tcPr>
            <w:tcW w:w="709" w:type="dxa"/>
          </w:tcPr>
          <w:p w14:paraId="559558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5912146</w:t>
            </w:r>
          </w:p>
        </w:tc>
        <w:tc>
          <w:tcPr>
            <w:tcW w:w="851" w:type="dxa"/>
          </w:tcPr>
          <w:p w14:paraId="5D6519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1559" w:type="dxa"/>
          </w:tcPr>
          <w:p w14:paraId="0AA285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10.1155/2016/5912146</w:t>
            </w:r>
          </w:p>
        </w:tc>
        <w:tc>
          <w:tcPr>
            <w:tcW w:w="850" w:type="dxa"/>
            <w:shd w:val="clear" w:color="auto" w:fill="auto"/>
            <w:noWrap/>
            <w:hideMark/>
          </w:tcPr>
          <w:p w14:paraId="17DFDF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28DB1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A95E915" w14:textId="77777777" w:rsidTr="00924B3D">
        <w:trPr>
          <w:trHeight w:val="300"/>
        </w:trPr>
        <w:tc>
          <w:tcPr>
            <w:tcW w:w="1009" w:type="dxa"/>
            <w:shd w:val="clear" w:color="auto" w:fill="auto"/>
            <w:noWrap/>
            <w:hideMark/>
          </w:tcPr>
          <w:p w14:paraId="749352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52CC8F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Chen LH, Wang YF, Xu QH, Chen SS.</w:t>
            </w:r>
          </w:p>
        </w:tc>
        <w:tc>
          <w:tcPr>
            <w:tcW w:w="709" w:type="dxa"/>
            <w:shd w:val="clear" w:color="auto" w:fill="auto"/>
            <w:noWrap/>
            <w:hideMark/>
          </w:tcPr>
          <w:p w14:paraId="0CBC7F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366C95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fatty acids as a treatment for non-alcoholic fatty liver disease in children: A systematic review and meta-analysis of randomized controlled trials. </w:t>
            </w:r>
          </w:p>
        </w:tc>
        <w:tc>
          <w:tcPr>
            <w:tcW w:w="1417" w:type="dxa"/>
          </w:tcPr>
          <w:p w14:paraId="7EA1B2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Nutrition</w:t>
            </w:r>
          </w:p>
        </w:tc>
        <w:tc>
          <w:tcPr>
            <w:tcW w:w="709" w:type="dxa"/>
          </w:tcPr>
          <w:p w14:paraId="1C4AF7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37(2)</w:t>
            </w:r>
          </w:p>
        </w:tc>
        <w:tc>
          <w:tcPr>
            <w:tcW w:w="851" w:type="dxa"/>
          </w:tcPr>
          <w:p w14:paraId="02FE34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516-521</w:t>
            </w:r>
          </w:p>
        </w:tc>
        <w:tc>
          <w:tcPr>
            <w:tcW w:w="1559" w:type="dxa"/>
          </w:tcPr>
          <w:p w14:paraId="6D2CBD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8816E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880A7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5CD6C6D3" w14:textId="77777777" w:rsidTr="00924B3D">
        <w:trPr>
          <w:trHeight w:val="300"/>
        </w:trPr>
        <w:tc>
          <w:tcPr>
            <w:tcW w:w="1009" w:type="dxa"/>
            <w:shd w:val="clear" w:color="auto" w:fill="auto"/>
            <w:noWrap/>
            <w:hideMark/>
          </w:tcPr>
          <w:p w14:paraId="341B7D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D9965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Cheng YS, Tseng PT, Chen YW, Stubbs B, Yang WC, Chen TY, Wu CK, Lin PY.</w:t>
            </w:r>
          </w:p>
        </w:tc>
        <w:tc>
          <w:tcPr>
            <w:tcW w:w="709" w:type="dxa"/>
            <w:shd w:val="clear" w:color="auto" w:fill="auto"/>
            <w:noWrap/>
            <w:hideMark/>
          </w:tcPr>
          <w:p w14:paraId="20CFB4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B5067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Supplementation of omega 3 fatty acids may improve hyperactivity, lethargy, and stereotypy in children with autism spectrum disorders: A meta-analysis of randomized controlled trials. </w:t>
            </w:r>
          </w:p>
        </w:tc>
        <w:tc>
          <w:tcPr>
            <w:tcW w:w="1417" w:type="dxa"/>
          </w:tcPr>
          <w:p w14:paraId="369758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Neuropsychiatric disease and treatment</w:t>
            </w:r>
          </w:p>
        </w:tc>
        <w:tc>
          <w:tcPr>
            <w:tcW w:w="709" w:type="dxa"/>
          </w:tcPr>
          <w:p w14:paraId="672DDF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w:t>
            </w:r>
          </w:p>
        </w:tc>
        <w:tc>
          <w:tcPr>
            <w:tcW w:w="851" w:type="dxa"/>
          </w:tcPr>
          <w:p w14:paraId="65DCC6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2531</w:t>
            </w:r>
          </w:p>
        </w:tc>
        <w:tc>
          <w:tcPr>
            <w:tcW w:w="1559" w:type="dxa"/>
          </w:tcPr>
          <w:p w14:paraId="61C065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D0A4A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ECEC1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60AC797A" w14:textId="77777777" w:rsidTr="00924B3D">
        <w:trPr>
          <w:trHeight w:val="300"/>
        </w:trPr>
        <w:tc>
          <w:tcPr>
            <w:tcW w:w="1009" w:type="dxa"/>
            <w:shd w:val="clear" w:color="auto" w:fill="auto"/>
            <w:noWrap/>
            <w:hideMark/>
          </w:tcPr>
          <w:p w14:paraId="36966B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3B5B8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Cheraghi E, Mehranjani MS, Shariatzadeh MA, Esfahani MH, Ebrahimi Z.</w:t>
            </w:r>
          </w:p>
        </w:tc>
        <w:tc>
          <w:tcPr>
            <w:tcW w:w="709" w:type="dxa"/>
            <w:shd w:val="clear" w:color="auto" w:fill="auto"/>
            <w:noWrap/>
            <w:hideMark/>
          </w:tcPr>
          <w:p w14:paraId="2D65D3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36803A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N-Acetylcysteine improves oocyte and embryo quality in polycystic ovary syndrome patients undergoing intracytoplasmic sperm injection: an alternative to metformin.</w:t>
            </w:r>
          </w:p>
        </w:tc>
        <w:tc>
          <w:tcPr>
            <w:tcW w:w="1417" w:type="dxa"/>
          </w:tcPr>
          <w:p w14:paraId="705740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Reprod Fertil Dev</w:t>
            </w:r>
          </w:p>
        </w:tc>
        <w:tc>
          <w:tcPr>
            <w:tcW w:w="709" w:type="dxa"/>
          </w:tcPr>
          <w:p w14:paraId="5E4430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28(6)</w:t>
            </w:r>
          </w:p>
        </w:tc>
        <w:tc>
          <w:tcPr>
            <w:tcW w:w="851" w:type="dxa"/>
          </w:tcPr>
          <w:p w14:paraId="791575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723-731</w:t>
            </w:r>
          </w:p>
        </w:tc>
        <w:tc>
          <w:tcPr>
            <w:tcW w:w="1559" w:type="dxa"/>
          </w:tcPr>
          <w:p w14:paraId="4755D9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10.1071/RD14182</w:t>
            </w:r>
          </w:p>
        </w:tc>
        <w:tc>
          <w:tcPr>
            <w:tcW w:w="850" w:type="dxa"/>
            <w:shd w:val="clear" w:color="auto" w:fill="auto"/>
            <w:noWrap/>
            <w:hideMark/>
          </w:tcPr>
          <w:p w14:paraId="4396FF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2C312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F35E798" w14:textId="77777777" w:rsidTr="00924B3D">
        <w:trPr>
          <w:trHeight w:val="300"/>
        </w:trPr>
        <w:tc>
          <w:tcPr>
            <w:tcW w:w="1009" w:type="dxa"/>
            <w:shd w:val="clear" w:color="auto" w:fill="auto"/>
            <w:noWrap/>
            <w:hideMark/>
          </w:tcPr>
          <w:p w14:paraId="53BD22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9E61D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Cheras PA, Myers SP, Paul-Brent PA, et al</w:t>
            </w:r>
          </w:p>
        </w:tc>
        <w:tc>
          <w:tcPr>
            <w:tcW w:w="709" w:type="dxa"/>
            <w:shd w:val="clear" w:color="auto" w:fill="auto"/>
            <w:noWrap/>
            <w:hideMark/>
          </w:tcPr>
          <w:p w14:paraId="2C114A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2E5DA6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Randomized double-blind placebo-controlled trial on the potential modes of action of SheaFlex70 in osteoarthritis</w:t>
            </w:r>
          </w:p>
        </w:tc>
        <w:tc>
          <w:tcPr>
            <w:tcW w:w="1417" w:type="dxa"/>
          </w:tcPr>
          <w:p w14:paraId="59C66D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Phytotherapy Research</w:t>
            </w:r>
          </w:p>
        </w:tc>
        <w:tc>
          <w:tcPr>
            <w:tcW w:w="709" w:type="dxa"/>
          </w:tcPr>
          <w:p w14:paraId="2C687E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 (8)</w:t>
            </w:r>
          </w:p>
        </w:tc>
        <w:tc>
          <w:tcPr>
            <w:tcW w:w="851" w:type="dxa"/>
          </w:tcPr>
          <w:p w14:paraId="3FCF72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1126-31</w:t>
            </w:r>
          </w:p>
        </w:tc>
        <w:tc>
          <w:tcPr>
            <w:tcW w:w="1559" w:type="dxa"/>
          </w:tcPr>
          <w:p w14:paraId="147714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74744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1330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F827FFE" w14:textId="77777777" w:rsidTr="00924B3D">
        <w:trPr>
          <w:trHeight w:val="300"/>
        </w:trPr>
        <w:tc>
          <w:tcPr>
            <w:tcW w:w="1009" w:type="dxa"/>
            <w:shd w:val="clear" w:color="auto" w:fill="auto"/>
            <w:noWrap/>
            <w:hideMark/>
          </w:tcPr>
          <w:p w14:paraId="420280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514C0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Childs J, Higgins D, Parker S, et al</w:t>
            </w:r>
          </w:p>
        </w:tc>
        <w:tc>
          <w:tcPr>
            <w:tcW w:w="709" w:type="dxa"/>
            <w:shd w:val="clear" w:color="auto" w:fill="auto"/>
            <w:noWrap/>
            <w:hideMark/>
          </w:tcPr>
          <w:p w14:paraId="382A8C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534BB1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Abstract OT3-1-02: Phase II randomized study of combination immunotherapy with or without Polysaccharide Krestin (PSK®) concurrently with a HER2 ICD peptide-based vaccine and trastuzumab in patients with stage IV breast cancer</w:t>
            </w:r>
          </w:p>
        </w:tc>
        <w:tc>
          <w:tcPr>
            <w:tcW w:w="1417" w:type="dxa"/>
          </w:tcPr>
          <w:p w14:paraId="19E75E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Research</w:t>
            </w:r>
          </w:p>
        </w:tc>
        <w:tc>
          <w:tcPr>
            <w:tcW w:w="709" w:type="dxa"/>
          </w:tcPr>
          <w:p w14:paraId="5C1FD8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72(4)</w:t>
            </w:r>
          </w:p>
        </w:tc>
        <w:tc>
          <w:tcPr>
            <w:tcW w:w="851" w:type="dxa"/>
          </w:tcPr>
          <w:p w14:paraId="4CCD9E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OT3-1-02</w:t>
            </w:r>
          </w:p>
        </w:tc>
        <w:tc>
          <w:tcPr>
            <w:tcW w:w="1559" w:type="dxa"/>
          </w:tcPr>
          <w:p w14:paraId="074FD0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C001F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BB590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1CD718D" w14:textId="77777777" w:rsidTr="00924B3D">
        <w:trPr>
          <w:trHeight w:val="300"/>
        </w:trPr>
        <w:tc>
          <w:tcPr>
            <w:tcW w:w="1009" w:type="dxa"/>
            <w:shd w:val="clear" w:color="auto" w:fill="auto"/>
            <w:noWrap/>
            <w:hideMark/>
          </w:tcPr>
          <w:p w14:paraId="1C74FE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F5CFC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Citronberg J, Bostick R, Ahearn T, et al</w:t>
            </w:r>
          </w:p>
        </w:tc>
        <w:tc>
          <w:tcPr>
            <w:tcW w:w="709" w:type="dxa"/>
            <w:shd w:val="clear" w:color="auto" w:fill="auto"/>
            <w:noWrap/>
            <w:hideMark/>
          </w:tcPr>
          <w:p w14:paraId="3D3DD6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085FFE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ginger supplementation on cell-cycle biomarkers in the normal-appearing colonic mucosa of patients at increased risk for colorectal cancer: results from a pilot, randomized, and controlled trial</w:t>
            </w:r>
          </w:p>
        </w:tc>
        <w:tc>
          <w:tcPr>
            <w:tcW w:w="1417" w:type="dxa"/>
          </w:tcPr>
          <w:p w14:paraId="65A927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Prevention Research</w:t>
            </w:r>
          </w:p>
        </w:tc>
        <w:tc>
          <w:tcPr>
            <w:tcW w:w="709" w:type="dxa"/>
          </w:tcPr>
          <w:p w14:paraId="255E36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6(4)</w:t>
            </w:r>
          </w:p>
        </w:tc>
        <w:tc>
          <w:tcPr>
            <w:tcW w:w="851" w:type="dxa"/>
          </w:tcPr>
          <w:p w14:paraId="2A69C2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271</w:t>
            </w:r>
          </w:p>
        </w:tc>
        <w:tc>
          <w:tcPr>
            <w:tcW w:w="1559" w:type="dxa"/>
          </w:tcPr>
          <w:p w14:paraId="365482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32122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93498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EEFB14A" w14:textId="77777777" w:rsidTr="00924B3D">
        <w:trPr>
          <w:trHeight w:val="300"/>
        </w:trPr>
        <w:tc>
          <w:tcPr>
            <w:tcW w:w="1009" w:type="dxa"/>
            <w:shd w:val="clear" w:color="auto" w:fill="auto"/>
            <w:noWrap/>
            <w:hideMark/>
          </w:tcPr>
          <w:p w14:paraId="018A12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8F96D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Citronberg J, Bostick RM, Ruffin M, et al</w:t>
            </w:r>
          </w:p>
        </w:tc>
        <w:tc>
          <w:tcPr>
            <w:tcW w:w="709" w:type="dxa"/>
            <w:shd w:val="clear" w:color="auto" w:fill="auto"/>
            <w:noWrap/>
            <w:hideMark/>
          </w:tcPr>
          <w:p w14:paraId="03E104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6A641C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Ginger supplementation and the expression of BAX in the normal-appearing colorectal mucosa of sporadic colorectal adenoma patients: results from a pilot randomized, controlled trial</w:t>
            </w:r>
          </w:p>
        </w:tc>
        <w:tc>
          <w:tcPr>
            <w:tcW w:w="1417" w:type="dxa"/>
          </w:tcPr>
          <w:p w14:paraId="1D932E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Pharm Biol</w:t>
            </w:r>
          </w:p>
        </w:tc>
        <w:tc>
          <w:tcPr>
            <w:tcW w:w="709" w:type="dxa"/>
          </w:tcPr>
          <w:p w14:paraId="327C83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50(5)</w:t>
            </w:r>
          </w:p>
        </w:tc>
        <w:tc>
          <w:tcPr>
            <w:tcW w:w="851" w:type="dxa"/>
          </w:tcPr>
          <w:p w14:paraId="6DD94E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629-30</w:t>
            </w:r>
          </w:p>
        </w:tc>
        <w:tc>
          <w:tcPr>
            <w:tcW w:w="1559" w:type="dxa"/>
          </w:tcPr>
          <w:p w14:paraId="44AFF3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D0CDE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1B3EF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3E8B520" w14:textId="77777777" w:rsidTr="00924B3D">
        <w:trPr>
          <w:trHeight w:val="300"/>
        </w:trPr>
        <w:tc>
          <w:tcPr>
            <w:tcW w:w="1009" w:type="dxa"/>
            <w:shd w:val="clear" w:color="auto" w:fill="auto"/>
            <w:noWrap/>
            <w:hideMark/>
          </w:tcPr>
          <w:p w14:paraId="5C7141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FF20D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Cohen AJ, Richardson CR, Heisler M, et al.</w:t>
            </w:r>
          </w:p>
        </w:tc>
        <w:tc>
          <w:tcPr>
            <w:tcW w:w="709" w:type="dxa"/>
            <w:shd w:val="clear" w:color="auto" w:fill="auto"/>
            <w:noWrap/>
            <w:hideMark/>
          </w:tcPr>
          <w:p w14:paraId="03EA84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6E393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Increasing use of a healthy food incentive: a waiting room intervention among low-income patients</w:t>
            </w:r>
          </w:p>
        </w:tc>
        <w:tc>
          <w:tcPr>
            <w:tcW w:w="1417" w:type="dxa"/>
          </w:tcPr>
          <w:p w14:paraId="738F78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American Journal of Preventive Medicine</w:t>
            </w:r>
          </w:p>
        </w:tc>
        <w:tc>
          <w:tcPr>
            <w:tcW w:w="709" w:type="dxa"/>
          </w:tcPr>
          <w:p w14:paraId="61FCA3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52(2)</w:t>
            </w:r>
          </w:p>
        </w:tc>
        <w:tc>
          <w:tcPr>
            <w:tcW w:w="851" w:type="dxa"/>
          </w:tcPr>
          <w:p w14:paraId="3409C7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154-62</w:t>
            </w:r>
          </w:p>
        </w:tc>
        <w:tc>
          <w:tcPr>
            <w:tcW w:w="1559" w:type="dxa"/>
          </w:tcPr>
          <w:p w14:paraId="7649B0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3F630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6B975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C1D2062" w14:textId="77777777" w:rsidTr="00924B3D">
        <w:trPr>
          <w:trHeight w:val="300"/>
        </w:trPr>
        <w:tc>
          <w:tcPr>
            <w:tcW w:w="1009" w:type="dxa"/>
            <w:shd w:val="clear" w:color="auto" w:fill="auto"/>
            <w:noWrap/>
            <w:hideMark/>
          </w:tcPr>
          <w:p w14:paraId="717978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C08D6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Cooley K, Szczurko O et al. </w:t>
            </w:r>
          </w:p>
        </w:tc>
        <w:tc>
          <w:tcPr>
            <w:tcW w:w="709" w:type="dxa"/>
            <w:shd w:val="clear" w:color="auto" w:fill="auto"/>
            <w:noWrap/>
            <w:hideMark/>
          </w:tcPr>
          <w:p w14:paraId="5A0B4D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7EA0C4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Naturopathic Care for Anxiety: A randomised controlled study </w:t>
            </w:r>
          </w:p>
        </w:tc>
        <w:tc>
          <w:tcPr>
            <w:tcW w:w="1417" w:type="dxa"/>
          </w:tcPr>
          <w:p w14:paraId="789310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 Journal</w:t>
            </w:r>
          </w:p>
        </w:tc>
        <w:tc>
          <w:tcPr>
            <w:tcW w:w="709" w:type="dxa"/>
          </w:tcPr>
          <w:p w14:paraId="3CF368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w:t>
            </w:r>
          </w:p>
        </w:tc>
        <w:tc>
          <w:tcPr>
            <w:tcW w:w="851" w:type="dxa"/>
          </w:tcPr>
          <w:p w14:paraId="610F3E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1-Oct</w:t>
            </w:r>
          </w:p>
        </w:tc>
        <w:tc>
          <w:tcPr>
            <w:tcW w:w="1559" w:type="dxa"/>
          </w:tcPr>
          <w:p w14:paraId="20E05B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10.1371/journal.pone.0006628</w:t>
            </w:r>
          </w:p>
        </w:tc>
        <w:tc>
          <w:tcPr>
            <w:tcW w:w="850" w:type="dxa"/>
            <w:shd w:val="clear" w:color="auto" w:fill="auto"/>
            <w:noWrap/>
            <w:hideMark/>
          </w:tcPr>
          <w:p w14:paraId="5A27FB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ADE45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F6D7E27" w14:textId="77777777" w:rsidTr="00924B3D">
        <w:trPr>
          <w:trHeight w:val="300"/>
        </w:trPr>
        <w:tc>
          <w:tcPr>
            <w:tcW w:w="1009" w:type="dxa"/>
            <w:shd w:val="clear" w:color="auto" w:fill="auto"/>
            <w:noWrap/>
            <w:hideMark/>
          </w:tcPr>
          <w:p w14:paraId="147024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D268E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Cooley K, Szczurko O, Perri D, et al</w:t>
            </w:r>
          </w:p>
        </w:tc>
        <w:tc>
          <w:tcPr>
            <w:tcW w:w="709" w:type="dxa"/>
            <w:shd w:val="clear" w:color="auto" w:fill="auto"/>
            <w:noWrap/>
            <w:hideMark/>
          </w:tcPr>
          <w:p w14:paraId="3B4525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66B714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care for anxiety: a randomized controlled trial ISRCTN78958974</w:t>
            </w:r>
          </w:p>
        </w:tc>
        <w:tc>
          <w:tcPr>
            <w:tcW w:w="1417" w:type="dxa"/>
          </w:tcPr>
          <w:p w14:paraId="1896DF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6F12C0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w:t>
            </w:r>
          </w:p>
        </w:tc>
        <w:tc>
          <w:tcPr>
            <w:tcW w:w="851" w:type="dxa"/>
          </w:tcPr>
          <w:p w14:paraId="3D6699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e6628</w:t>
            </w:r>
          </w:p>
        </w:tc>
        <w:tc>
          <w:tcPr>
            <w:tcW w:w="1559" w:type="dxa"/>
          </w:tcPr>
          <w:p w14:paraId="24147D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11730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1AFC6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B4336B7" w14:textId="77777777" w:rsidTr="00924B3D">
        <w:trPr>
          <w:trHeight w:val="300"/>
        </w:trPr>
        <w:tc>
          <w:tcPr>
            <w:tcW w:w="1009" w:type="dxa"/>
            <w:shd w:val="clear" w:color="auto" w:fill="auto"/>
            <w:noWrap/>
            <w:hideMark/>
          </w:tcPr>
          <w:p w14:paraId="668D84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E3020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Cooley K, Szczurko O, Perri D, Mills EJ, Bernhardt B, et. al</w:t>
            </w:r>
          </w:p>
        </w:tc>
        <w:tc>
          <w:tcPr>
            <w:tcW w:w="709" w:type="dxa"/>
            <w:shd w:val="clear" w:color="auto" w:fill="auto"/>
            <w:noWrap/>
            <w:hideMark/>
          </w:tcPr>
          <w:p w14:paraId="774E65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159E06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Care for Anxiety: A Randomized Controlled Trial</w:t>
            </w:r>
            <w:r w:rsidRPr="00D518FF">
              <w:rPr>
                <w:rFonts w:ascii="Aptos" w:hAnsi="Aptos" w:cs="Calibri"/>
                <w:color w:val="000000"/>
                <w:sz w:val="16"/>
                <w:szCs w:val="16"/>
              </w:rPr>
              <w:br/>
            </w:r>
            <w:r w:rsidRPr="00D518FF">
              <w:rPr>
                <w:rFonts w:ascii="Aptos" w:hAnsi="Aptos" w:cs="Calibri"/>
                <w:color w:val="000000"/>
                <w:sz w:val="16"/>
                <w:szCs w:val="16"/>
              </w:rPr>
              <w:br/>
              <w:t xml:space="preserve"> ISRCTN78958974. </w:t>
            </w:r>
          </w:p>
        </w:tc>
        <w:tc>
          <w:tcPr>
            <w:tcW w:w="1417" w:type="dxa"/>
          </w:tcPr>
          <w:p w14:paraId="6A6CC9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6A867A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w:t>
            </w:r>
          </w:p>
        </w:tc>
        <w:tc>
          <w:tcPr>
            <w:tcW w:w="851" w:type="dxa"/>
          </w:tcPr>
          <w:p w14:paraId="44207B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e6628</w:t>
            </w:r>
          </w:p>
        </w:tc>
        <w:tc>
          <w:tcPr>
            <w:tcW w:w="1559" w:type="dxa"/>
          </w:tcPr>
          <w:p w14:paraId="2D1BD2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doi:10.1371/journal.pone.0006628</w:t>
            </w:r>
          </w:p>
        </w:tc>
        <w:tc>
          <w:tcPr>
            <w:tcW w:w="850" w:type="dxa"/>
            <w:shd w:val="clear" w:color="auto" w:fill="auto"/>
            <w:noWrap/>
            <w:hideMark/>
          </w:tcPr>
          <w:p w14:paraId="1F6152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3B67F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12DDF77" w14:textId="77777777" w:rsidTr="00924B3D">
        <w:trPr>
          <w:trHeight w:val="300"/>
        </w:trPr>
        <w:tc>
          <w:tcPr>
            <w:tcW w:w="1009" w:type="dxa"/>
            <w:shd w:val="clear" w:color="auto" w:fill="auto"/>
            <w:noWrap/>
            <w:hideMark/>
          </w:tcPr>
          <w:p w14:paraId="1C96D4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615ACB23" w14:textId="77777777" w:rsidR="008F3151" w:rsidRPr="00D518FF" w:rsidRDefault="008F3151" w:rsidP="00924B3D">
            <w:pPr>
              <w:rPr>
                <w:rFonts w:ascii="Aptos" w:hAnsi="Aptos" w:cs="Calibri"/>
                <w:sz w:val="16"/>
                <w:szCs w:val="16"/>
              </w:rPr>
            </w:pPr>
            <w:r w:rsidRPr="00D518FF">
              <w:rPr>
                <w:rFonts w:ascii="Aptos" w:hAnsi="Aptos" w:cs="Calibri"/>
                <w:sz w:val="16"/>
                <w:szCs w:val="16"/>
              </w:rPr>
              <w:t>Cooley K</w:t>
            </w:r>
            <w:r w:rsidRPr="00D518FF">
              <w:rPr>
                <w:rFonts w:ascii="Aptos" w:hAnsi="Aptos" w:cs="Calibri"/>
                <w:color w:val="000000"/>
                <w:sz w:val="16"/>
                <w:szCs w:val="16"/>
              </w:rPr>
              <w:t>, </w:t>
            </w:r>
            <w:r w:rsidRPr="00D518FF">
              <w:rPr>
                <w:rFonts w:ascii="Aptos" w:hAnsi="Aptos" w:cs="Calibri"/>
                <w:sz w:val="16"/>
                <w:szCs w:val="16"/>
              </w:rPr>
              <w:t>Szczurko O</w:t>
            </w:r>
            <w:r w:rsidRPr="00D518FF">
              <w:rPr>
                <w:rFonts w:ascii="Aptos" w:hAnsi="Aptos" w:cs="Calibri"/>
                <w:color w:val="000000"/>
                <w:sz w:val="16"/>
                <w:szCs w:val="16"/>
              </w:rPr>
              <w:t>, </w:t>
            </w:r>
            <w:r w:rsidRPr="00D518FF">
              <w:rPr>
                <w:rFonts w:ascii="Aptos" w:hAnsi="Aptos" w:cs="Calibri"/>
                <w:sz w:val="16"/>
                <w:szCs w:val="16"/>
              </w:rPr>
              <w:t>Perri D</w:t>
            </w:r>
            <w:r w:rsidRPr="00D518FF">
              <w:rPr>
                <w:rFonts w:ascii="Aptos" w:hAnsi="Aptos" w:cs="Calibri"/>
                <w:color w:val="000000"/>
                <w:sz w:val="16"/>
                <w:szCs w:val="16"/>
              </w:rPr>
              <w:t>, </w:t>
            </w:r>
            <w:r w:rsidRPr="00D518FF">
              <w:rPr>
                <w:rFonts w:ascii="Aptos" w:hAnsi="Aptos" w:cs="Calibri"/>
                <w:sz w:val="16"/>
                <w:szCs w:val="16"/>
              </w:rPr>
              <w:t>Mills EJ</w:t>
            </w:r>
            <w:r w:rsidRPr="00D518FF">
              <w:rPr>
                <w:rFonts w:ascii="Aptos" w:hAnsi="Aptos" w:cs="Calibri"/>
                <w:color w:val="000000"/>
                <w:sz w:val="16"/>
                <w:szCs w:val="16"/>
              </w:rPr>
              <w:t>, </w:t>
            </w:r>
            <w:r w:rsidRPr="00D518FF">
              <w:rPr>
                <w:rFonts w:ascii="Aptos" w:hAnsi="Aptos" w:cs="Calibri"/>
                <w:sz w:val="16"/>
                <w:szCs w:val="16"/>
              </w:rPr>
              <w:t>Bernhardt B</w:t>
            </w:r>
            <w:r w:rsidRPr="00D518FF">
              <w:rPr>
                <w:rFonts w:ascii="Aptos" w:hAnsi="Aptos" w:cs="Calibri"/>
                <w:color w:val="000000"/>
                <w:sz w:val="16"/>
                <w:szCs w:val="16"/>
              </w:rPr>
              <w:t>, </w:t>
            </w:r>
            <w:r w:rsidRPr="00D518FF">
              <w:rPr>
                <w:rFonts w:ascii="Aptos" w:hAnsi="Aptos" w:cs="Calibri"/>
                <w:sz w:val="16"/>
                <w:szCs w:val="16"/>
              </w:rPr>
              <w:t>Zhou Q</w:t>
            </w:r>
            <w:r w:rsidRPr="00D518FF">
              <w:rPr>
                <w:rFonts w:ascii="Aptos" w:hAnsi="Aptos" w:cs="Calibri"/>
                <w:color w:val="000000"/>
                <w:sz w:val="16"/>
                <w:szCs w:val="16"/>
              </w:rPr>
              <w:t>, </w:t>
            </w:r>
            <w:r w:rsidRPr="00D518FF">
              <w:rPr>
                <w:rFonts w:ascii="Aptos" w:hAnsi="Aptos" w:cs="Calibri"/>
                <w:sz w:val="16"/>
                <w:szCs w:val="16"/>
              </w:rPr>
              <w:t>Seely D</w:t>
            </w:r>
            <w:r w:rsidRPr="00D518FF">
              <w:rPr>
                <w:rFonts w:ascii="Aptos" w:hAnsi="Aptos" w:cs="Calibri"/>
                <w:color w:val="000000"/>
                <w:sz w:val="16"/>
                <w:szCs w:val="16"/>
              </w:rPr>
              <w:t>.</w:t>
            </w:r>
          </w:p>
        </w:tc>
        <w:tc>
          <w:tcPr>
            <w:tcW w:w="709" w:type="dxa"/>
            <w:shd w:val="clear" w:color="auto" w:fill="auto"/>
            <w:noWrap/>
            <w:hideMark/>
          </w:tcPr>
          <w:p w14:paraId="732FD6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0D4AB5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care for anxiety: a randomized controlled trial</w:t>
            </w:r>
          </w:p>
        </w:tc>
        <w:tc>
          <w:tcPr>
            <w:tcW w:w="1417" w:type="dxa"/>
          </w:tcPr>
          <w:p w14:paraId="062DAA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20FF5E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w:t>
            </w:r>
          </w:p>
        </w:tc>
        <w:tc>
          <w:tcPr>
            <w:tcW w:w="851" w:type="dxa"/>
          </w:tcPr>
          <w:p w14:paraId="7FE026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6628</w:t>
            </w:r>
          </w:p>
        </w:tc>
        <w:tc>
          <w:tcPr>
            <w:tcW w:w="1559" w:type="dxa"/>
          </w:tcPr>
          <w:p w14:paraId="554448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10.1371/journal.pone.0006628</w:t>
            </w:r>
          </w:p>
        </w:tc>
        <w:tc>
          <w:tcPr>
            <w:tcW w:w="850" w:type="dxa"/>
            <w:shd w:val="clear" w:color="auto" w:fill="auto"/>
            <w:noWrap/>
            <w:hideMark/>
          </w:tcPr>
          <w:p w14:paraId="37B122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17218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E17E1DB" w14:textId="77777777" w:rsidTr="00924B3D">
        <w:trPr>
          <w:trHeight w:val="300"/>
        </w:trPr>
        <w:tc>
          <w:tcPr>
            <w:tcW w:w="1009" w:type="dxa"/>
            <w:shd w:val="clear" w:color="auto" w:fill="auto"/>
            <w:noWrap/>
            <w:hideMark/>
          </w:tcPr>
          <w:p w14:paraId="47E2A9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D801D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Cooley, K, Szczurko, O, Perri, D, Mills, EJ, Bernhardt, B, Zhou, Q and Seely, D</w:t>
            </w:r>
          </w:p>
        </w:tc>
        <w:tc>
          <w:tcPr>
            <w:tcW w:w="709" w:type="dxa"/>
            <w:shd w:val="clear" w:color="auto" w:fill="auto"/>
            <w:noWrap/>
            <w:hideMark/>
          </w:tcPr>
          <w:p w14:paraId="16FC6E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6D157D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care for anxiety: a randomized controlled trial ISRCTN78958974</w:t>
            </w:r>
          </w:p>
        </w:tc>
        <w:tc>
          <w:tcPr>
            <w:tcW w:w="1417" w:type="dxa"/>
          </w:tcPr>
          <w:p w14:paraId="6C88D0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57B2ED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 (8)</w:t>
            </w:r>
          </w:p>
        </w:tc>
        <w:tc>
          <w:tcPr>
            <w:tcW w:w="851" w:type="dxa"/>
          </w:tcPr>
          <w:p w14:paraId="0659B9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e6628</w:t>
            </w:r>
          </w:p>
        </w:tc>
        <w:tc>
          <w:tcPr>
            <w:tcW w:w="1559" w:type="dxa"/>
          </w:tcPr>
          <w:p w14:paraId="3B35D4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1932-6203</w:t>
            </w:r>
          </w:p>
        </w:tc>
        <w:tc>
          <w:tcPr>
            <w:tcW w:w="850" w:type="dxa"/>
            <w:shd w:val="clear" w:color="auto" w:fill="auto"/>
            <w:noWrap/>
            <w:hideMark/>
          </w:tcPr>
          <w:p w14:paraId="1B3589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FF03B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E8684C5" w14:textId="77777777" w:rsidTr="00924B3D">
        <w:trPr>
          <w:trHeight w:val="300"/>
        </w:trPr>
        <w:tc>
          <w:tcPr>
            <w:tcW w:w="1009" w:type="dxa"/>
            <w:shd w:val="clear" w:color="auto" w:fill="auto"/>
            <w:noWrap/>
            <w:hideMark/>
          </w:tcPr>
          <w:p w14:paraId="25407C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5E8C0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Coulson S, Butt H, Vecchio P, et al.</w:t>
            </w:r>
          </w:p>
        </w:tc>
        <w:tc>
          <w:tcPr>
            <w:tcW w:w="709" w:type="dxa"/>
            <w:shd w:val="clear" w:color="auto" w:fill="auto"/>
            <w:noWrap/>
            <w:hideMark/>
          </w:tcPr>
          <w:p w14:paraId="3D33E5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0B0A15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Green-lipped mussel extract (Perna canaliculus) and glucosamine sulphate in patients with knee osteoarthritis: therapeutic efficacy and effects on gastrointestinal microbiota profiles</w:t>
            </w:r>
          </w:p>
        </w:tc>
        <w:tc>
          <w:tcPr>
            <w:tcW w:w="1417" w:type="dxa"/>
          </w:tcPr>
          <w:p w14:paraId="1CD4FD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Inflammopharmacology</w:t>
            </w:r>
          </w:p>
        </w:tc>
        <w:tc>
          <w:tcPr>
            <w:tcW w:w="709" w:type="dxa"/>
          </w:tcPr>
          <w:p w14:paraId="32115A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21(1)</w:t>
            </w:r>
          </w:p>
        </w:tc>
        <w:tc>
          <w:tcPr>
            <w:tcW w:w="851" w:type="dxa"/>
          </w:tcPr>
          <w:p w14:paraId="5EBA85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79-90</w:t>
            </w:r>
          </w:p>
        </w:tc>
        <w:tc>
          <w:tcPr>
            <w:tcW w:w="1559" w:type="dxa"/>
          </w:tcPr>
          <w:p w14:paraId="34AF4B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3F524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E77A1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40C3A11" w14:textId="77777777" w:rsidTr="00924B3D">
        <w:trPr>
          <w:trHeight w:val="300"/>
        </w:trPr>
        <w:tc>
          <w:tcPr>
            <w:tcW w:w="1009" w:type="dxa"/>
            <w:shd w:val="clear" w:color="auto" w:fill="auto"/>
            <w:noWrap/>
            <w:hideMark/>
          </w:tcPr>
          <w:p w14:paraId="49A050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64AD2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Coulson S, Vecchio P, Gramotnev H, et al.</w:t>
            </w:r>
          </w:p>
        </w:tc>
        <w:tc>
          <w:tcPr>
            <w:tcW w:w="709" w:type="dxa"/>
            <w:shd w:val="clear" w:color="auto" w:fill="auto"/>
            <w:noWrap/>
            <w:hideMark/>
          </w:tcPr>
          <w:p w14:paraId="1F87C1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360D75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Green-lipped mussel (Perna canaliculus) extract efficacy in knee osteoarthritis and improvement in gastrointestinal dysfunction: a pilot study</w:t>
            </w:r>
          </w:p>
        </w:tc>
        <w:tc>
          <w:tcPr>
            <w:tcW w:w="1417" w:type="dxa"/>
          </w:tcPr>
          <w:p w14:paraId="3D6AA4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Inflammopharmacology</w:t>
            </w:r>
          </w:p>
        </w:tc>
        <w:tc>
          <w:tcPr>
            <w:tcW w:w="709" w:type="dxa"/>
          </w:tcPr>
          <w:p w14:paraId="3F24A9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w:t>
            </w:r>
          </w:p>
        </w:tc>
        <w:tc>
          <w:tcPr>
            <w:tcW w:w="851" w:type="dxa"/>
          </w:tcPr>
          <w:p w14:paraId="7C8628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71-6</w:t>
            </w:r>
          </w:p>
        </w:tc>
        <w:tc>
          <w:tcPr>
            <w:tcW w:w="1559" w:type="dxa"/>
          </w:tcPr>
          <w:p w14:paraId="41BF25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D1073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3966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1C3CE16" w14:textId="77777777" w:rsidTr="00924B3D">
        <w:trPr>
          <w:trHeight w:val="300"/>
        </w:trPr>
        <w:tc>
          <w:tcPr>
            <w:tcW w:w="1009" w:type="dxa"/>
            <w:shd w:val="clear" w:color="auto" w:fill="auto"/>
            <w:noWrap/>
            <w:hideMark/>
          </w:tcPr>
          <w:p w14:paraId="241C6D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18E76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Couto JP, Moreira R.</w:t>
            </w:r>
          </w:p>
        </w:tc>
        <w:tc>
          <w:tcPr>
            <w:tcW w:w="709" w:type="dxa"/>
            <w:shd w:val="clear" w:color="auto" w:fill="auto"/>
            <w:noWrap/>
            <w:hideMark/>
          </w:tcPr>
          <w:p w14:paraId="0156EE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EF8A6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Oral N-acetylcysteine in the treatment of obsessive-compulsive disorder: a systematic review of the clinical evidence.</w:t>
            </w:r>
          </w:p>
        </w:tc>
        <w:tc>
          <w:tcPr>
            <w:tcW w:w="1417" w:type="dxa"/>
          </w:tcPr>
          <w:p w14:paraId="2405FA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Prog Neuropsychopharmacol Biol Psychiatry</w:t>
            </w:r>
          </w:p>
        </w:tc>
        <w:tc>
          <w:tcPr>
            <w:tcW w:w="709" w:type="dxa"/>
          </w:tcPr>
          <w:p w14:paraId="146674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86</w:t>
            </w:r>
          </w:p>
        </w:tc>
        <w:tc>
          <w:tcPr>
            <w:tcW w:w="851" w:type="dxa"/>
          </w:tcPr>
          <w:p w14:paraId="399AF6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245-254</w:t>
            </w:r>
          </w:p>
        </w:tc>
        <w:tc>
          <w:tcPr>
            <w:tcW w:w="1559" w:type="dxa"/>
          </w:tcPr>
          <w:p w14:paraId="08EC57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10.1016/j.pnpbp.2018.06.005</w:t>
            </w:r>
          </w:p>
        </w:tc>
        <w:tc>
          <w:tcPr>
            <w:tcW w:w="850" w:type="dxa"/>
            <w:shd w:val="clear" w:color="auto" w:fill="auto"/>
            <w:noWrap/>
            <w:hideMark/>
          </w:tcPr>
          <w:p w14:paraId="6DF66F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227F3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2D339012" w14:textId="77777777" w:rsidTr="00924B3D">
        <w:trPr>
          <w:trHeight w:val="300"/>
        </w:trPr>
        <w:tc>
          <w:tcPr>
            <w:tcW w:w="1009" w:type="dxa"/>
            <w:shd w:val="clear" w:color="auto" w:fill="auto"/>
            <w:noWrap/>
            <w:hideMark/>
          </w:tcPr>
          <w:p w14:paraId="7FC609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B68F4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Cramer H, Lauche R, Hohmann C, et al.</w:t>
            </w:r>
          </w:p>
        </w:tc>
        <w:tc>
          <w:tcPr>
            <w:tcW w:w="709" w:type="dxa"/>
            <w:shd w:val="clear" w:color="auto" w:fill="auto"/>
            <w:noWrap/>
            <w:hideMark/>
          </w:tcPr>
          <w:p w14:paraId="3479F9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467597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Randomized-controlled trial comparing yoga and home-based exercise for chronic neck pain.</w:t>
            </w:r>
          </w:p>
        </w:tc>
        <w:tc>
          <w:tcPr>
            <w:tcW w:w="1417" w:type="dxa"/>
          </w:tcPr>
          <w:p w14:paraId="284579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 J Pain</w:t>
            </w:r>
          </w:p>
        </w:tc>
        <w:tc>
          <w:tcPr>
            <w:tcW w:w="709" w:type="dxa"/>
          </w:tcPr>
          <w:p w14:paraId="0C4AC1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29(3)</w:t>
            </w:r>
          </w:p>
        </w:tc>
        <w:tc>
          <w:tcPr>
            <w:tcW w:w="851" w:type="dxa"/>
          </w:tcPr>
          <w:p w14:paraId="2AFDB9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216-23</w:t>
            </w:r>
          </w:p>
        </w:tc>
        <w:tc>
          <w:tcPr>
            <w:tcW w:w="1559" w:type="dxa"/>
          </w:tcPr>
          <w:p w14:paraId="62C9C8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2197F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73527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99B46B4" w14:textId="77777777" w:rsidTr="00924B3D">
        <w:trPr>
          <w:trHeight w:val="300"/>
        </w:trPr>
        <w:tc>
          <w:tcPr>
            <w:tcW w:w="1009" w:type="dxa"/>
            <w:shd w:val="clear" w:color="auto" w:fill="auto"/>
            <w:noWrap/>
            <w:hideMark/>
          </w:tcPr>
          <w:p w14:paraId="2E2ADD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D7AA5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Crew K, Ho K, Brown P, et al.</w:t>
            </w:r>
          </w:p>
        </w:tc>
        <w:tc>
          <w:tcPr>
            <w:tcW w:w="709" w:type="dxa"/>
            <w:shd w:val="clear" w:color="auto" w:fill="auto"/>
            <w:noWrap/>
            <w:hideMark/>
          </w:tcPr>
          <w:p w14:paraId="252192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140264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 green tea extract, Polyphenon E, on systemic biomarkers of growth factor signalling in women with hormone receptor</w:t>
            </w:r>
            <w:r w:rsidRPr="00D518FF">
              <w:rPr>
                <w:rFonts w:ascii="Cambria Math" w:hAnsi="Cambria Math" w:cs="Cambria Math"/>
                <w:color w:val="000000"/>
                <w:sz w:val="16"/>
                <w:szCs w:val="16"/>
              </w:rPr>
              <w:t>‐</w:t>
            </w:r>
            <w:r w:rsidRPr="00D518FF">
              <w:rPr>
                <w:rFonts w:ascii="Aptos" w:hAnsi="Aptos" w:cs="Calibri"/>
                <w:color w:val="000000"/>
                <w:sz w:val="16"/>
                <w:szCs w:val="16"/>
              </w:rPr>
              <w:t>negative breast cancer</w:t>
            </w:r>
          </w:p>
        </w:tc>
        <w:tc>
          <w:tcPr>
            <w:tcW w:w="1417" w:type="dxa"/>
          </w:tcPr>
          <w:p w14:paraId="3AC830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Human Nutrition and Dietetics</w:t>
            </w:r>
          </w:p>
        </w:tc>
        <w:tc>
          <w:tcPr>
            <w:tcW w:w="709" w:type="dxa"/>
          </w:tcPr>
          <w:p w14:paraId="2D009C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28(3)</w:t>
            </w:r>
          </w:p>
        </w:tc>
        <w:tc>
          <w:tcPr>
            <w:tcW w:w="851" w:type="dxa"/>
          </w:tcPr>
          <w:p w14:paraId="0B841F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272-82</w:t>
            </w:r>
          </w:p>
        </w:tc>
        <w:tc>
          <w:tcPr>
            <w:tcW w:w="1559" w:type="dxa"/>
          </w:tcPr>
          <w:p w14:paraId="66C1F8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A61E0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7F9EA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6BB5305" w14:textId="77777777" w:rsidTr="00924B3D">
        <w:trPr>
          <w:trHeight w:val="300"/>
        </w:trPr>
        <w:tc>
          <w:tcPr>
            <w:tcW w:w="1009" w:type="dxa"/>
            <w:shd w:val="clear" w:color="auto" w:fill="auto"/>
            <w:noWrap/>
            <w:hideMark/>
          </w:tcPr>
          <w:p w14:paraId="44F431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71BA1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Crew KD, Brown P, Greenlee H, et al.</w:t>
            </w:r>
          </w:p>
        </w:tc>
        <w:tc>
          <w:tcPr>
            <w:tcW w:w="709" w:type="dxa"/>
            <w:shd w:val="clear" w:color="auto" w:fill="auto"/>
            <w:noWrap/>
            <w:hideMark/>
          </w:tcPr>
          <w:p w14:paraId="2A0676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54EFCF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Phase IB randomized, double-blinded, placebo-controlled, dose escalation study of polyphenon E in women with hormone receptor-negative breast cancer</w:t>
            </w:r>
          </w:p>
        </w:tc>
        <w:tc>
          <w:tcPr>
            <w:tcW w:w="1417" w:type="dxa"/>
          </w:tcPr>
          <w:p w14:paraId="0EEBA1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Prevention Research</w:t>
            </w:r>
          </w:p>
        </w:tc>
        <w:tc>
          <w:tcPr>
            <w:tcW w:w="709" w:type="dxa"/>
          </w:tcPr>
          <w:p w14:paraId="009ACA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5(9)</w:t>
            </w:r>
          </w:p>
        </w:tc>
        <w:tc>
          <w:tcPr>
            <w:tcW w:w="851" w:type="dxa"/>
          </w:tcPr>
          <w:p w14:paraId="4D4EB6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1144-54</w:t>
            </w:r>
          </w:p>
        </w:tc>
        <w:tc>
          <w:tcPr>
            <w:tcW w:w="1559" w:type="dxa"/>
          </w:tcPr>
          <w:p w14:paraId="5FBEE2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9001C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45046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D0901AB" w14:textId="77777777" w:rsidTr="00924B3D">
        <w:trPr>
          <w:trHeight w:val="300"/>
        </w:trPr>
        <w:tc>
          <w:tcPr>
            <w:tcW w:w="1009" w:type="dxa"/>
            <w:shd w:val="clear" w:color="auto" w:fill="auto"/>
            <w:noWrap/>
            <w:hideMark/>
          </w:tcPr>
          <w:p w14:paraId="7B6CAC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319E1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Crookes DM, Shelton RC, Tehranifar P, et al</w:t>
            </w:r>
          </w:p>
        </w:tc>
        <w:tc>
          <w:tcPr>
            <w:tcW w:w="709" w:type="dxa"/>
            <w:shd w:val="clear" w:color="auto" w:fill="auto"/>
            <w:noWrap/>
            <w:hideMark/>
          </w:tcPr>
          <w:p w14:paraId="62FB56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5F38C7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Social networks and social support for healthy eating among Latina breast cancer survivors: implications for social and behavioral interventions</w:t>
            </w:r>
          </w:p>
        </w:tc>
        <w:tc>
          <w:tcPr>
            <w:tcW w:w="1417" w:type="dxa"/>
          </w:tcPr>
          <w:p w14:paraId="20492F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Cancer Survivorship</w:t>
            </w:r>
          </w:p>
        </w:tc>
        <w:tc>
          <w:tcPr>
            <w:tcW w:w="709" w:type="dxa"/>
          </w:tcPr>
          <w:p w14:paraId="32A73A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10(2)</w:t>
            </w:r>
          </w:p>
        </w:tc>
        <w:tc>
          <w:tcPr>
            <w:tcW w:w="851" w:type="dxa"/>
          </w:tcPr>
          <w:p w14:paraId="5477DD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291-301</w:t>
            </w:r>
          </w:p>
        </w:tc>
        <w:tc>
          <w:tcPr>
            <w:tcW w:w="1559" w:type="dxa"/>
          </w:tcPr>
          <w:p w14:paraId="15749D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5DB05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E6A3F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6D4C663" w14:textId="77777777" w:rsidTr="00924B3D">
        <w:trPr>
          <w:trHeight w:val="300"/>
        </w:trPr>
        <w:tc>
          <w:tcPr>
            <w:tcW w:w="1009" w:type="dxa"/>
            <w:shd w:val="clear" w:color="auto" w:fill="auto"/>
            <w:noWrap/>
            <w:hideMark/>
          </w:tcPr>
          <w:p w14:paraId="1D91D6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ED68E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de Bock, M, Derraik, JGB, Brennan, CM, Biggs, JB, Morgan, PE, Hodgkinson, SC, Hofman, PL and Cutfield, WS</w:t>
            </w:r>
          </w:p>
        </w:tc>
        <w:tc>
          <w:tcPr>
            <w:tcW w:w="709" w:type="dxa"/>
            <w:shd w:val="clear" w:color="auto" w:fill="auto"/>
            <w:noWrap/>
            <w:hideMark/>
          </w:tcPr>
          <w:p w14:paraId="081A39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7109CC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Olive (Olea europaea L.) leaf polyphenols improve insulin sensitivity in middle-aged overweight men: a randomized, placebo-controlled, crossover trial</w:t>
            </w:r>
          </w:p>
        </w:tc>
        <w:tc>
          <w:tcPr>
            <w:tcW w:w="1417" w:type="dxa"/>
          </w:tcPr>
          <w:p w14:paraId="1FFA35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5CD844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8(3)</w:t>
            </w:r>
          </w:p>
        </w:tc>
        <w:tc>
          <w:tcPr>
            <w:tcW w:w="851" w:type="dxa"/>
          </w:tcPr>
          <w:p w14:paraId="6FD1E4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e57622</w:t>
            </w:r>
          </w:p>
        </w:tc>
        <w:tc>
          <w:tcPr>
            <w:tcW w:w="1559" w:type="dxa"/>
          </w:tcPr>
          <w:p w14:paraId="623C79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1932-6203</w:t>
            </w:r>
          </w:p>
        </w:tc>
        <w:tc>
          <w:tcPr>
            <w:tcW w:w="850" w:type="dxa"/>
            <w:shd w:val="clear" w:color="auto" w:fill="auto"/>
            <w:noWrap/>
            <w:hideMark/>
          </w:tcPr>
          <w:p w14:paraId="44FD11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B92B9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EAC6AAE" w14:textId="77777777" w:rsidTr="00924B3D">
        <w:trPr>
          <w:trHeight w:val="300"/>
        </w:trPr>
        <w:tc>
          <w:tcPr>
            <w:tcW w:w="1009" w:type="dxa"/>
            <w:shd w:val="clear" w:color="auto" w:fill="auto"/>
            <w:noWrap/>
            <w:hideMark/>
          </w:tcPr>
          <w:p w14:paraId="2BCB7B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85014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Delgado-Cruzata L, Zhang W, McDonald JA, et al</w:t>
            </w:r>
          </w:p>
        </w:tc>
        <w:tc>
          <w:tcPr>
            <w:tcW w:w="709" w:type="dxa"/>
            <w:shd w:val="clear" w:color="auto" w:fill="auto"/>
            <w:noWrap/>
            <w:hideMark/>
          </w:tcPr>
          <w:p w14:paraId="733381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19FF13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Dietary modifications, weight loss, and changes in metabolic markers affect global DNA methylation in Hispanic, African American, and Afro-Caribbean breast cancer survivors</w:t>
            </w:r>
          </w:p>
        </w:tc>
        <w:tc>
          <w:tcPr>
            <w:tcW w:w="1417" w:type="dxa"/>
          </w:tcPr>
          <w:p w14:paraId="69AD8E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Nutrition</w:t>
            </w:r>
          </w:p>
        </w:tc>
        <w:tc>
          <w:tcPr>
            <w:tcW w:w="709" w:type="dxa"/>
          </w:tcPr>
          <w:p w14:paraId="4239C4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145(4)</w:t>
            </w:r>
          </w:p>
        </w:tc>
        <w:tc>
          <w:tcPr>
            <w:tcW w:w="851" w:type="dxa"/>
          </w:tcPr>
          <w:p w14:paraId="3D2E34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783-90</w:t>
            </w:r>
          </w:p>
        </w:tc>
        <w:tc>
          <w:tcPr>
            <w:tcW w:w="1559" w:type="dxa"/>
          </w:tcPr>
          <w:p w14:paraId="30A74F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DA770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B9CEF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160F0FF" w14:textId="77777777" w:rsidTr="00924B3D">
        <w:trPr>
          <w:trHeight w:val="300"/>
        </w:trPr>
        <w:tc>
          <w:tcPr>
            <w:tcW w:w="1009" w:type="dxa"/>
            <w:shd w:val="clear" w:color="auto" w:fill="auto"/>
            <w:noWrap/>
            <w:hideMark/>
          </w:tcPr>
          <w:p w14:paraId="07854F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036AE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Ding Y, Li Y, Wen A.</w:t>
            </w:r>
          </w:p>
        </w:tc>
        <w:tc>
          <w:tcPr>
            <w:tcW w:w="709" w:type="dxa"/>
            <w:shd w:val="clear" w:color="auto" w:fill="auto"/>
            <w:noWrap/>
            <w:hideMark/>
          </w:tcPr>
          <w:p w14:paraId="6CD5B7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5DF7C8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 of niacin on lipids and glucose in patients with type 2 diabetes: a meta-analysis of randomized, controlled clinical trials. </w:t>
            </w:r>
          </w:p>
        </w:tc>
        <w:tc>
          <w:tcPr>
            <w:tcW w:w="1417" w:type="dxa"/>
          </w:tcPr>
          <w:p w14:paraId="05CAF8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Nutrition</w:t>
            </w:r>
          </w:p>
        </w:tc>
        <w:tc>
          <w:tcPr>
            <w:tcW w:w="709" w:type="dxa"/>
          </w:tcPr>
          <w:p w14:paraId="56B896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851" w:type="dxa"/>
          </w:tcPr>
          <w:p w14:paraId="028058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838</w:t>
            </w:r>
          </w:p>
        </w:tc>
        <w:tc>
          <w:tcPr>
            <w:tcW w:w="1559" w:type="dxa"/>
          </w:tcPr>
          <w:p w14:paraId="10CE2E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10.1016/j.clnu.2014.09.019</w:t>
            </w:r>
          </w:p>
        </w:tc>
        <w:tc>
          <w:tcPr>
            <w:tcW w:w="850" w:type="dxa"/>
            <w:shd w:val="clear" w:color="auto" w:fill="auto"/>
            <w:noWrap/>
            <w:hideMark/>
          </w:tcPr>
          <w:p w14:paraId="50DB1F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14C90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76119FAE" w14:textId="77777777" w:rsidTr="00924B3D">
        <w:trPr>
          <w:trHeight w:val="300"/>
        </w:trPr>
        <w:tc>
          <w:tcPr>
            <w:tcW w:w="1009" w:type="dxa"/>
            <w:shd w:val="clear" w:color="auto" w:fill="auto"/>
            <w:noWrap/>
            <w:hideMark/>
          </w:tcPr>
          <w:p w14:paraId="2F0A4E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39638E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Dinicola S, De Grazia S, Carlomagno G, Pintucci JP.</w:t>
            </w:r>
          </w:p>
        </w:tc>
        <w:tc>
          <w:tcPr>
            <w:tcW w:w="709" w:type="dxa"/>
            <w:shd w:val="clear" w:color="auto" w:fill="auto"/>
            <w:noWrap/>
            <w:hideMark/>
          </w:tcPr>
          <w:p w14:paraId="3B4E12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3D30EF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N-acetylcysteine as powerful molecule to destroy bacterial biofilms. A systematic review.</w:t>
            </w:r>
          </w:p>
        </w:tc>
        <w:tc>
          <w:tcPr>
            <w:tcW w:w="1417" w:type="dxa"/>
          </w:tcPr>
          <w:p w14:paraId="1971B4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 Rev Med Pharmacol Sci</w:t>
            </w:r>
          </w:p>
        </w:tc>
        <w:tc>
          <w:tcPr>
            <w:tcW w:w="709" w:type="dxa"/>
          </w:tcPr>
          <w:p w14:paraId="3A3535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18(19)</w:t>
            </w:r>
          </w:p>
        </w:tc>
        <w:tc>
          <w:tcPr>
            <w:tcW w:w="851" w:type="dxa"/>
          </w:tcPr>
          <w:p w14:paraId="264392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2942-2948</w:t>
            </w:r>
          </w:p>
        </w:tc>
        <w:tc>
          <w:tcPr>
            <w:tcW w:w="1559" w:type="dxa"/>
          </w:tcPr>
          <w:p w14:paraId="096265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ED753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5A8C1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4A9DE08D" w14:textId="77777777" w:rsidTr="00924B3D">
        <w:trPr>
          <w:trHeight w:val="300"/>
        </w:trPr>
        <w:tc>
          <w:tcPr>
            <w:tcW w:w="1009" w:type="dxa"/>
            <w:shd w:val="clear" w:color="auto" w:fill="auto"/>
            <w:noWrap/>
            <w:hideMark/>
          </w:tcPr>
          <w:p w14:paraId="1D27C6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9FDCD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Dobos G, Overhamm T, Büssing A, et al.</w:t>
            </w:r>
          </w:p>
        </w:tc>
        <w:tc>
          <w:tcPr>
            <w:tcW w:w="709" w:type="dxa"/>
            <w:shd w:val="clear" w:color="auto" w:fill="auto"/>
            <w:noWrap/>
            <w:hideMark/>
          </w:tcPr>
          <w:p w14:paraId="38BE2A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7281DA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 mindfulness-based day-care clinic in cancer survivors</w:t>
            </w:r>
          </w:p>
        </w:tc>
        <w:tc>
          <w:tcPr>
            <w:tcW w:w="1417" w:type="dxa"/>
          </w:tcPr>
          <w:p w14:paraId="7ABAA5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657D42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20(5)</w:t>
            </w:r>
          </w:p>
        </w:tc>
        <w:tc>
          <w:tcPr>
            <w:tcW w:w="851" w:type="dxa"/>
          </w:tcPr>
          <w:p w14:paraId="11657A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A53</w:t>
            </w:r>
          </w:p>
        </w:tc>
        <w:tc>
          <w:tcPr>
            <w:tcW w:w="1559" w:type="dxa"/>
          </w:tcPr>
          <w:p w14:paraId="7D2814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59642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08C1F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C7878D2" w14:textId="77777777" w:rsidTr="00924B3D">
        <w:trPr>
          <w:trHeight w:val="300"/>
        </w:trPr>
        <w:tc>
          <w:tcPr>
            <w:tcW w:w="1009" w:type="dxa"/>
            <w:shd w:val="clear" w:color="auto" w:fill="auto"/>
            <w:noWrap/>
            <w:hideMark/>
          </w:tcPr>
          <w:p w14:paraId="25BC60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6C1BD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Duailibi MS, Cordeiro Q, Brietzke E, Ribeiro M, LaRowe S, Berk M, Trevizol AP.</w:t>
            </w:r>
          </w:p>
        </w:tc>
        <w:tc>
          <w:tcPr>
            <w:tcW w:w="709" w:type="dxa"/>
            <w:shd w:val="clear" w:color="auto" w:fill="auto"/>
            <w:noWrap/>
            <w:hideMark/>
          </w:tcPr>
          <w:p w14:paraId="1196FD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874D0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w:t>
            </w:r>
            <w:r w:rsidRPr="00D518FF">
              <w:rPr>
                <w:rFonts w:ascii="Cambria Math" w:hAnsi="Cambria Math" w:cs="Cambria Math"/>
                <w:color w:val="000000"/>
                <w:sz w:val="16"/>
                <w:szCs w:val="16"/>
              </w:rPr>
              <w:t>‐</w:t>
            </w:r>
            <w:r w:rsidRPr="00D518FF">
              <w:rPr>
                <w:rFonts w:ascii="Aptos" w:hAnsi="Aptos" w:cs="Calibri"/>
                <w:color w:val="000000"/>
                <w:sz w:val="16"/>
                <w:szCs w:val="16"/>
              </w:rPr>
              <w:t>acetylcysteine in the treatment of craving in substance use disorders: Systematic review and meta</w:t>
            </w:r>
            <w:r w:rsidRPr="00D518FF">
              <w:rPr>
                <w:rFonts w:ascii="Cambria Math" w:hAnsi="Cambria Math" w:cs="Cambria Math"/>
                <w:color w:val="000000"/>
                <w:sz w:val="16"/>
                <w:szCs w:val="16"/>
              </w:rPr>
              <w:t>‐</w:t>
            </w:r>
            <w:r w:rsidRPr="00D518FF">
              <w:rPr>
                <w:rFonts w:ascii="Aptos" w:hAnsi="Aptos" w:cs="Calibri"/>
                <w:color w:val="000000"/>
                <w:sz w:val="16"/>
                <w:szCs w:val="16"/>
              </w:rPr>
              <w:t xml:space="preserve">analysis. </w:t>
            </w:r>
          </w:p>
        </w:tc>
        <w:tc>
          <w:tcPr>
            <w:tcW w:w="1417" w:type="dxa"/>
          </w:tcPr>
          <w:p w14:paraId="64774B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American journal on addictions</w:t>
            </w:r>
          </w:p>
        </w:tc>
        <w:tc>
          <w:tcPr>
            <w:tcW w:w="709" w:type="dxa"/>
          </w:tcPr>
          <w:p w14:paraId="4FA5C8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26(7)</w:t>
            </w:r>
          </w:p>
        </w:tc>
        <w:tc>
          <w:tcPr>
            <w:tcW w:w="851" w:type="dxa"/>
          </w:tcPr>
          <w:p w14:paraId="2607F7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660-666</w:t>
            </w:r>
          </w:p>
        </w:tc>
        <w:tc>
          <w:tcPr>
            <w:tcW w:w="1559" w:type="dxa"/>
          </w:tcPr>
          <w:p w14:paraId="1AA784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79293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D3A9B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3C1C1B6E" w14:textId="77777777" w:rsidTr="00924B3D">
        <w:trPr>
          <w:trHeight w:val="300"/>
        </w:trPr>
        <w:tc>
          <w:tcPr>
            <w:tcW w:w="1009" w:type="dxa"/>
            <w:shd w:val="clear" w:color="auto" w:fill="auto"/>
            <w:noWrap/>
            <w:hideMark/>
          </w:tcPr>
          <w:p w14:paraId="04BFC6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C24E3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Ducrotté, P, Sawant, P, Jayanthi, V.</w:t>
            </w:r>
          </w:p>
        </w:tc>
        <w:tc>
          <w:tcPr>
            <w:tcW w:w="709" w:type="dxa"/>
            <w:shd w:val="clear" w:color="auto" w:fill="auto"/>
            <w:noWrap/>
            <w:hideMark/>
          </w:tcPr>
          <w:p w14:paraId="3E3C9C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363F85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trial: Lactobacillus plantarum 299v (DSM 9843) improves symptoms of irritable bowel syndrome</w:t>
            </w:r>
          </w:p>
        </w:tc>
        <w:tc>
          <w:tcPr>
            <w:tcW w:w="1417" w:type="dxa"/>
          </w:tcPr>
          <w:p w14:paraId="3DE2C0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World Journal of Gastroenterology</w:t>
            </w:r>
          </w:p>
        </w:tc>
        <w:tc>
          <w:tcPr>
            <w:tcW w:w="709" w:type="dxa"/>
          </w:tcPr>
          <w:p w14:paraId="3F0EC1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 (30)</w:t>
            </w:r>
          </w:p>
        </w:tc>
        <w:tc>
          <w:tcPr>
            <w:tcW w:w="851" w:type="dxa"/>
          </w:tcPr>
          <w:p w14:paraId="341D2B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4012-4018</w:t>
            </w:r>
          </w:p>
        </w:tc>
        <w:tc>
          <w:tcPr>
            <w:tcW w:w="1559" w:type="dxa"/>
          </w:tcPr>
          <w:p w14:paraId="5E1A02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10.374.8/wjg.v18.4012</w:t>
            </w:r>
          </w:p>
        </w:tc>
        <w:tc>
          <w:tcPr>
            <w:tcW w:w="850" w:type="dxa"/>
            <w:shd w:val="clear" w:color="auto" w:fill="auto"/>
            <w:noWrap/>
            <w:hideMark/>
          </w:tcPr>
          <w:p w14:paraId="26EFE2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BEA7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2FBBC56" w14:textId="77777777" w:rsidTr="00924B3D">
        <w:trPr>
          <w:trHeight w:val="300"/>
        </w:trPr>
        <w:tc>
          <w:tcPr>
            <w:tcW w:w="1009" w:type="dxa"/>
            <w:shd w:val="clear" w:color="auto" w:fill="auto"/>
            <w:noWrap/>
            <w:hideMark/>
          </w:tcPr>
          <w:p w14:paraId="1D5526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6A55B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Dugoua J, Perri D, Seely D, et al.</w:t>
            </w:r>
          </w:p>
        </w:tc>
        <w:tc>
          <w:tcPr>
            <w:tcW w:w="709" w:type="dxa"/>
            <w:shd w:val="clear" w:color="auto" w:fill="auto"/>
            <w:noWrap/>
            <w:hideMark/>
          </w:tcPr>
          <w:p w14:paraId="70C03C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19EBBF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anti-diabetic and cholesterol-lowering effects of common and cassia cinnamon (Cinnamomum verum and C. aromaticum): a randomized controlled trial</w:t>
            </w:r>
          </w:p>
        </w:tc>
        <w:tc>
          <w:tcPr>
            <w:tcW w:w="1417" w:type="dxa"/>
          </w:tcPr>
          <w:p w14:paraId="0414F9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33C206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12(1)</w:t>
            </w:r>
          </w:p>
        </w:tc>
        <w:tc>
          <w:tcPr>
            <w:tcW w:w="851" w:type="dxa"/>
          </w:tcPr>
          <w:p w14:paraId="358D86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P179</w:t>
            </w:r>
          </w:p>
        </w:tc>
        <w:tc>
          <w:tcPr>
            <w:tcW w:w="1559" w:type="dxa"/>
          </w:tcPr>
          <w:p w14:paraId="117A3E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9B2B8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85AEB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50BEA4C" w14:textId="77777777" w:rsidTr="00924B3D">
        <w:trPr>
          <w:trHeight w:val="300"/>
        </w:trPr>
        <w:tc>
          <w:tcPr>
            <w:tcW w:w="1009" w:type="dxa"/>
            <w:shd w:val="clear" w:color="auto" w:fill="auto"/>
            <w:noWrap/>
            <w:hideMark/>
          </w:tcPr>
          <w:p w14:paraId="1E751D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DFDD8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Erdrich S, Bishop KS, Karunasinghe N, et al.</w:t>
            </w:r>
          </w:p>
        </w:tc>
        <w:tc>
          <w:tcPr>
            <w:tcW w:w="709" w:type="dxa"/>
            <w:shd w:val="clear" w:color="auto" w:fill="auto"/>
            <w:noWrap/>
            <w:hideMark/>
          </w:tcPr>
          <w:p w14:paraId="5E7585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5D8BA8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pilot study to investigate if New Zealand men with prostate cancer benefit from a Mediterranean-style diet.</w:t>
            </w:r>
          </w:p>
        </w:tc>
        <w:tc>
          <w:tcPr>
            <w:tcW w:w="1417" w:type="dxa"/>
          </w:tcPr>
          <w:p w14:paraId="51CEAE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PeerJ</w:t>
            </w:r>
          </w:p>
        </w:tc>
        <w:tc>
          <w:tcPr>
            <w:tcW w:w="709" w:type="dxa"/>
          </w:tcPr>
          <w:p w14:paraId="011A65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w:t>
            </w:r>
          </w:p>
        </w:tc>
        <w:tc>
          <w:tcPr>
            <w:tcW w:w="851" w:type="dxa"/>
          </w:tcPr>
          <w:p w14:paraId="6CC0A5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E1080</w:t>
            </w:r>
          </w:p>
        </w:tc>
        <w:tc>
          <w:tcPr>
            <w:tcW w:w="1559" w:type="dxa"/>
          </w:tcPr>
          <w:p w14:paraId="359E7C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C0A32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E4AC2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61850ED" w14:textId="77777777" w:rsidTr="00924B3D">
        <w:trPr>
          <w:trHeight w:val="300"/>
        </w:trPr>
        <w:tc>
          <w:tcPr>
            <w:tcW w:w="1009" w:type="dxa"/>
            <w:shd w:val="clear" w:color="auto" w:fill="auto"/>
            <w:noWrap/>
            <w:hideMark/>
          </w:tcPr>
          <w:p w14:paraId="55282A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0F4F4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Faridi Z, Njike VY, Dutta S, et al</w:t>
            </w:r>
          </w:p>
        </w:tc>
        <w:tc>
          <w:tcPr>
            <w:tcW w:w="709" w:type="dxa"/>
            <w:shd w:val="clear" w:color="auto" w:fill="auto"/>
            <w:noWrap/>
            <w:hideMark/>
          </w:tcPr>
          <w:p w14:paraId="5055DD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0925E8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Acute dark chocolate and cocoa ingestion and endothelial function: a randomized controlled crossover trial</w:t>
            </w:r>
          </w:p>
        </w:tc>
        <w:tc>
          <w:tcPr>
            <w:tcW w:w="1417" w:type="dxa"/>
          </w:tcPr>
          <w:p w14:paraId="0E4CB4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American Journal of Clinical Nutrition</w:t>
            </w:r>
          </w:p>
        </w:tc>
        <w:tc>
          <w:tcPr>
            <w:tcW w:w="709" w:type="dxa"/>
          </w:tcPr>
          <w:p w14:paraId="2FA607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88(1)</w:t>
            </w:r>
          </w:p>
        </w:tc>
        <w:tc>
          <w:tcPr>
            <w:tcW w:w="851" w:type="dxa"/>
          </w:tcPr>
          <w:p w14:paraId="0F8588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58-63</w:t>
            </w:r>
          </w:p>
        </w:tc>
        <w:tc>
          <w:tcPr>
            <w:tcW w:w="1559" w:type="dxa"/>
          </w:tcPr>
          <w:p w14:paraId="10D858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6C0F9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34BB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3C6A4D8" w14:textId="77777777" w:rsidTr="00924B3D">
        <w:trPr>
          <w:trHeight w:val="300"/>
        </w:trPr>
        <w:tc>
          <w:tcPr>
            <w:tcW w:w="1009" w:type="dxa"/>
            <w:shd w:val="clear" w:color="auto" w:fill="auto"/>
            <w:noWrap/>
            <w:hideMark/>
          </w:tcPr>
          <w:p w14:paraId="5DE551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17BB2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Feathers A, Aycinena AC, Lovasi GS, et al</w:t>
            </w:r>
          </w:p>
        </w:tc>
        <w:tc>
          <w:tcPr>
            <w:tcW w:w="709" w:type="dxa"/>
            <w:shd w:val="clear" w:color="auto" w:fill="auto"/>
            <w:noWrap/>
            <w:hideMark/>
          </w:tcPr>
          <w:p w14:paraId="41801D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6AF9C4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Food environments are relevant to recruitment and adherence in dietary modification trials</w:t>
            </w:r>
          </w:p>
        </w:tc>
        <w:tc>
          <w:tcPr>
            <w:tcW w:w="1417" w:type="dxa"/>
          </w:tcPr>
          <w:p w14:paraId="0B0175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 Research</w:t>
            </w:r>
          </w:p>
        </w:tc>
        <w:tc>
          <w:tcPr>
            <w:tcW w:w="709" w:type="dxa"/>
          </w:tcPr>
          <w:p w14:paraId="520674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35(6)</w:t>
            </w:r>
          </w:p>
        </w:tc>
        <w:tc>
          <w:tcPr>
            <w:tcW w:w="851" w:type="dxa"/>
          </w:tcPr>
          <w:p w14:paraId="5CB48A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480-8</w:t>
            </w:r>
          </w:p>
        </w:tc>
        <w:tc>
          <w:tcPr>
            <w:tcW w:w="1559" w:type="dxa"/>
          </w:tcPr>
          <w:p w14:paraId="15266D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E519E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C4D12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D931D66" w14:textId="77777777" w:rsidTr="00924B3D">
        <w:trPr>
          <w:trHeight w:val="300"/>
        </w:trPr>
        <w:tc>
          <w:tcPr>
            <w:tcW w:w="1009" w:type="dxa"/>
            <w:shd w:val="clear" w:color="auto" w:fill="auto"/>
            <w:noWrap/>
            <w:hideMark/>
          </w:tcPr>
          <w:p w14:paraId="06AEE6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ED1B6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Feathers A, Aycinena AC, Lovasi GS, et al.</w:t>
            </w:r>
          </w:p>
        </w:tc>
        <w:tc>
          <w:tcPr>
            <w:tcW w:w="709" w:type="dxa"/>
            <w:shd w:val="clear" w:color="auto" w:fill="auto"/>
            <w:noWrap/>
            <w:hideMark/>
          </w:tcPr>
          <w:p w14:paraId="4E6579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25F3E8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Food environments are relevant to recruitment and adherence in dietary modification trials.</w:t>
            </w:r>
          </w:p>
        </w:tc>
        <w:tc>
          <w:tcPr>
            <w:tcW w:w="1417" w:type="dxa"/>
          </w:tcPr>
          <w:p w14:paraId="19242E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 Research</w:t>
            </w:r>
          </w:p>
        </w:tc>
        <w:tc>
          <w:tcPr>
            <w:tcW w:w="709" w:type="dxa"/>
          </w:tcPr>
          <w:p w14:paraId="1C20DA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35(6)</w:t>
            </w:r>
          </w:p>
        </w:tc>
        <w:tc>
          <w:tcPr>
            <w:tcW w:w="851" w:type="dxa"/>
          </w:tcPr>
          <w:p w14:paraId="3363A2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480-8</w:t>
            </w:r>
          </w:p>
        </w:tc>
        <w:tc>
          <w:tcPr>
            <w:tcW w:w="1559" w:type="dxa"/>
          </w:tcPr>
          <w:p w14:paraId="105168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E31FD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EC95A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7C7EFAB" w14:textId="77777777" w:rsidTr="00924B3D">
        <w:trPr>
          <w:trHeight w:val="300"/>
        </w:trPr>
        <w:tc>
          <w:tcPr>
            <w:tcW w:w="1009" w:type="dxa"/>
            <w:shd w:val="clear" w:color="auto" w:fill="auto"/>
            <w:noWrap/>
            <w:hideMark/>
          </w:tcPr>
          <w:p w14:paraId="5FDB86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3B583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Fen F, Zhang J, Wang Z, Wu Q, Zhou X.</w:t>
            </w:r>
          </w:p>
        </w:tc>
        <w:tc>
          <w:tcPr>
            <w:tcW w:w="709" w:type="dxa"/>
            <w:shd w:val="clear" w:color="auto" w:fill="auto"/>
            <w:noWrap/>
            <w:hideMark/>
          </w:tcPr>
          <w:p w14:paraId="65711B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3F4398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and safety of N</w:t>
            </w:r>
            <w:r w:rsidRPr="00D518FF">
              <w:rPr>
                <w:rFonts w:ascii="Aptos" w:hAnsi="Aptos" w:cs="Calibri"/>
                <w:color w:val="000000"/>
                <w:sz w:val="16"/>
                <w:szCs w:val="16"/>
              </w:rPr>
              <w:noBreakHyphen/>
              <w:t>acetylcysteine therapy for idiopathic pulmonary fibrosis: An updated systematic review and meta</w:t>
            </w:r>
            <w:r w:rsidRPr="00D518FF">
              <w:rPr>
                <w:rFonts w:ascii="Aptos" w:hAnsi="Aptos" w:cs="Calibri"/>
                <w:color w:val="000000"/>
                <w:sz w:val="16"/>
                <w:szCs w:val="16"/>
              </w:rPr>
              <w:noBreakHyphen/>
              <w:t xml:space="preserve">analysis. </w:t>
            </w:r>
          </w:p>
        </w:tc>
        <w:tc>
          <w:tcPr>
            <w:tcW w:w="1417" w:type="dxa"/>
          </w:tcPr>
          <w:p w14:paraId="1F4CC5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Experimental and Therapeutic Medicine</w:t>
            </w:r>
          </w:p>
        </w:tc>
        <w:tc>
          <w:tcPr>
            <w:tcW w:w="709" w:type="dxa"/>
          </w:tcPr>
          <w:p w14:paraId="5F488B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18(1)</w:t>
            </w:r>
          </w:p>
        </w:tc>
        <w:tc>
          <w:tcPr>
            <w:tcW w:w="851" w:type="dxa"/>
          </w:tcPr>
          <w:p w14:paraId="7D0F93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802-816</w:t>
            </w:r>
          </w:p>
        </w:tc>
        <w:tc>
          <w:tcPr>
            <w:tcW w:w="1559" w:type="dxa"/>
          </w:tcPr>
          <w:p w14:paraId="59A480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6F3AD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D4DAB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7C3063B9" w14:textId="77777777" w:rsidTr="00924B3D">
        <w:trPr>
          <w:trHeight w:val="300"/>
        </w:trPr>
        <w:tc>
          <w:tcPr>
            <w:tcW w:w="1009" w:type="dxa"/>
            <w:shd w:val="clear" w:color="auto" w:fill="auto"/>
            <w:noWrap/>
            <w:hideMark/>
          </w:tcPr>
          <w:p w14:paraId="5C4242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4FFBD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Fernandes BS, Dean OM, Dodd S, Malhi GS, Berk M.</w:t>
            </w:r>
          </w:p>
        </w:tc>
        <w:tc>
          <w:tcPr>
            <w:tcW w:w="709" w:type="dxa"/>
            <w:shd w:val="clear" w:color="auto" w:fill="auto"/>
            <w:noWrap/>
            <w:hideMark/>
          </w:tcPr>
          <w:p w14:paraId="120319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1BEB60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N-Acetylcysteine in depressive symptoms and functionality: a systematic review and meta-analysis. </w:t>
            </w:r>
          </w:p>
        </w:tc>
        <w:tc>
          <w:tcPr>
            <w:tcW w:w="1417" w:type="dxa"/>
          </w:tcPr>
          <w:p w14:paraId="2FDCEC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Clin Psychiatry</w:t>
            </w:r>
          </w:p>
        </w:tc>
        <w:tc>
          <w:tcPr>
            <w:tcW w:w="709" w:type="dxa"/>
          </w:tcPr>
          <w:p w14:paraId="497C5C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77(4)</w:t>
            </w:r>
          </w:p>
        </w:tc>
        <w:tc>
          <w:tcPr>
            <w:tcW w:w="851" w:type="dxa"/>
          </w:tcPr>
          <w:p w14:paraId="42F6B7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457-466</w:t>
            </w:r>
          </w:p>
        </w:tc>
        <w:tc>
          <w:tcPr>
            <w:tcW w:w="1559" w:type="dxa"/>
          </w:tcPr>
          <w:p w14:paraId="0DDF32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10.4088/JCP.15r09984</w:t>
            </w:r>
          </w:p>
        </w:tc>
        <w:tc>
          <w:tcPr>
            <w:tcW w:w="850" w:type="dxa"/>
            <w:shd w:val="clear" w:color="auto" w:fill="auto"/>
            <w:noWrap/>
            <w:hideMark/>
          </w:tcPr>
          <w:p w14:paraId="468E7B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31373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414B2AC" w14:textId="77777777" w:rsidTr="00924B3D">
        <w:trPr>
          <w:trHeight w:val="300"/>
        </w:trPr>
        <w:tc>
          <w:tcPr>
            <w:tcW w:w="1009" w:type="dxa"/>
            <w:shd w:val="clear" w:color="auto" w:fill="auto"/>
            <w:noWrap/>
            <w:hideMark/>
          </w:tcPr>
          <w:p w14:paraId="676EB9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DCB6E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Fernandez-Pareja A, Hernandez-Blanco E, Perez-Maceda JM, Rubio VJ, Palazuelos JH, Dalmau JM.</w:t>
            </w:r>
          </w:p>
        </w:tc>
        <w:tc>
          <w:tcPr>
            <w:tcW w:w="709" w:type="dxa"/>
            <w:shd w:val="clear" w:color="auto" w:fill="auto"/>
            <w:noWrap/>
            <w:hideMark/>
          </w:tcPr>
          <w:p w14:paraId="205617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21BFB7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Prevention of Osteoporosis Four-Year Follow-Up of a Cohort of Postmenopausal Women Treated with an Ossein-Hydroxyapatite Compound. </w:t>
            </w:r>
          </w:p>
        </w:tc>
        <w:tc>
          <w:tcPr>
            <w:tcW w:w="1417" w:type="dxa"/>
          </w:tcPr>
          <w:p w14:paraId="52FDD7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 Drug Invest</w:t>
            </w:r>
          </w:p>
        </w:tc>
        <w:tc>
          <w:tcPr>
            <w:tcW w:w="709" w:type="dxa"/>
          </w:tcPr>
          <w:p w14:paraId="6F5096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27(4)</w:t>
            </w:r>
          </w:p>
        </w:tc>
        <w:tc>
          <w:tcPr>
            <w:tcW w:w="851" w:type="dxa"/>
          </w:tcPr>
          <w:p w14:paraId="01A4E7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227-232</w:t>
            </w:r>
          </w:p>
        </w:tc>
        <w:tc>
          <w:tcPr>
            <w:tcW w:w="1559" w:type="dxa"/>
          </w:tcPr>
          <w:p w14:paraId="2E62DC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1A272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01D6E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93B16C2" w14:textId="77777777" w:rsidTr="00924B3D">
        <w:trPr>
          <w:trHeight w:val="300"/>
        </w:trPr>
        <w:tc>
          <w:tcPr>
            <w:tcW w:w="1009" w:type="dxa"/>
            <w:shd w:val="clear" w:color="auto" w:fill="auto"/>
            <w:noWrap/>
            <w:hideMark/>
          </w:tcPr>
          <w:p w14:paraId="1917319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9D68E8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Finnell J, Bradley R, Bulayeva N, et al</w:t>
            </w:r>
          </w:p>
        </w:tc>
        <w:tc>
          <w:tcPr>
            <w:tcW w:w="709" w:type="dxa"/>
            <w:shd w:val="clear" w:color="auto" w:fill="auto"/>
            <w:noWrap/>
            <w:hideMark/>
          </w:tcPr>
          <w:p w14:paraId="2725AF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6BBC24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Vitamin D sufficiency status may effect circulating levels of the anti-aging protein klotho.</w:t>
            </w:r>
          </w:p>
        </w:tc>
        <w:tc>
          <w:tcPr>
            <w:tcW w:w="1417" w:type="dxa"/>
          </w:tcPr>
          <w:p w14:paraId="2BC9C1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761878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20(5)</w:t>
            </w:r>
          </w:p>
        </w:tc>
        <w:tc>
          <w:tcPr>
            <w:tcW w:w="851" w:type="dxa"/>
          </w:tcPr>
          <w:p w14:paraId="23DEE7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A90-1</w:t>
            </w:r>
          </w:p>
        </w:tc>
        <w:tc>
          <w:tcPr>
            <w:tcW w:w="1559" w:type="dxa"/>
          </w:tcPr>
          <w:p w14:paraId="395A64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BCDA1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ABB29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E39C32D" w14:textId="77777777" w:rsidTr="00924B3D">
        <w:trPr>
          <w:trHeight w:val="300"/>
        </w:trPr>
        <w:tc>
          <w:tcPr>
            <w:tcW w:w="1009" w:type="dxa"/>
            <w:shd w:val="clear" w:color="auto" w:fill="auto"/>
            <w:noWrap/>
            <w:hideMark/>
          </w:tcPr>
          <w:p w14:paraId="6AE4F7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6D035F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Firth J, Stubbs B, Sarris J, Rosenbaum S, Teasdale S, Berk M, Yung AR.</w:t>
            </w:r>
          </w:p>
        </w:tc>
        <w:tc>
          <w:tcPr>
            <w:tcW w:w="709" w:type="dxa"/>
            <w:shd w:val="clear" w:color="auto" w:fill="auto"/>
            <w:noWrap/>
            <w:hideMark/>
          </w:tcPr>
          <w:p w14:paraId="3582A7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7069C5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effects of vitamin and mineral supplementation on symptoms of schizophrenia: a systematic review and meta-analysis.</w:t>
            </w:r>
          </w:p>
        </w:tc>
        <w:tc>
          <w:tcPr>
            <w:tcW w:w="1417" w:type="dxa"/>
          </w:tcPr>
          <w:p w14:paraId="24CB3A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Psychological medicine</w:t>
            </w:r>
          </w:p>
        </w:tc>
        <w:tc>
          <w:tcPr>
            <w:tcW w:w="709" w:type="dxa"/>
          </w:tcPr>
          <w:p w14:paraId="2384FA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47(9)</w:t>
            </w:r>
          </w:p>
        </w:tc>
        <w:tc>
          <w:tcPr>
            <w:tcW w:w="851" w:type="dxa"/>
          </w:tcPr>
          <w:p w14:paraId="3F9500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1515-1527</w:t>
            </w:r>
          </w:p>
        </w:tc>
        <w:tc>
          <w:tcPr>
            <w:tcW w:w="1559" w:type="dxa"/>
          </w:tcPr>
          <w:p w14:paraId="5234A9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9545D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8E9D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03ECEE04" w14:textId="77777777" w:rsidTr="00924B3D">
        <w:trPr>
          <w:trHeight w:val="300"/>
        </w:trPr>
        <w:tc>
          <w:tcPr>
            <w:tcW w:w="1009" w:type="dxa"/>
            <w:shd w:val="clear" w:color="auto" w:fill="auto"/>
            <w:noWrap/>
            <w:hideMark/>
          </w:tcPr>
          <w:p w14:paraId="79015C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45035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Fleming S, Gutknecht NC</w:t>
            </w:r>
          </w:p>
        </w:tc>
        <w:tc>
          <w:tcPr>
            <w:tcW w:w="709" w:type="dxa"/>
            <w:shd w:val="clear" w:color="auto" w:fill="auto"/>
            <w:noWrap/>
            <w:hideMark/>
          </w:tcPr>
          <w:p w14:paraId="543188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0B4CD5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and Primary Care Practice</w:t>
            </w:r>
          </w:p>
        </w:tc>
        <w:tc>
          <w:tcPr>
            <w:tcW w:w="1417" w:type="dxa"/>
          </w:tcPr>
          <w:p w14:paraId="1DAD70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Primary Care</w:t>
            </w:r>
          </w:p>
        </w:tc>
        <w:tc>
          <w:tcPr>
            <w:tcW w:w="709" w:type="dxa"/>
          </w:tcPr>
          <w:p w14:paraId="21B2D9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37(1)</w:t>
            </w:r>
          </w:p>
        </w:tc>
        <w:tc>
          <w:tcPr>
            <w:tcW w:w="851" w:type="dxa"/>
          </w:tcPr>
          <w:p w14:paraId="654D3D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119-36</w:t>
            </w:r>
          </w:p>
        </w:tc>
        <w:tc>
          <w:tcPr>
            <w:tcW w:w="1559" w:type="dxa"/>
          </w:tcPr>
          <w:p w14:paraId="5F4DF1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10.1016/j.pop.2009.09.002</w:t>
            </w:r>
          </w:p>
        </w:tc>
        <w:tc>
          <w:tcPr>
            <w:tcW w:w="850" w:type="dxa"/>
            <w:shd w:val="clear" w:color="auto" w:fill="auto"/>
            <w:noWrap/>
            <w:hideMark/>
          </w:tcPr>
          <w:p w14:paraId="4C2D5F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3AFA2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B3808EC" w14:textId="77777777" w:rsidTr="00924B3D">
        <w:trPr>
          <w:trHeight w:val="300"/>
        </w:trPr>
        <w:tc>
          <w:tcPr>
            <w:tcW w:w="1009" w:type="dxa"/>
            <w:shd w:val="clear" w:color="auto" w:fill="auto"/>
            <w:noWrap/>
            <w:hideMark/>
          </w:tcPr>
          <w:p w14:paraId="3373D1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D2EFD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Fowdar K, Chen H, He Z, Zhang J, Zhong X, Zhang J, Li M, Bai J.</w:t>
            </w:r>
          </w:p>
        </w:tc>
        <w:tc>
          <w:tcPr>
            <w:tcW w:w="709" w:type="dxa"/>
            <w:shd w:val="clear" w:color="auto" w:fill="auto"/>
            <w:noWrap/>
            <w:hideMark/>
          </w:tcPr>
          <w:p w14:paraId="0EBD50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FD3D0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N-acetylcysteine on exacerbations of chronic obstructive pulmonary disease: A meta-analysis and systematic review.</w:t>
            </w:r>
          </w:p>
        </w:tc>
        <w:tc>
          <w:tcPr>
            <w:tcW w:w="1417" w:type="dxa"/>
          </w:tcPr>
          <w:p w14:paraId="4C04E4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Heart &amp; Lung</w:t>
            </w:r>
          </w:p>
        </w:tc>
        <w:tc>
          <w:tcPr>
            <w:tcW w:w="709" w:type="dxa"/>
          </w:tcPr>
          <w:p w14:paraId="72BE1E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46(2)</w:t>
            </w:r>
          </w:p>
        </w:tc>
        <w:tc>
          <w:tcPr>
            <w:tcW w:w="851" w:type="dxa"/>
          </w:tcPr>
          <w:p w14:paraId="02A3CE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120-128</w:t>
            </w:r>
          </w:p>
        </w:tc>
        <w:tc>
          <w:tcPr>
            <w:tcW w:w="1559" w:type="dxa"/>
          </w:tcPr>
          <w:p w14:paraId="6148A1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A5E9F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1978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6118DC92" w14:textId="77777777" w:rsidTr="00924B3D">
        <w:trPr>
          <w:trHeight w:val="300"/>
        </w:trPr>
        <w:tc>
          <w:tcPr>
            <w:tcW w:w="1009" w:type="dxa"/>
            <w:shd w:val="clear" w:color="auto" w:fill="auto"/>
            <w:noWrap/>
            <w:hideMark/>
          </w:tcPr>
          <w:p w14:paraId="2FBB31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B719C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Fruzzetti F, Perini D, Russo M, Bucci F, Gadducci A.</w:t>
            </w:r>
          </w:p>
        </w:tc>
        <w:tc>
          <w:tcPr>
            <w:tcW w:w="709" w:type="dxa"/>
            <w:shd w:val="clear" w:color="auto" w:fill="auto"/>
            <w:noWrap/>
            <w:hideMark/>
          </w:tcPr>
          <w:p w14:paraId="109921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DA5A6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Comparison of two insulin sensitizers, metformin and myo-inositol, in women with polycystic ovary syndrome (PCOS). </w:t>
            </w:r>
          </w:p>
        </w:tc>
        <w:tc>
          <w:tcPr>
            <w:tcW w:w="1417" w:type="dxa"/>
          </w:tcPr>
          <w:p w14:paraId="36F249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Gynecol Endocrinol</w:t>
            </w:r>
          </w:p>
        </w:tc>
        <w:tc>
          <w:tcPr>
            <w:tcW w:w="709" w:type="dxa"/>
          </w:tcPr>
          <w:p w14:paraId="080555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33(1)</w:t>
            </w:r>
          </w:p>
        </w:tc>
        <w:tc>
          <w:tcPr>
            <w:tcW w:w="851" w:type="dxa"/>
          </w:tcPr>
          <w:p w14:paraId="4F9E78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39-42</w:t>
            </w:r>
          </w:p>
        </w:tc>
        <w:tc>
          <w:tcPr>
            <w:tcW w:w="1559" w:type="dxa"/>
          </w:tcPr>
          <w:p w14:paraId="0D92C6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10.1080/09513590.2016.1236078</w:t>
            </w:r>
          </w:p>
        </w:tc>
        <w:tc>
          <w:tcPr>
            <w:tcW w:w="850" w:type="dxa"/>
            <w:shd w:val="clear" w:color="auto" w:fill="auto"/>
            <w:noWrap/>
            <w:hideMark/>
          </w:tcPr>
          <w:p w14:paraId="52C622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629EA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5816CBD" w14:textId="77777777" w:rsidTr="00924B3D">
        <w:trPr>
          <w:trHeight w:val="300"/>
        </w:trPr>
        <w:tc>
          <w:tcPr>
            <w:tcW w:w="1009" w:type="dxa"/>
            <w:shd w:val="clear" w:color="auto" w:fill="auto"/>
            <w:noWrap/>
            <w:hideMark/>
          </w:tcPr>
          <w:p w14:paraId="11D2BE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CEAEE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Galvez I, Torres-Piles S</w:t>
            </w:r>
          </w:p>
        </w:tc>
        <w:tc>
          <w:tcPr>
            <w:tcW w:w="709" w:type="dxa"/>
            <w:shd w:val="clear" w:color="auto" w:fill="auto"/>
            <w:noWrap/>
            <w:hideMark/>
          </w:tcPr>
          <w:p w14:paraId="3BC439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1E8E6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Baleneotherapy, Immune System, and Stress Response: A Hormetic Strategy?</w:t>
            </w:r>
          </w:p>
        </w:tc>
        <w:tc>
          <w:tcPr>
            <w:tcW w:w="1417" w:type="dxa"/>
          </w:tcPr>
          <w:p w14:paraId="0EDE9A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Molecular Science</w:t>
            </w:r>
          </w:p>
        </w:tc>
        <w:tc>
          <w:tcPr>
            <w:tcW w:w="709" w:type="dxa"/>
          </w:tcPr>
          <w:p w14:paraId="0CE2CB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19(6)</w:t>
            </w:r>
          </w:p>
        </w:tc>
        <w:tc>
          <w:tcPr>
            <w:tcW w:w="851" w:type="dxa"/>
          </w:tcPr>
          <w:p w14:paraId="73AAB5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1687</w:t>
            </w:r>
          </w:p>
        </w:tc>
        <w:tc>
          <w:tcPr>
            <w:tcW w:w="1559" w:type="dxa"/>
          </w:tcPr>
          <w:p w14:paraId="76F684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10.3390/ijms19061687</w:t>
            </w:r>
          </w:p>
        </w:tc>
        <w:tc>
          <w:tcPr>
            <w:tcW w:w="850" w:type="dxa"/>
            <w:shd w:val="clear" w:color="auto" w:fill="auto"/>
            <w:noWrap/>
            <w:hideMark/>
          </w:tcPr>
          <w:p w14:paraId="6A3E53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4261F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88BC963" w14:textId="77777777" w:rsidTr="00924B3D">
        <w:trPr>
          <w:trHeight w:val="300"/>
        </w:trPr>
        <w:tc>
          <w:tcPr>
            <w:tcW w:w="1009" w:type="dxa"/>
            <w:shd w:val="clear" w:color="auto" w:fill="auto"/>
            <w:noWrap/>
            <w:hideMark/>
          </w:tcPr>
          <w:p w14:paraId="013592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F3500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Gao H, Geng T, Huang T, Zhao Q.</w:t>
            </w:r>
          </w:p>
        </w:tc>
        <w:tc>
          <w:tcPr>
            <w:tcW w:w="709" w:type="dxa"/>
            <w:shd w:val="clear" w:color="auto" w:fill="auto"/>
            <w:noWrap/>
            <w:hideMark/>
          </w:tcPr>
          <w:p w14:paraId="2F5AF4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F60EC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Fish oil supplementation and insulin sensitivity: a systematic review and meta-analysis. </w:t>
            </w:r>
          </w:p>
        </w:tc>
        <w:tc>
          <w:tcPr>
            <w:tcW w:w="1417" w:type="dxa"/>
          </w:tcPr>
          <w:p w14:paraId="5454DC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Lipids in health and disease</w:t>
            </w:r>
          </w:p>
        </w:tc>
        <w:tc>
          <w:tcPr>
            <w:tcW w:w="709" w:type="dxa"/>
          </w:tcPr>
          <w:p w14:paraId="56A18E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16(1)</w:t>
            </w:r>
          </w:p>
        </w:tc>
        <w:tc>
          <w:tcPr>
            <w:tcW w:w="851" w:type="dxa"/>
          </w:tcPr>
          <w:p w14:paraId="0ED214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131</w:t>
            </w:r>
          </w:p>
        </w:tc>
        <w:tc>
          <w:tcPr>
            <w:tcW w:w="1559" w:type="dxa"/>
          </w:tcPr>
          <w:p w14:paraId="2C7320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10.1186/s12944-017-0528-0</w:t>
            </w:r>
          </w:p>
        </w:tc>
        <w:tc>
          <w:tcPr>
            <w:tcW w:w="850" w:type="dxa"/>
            <w:shd w:val="clear" w:color="auto" w:fill="auto"/>
            <w:noWrap/>
            <w:hideMark/>
          </w:tcPr>
          <w:p w14:paraId="57A481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CF6F116" w14:textId="6D120CF6"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4B3ECFD1" w14:textId="77777777" w:rsidTr="00924B3D">
        <w:trPr>
          <w:trHeight w:val="300"/>
        </w:trPr>
        <w:tc>
          <w:tcPr>
            <w:tcW w:w="1009" w:type="dxa"/>
            <w:shd w:val="clear" w:color="auto" w:fill="auto"/>
            <w:noWrap/>
            <w:hideMark/>
          </w:tcPr>
          <w:p w14:paraId="75B9A0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D40B8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Goldenberg J, Ward L, Day A, and Coole K</w:t>
            </w:r>
          </w:p>
        </w:tc>
        <w:tc>
          <w:tcPr>
            <w:tcW w:w="709" w:type="dxa"/>
            <w:shd w:val="clear" w:color="auto" w:fill="auto"/>
            <w:noWrap/>
            <w:hideMark/>
          </w:tcPr>
          <w:p w14:paraId="66E76E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797FB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Approaches to Irritable Bowel Syndrome—A Delphi Study</w:t>
            </w:r>
          </w:p>
        </w:tc>
        <w:tc>
          <w:tcPr>
            <w:tcW w:w="1417" w:type="dxa"/>
          </w:tcPr>
          <w:p w14:paraId="7C974E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Alternative and Complementary Medicine</w:t>
            </w:r>
          </w:p>
        </w:tc>
        <w:tc>
          <w:tcPr>
            <w:tcW w:w="709" w:type="dxa"/>
          </w:tcPr>
          <w:p w14:paraId="53B287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 (2)</w:t>
            </w:r>
          </w:p>
        </w:tc>
        <w:tc>
          <w:tcPr>
            <w:tcW w:w="851" w:type="dxa"/>
          </w:tcPr>
          <w:p w14:paraId="0311E4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227-233</w:t>
            </w:r>
          </w:p>
        </w:tc>
        <w:tc>
          <w:tcPr>
            <w:tcW w:w="1559" w:type="dxa"/>
          </w:tcPr>
          <w:p w14:paraId="608162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doi.org/10.1089/acm.2018.0255</w:t>
            </w:r>
          </w:p>
        </w:tc>
        <w:tc>
          <w:tcPr>
            <w:tcW w:w="850" w:type="dxa"/>
            <w:shd w:val="clear" w:color="auto" w:fill="auto"/>
            <w:noWrap/>
            <w:hideMark/>
          </w:tcPr>
          <w:p w14:paraId="5EAFB6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607FB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74382C2" w14:textId="77777777" w:rsidTr="00924B3D">
        <w:trPr>
          <w:trHeight w:val="300"/>
        </w:trPr>
        <w:tc>
          <w:tcPr>
            <w:tcW w:w="1009" w:type="dxa"/>
            <w:shd w:val="clear" w:color="auto" w:fill="auto"/>
            <w:noWrap/>
            <w:hideMark/>
          </w:tcPr>
          <w:p w14:paraId="43B771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F8FB6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Goldenberg, J, Ward, L, Day, A, Cooley, K</w:t>
            </w:r>
          </w:p>
        </w:tc>
        <w:tc>
          <w:tcPr>
            <w:tcW w:w="709" w:type="dxa"/>
            <w:shd w:val="clear" w:color="auto" w:fill="auto"/>
            <w:noWrap/>
            <w:hideMark/>
          </w:tcPr>
          <w:p w14:paraId="7750E5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57628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Approaches to Irritable Bowel Syndrome—A Delphi Study</w:t>
            </w:r>
          </w:p>
        </w:tc>
        <w:tc>
          <w:tcPr>
            <w:tcW w:w="1417" w:type="dxa"/>
          </w:tcPr>
          <w:p w14:paraId="510069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17E1C6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4B914A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227–233</w:t>
            </w:r>
          </w:p>
        </w:tc>
        <w:tc>
          <w:tcPr>
            <w:tcW w:w="1559" w:type="dxa"/>
          </w:tcPr>
          <w:p w14:paraId="1FDB39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10.1089/acm.2018.0255</w:t>
            </w:r>
          </w:p>
        </w:tc>
        <w:tc>
          <w:tcPr>
            <w:tcW w:w="850" w:type="dxa"/>
            <w:shd w:val="clear" w:color="auto" w:fill="auto"/>
            <w:noWrap/>
            <w:hideMark/>
          </w:tcPr>
          <w:p w14:paraId="383C5D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ED11C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B262494" w14:textId="77777777" w:rsidTr="00924B3D">
        <w:trPr>
          <w:trHeight w:val="300"/>
        </w:trPr>
        <w:tc>
          <w:tcPr>
            <w:tcW w:w="1009" w:type="dxa"/>
            <w:shd w:val="clear" w:color="auto" w:fill="auto"/>
            <w:noWrap/>
            <w:hideMark/>
          </w:tcPr>
          <w:p w14:paraId="33FC30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CDDB1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Goldenberg, JZ, Ward, L, Day, A &amp; Cooley, K</w:t>
            </w:r>
          </w:p>
        </w:tc>
        <w:tc>
          <w:tcPr>
            <w:tcW w:w="709" w:type="dxa"/>
            <w:shd w:val="clear" w:color="auto" w:fill="auto"/>
            <w:noWrap/>
            <w:hideMark/>
          </w:tcPr>
          <w:p w14:paraId="0FEFB0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956DE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Approaches to Irritable Bowel Syndrome—A Delphi Study</w:t>
            </w:r>
          </w:p>
        </w:tc>
        <w:tc>
          <w:tcPr>
            <w:tcW w:w="1417" w:type="dxa"/>
          </w:tcPr>
          <w:p w14:paraId="14AF77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2A96DF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78FBFB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227-233</w:t>
            </w:r>
          </w:p>
        </w:tc>
        <w:tc>
          <w:tcPr>
            <w:tcW w:w="1559" w:type="dxa"/>
          </w:tcPr>
          <w:p w14:paraId="75E705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10.1089/acm.2018.0255</w:t>
            </w:r>
          </w:p>
        </w:tc>
        <w:tc>
          <w:tcPr>
            <w:tcW w:w="850" w:type="dxa"/>
            <w:shd w:val="clear" w:color="auto" w:fill="auto"/>
            <w:noWrap/>
            <w:hideMark/>
          </w:tcPr>
          <w:p w14:paraId="3ADC8C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A1462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513EC01" w14:textId="77777777" w:rsidTr="00924B3D">
        <w:trPr>
          <w:trHeight w:val="300"/>
        </w:trPr>
        <w:tc>
          <w:tcPr>
            <w:tcW w:w="1009" w:type="dxa"/>
            <w:shd w:val="clear" w:color="auto" w:fill="auto"/>
            <w:noWrap/>
            <w:hideMark/>
          </w:tcPr>
          <w:p w14:paraId="415623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08D4E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Govindaraj R, Naik S, Manjunath N, et al.</w:t>
            </w:r>
          </w:p>
        </w:tc>
        <w:tc>
          <w:tcPr>
            <w:tcW w:w="709" w:type="dxa"/>
            <w:shd w:val="clear" w:color="auto" w:fill="auto"/>
            <w:noWrap/>
            <w:hideMark/>
          </w:tcPr>
          <w:p w14:paraId="67F805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30FD31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Add-on yoga therapy for social cognition in schizophrenia: a pilot study</w:t>
            </w:r>
          </w:p>
        </w:tc>
        <w:tc>
          <w:tcPr>
            <w:tcW w:w="1417" w:type="dxa"/>
          </w:tcPr>
          <w:p w14:paraId="7C7056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Yoga</w:t>
            </w:r>
          </w:p>
        </w:tc>
        <w:tc>
          <w:tcPr>
            <w:tcW w:w="709" w:type="dxa"/>
          </w:tcPr>
          <w:p w14:paraId="7CA57A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11(3)</w:t>
            </w:r>
          </w:p>
        </w:tc>
        <w:tc>
          <w:tcPr>
            <w:tcW w:w="851" w:type="dxa"/>
          </w:tcPr>
          <w:p w14:paraId="734BB9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242</w:t>
            </w:r>
          </w:p>
        </w:tc>
        <w:tc>
          <w:tcPr>
            <w:tcW w:w="1559" w:type="dxa"/>
          </w:tcPr>
          <w:p w14:paraId="3B2A92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B3960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334A1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FA7CD00" w14:textId="77777777" w:rsidTr="00924B3D">
        <w:trPr>
          <w:trHeight w:val="300"/>
        </w:trPr>
        <w:tc>
          <w:tcPr>
            <w:tcW w:w="1009" w:type="dxa"/>
            <w:shd w:val="clear" w:color="auto" w:fill="auto"/>
            <w:noWrap/>
            <w:hideMark/>
          </w:tcPr>
          <w:p w14:paraId="4851D2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60961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Greenlee H, Atkinson C, Stanczyk FZ, et al.</w:t>
            </w:r>
          </w:p>
        </w:tc>
        <w:tc>
          <w:tcPr>
            <w:tcW w:w="709" w:type="dxa"/>
            <w:shd w:val="clear" w:color="auto" w:fill="auto"/>
            <w:noWrap/>
            <w:hideMark/>
          </w:tcPr>
          <w:p w14:paraId="30FD63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03CC35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pilot and feasibility study on the effects of naturopathic botanical and dietary interventions on sex steroid hormone metabolism in premenopausal women</w:t>
            </w:r>
          </w:p>
        </w:tc>
        <w:tc>
          <w:tcPr>
            <w:tcW w:w="1417" w:type="dxa"/>
          </w:tcPr>
          <w:p w14:paraId="4C236C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Epidemiol Biomarkers Prev</w:t>
            </w:r>
          </w:p>
        </w:tc>
        <w:tc>
          <w:tcPr>
            <w:tcW w:w="709" w:type="dxa"/>
          </w:tcPr>
          <w:p w14:paraId="060586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16(8)</w:t>
            </w:r>
          </w:p>
        </w:tc>
        <w:tc>
          <w:tcPr>
            <w:tcW w:w="851" w:type="dxa"/>
          </w:tcPr>
          <w:p w14:paraId="1CF917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1601-9</w:t>
            </w:r>
          </w:p>
        </w:tc>
        <w:tc>
          <w:tcPr>
            <w:tcW w:w="1559" w:type="dxa"/>
          </w:tcPr>
          <w:p w14:paraId="1B07A1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ED266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B9EC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F7F5AA2" w14:textId="77777777" w:rsidTr="00924B3D">
        <w:trPr>
          <w:trHeight w:val="300"/>
        </w:trPr>
        <w:tc>
          <w:tcPr>
            <w:tcW w:w="1009" w:type="dxa"/>
            <w:shd w:val="clear" w:color="auto" w:fill="auto"/>
            <w:noWrap/>
            <w:hideMark/>
          </w:tcPr>
          <w:p w14:paraId="73705C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8A242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Greenlee H, Crew KD, Shao T, et al</w:t>
            </w:r>
          </w:p>
        </w:tc>
        <w:tc>
          <w:tcPr>
            <w:tcW w:w="709" w:type="dxa"/>
            <w:shd w:val="clear" w:color="auto" w:fill="auto"/>
            <w:noWrap/>
            <w:hideMark/>
          </w:tcPr>
          <w:p w14:paraId="43E5EC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66AAEC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Phase II study of glucosamine with chondroitin on aromatase inhibitor-associated joint symptoms in women with breast cancer</w:t>
            </w:r>
          </w:p>
        </w:tc>
        <w:tc>
          <w:tcPr>
            <w:tcW w:w="1417" w:type="dxa"/>
          </w:tcPr>
          <w:p w14:paraId="463851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Supportive Care in Cancer</w:t>
            </w:r>
          </w:p>
        </w:tc>
        <w:tc>
          <w:tcPr>
            <w:tcW w:w="709" w:type="dxa"/>
          </w:tcPr>
          <w:p w14:paraId="79A3AA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21(4)</w:t>
            </w:r>
          </w:p>
        </w:tc>
        <w:tc>
          <w:tcPr>
            <w:tcW w:w="851" w:type="dxa"/>
          </w:tcPr>
          <w:p w14:paraId="16C192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1077-87</w:t>
            </w:r>
          </w:p>
        </w:tc>
        <w:tc>
          <w:tcPr>
            <w:tcW w:w="1559" w:type="dxa"/>
          </w:tcPr>
          <w:p w14:paraId="1B1901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96623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E5EA2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FDBA0F0" w14:textId="77777777" w:rsidTr="00924B3D">
        <w:trPr>
          <w:trHeight w:val="300"/>
        </w:trPr>
        <w:tc>
          <w:tcPr>
            <w:tcW w:w="1009" w:type="dxa"/>
            <w:shd w:val="clear" w:color="auto" w:fill="auto"/>
            <w:noWrap/>
            <w:hideMark/>
          </w:tcPr>
          <w:p w14:paraId="73C4AF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B925E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Greenlee H, Gaffney AO, Aycinena AC, et al</w:t>
            </w:r>
          </w:p>
        </w:tc>
        <w:tc>
          <w:tcPr>
            <w:tcW w:w="709" w:type="dxa"/>
            <w:shd w:val="clear" w:color="auto" w:fill="auto"/>
            <w:noWrap/>
            <w:hideMark/>
          </w:tcPr>
          <w:p w14:paraId="194012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4A05C1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Cocinar Para Su Salud!: randomized controlled trial of a culturally based dietary intervention among Hispanic breast cancer survivors.</w:t>
            </w:r>
          </w:p>
        </w:tc>
        <w:tc>
          <w:tcPr>
            <w:tcW w:w="1417" w:type="dxa"/>
          </w:tcPr>
          <w:p w14:paraId="59ECA3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the Academy of Nutrition and Dietetics</w:t>
            </w:r>
          </w:p>
        </w:tc>
        <w:tc>
          <w:tcPr>
            <w:tcW w:w="709" w:type="dxa"/>
          </w:tcPr>
          <w:p w14:paraId="66414F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115(5)</w:t>
            </w:r>
          </w:p>
        </w:tc>
        <w:tc>
          <w:tcPr>
            <w:tcW w:w="851" w:type="dxa"/>
          </w:tcPr>
          <w:p w14:paraId="7282D1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S42-56</w:t>
            </w:r>
          </w:p>
        </w:tc>
        <w:tc>
          <w:tcPr>
            <w:tcW w:w="1559" w:type="dxa"/>
          </w:tcPr>
          <w:p w14:paraId="1FBE7A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97704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60098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7C586E2" w14:textId="77777777" w:rsidTr="00924B3D">
        <w:trPr>
          <w:trHeight w:val="300"/>
        </w:trPr>
        <w:tc>
          <w:tcPr>
            <w:tcW w:w="1009" w:type="dxa"/>
            <w:shd w:val="clear" w:color="auto" w:fill="auto"/>
            <w:noWrap/>
            <w:hideMark/>
          </w:tcPr>
          <w:p w14:paraId="17B9EA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5271D5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Greenlee H, Gaffney AO, Aycinena AC, et al.</w:t>
            </w:r>
          </w:p>
        </w:tc>
        <w:tc>
          <w:tcPr>
            <w:tcW w:w="709" w:type="dxa"/>
            <w:shd w:val="clear" w:color="auto" w:fill="auto"/>
            <w:noWrap/>
            <w:hideMark/>
          </w:tcPr>
          <w:p w14:paraId="7429A1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7C2367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Long-term diet and biomarker changes after a short-term intervention among Hispanic breast cancer survivors: The¡ Cocinar Para Su Salud! randomized controlled trial.</w:t>
            </w:r>
          </w:p>
        </w:tc>
        <w:tc>
          <w:tcPr>
            <w:tcW w:w="1417" w:type="dxa"/>
          </w:tcPr>
          <w:p w14:paraId="755612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Epidemiol Biomarkers Prev</w:t>
            </w:r>
          </w:p>
        </w:tc>
        <w:tc>
          <w:tcPr>
            <w:tcW w:w="709" w:type="dxa"/>
          </w:tcPr>
          <w:p w14:paraId="021E6B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25(11)</w:t>
            </w:r>
          </w:p>
        </w:tc>
        <w:tc>
          <w:tcPr>
            <w:tcW w:w="851" w:type="dxa"/>
          </w:tcPr>
          <w:p w14:paraId="64033E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1491-502</w:t>
            </w:r>
          </w:p>
        </w:tc>
        <w:tc>
          <w:tcPr>
            <w:tcW w:w="1559" w:type="dxa"/>
          </w:tcPr>
          <w:p w14:paraId="6B92A5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3DD69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14C4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E051881" w14:textId="77777777" w:rsidTr="00924B3D">
        <w:trPr>
          <w:trHeight w:val="300"/>
        </w:trPr>
        <w:tc>
          <w:tcPr>
            <w:tcW w:w="1009" w:type="dxa"/>
            <w:shd w:val="clear" w:color="auto" w:fill="auto"/>
            <w:noWrap/>
            <w:hideMark/>
          </w:tcPr>
          <w:p w14:paraId="3FD432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AB218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Greenlee H, Molmenti CLS, Crew KD, et al.</w:t>
            </w:r>
          </w:p>
        </w:tc>
        <w:tc>
          <w:tcPr>
            <w:tcW w:w="709" w:type="dxa"/>
            <w:shd w:val="clear" w:color="auto" w:fill="auto"/>
            <w:noWrap/>
            <w:hideMark/>
          </w:tcPr>
          <w:p w14:paraId="2D5AD4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109927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Survivorship care plans and adherence to lifestyle recommendations among breast cancer survivors</w:t>
            </w:r>
          </w:p>
        </w:tc>
        <w:tc>
          <w:tcPr>
            <w:tcW w:w="1417" w:type="dxa"/>
          </w:tcPr>
          <w:p w14:paraId="5E8295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Cancer Survivorship</w:t>
            </w:r>
          </w:p>
        </w:tc>
        <w:tc>
          <w:tcPr>
            <w:tcW w:w="709" w:type="dxa"/>
          </w:tcPr>
          <w:p w14:paraId="52A155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10(6)</w:t>
            </w:r>
          </w:p>
        </w:tc>
        <w:tc>
          <w:tcPr>
            <w:tcW w:w="851" w:type="dxa"/>
          </w:tcPr>
          <w:p w14:paraId="1266A3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956-63</w:t>
            </w:r>
          </w:p>
        </w:tc>
        <w:tc>
          <w:tcPr>
            <w:tcW w:w="1559" w:type="dxa"/>
          </w:tcPr>
          <w:p w14:paraId="069EE8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94BEC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C3439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98D53A2" w14:textId="77777777" w:rsidTr="00924B3D">
        <w:trPr>
          <w:trHeight w:val="300"/>
        </w:trPr>
        <w:tc>
          <w:tcPr>
            <w:tcW w:w="1009" w:type="dxa"/>
            <w:shd w:val="clear" w:color="auto" w:fill="auto"/>
            <w:noWrap/>
            <w:hideMark/>
          </w:tcPr>
          <w:p w14:paraId="1489D1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6287E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Greenlee HA, Crew KD, Mata JM, et al.</w:t>
            </w:r>
          </w:p>
        </w:tc>
        <w:tc>
          <w:tcPr>
            <w:tcW w:w="709" w:type="dxa"/>
            <w:shd w:val="clear" w:color="auto" w:fill="auto"/>
            <w:noWrap/>
            <w:hideMark/>
          </w:tcPr>
          <w:p w14:paraId="5A8273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599D22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pilot randomized controlled trial of a commercial diet and exercise weight loss program in minority breast cancer survivors</w:t>
            </w:r>
          </w:p>
        </w:tc>
        <w:tc>
          <w:tcPr>
            <w:tcW w:w="1417" w:type="dxa"/>
          </w:tcPr>
          <w:p w14:paraId="7C49C9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Obesity</w:t>
            </w:r>
          </w:p>
        </w:tc>
        <w:tc>
          <w:tcPr>
            <w:tcW w:w="709" w:type="dxa"/>
          </w:tcPr>
          <w:p w14:paraId="35BF74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21(1)</w:t>
            </w:r>
          </w:p>
        </w:tc>
        <w:tc>
          <w:tcPr>
            <w:tcW w:w="851" w:type="dxa"/>
          </w:tcPr>
          <w:p w14:paraId="0CE8A3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65-76</w:t>
            </w:r>
          </w:p>
        </w:tc>
        <w:tc>
          <w:tcPr>
            <w:tcW w:w="1559" w:type="dxa"/>
          </w:tcPr>
          <w:p w14:paraId="53D4DC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80B09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A7D72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877A543" w14:textId="77777777" w:rsidTr="00924B3D">
        <w:trPr>
          <w:trHeight w:val="300"/>
        </w:trPr>
        <w:tc>
          <w:tcPr>
            <w:tcW w:w="1009" w:type="dxa"/>
            <w:shd w:val="clear" w:color="auto" w:fill="auto"/>
            <w:noWrap/>
            <w:hideMark/>
          </w:tcPr>
          <w:p w14:paraId="4DCE51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F2531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Greenlee, H., C. Atkinson, F. Z. Stanczyk and J. W. Lampe</w:t>
            </w:r>
          </w:p>
        </w:tc>
        <w:tc>
          <w:tcPr>
            <w:tcW w:w="709" w:type="dxa"/>
            <w:shd w:val="clear" w:color="auto" w:fill="auto"/>
            <w:noWrap/>
            <w:hideMark/>
          </w:tcPr>
          <w:p w14:paraId="50E95B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235835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pilot and feasibility study on the effects of naturopathic botanical and dietary interventions on sex steroid hormone metabolism in premenopausal women. </w:t>
            </w:r>
          </w:p>
        </w:tc>
        <w:tc>
          <w:tcPr>
            <w:tcW w:w="1417" w:type="dxa"/>
          </w:tcPr>
          <w:p w14:paraId="0A06A0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Epidemiology and Prevention Biomarkers</w:t>
            </w:r>
          </w:p>
        </w:tc>
        <w:tc>
          <w:tcPr>
            <w:tcW w:w="709" w:type="dxa"/>
          </w:tcPr>
          <w:p w14:paraId="3B3598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 (8)</w:t>
            </w:r>
          </w:p>
        </w:tc>
        <w:tc>
          <w:tcPr>
            <w:tcW w:w="851" w:type="dxa"/>
          </w:tcPr>
          <w:p w14:paraId="121E2D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1601-1609.</w:t>
            </w:r>
          </w:p>
        </w:tc>
        <w:tc>
          <w:tcPr>
            <w:tcW w:w="1559" w:type="dxa"/>
          </w:tcPr>
          <w:p w14:paraId="2ABFDE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1055-9965</w:t>
            </w:r>
          </w:p>
        </w:tc>
        <w:tc>
          <w:tcPr>
            <w:tcW w:w="850" w:type="dxa"/>
            <w:shd w:val="clear" w:color="auto" w:fill="auto"/>
            <w:noWrap/>
            <w:hideMark/>
          </w:tcPr>
          <w:p w14:paraId="1DC961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1AC42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C53E660" w14:textId="77777777" w:rsidTr="00924B3D">
        <w:trPr>
          <w:trHeight w:val="300"/>
        </w:trPr>
        <w:tc>
          <w:tcPr>
            <w:tcW w:w="1009" w:type="dxa"/>
            <w:shd w:val="clear" w:color="auto" w:fill="auto"/>
            <w:noWrap/>
            <w:hideMark/>
          </w:tcPr>
          <w:p w14:paraId="010BE4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053FC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Guerrero-Romero, F et al.</w:t>
            </w:r>
          </w:p>
        </w:tc>
        <w:tc>
          <w:tcPr>
            <w:tcW w:w="709" w:type="dxa"/>
            <w:shd w:val="clear" w:color="auto" w:fill="auto"/>
            <w:noWrap/>
            <w:hideMark/>
          </w:tcPr>
          <w:p w14:paraId="7109ED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24DF8B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Oral Magnesium supplementation improves insulin sensitivity in non-diabetic subjects with insulin resistance. A double-blind placebo-controlled randomized trial.</w:t>
            </w:r>
          </w:p>
        </w:tc>
        <w:tc>
          <w:tcPr>
            <w:tcW w:w="1417" w:type="dxa"/>
          </w:tcPr>
          <w:p w14:paraId="2EE9A4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Diabetes &amp; Metabolism.</w:t>
            </w:r>
          </w:p>
        </w:tc>
        <w:tc>
          <w:tcPr>
            <w:tcW w:w="709" w:type="dxa"/>
          </w:tcPr>
          <w:p w14:paraId="54509E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30 (3)</w:t>
            </w:r>
          </w:p>
        </w:tc>
        <w:tc>
          <w:tcPr>
            <w:tcW w:w="851" w:type="dxa"/>
          </w:tcPr>
          <w:p w14:paraId="33D4B2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253–258</w:t>
            </w:r>
          </w:p>
        </w:tc>
        <w:tc>
          <w:tcPr>
            <w:tcW w:w="1559" w:type="dxa"/>
          </w:tcPr>
          <w:p w14:paraId="01DB63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89230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B55F9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94C87D8" w14:textId="77777777" w:rsidTr="00924B3D">
        <w:trPr>
          <w:trHeight w:val="300"/>
        </w:trPr>
        <w:tc>
          <w:tcPr>
            <w:tcW w:w="1009" w:type="dxa"/>
            <w:shd w:val="clear" w:color="auto" w:fill="auto"/>
            <w:noWrap/>
            <w:hideMark/>
          </w:tcPr>
          <w:p w14:paraId="29B9BB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5583A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Gunawan M, Braun L, Esmore D, et al</w:t>
            </w:r>
          </w:p>
        </w:tc>
        <w:tc>
          <w:tcPr>
            <w:tcW w:w="709" w:type="dxa"/>
            <w:shd w:val="clear" w:color="auto" w:fill="auto"/>
            <w:noWrap/>
            <w:hideMark/>
          </w:tcPr>
          <w:p w14:paraId="34CA6F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55323F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Integrative wellness program for cardiac surgery patients: implementation and evaluation</w:t>
            </w:r>
          </w:p>
        </w:tc>
        <w:tc>
          <w:tcPr>
            <w:tcW w:w="1417" w:type="dxa"/>
          </w:tcPr>
          <w:p w14:paraId="03C6CF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Heart, Lung and Circulation</w:t>
            </w:r>
          </w:p>
        </w:tc>
        <w:tc>
          <w:tcPr>
            <w:tcW w:w="709" w:type="dxa"/>
          </w:tcPr>
          <w:p w14:paraId="7D1FB38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w:t>
            </w:r>
          </w:p>
        </w:tc>
        <w:tc>
          <w:tcPr>
            <w:tcW w:w="851" w:type="dxa"/>
          </w:tcPr>
          <w:p w14:paraId="443664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S259</w:t>
            </w:r>
          </w:p>
        </w:tc>
        <w:tc>
          <w:tcPr>
            <w:tcW w:w="1559" w:type="dxa"/>
          </w:tcPr>
          <w:p w14:paraId="75BE7B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7886A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76F70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BC2A2E6" w14:textId="77777777" w:rsidTr="00924B3D">
        <w:trPr>
          <w:trHeight w:val="300"/>
        </w:trPr>
        <w:tc>
          <w:tcPr>
            <w:tcW w:w="1009" w:type="dxa"/>
            <w:shd w:val="clear" w:color="auto" w:fill="auto"/>
            <w:noWrap/>
            <w:hideMark/>
          </w:tcPr>
          <w:p w14:paraId="18044F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868AA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Guo X, Guo S, Miao Z, Li Z, Zhang H.</w:t>
            </w:r>
          </w:p>
        </w:tc>
        <w:tc>
          <w:tcPr>
            <w:tcW w:w="709" w:type="dxa"/>
            <w:shd w:val="clear" w:color="auto" w:fill="auto"/>
            <w:noWrap/>
            <w:hideMark/>
          </w:tcPr>
          <w:p w14:paraId="625EBB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674005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Myo-inositol lowers the risk of developing gestational diabetic mellitus in pregnancies: A systematic review and meta-analysis of randomized controlled trials with trial sequential analysis. </w:t>
            </w:r>
          </w:p>
        </w:tc>
        <w:tc>
          <w:tcPr>
            <w:tcW w:w="1417" w:type="dxa"/>
          </w:tcPr>
          <w:p w14:paraId="1E0F34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Diabetes Complications</w:t>
            </w:r>
          </w:p>
        </w:tc>
        <w:tc>
          <w:tcPr>
            <w:tcW w:w="709" w:type="dxa"/>
          </w:tcPr>
          <w:p w14:paraId="486B09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32(3)</w:t>
            </w:r>
          </w:p>
        </w:tc>
        <w:tc>
          <w:tcPr>
            <w:tcW w:w="851" w:type="dxa"/>
          </w:tcPr>
          <w:p w14:paraId="4D66B4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342-348</w:t>
            </w:r>
          </w:p>
        </w:tc>
        <w:tc>
          <w:tcPr>
            <w:tcW w:w="1559" w:type="dxa"/>
          </w:tcPr>
          <w:p w14:paraId="781B58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10.1016/j.jdiacomp.2017.07.007</w:t>
            </w:r>
          </w:p>
        </w:tc>
        <w:tc>
          <w:tcPr>
            <w:tcW w:w="850" w:type="dxa"/>
            <w:shd w:val="clear" w:color="auto" w:fill="auto"/>
            <w:noWrap/>
            <w:hideMark/>
          </w:tcPr>
          <w:p w14:paraId="4C2A6F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2FB3F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74E45020" w14:textId="77777777" w:rsidTr="00924B3D">
        <w:trPr>
          <w:trHeight w:val="300"/>
        </w:trPr>
        <w:tc>
          <w:tcPr>
            <w:tcW w:w="1009" w:type="dxa"/>
            <w:shd w:val="clear" w:color="auto" w:fill="auto"/>
            <w:noWrap/>
            <w:hideMark/>
          </w:tcPr>
          <w:p w14:paraId="04F029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C7E56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Guo XF, Yang B, Tang J, Li D.</w:t>
            </w:r>
          </w:p>
        </w:tc>
        <w:tc>
          <w:tcPr>
            <w:tcW w:w="709" w:type="dxa"/>
            <w:shd w:val="clear" w:color="auto" w:fill="auto"/>
            <w:noWrap/>
            <w:hideMark/>
          </w:tcPr>
          <w:p w14:paraId="65BE16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487518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Fatty acid and non-alcoholic fatty liver disease: meta-analyses of case-control and randomized controlled trials. </w:t>
            </w:r>
          </w:p>
        </w:tc>
        <w:tc>
          <w:tcPr>
            <w:tcW w:w="1417" w:type="dxa"/>
          </w:tcPr>
          <w:p w14:paraId="4F2ADD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Nutrition</w:t>
            </w:r>
          </w:p>
        </w:tc>
        <w:tc>
          <w:tcPr>
            <w:tcW w:w="709" w:type="dxa"/>
          </w:tcPr>
          <w:p w14:paraId="3A6E8D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37(1)</w:t>
            </w:r>
          </w:p>
        </w:tc>
        <w:tc>
          <w:tcPr>
            <w:tcW w:w="851" w:type="dxa"/>
          </w:tcPr>
          <w:p w14:paraId="3E39D1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113-122</w:t>
            </w:r>
          </w:p>
        </w:tc>
        <w:tc>
          <w:tcPr>
            <w:tcW w:w="1559" w:type="dxa"/>
          </w:tcPr>
          <w:p w14:paraId="4B2F0B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10.1016/j.clnu.2017.01.003</w:t>
            </w:r>
          </w:p>
        </w:tc>
        <w:tc>
          <w:tcPr>
            <w:tcW w:w="850" w:type="dxa"/>
            <w:shd w:val="clear" w:color="auto" w:fill="auto"/>
            <w:noWrap/>
            <w:hideMark/>
          </w:tcPr>
          <w:p w14:paraId="66D487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25AEA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75290D5E" w14:textId="77777777" w:rsidTr="00924B3D">
        <w:trPr>
          <w:trHeight w:val="300"/>
        </w:trPr>
        <w:tc>
          <w:tcPr>
            <w:tcW w:w="1009" w:type="dxa"/>
            <w:shd w:val="clear" w:color="auto" w:fill="auto"/>
            <w:noWrap/>
            <w:hideMark/>
          </w:tcPr>
          <w:p w14:paraId="75E2CA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89179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Haghiac M, Yang XH, Presley L, Smith S, Dettelback S, Minium J, et al.</w:t>
            </w:r>
          </w:p>
        </w:tc>
        <w:tc>
          <w:tcPr>
            <w:tcW w:w="709" w:type="dxa"/>
            <w:shd w:val="clear" w:color="auto" w:fill="auto"/>
            <w:noWrap/>
            <w:hideMark/>
          </w:tcPr>
          <w:p w14:paraId="1FFCF1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45BCEF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Dietary omega-3 fatty acid supplementation reduces inflammation in obese pregnant women: a randomized double-blind controlled clinical trial.</w:t>
            </w:r>
          </w:p>
        </w:tc>
        <w:tc>
          <w:tcPr>
            <w:tcW w:w="1417" w:type="dxa"/>
          </w:tcPr>
          <w:p w14:paraId="7C35B1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32D7C8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10(9)</w:t>
            </w:r>
          </w:p>
        </w:tc>
        <w:tc>
          <w:tcPr>
            <w:tcW w:w="851" w:type="dxa"/>
          </w:tcPr>
          <w:p w14:paraId="1B2733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e0137309</w:t>
            </w:r>
          </w:p>
        </w:tc>
        <w:tc>
          <w:tcPr>
            <w:tcW w:w="1559" w:type="dxa"/>
          </w:tcPr>
          <w:p w14:paraId="49FED8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10.1371/journal.pone.0137309</w:t>
            </w:r>
          </w:p>
        </w:tc>
        <w:tc>
          <w:tcPr>
            <w:tcW w:w="850" w:type="dxa"/>
            <w:shd w:val="clear" w:color="auto" w:fill="auto"/>
            <w:noWrap/>
            <w:hideMark/>
          </w:tcPr>
          <w:p w14:paraId="50BD8C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2C39B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078B958" w14:textId="77777777" w:rsidTr="00924B3D">
        <w:trPr>
          <w:trHeight w:val="300"/>
        </w:trPr>
        <w:tc>
          <w:tcPr>
            <w:tcW w:w="1009" w:type="dxa"/>
            <w:shd w:val="clear" w:color="auto" w:fill="auto"/>
            <w:noWrap/>
            <w:hideMark/>
          </w:tcPr>
          <w:p w14:paraId="42F2C4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67433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Hall,S.D, Wang, Zaiqi, Huang, Shiew</w:t>
            </w:r>
            <w:r w:rsidRPr="00D518FF">
              <w:rPr>
                <w:rFonts w:ascii="Cambria Math" w:hAnsi="Cambria Math" w:cs="Cambria Math"/>
                <w:color w:val="000000"/>
                <w:sz w:val="16"/>
                <w:szCs w:val="16"/>
              </w:rPr>
              <w:t>‐</w:t>
            </w:r>
            <w:r w:rsidRPr="00D518FF">
              <w:rPr>
                <w:rFonts w:ascii="Aptos" w:hAnsi="Aptos" w:cs="Calibri"/>
                <w:color w:val="000000"/>
                <w:sz w:val="16"/>
                <w:szCs w:val="16"/>
              </w:rPr>
              <w:t>Mei, et al.</w:t>
            </w:r>
          </w:p>
        </w:tc>
        <w:tc>
          <w:tcPr>
            <w:tcW w:w="709" w:type="dxa"/>
            <w:shd w:val="clear" w:color="auto" w:fill="auto"/>
            <w:noWrap/>
            <w:hideMark/>
          </w:tcPr>
          <w:p w14:paraId="62F239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2003</w:t>
            </w:r>
          </w:p>
        </w:tc>
        <w:tc>
          <w:tcPr>
            <w:tcW w:w="3544" w:type="dxa"/>
            <w:shd w:val="clear" w:color="auto" w:fill="auto"/>
            <w:noWrap/>
            <w:hideMark/>
          </w:tcPr>
          <w:p w14:paraId="019C3F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interaction between St John's wort and an oral contraceptive</w:t>
            </w:r>
          </w:p>
        </w:tc>
        <w:tc>
          <w:tcPr>
            <w:tcW w:w="1417" w:type="dxa"/>
          </w:tcPr>
          <w:p w14:paraId="62448E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Clinical Pharmacology &amp; Therapeutics </w:t>
            </w:r>
          </w:p>
        </w:tc>
        <w:tc>
          <w:tcPr>
            <w:tcW w:w="709" w:type="dxa"/>
          </w:tcPr>
          <w:p w14:paraId="7B13AC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74(6) </w:t>
            </w:r>
          </w:p>
        </w:tc>
        <w:tc>
          <w:tcPr>
            <w:tcW w:w="851" w:type="dxa"/>
          </w:tcPr>
          <w:p w14:paraId="3CBBC3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525-535</w:t>
            </w:r>
          </w:p>
        </w:tc>
        <w:tc>
          <w:tcPr>
            <w:tcW w:w="1559" w:type="dxa"/>
          </w:tcPr>
          <w:p w14:paraId="0A58B2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0009-9236</w:t>
            </w:r>
          </w:p>
        </w:tc>
        <w:tc>
          <w:tcPr>
            <w:tcW w:w="850" w:type="dxa"/>
            <w:shd w:val="clear" w:color="auto" w:fill="auto"/>
            <w:noWrap/>
            <w:hideMark/>
          </w:tcPr>
          <w:p w14:paraId="07D693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DF09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29D2E423" w14:textId="77777777" w:rsidTr="00924B3D">
        <w:trPr>
          <w:trHeight w:val="300"/>
        </w:trPr>
        <w:tc>
          <w:tcPr>
            <w:tcW w:w="1009" w:type="dxa"/>
            <w:shd w:val="clear" w:color="auto" w:fill="auto"/>
            <w:noWrap/>
            <w:hideMark/>
          </w:tcPr>
          <w:p w14:paraId="326B21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2E8CF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Hansen S, Strøm M, Maslova E, Dahl R, Hoffmann HJ, Rytter D, et al.</w:t>
            </w:r>
          </w:p>
        </w:tc>
        <w:tc>
          <w:tcPr>
            <w:tcW w:w="709" w:type="dxa"/>
            <w:shd w:val="clear" w:color="auto" w:fill="auto"/>
            <w:noWrap/>
            <w:hideMark/>
          </w:tcPr>
          <w:p w14:paraId="4879C2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239F9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Fish oil supplementation during pregnancy and allergic respiratory disease in the adult offspring. </w:t>
            </w:r>
          </w:p>
        </w:tc>
        <w:tc>
          <w:tcPr>
            <w:tcW w:w="1417" w:type="dxa"/>
          </w:tcPr>
          <w:p w14:paraId="053655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Allergy Clin Immunol</w:t>
            </w:r>
          </w:p>
        </w:tc>
        <w:tc>
          <w:tcPr>
            <w:tcW w:w="709" w:type="dxa"/>
          </w:tcPr>
          <w:p w14:paraId="107971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139(1)</w:t>
            </w:r>
          </w:p>
        </w:tc>
        <w:tc>
          <w:tcPr>
            <w:tcW w:w="851" w:type="dxa"/>
          </w:tcPr>
          <w:p w14:paraId="1E06FF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104-111</w:t>
            </w:r>
          </w:p>
        </w:tc>
        <w:tc>
          <w:tcPr>
            <w:tcW w:w="1559" w:type="dxa"/>
          </w:tcPr>
          <w:p w14:paraId="0D91B7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10.1016/j.jaci.2016.02.042</w:t>
            </w:r>
          </w:p>
        </w:tc>
        <w:tc>
          <w:tcPr>
            <w:tcW w:w="850" w:type="dxa"/>
            <w:shd w:val="clear" w:color="auto" w:fill="auto"/>
            <w:noWrap/>
            <w:hideMark/>
          </w:tcPr>
          <w:p w14:paraId="2A4624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FF735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79773674" w14:textId="77777777" w:rsidTr="00924B3D">
        <w:trPr>
          <w:trHeight w:val="300"/>
        </w:trPr>
        <w:tc>
          <w:tcPr>
            <w:tcW w:w="1009" w:type="dxa"/>
            <w:shd w:val="clear" w:color="auto" w:fill="auto"/>
            <w:noWrap/>
            <w:hideMark/>
          </w:tcPr>
          <w:p w14:paraId="1A86CA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000B0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Harnett J, Myers SP, Rolfe M</w:t>
            </w:r>
          </w:p>
        </w:tc>
        <w:tc>
          <w:tcPr>
            <w:tcW w:w="709" w:type="dxa"/>
            <w:shd w:val="clear" w:color="auto" w:fill="auto"/>
            <w:noWrap/>
            <w:hideMark/>
          </w:tcPr>
          <w:p w14:paraId="758E6E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743C5C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Probiotics and the microbiome in celiac disease: a randomised controlled trial</w:t>
            </w:r>
          </w:p>
        </w:tc>
        <w:tc>
          <w:tcPr>
            <w:tcW w:w="1417" w:type="dxa"/>
          </w:tcPr>
          <w:p w14:paraId="4AC4BB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Evidence-Based Complementary and Alternative Medicine</w:t>
            </w:r>
          </w:p>
        </w:tc>
        <w:tc>
          <w:tcPr>
            <w:tcW w:w="709" w:type="dxa"/>
          </w:tcPr>
          <w:p w14:paraId="785DA0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851" w:type="dxa"/>
          </w:tcPr>
          <w:p w14:paraId="3AE4C4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Jan-16</w:t>
            </w:r>
          </w:p>
        </w:tc>
        <w:tc>
          <w:tcPr>
            <w:tcW w:w="1559" w:type="dxa"/>
          </w:tcPr>
          <w:p w14:paraId="7559BB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E8470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9D2DD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3EB3285" w14:textId="77777777" w:rsidTr="00924B3D">
        <w:trPr>
          <w:trHeight w:val="300"/>
        </w:trPr>
        <w:tc>
          <w:tcPr>
            <w:tcW w:w="1009" w:type="dxa"/>
            <w:shd w:val="clear" w:color="auto" w:fill="auto"/>
            <w:noWrap/>
            <w:hideMark/>
          </w:tcPr>
          <w:p w14:paraId="6D70EE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206F61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Harvey C, Schofield GM, Williden M, et al.</w:t>
            </w:r>
          </w:p>
        </w:tc>
        <w:tc>
          <w:tcPr>
            <w:tcW w:w="709" w:type="dxa"/>
            <w:shd w:val="clear" w:color="auto" w:fill="auto"/>
            <w:noWrap/>
            <w:hideMark/>
          </w:tcPr>
          <w:p w14:paraId="6BE990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A5476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medium chain triglycerides on time to nutritional ketosis and symptoms of keto-induction in healthy adults: a randomised controlled clinical trial</w:t>
            </w:r>
          </w:p>
        </w:tc>
        <w:tc>
          <w:tcPr>
            <w:tcW w:w="1417" w:type="dxa"/>
          </w:tcPr>
          <w:p w14:paraId="154021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Nutrition and Metabolism</w:t>
            </w:r>
          </w:p>
        </w:tc>
        <w:tc>
          <w:tcPr>
            <w:tcW w:w="709" w:type="dxa"/>
          </w:tcPr>
          <w:p w14:paraId="584BCE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851" w:type="dxa"/>
          </w:tcPr>
          <w:p w14:paraId="6F47E5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1-Sep</w:t>
            </w:r>
          </w:p>
        </w:tc>
        <w:tc>
          <w:tcPr>
            <w:tcW w:w="1559" w:type="dxa"/>
          </w:tcPr>
          <w:p w14:paraId="344052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29DBE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890BE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F6E6498" w14:textId="77777777" w:rsidTr="00924B3D">
        <w:trPr>
          <w:trHeight w:val="300"/>
        </w:trPr>
        <w:tc>
          <w:tcPr>
            <w:tcW w:w="1009" w:type="dxa"/>
            <w:shd w:val="clear" w:color="auto" w:fill="auto"/>
            <w:noWrap/>
            <w:hideMark/>
          </w:tcPr>
          <w:p w14:paraId="70FDBF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19A32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Hawrelak JA, Myers SP</w:t>
            </w:r>
          </w:p>
        </w:tc>
        <w:tc>
          <w:tcPr>
            <w:tcW w:w="709" w:type="dxa"/>
            <w:shd w:val="clear" w:color="auto" w:fill="auto"/>
            <w:noWrap/>
            <w:hideMark/>
          </w:tcPr>
          <w:p w14:paraId="238786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214BBC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two natural medicine formulations on irritable bowel syndrome symptoms: a pilot study</w:t>
            </w:r>
          </w:p>
        </w:tc>
        <w:tc>
          <w:tcPr>
            <w:tcW w:w="1417" w:type="dxa"/>
          </w:tcPr>
          <w:p w14:paraId="717E98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20BED8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16(10)</w:t>
            </w:r>
          </w:p>
        </w:tc>
        <w:tc>
          <w:tcPr>
            <w:tcW w:w="851" w:type="dxa"/>
          </w:tcPr>
          <w:p w14:paraId="5495DC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1065-71</w:t>
            </w:r>
          </w:p>
        </w:tc>
        <w:tc>
          <w:tcPr>
            <w:tcW w:w="1559" w:type="dxa"/>
          </w:tcPr>
          <w:p w14:paraId="143864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27C17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D92AF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3CE6B62" w14:textId="77777777" w:rsidTr="00924B3D">
        <w:trPr>
          <w:trHeight w:val="300"/>
        </w:trPr>
        <w:tc>
          <w:tcPr>
            <w:tcW w:w="1009" w:type="dxa"/>
            <w:shd w:val="clear" w:color="auto" w:fill="auto"/>
            <w:noWrap/>
            <w:hideMark/>
          </w:tcPr>
          <w:p w14:paraId="49160C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DE7E9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Hendren RL, James SJ, Widjaja F, Lawton B, Rosenblatt A, Bent S.</w:t>
            </w:r>
          </w:p>
        </w:tc>
        <w:tc>
          <w:tcPr>
            <w:tcW w:w="709" w:type="dxa"/>
            <w:shd w:val="clear" w:color="auto" w:fill="auto"/>
            <w:noWrap/>
            <w:hideMark/>
          </w:tcPr>
          <w:p w14:paraId="7502F6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0DB3E6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Randomized, Placebo-Controlled Trial of Methyl B12 for Children with Autism.</w:t>
            </w:r>
          </w:p>
        </w:tc>
        <w:tc>
          <w:tcPr>
            <w:tcW w:w="1417" w:type="dxa"/>
          </w:tcPr>
          <w:p w14:paraId="4992F4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Child Adolesc Psychopharmacol</w:t>
            </w:r>
          </w:p>
        </w:tc>
        <w:tc>
          <w:tcPr>
            <w:tcW w:w="709" w:type="dxa"/>
          </w:tcPr>
          <w:p w14:paraId="25AAED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26 (9)</w:t>
            </w:r>
          </w:p>
        </w:tc>
        <w:tc>
          <w:tcPr>
            <w:tcW w:w="851" w:type="dxa"/>
          </w:tcPr>
          <w:p w14:paraId="296EA4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774-783</w:t>
            </w:r>
          </w:p>
        </w:tc>
        <w:tc>
          <w:tcPr>
            <w:tcW w:w="1559" w:type="dxa"/>
          </w:tcPr>
          <w:p w14:paraId="149A67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028AA5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C0AC2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DC535C6" w14:textId="77777777" w:rsidTr="00924B3D">
        <w:trPr>
          <w:trHeight w:val="300"/>
        </w:trPr>
        <w:tc>
          <w:tcPr>
            <w:tcW w:w="1009" w:type="dxa"/>
            <w:shd w:val="clear" w:color="auto" w:fill="auto"/>
            <w:noWrap/>
            <w:hideMark/>
          </w:tcPr>
          <w:p w14:paraId="00FA6F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2827D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Herman PM, Szczurko O, Cooley K, et al</w:t>
            </w:r>
          </w:p>
        </w:tc>
        <w:tc>
          <w:tcPr>
            <w:tcW w:w="709" w:type="dxa"/>
            <w:shd w:val="clear" w:color="auto" w:fill="auto"/>
            <w:noWrap/>
            <w:hideMark/>
          </w:tcPr>
          <w:p w14:paraId="030F60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00082B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Cost-effectiveness of naturopathic care for chronic low back pain</w:t>
            </w:r>
          </w:p>
        </w:tc>
        <w:tc>
          <w:tcPr>
            <w:tcW w:w="1417" w:type="dxa"/>
          </w:tcPr>
          <w:p w14:paraId="546C4E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Alternative Therapies in Health &amp; Medicine</w:t>
            </w:r>
          </w:p>
        </w:tc>
        <w:tc>
          <w:tcPr>
            <w:tcW w:w="709" w:type="dxa"/>
          </w:tcPr>
          <w:p w14:paraId="5A0F36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 (2)</w:t>
            </w:r>
          </w:p>
        </w:tc>
        <w:tc>
          <w:tcPr>
            <w:tcW w:w="851" w:type="dxa"/>
          </w:tcPr>
          <w:p w14:paraId="14AE70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03305D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1929D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0BDD5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3C3935C" w14:textId="77777777" w:rsidTr="00924B3D">
        <w:trPr>
          <w:trHeight w:val="300"/>
        </w:trPr>
        <w:tc>
          <w:tcPr>
            <w:tcW w:w="1009" w:type="dxa"/>
            <w:shd w:val="clear" w:color="auto" w:fill="auto"/>
            <w:noWrap/>
            <w:hideMark/>
          </w:tcPr>
          <w:p w14:paraId="01ACC1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B91AD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Herman PM, Szczurko O, Cooley K, et al</w:t>
            </w:r>
          </w:p>
        </w:tc>
        <w:tc>
          <w:tcPr>
            <w:tcW w:w="709" w:type="dxa"/>
            <w:shd w:val="clear" w:color="auto" w:fill="auto"/>
            <w:noWrap/>
            <w:hideMark/>
          </w:tcPr>
          <w:p w14:paraId="7EC957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0D3D1E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naturopathic approach to the prevention of cardiovascular disease: cost-effectiveness analysis of a pragmatic multi-worksite randomized clinical trial</w:t>
            </w:r>
          </w:p>
        </w:tc>
        <w:tc>
          <w:tcPr>
            <w:tcW w:w="1417" w:type="dxa"/>
          </w:tcPr>
          <w:p w14:paraId="7CD5F3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Occupational and Environmental Medicine</w:t>
            </w:r>
          </w:p>
        </w:tc>
        <w:tc>
          <w:tcPr>
            <w:tcW w:w="709" w:type="dxa"/>
          </w:tcPr>
          <w:p w14:paraId="36DC1F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56(2)</w:t>
            </w:r>
          </w:p>
        </w:tc>
        <w:tc>
          <w:tcPr>
            <w:tcW w:w="851" w:type="dxa"/>
          </w:tcPr>
          <w:p w14:paraId="35A165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w:t>
            </w:r>
          </w:p>
        </w:tc>
        <w:tc>
          <w:tcPr>
            <w:tcW w:w="1559" w:type="dxa"/>
          </w:tcPr>
          <w:p w14:paraId="0BC10A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7C5E9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EABE6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EDA4FD4" w14:textId="77777777" w:rsidTr="00924B3D">
        <w:trPr>
          <w:trHeight w:val="300"/>
        </w:trPr>
        <w:tc>
          <w:tcPr>
            <w:tcW w:w="1009" w:type="dxa"/>
            <w:shd w:val="clear" w:color="auto" w:fill="auto"/>
            <w:noWrap/>
            <w:hideMark/>
          </w:tcPr>
          <w:p w14:paraId="70F8EE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8DB4E41" w14:textId="77777777" w:rsidR="008F3151" w:rsidRPr="00D518FF" w:rsidRDefault="008F3151" w:rsidP="00924B3D">
            <w:pPr>
              <w:rPr>
                <w:rFonts w:ascii="Aptos" w:hAnsi="Aptos" w:cs="Calibri"/>
                <w:sz w:val="16"/>
                <w:szCs w:val="16"/>
              </w:rPr>
            </w:pPr>
            <w:r w:rsidRPr="00D518FF">
              <w:rPr>
                <w:rFonts w:ascii="Aptos" w:hAnsi="Aptos" w:cs="Calibri"/>
                <w:sz w:val="16"/>
                <w:szCs w:val="16"/>
              </w:rPr>
              <w:t>Herman PM</w:t>
            </w:r>
            <w:r w:rsidRPr="00D518FF">
              <w:rPr>
                <w:rFonts w:ascii="Aptos" w:hAnsi="Aptos" w:cs="Calibri"/>
                <w:color w:val="000000"/>
                <w:sz w:val="16"/>
                <w:szCs w:val="16"/>
              </w:rPr>
              <w:t>, </w:t>
            </w:r>
            <w:r w:rsidRPr="00D518FF">
              <w:rPr>
                <w:rFonts w:ascii="Aptos" w:hAnsi="Aptos" w:cs="Calibri"/>
                <w:sz w:val="16"/>
                <w:szCs w:val="16"/>
              </w:rPr>
              <w:t>Szczurko O</w:t>
            </w:r>
            <w:r w:rsidRPr="00D518FF">
              <w:rPr>
                <w:rFonts w:ascii="Aptos" w:hAnsi="Aptos" w:cs="Calibri"/>
                <w:color w:val="000000"/>
                <w:sz w:val="16"/>
                <w:szCs w:val="16"/>
              </w:rPr>
              <w:t>, </w:t>
            </w:r>
            <w:r w:rsidRPr="00D518FF">
              <w:rPr>
                <w:rFonts w:ascii="Aptos" w:hAnsi="Aptos" w:cs="Calibri"/>
                <w:sz w:val="16"/>
                <w:szCs w:val="16"/>
              </w:rPr>
              <w:t>Cooley K</w:t>
            </w:r>
            <w:r w:rsidRPr="00D518FF">
              <w:rPr>
                <w:rFonts w:ascii="Aptos" w:hAnsi="Aptos" w:cs="Calibri"/>
                <w:color w:val="000000"/>
                <w:sz w:val="16"/>
                <w:szCs w:val="16"/>
              </w:rPr>
              <w:t>, </w:t>
            </w:r>
            <w:r w:rsidRPr="00D518FF">
              <w:rPr>
                <w:rFonts w:ascii="Aptos" w:hAnsi="Aptos" w:cs="Calibri"/>
                <w:sz w:val="16"/>
                <w:szCs w:val="16"/>
              </w:rPr>
              <w:t>Seely D</w:t>
            </w:r>
            <w:r w:rsidRPr="00D518FF">
              <w:rPr>
                <w:rFonts w:ascii="Aptos" w:hAnsi="Aptos" w:cs="Calibri"/>
                <w:color w:val="000000"/>
                <w:sz w:val="16"/>
                <w:szCs w:val="16"/>
              </w:rPr>
              <w:t>.</w:t>
            </w:r>
          </w:p>
        </w:tc>
        <w:tc>
          <w:tcPr>
            <w:tcW w:w="709" w:type="dxa"/>
            <w:shd w:val="clear" w:color="auto" w:fill="auto"/>
            <w:noWrap/>
            <w:hideMark/>
          </w:tcPr>
          <w:p w14:paraId="3055C9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6619CB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naturopathic approach to the prevention of cardiovascular disease: cost-effectiveness analysis of a pragmatic multi-worksite randomized clinical trial</w:t>
            </w:r>
          </w:p>
        </w:tc>
        <w:tc>
          <w:tcPr>
            <w:tcW w:w="1417" w:type="dxa"/>
          </w:tcPr>
          <w:p w14:paraId="069341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Occupational and Environmental Medicine</w:t>
            </w:r>
          </w:p>
        </w:tc>
        <w:tc>
          <w:tcPr>
            <w:tcW w:w="709" w:type="dxa"/>
          </w:tcPr>
          <w:p w14:paraId="5A4A7D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56(2)</w:t>
            </w:r>
          </w:p>
        </w:tc>
        <w:tc>
          <w:tcPr>
            <w:tcW w:w="851" w:type="dxa"/>
          </w:tcPr>
          <w:p w14:paraId="76AF56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171-176</w:t>
            </w:r>
          </w:p>
        </w:tc>
        <w:tc>
          <w:tcPr>
            <w:tcW w:w="1559" w:type="dxa"/>
          </w:tcPr>
          <w:p w14:paraId="3F9800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10.1097/JOM.0000000000000066</w:t>
            </w:r>
          </w:p>
        </w:tc>
        <w:tc>
          <w:tcPr>
            <w:tcW w:w="850" w:type="dxa"/>
            <w:shd w:val="clear" w:color="auto" w:fill="auto"/>
            <w:noWrap/>
            <w:hideMark/>
          </w:tcPr>
          <w:p w14:paraId="4557AE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FBFDE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367B47B" w14:textId="77777777" w:rsidTr="00924B3D">
        <w:trPr>
          <w:trHeight w:val="300"/>
        </w:trPr>
        <w:tc>
          <w:tcPr>
            <w:tcW w:w="1009" w:type="dxa"/>
            <w:shd w:val="clear" w:color="auto" w:fill="auto"/>
            <w:noWrap/>
            <w:hideMark/>
          </w:tcPr>
          <w:p w14:paraId="683529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A7936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Heron S, Yarnell E.</w:t>
            </w:r>
          </w:p>
        </w:tc>
        <w:tc>
          <w:tcPr>
            <w:tcW w:w="709" w:type="dxa"/>
            <w:shd w:val="clear" w:color="auto" w:fill="auto"/>
            <w:noWrap/>
            <w:hideMark/>
          </w:tcPr>
          <w:p w14:paraId="772AE6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2001</w:t>
            </w:r>
          </w:p>
        </w:tc>
        <w:tc>
          <w:tcPr>
            <w:tcW w:w="3544" w:type="dxa"/>
            <w:shd w:val="clear" w:color="auto" w:fill="auto"/>
            <w:noWrap/>
            <w:hideMark/>
          </w:tcPr>
          <w:p w14:paraId="43CDCE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safety of low-dose Larrea tridentata (DC) Coville (creosote bush or chaparral): a retrospective clinical study</w:t>
            </w:r>
          </w:p>
        </w:tc>
        <w:tc>
          <w:tcPr>
            <w:tcW w:w="1417" w:type="dxa"/>
          </w:tcPr>
          <w:p w14:paraId="49826E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2BCA86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w:t>
            </w:r>
          </w:p>
        </w:tc>
        <w:tc>
          <w:tcPr>
            <w:tcW w:w="851" w:type="dxa"/>
          </w:tcPr>
          <w:p w14:paraId="1393CC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175-85</w:t>
            </w:r>
          </w:p>
        </w:tc>
        <w:tc>
          <w:tcPr>
            <w:tcW w:w="1559" w:type="dxa"/>
          </w:tcPr>
          <w:p w14:paraId="281F00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85C72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D99E1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0F48EA6" w14:textId="77777777" w:rsidTr="00924B3D">
        <w:trPr>
          <w:trHeight w:val="300"/>
        </w:trPr>
        <w:tc>
          <w:tcPr>
            <w:tcW w:w="1009" w:type="dxa"/>
            <w:shd w:val="clear" w:color="auto" w:fill="auto"/>
            <w:noWrap/>
            <w:hideMark/>
          </w:tcPr>
          <w:p w14:paraId="2C83AA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23685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Hershman DL, Unger JM, Crew KD, et al</w:t>
            </w:r>
          </w:p>
        </w:tc>
        <w:tc>
          <w:tcPr>
            <w:tcW w:w="709" w:type="dxa"/>
            <w:shd w:val="clear" w:color="auto" w:fill="auto"/>
            <w:noWrap/>
            <w:hideMark/>
          </w:tcPr>
          <w:p w14:paraId="10AF98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3B8675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Randomized double-blind placebo-controlled trial of acetyl-L-carnitine for the prevention of taxane-induced neuropathy in women undergoing adjuvant breast cancer therapy</w:t>
            </w:r>
          </w:p>
        </w:tc>
        <w:tc>
          <w:tcPr>
            <w:tcW w:w="1417" w:type="dxa"/>
          </w:tcPr>
          <w:p w14:paraId="304909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Clinical Oncology</w:t>
            </w:r>
          </w:p>
        </w:tc>
        <w:tc>
          <w:tcPr>
            <w:tcW w:w="709" w:type="dxa"/>
          </w:tcPr>
          <w:p w14:paraId="7D0C8C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31(20)</w:t>
            </w:r>
          </w:p>
        </w:tc>
        <w:tc>
          <w:tcPr>
            <w:tcW w:w="851" w:type="dxa"/>
          </w:tcPr>
          <w:p w14:paraId="6572FD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2627-33</w:t>
            </w:r>
          </w:p>
        </w:tc>
        <w:tc>
          <w:tcPr>
            <w:tcW w:w="1559" w:type="dxa"/>
          </w:tcPr>
          <w:p w14:paraId="0772CB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9EEE3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CA42A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D8FCC71" w14:textId="77777777" w:rsidTr="00924B3D">
        <w:trPr>
          <w:trHeight w:val="300"/>
        </w:trPr>
        <w:tc>
          <w:tcPr>
            <w:tcW w:w="1009" w:type="dxa"/>
            <w:shd w:val="clear" w:color="auto" w:fill="auto"/>
            <w:noWrap/>
            <w:hideMark/>
          </w:tcPr>
          <w:p w14:paraId="411123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996B9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Hershman DL, Unger JM, Crew KD, et al</w:t>
            </w:r>
          </w:p>
        </w:tc>
        <w:tc>
          <w:tcPr>
            <w:tcW w:w="709" w:type="dxa"/>
            <w:shd w:val="clear" w:color="auto" w:fill="auto"/>
            <w:noWrap/>
            <w:hideMark/>
          </w:tcPr>
          <w:p w14:paraId="365DF7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4DDE08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Randomized multicenter placebo-controlled trial of omega-3 fatty acids for the control of aromatase inhibitor–induced musculoskeletal pain: SWOG S0927</w:t>
            </w:r>
          </w:p>
        </w:tc>
        <w:tc>
          <w:tcPr>
            <w:tcW w:w="1417" w:type="dxa"/>
          </w:tcPr>
          <w:p w14:paraId="59F8DE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Clinical Oncology</w:t>
            </w:r>
          </w:p>
        </w:tc>
        <w:tc>
          <w:tcPr>
            <w:tcW w:w="709" w:type="dxa"/>
          </w:tcPr>
          <w:p w14:paraId="3B8589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33(17)</w:t>
            </w:r>
          </w:p>
        </w:tc>
        <w:tc>
          <w:tcPr>
            <w:tcW w:w="851" w:type="dxa"/>
          </w:tcPr>
          <w:p w14:paraId="0CFF47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1910-17</w:t>
            </w:r>
          </w:p>
        </w:tc>
        <w:tc>
          <w:tcPr>
            <w:tcW w:w="1559" w:type="dxa"/>
          </w:tcPr>
          <w:p w14:paraId="387545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5FDD3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594EE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E759C82" w14:textId="77777777" w:rsidTr="00924B3D">
        <w:trPr>
          <w:trHeight w:val="300"/>
        </w:trPr>
        <w:tc>
          <w:tcPr>
            <w:tcW w:w="1009" w:type="dxa"/>
            <w:shd w:val="clear" w:color="auto" w:fill="auto"/>
            <w:noWrap/>
            <w:hideMark/>
          </w:tcPr>
          <w:p w14:paraId="40A300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86120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Hershman DL, Unger JM, Crew KD, et al</w:t>
            </w:r>
          </w:p>
        </w:tc>
        <w:tc>
          <w:tcPr>
            <w:tcW w:w="709" w:type="dxa"/>
            <w:shd w:val="clear" w:color="auto" w:fill="auto"/>
            <w:noWrap/>
            <w:hideMark/>
          </w:tcPr>
          <w:p w14:paraId="512757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6D44C9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Two-year trends of taxane-induced neuropathy in women enrolled in a randomized trial of acetyl-l-carnitine (SWOG S0715)</w:t>
            </w:r>
          </w:p>
        </w:tc>
        <w:tc>
          <w:tcPr>
            <w:tcW w:w="1417" w:type="dxa"/>
          </w:tcPr>
          <w:p w14:paraId="02EE2E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Clinical Oncology</w:t>
            </w:r>
          </w:p>
        </w:tc>
        <w:tc>
          <w:tcPr>
            <w:tcW w:w="709" w:type="dxa"/>
          </w:tcPr>
          <w:p w14:paraId="06735C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35(Suppl 15)</w:t>
            </w:r>
          </w:p>
        </w:tc>
        <w:tc>
          <w:tcPr>
            <w:tcW w:w="851" w:type="dxa"/>
          </w:tcPr>
          <w:p w14:paraId="12B61E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6FCB6E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A60CD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EC609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BFADE1F" w14:textId="77777777" w:rsidTr="00924B3D">
        <w:trPr>
          <w:trHeight w:val="300"/>
        </w:trPr>
        <w:tc>
          <w:tcPr>
            <w:tcW w:w="1009" w:type="dxa"/>
            <w:shd w:val="clear" w:color="auto" w:fill="auto"/>
            <w:noWrap/>
            <w:hideMark/>
          </w:tcPr>
          <w:p w14:paraId="710201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506B9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Hershman DL, Unger JM, Crew KD, et al.</w:t>
            </w:r>
          </w:p>
        </w:tc>
        <w:tc>
          <w:tcPr>
            <w:tcW w:w="709" w:type="dxa"/>
            <w:shd w:val="clear" w:color="auto" w:fill="auto"/>
            <w:noWrap/>
            <w:hideMark/>
          </w:tcPr>
          <w:p w14:paraId="1E133F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6377CA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Two-year trends of taxane-induced neuropathy in women enrolled in a randomized trial of acetyl-l-carnitine (SWOG S0715).</w:t>
            </w:r>
          </w:p>
        </w:tc>
        <w:tc>
          <w:tcPr>
            <w:tcW w:w="1417" w:type="dxa"/>
          </w:tcPr>
          <w:p w14:paraId="059B73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Natl Cancer Inst</w:t>
            </w:r>
          </w:p>
        </w:tc>
        <w:tc>
          <w:tcPr>
            <w:tcW w:w="709" w:type="dxa"/>
          </w:tcPr>
          <w:p w14:paraId="379E8F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110(6)</w:t>
            </w:r>
          </w:p>
        </w:tc>
        <w:tc>
          <w:tcPr>
            <w:tcW w:w="851" w:type="dxa"/>
          </w:tcPr>
          <w:p w14:paraId="58EBF3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669-76</w:t>
            </w:r>
          </w:p>
        </w:tc>
        <w:tc>
          <w:tcPr>
            <w:tcW w:w="1559" w:type="dxa"/>
          </w:tcPr>
          <w:p w14:paraId="6ED947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093B9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E486F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9F93FE3" w14:textId="77777777" w:rsidTr="00924B3D">
        <w:trPr>
          <w:trHeight w:val="300"/>
        </w:trPr>
        <w:tc>
          <w:tcPr>
            <w:tcW w:w="1009" w:type="dxa"/>
            <w:shd w:val="clear" w:color="auto" w:fill="auto"/>
            <w:noWrap/>
            <w:hideMark/>
          </w:tcPr>
          <w:p w14:paraId="02280A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53615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Houghton, Christine A</w:t>
            </w:r>
          </w:p>
        </w:tc>
        <w:tc>
          <w:tcPr>
            <w:tcW w:w="709" w:type="dxa"/>
            <w:shd w:val="clear" w:color="auto" w:fill="auto"/>
            <w:noWrap/>
            <w:hideMark/>
          </w:tcPr>
          <w:p w14:paraId="16DF1A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080AB5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Sulforaphane: Its “Coming of Age” as a Clinically Relevant Nutraceutical in the Prevention and Treatment of Chronic Disease</w:t>
            </w:r>
          </w:p>
        </w:tc>
        <w:tc>
          <w:tcPr>
            <w:tcW w:w="1417" w:type="dxa"/>
          </w:tcPr>
          <w:p w14:paraId="1DD414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Oxidative Medicine and Cellular Longevity</w:t>
            </w:r>
          </w:p>
        </w:tc>
        <w:tc>
          <w:tcPr>
            <w:tcW w:w="709" w:type="dxa"/>
          </w:tcPr>
          <w:p w14:paraId="6C12E9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851" w:type="dxa"/>
          </w:tcPr>
          <w:p w14:paraId="2C8B3F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46388</w:t>
            </w:r>
          </w:p>
        </w:tc>
        <w:tc>
          <w:tcPr>
            <w:tcW w:w="1559" w:type="dxa"/>
          </w:tcPr>
          <w:p w14:paraId="752219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doi.org/10.1155/2019/2716870</w:t>
            </w:r>
          </w:p>
        </w:tc>
        <w:tc>
          <w:tcPr>
            <w:tcW w:w="850" w:type="dxa"/>
            <w:shd w:val="clear" w:color="auto" w:fill="auto"/>
            <w:noWrap/>
            <w:hideMark/>
          </w:tcPr>
          <w:p w14:paraId="3847D8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74B97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33EEEF6" w14:textId="77777777" w:rsidTr="00924B3D">
        <w:trPr>
          <w:trHeight w:val="300"/>
        </w:trPr>
        <w:tc>
          <w:tcPr>
            <w:tcW w:w="1009" w:type="dxa"/>
            <w:shd w:val="clear" w:color="auto" w:fill="auto"/>
            <w:noWrap/>
            <w:hideMark/>
          </w:tcPr>
          <w:p w14:paraId="1A14E7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2F029D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Irani M, Amirian M, Sadeghi R, Le Lez J, Roudsari RL.</w:t>
            </w:r>
          </w:p>
        </w:tc>
        <w:tc>
          <w:tcPr>
            <w:tcW w:w="709" w:type="dxa"/>
            <w:shd w:val="clear" w:color="auto" w:fill="auto"/>
            <w:noWrap/>
            <w:hideMark/>
          </w:tcPr>
          <w:p w14:paraId="124FDD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1CEBB9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folate and folate plus zinc supplementation on endocrine parameters and sperm characteristics in sub-fertile men: a systematic review and meta-analysis.</w:t>
            </w:r>
          </w:p>
        </w:tc>
        <w:tc>
          <w:tcPr>
            <w:tcW w:w="1417" w:type="dxa"/>
          </w:tcPr>
          <w:p w14:paraId="1A398F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Urology journal</w:t>
            </w:r>
          </w:p>
        </w:tc>
        <w:tc>
          <w:tcPr>
            <w:tcW w:w="709" w:type="dxa"/>
          </w:tcPr>
          <w:p w14:paraId="2D457C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w:t>
            </w:r>
          </w:p>
        </w:tc>
        <w:tc>
          <w:tcPr>
            <w:tcW w:w="851" w:type="dxa"/>
          </w:tcPr>
          <w:p w14:paraId="5DC617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4069-4078</w:t>
            </w:r>
          </w:p>
        </w:tc>
        <w:tc>
          <w:tcPr>
            <w:tcW w:w="1559" w:type="dxa"/>
          </w:tcPr>
          <w:p w14:paraId="138599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0761F3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3C262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1A4E0D5" w14:textId="77777777" w:rsidTr="00924B3D">
        <w:trPr>
          <w:trHeight w:val="300"/>
        </w:trPr>
        <w:tc>
          <w:tcPr>
            <w:tcW w:w="1009" w:type="dxa"/>
            <w:shd w:val="clear" w:color="auto" w:fill="auto"/>
            <w:noWrap/>
            <w:hideMark/>
          </w:tcPr>
          <w:p w14:paraId="00622D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175BB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Jamilian M, Samimi M, Ebrahimi FA, Hashemi T, Taghizadeh M, Razavi M, et al.</w:t>
            </w:r>
          </w:p>
        </w:tc>
        <w:tc>
          <w:tcPr>
            <w:tcW w:w="709" w:type="dxa"/>
            <w:shd w:val="clear" w:color="auto" w:fill="auto"/>
            <w:noWrap/>
            <w:hideMark/>
          </w:tcPr>
          <w:p w14:paraId="2CA86A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3FD84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effects of vitamin D and omega-3 fatty acid co-supplementation on glycemic control and lipid concentrations in patients with gestational diabetes. </w:t>
            </w:r>
          </w:p>
        </w:tc>
        <w:tc>
          <w:tcPr>
            <w:tcW w:w="1417" w:type="dxa"/>
          </w:tcPr>
          <w:p w14:paraId="3FD5F7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Clin Lipidol</w:t>
            </w:r>
          </w:p>
        </w:tc>
        <w:tc>
          <w:tcPr>
            <w:tcW w:w="709" w:type="dxa"/>
          </w:tcPr>
          <w:p w14:paraId="0E7AEE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11(2)</w:t>
            </w:r>
          </w:p>
        </w:tc>
        <w:tc>
          <w:tcPr>
            <w:tcW w:w="851" w:type="dxa"/>
          </w:tcPr>
          <w:p w14:paraId="1D27E9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459-468</w:t>
            </w:r>
          </w:p>
        </w:tc>
        <w:tc>
          <w:tcPr>
            <w:tcW w:w="1559" w:type="dxa"/>
          </w:tcPr>
          <w:p w14:paraId="1F41CB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10.1016/j.jacl.2017.01.011</w:t>
            </w:r>
          </w:p>
        </w:tc>
        <w:tc>
          <w:tcPr>
            <w:tcW w:w="850" w:type="dxa"/>
            <w:shd w:val="clear" w:color="auto" w:fill="auto"/>
            <w:noWrap/>
            <w:hideMark/>
          </w:tcPr>
          <w:p w14:paraId="3A23CA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A1062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F257D58" w14:textId="77777777" w:rsidTr="00924B3D">
        <w:trPr>
          <w:trHeight w:val="300"/>
        </w:trPr>
        <w:tc>
          <w:tcPr>
            <w:tcW w:w="1009" w:type="dxa"/>
            <w:shd w:val="clear" w:color="auto" w:fill="auto"/>
            <w:noWrap/>
            <w:hideMark/>
          </w:tcPr>
          <w:p w14:paraId="1D5208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F0F59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Jang H, Park K.</w:t>
            </w:r>
          </w:p>
        </w:tc>
        <w:tc>
          <w:tcPr>
            <w:tcW w:w="709" w:type="dxa"/>
            <w:shd w:val="clear" w:color="auto" w:fill="auto"/>
            <w:noWrap/>
            <w:hideMark/>
          </w:tcPr>
          <w:p w14:paraId="3ADDA0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35A27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and omega-6 polyunsaturated fatty acids and metabolic syndrome: A systematic review and meta-analysis. </w:t>
            </w:r>
          </w:p>
        </w:tc>
        <w:tc>
          <w:tcPr>
            <w:tcW w:w="1417" w:type="dxa"/>
          </w:tcPr>
          <w:p w14:paraId="149AAE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Nutrition</w:t>
            </w:r>
          </w:p>
        </w:tc>
        <w:tc>
          <w:tcPr>
            <w:tcW w:w="709" w:type="dxa"/>
          </w:tcPr>
          <w:p w14:paraId="0D168C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1" w:type="dxa"/>
          </w:tcPr>
          <w:p w14:paraId="35073E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1559" w:type="dxa"/>
          </w:tcPr>
          <w:p w14:paraId="720844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22D65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2AE98B7" w14:textId="521D9072"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4BD52E5F" w14:textId="77777777" w:rsidTr="00924B3D">
        <w:trPr>
          <w:trHeight w:val="300"/>
        </w:trPr>
        <w:tc>
          <w:tcPr>
            <w:tcW w:w="1009" w:type="dxa"/>
            <w:shd w:val="clear" w:color="auto" w:fill="auto"/>
            <w:noWrap/>
            <w:hideMark/>
          </w:tcPr>
          <w:p w14:paraId="3C4683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821E4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Javanmanesh, Kashanian, Rahimi, Sheikhansari.</w:t>
            </w:r>
          </w:p>
        </w:tc>
        <w:tc>
          <w:tcPr>
            <w:tcW w:w="709" w:type="dxa"/>
            <w:shd w:val="clear" w:color="auto" w:fill="auto"/>
            <w:noWrap/>
            <w:hideMark/>
          </w:tcPr>
          <w:p w14:paraId="474EB0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30D87D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comparison between the effects of metformin and N-acetyl cysteine (NAC) on some metabolic and endocrine characteristics of women with polycystic ovary syndrome.  </w:t>
            </w:r>
          </w:p>
        </w:tc>
        <w:tc>
          <w:tcPr>
            <w:tcW w:w="1417" w:type="dxa"/>
          </w:tcPr>
          <w:p w14:paraId="7C6399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Gynecol Endocrinol</w:t>
            </w:r>
          </w:p>
        </w:tc>
        <w:tc>
          <w:tcPr>
            <w:tcW w:w="709" w:type="dxa"/>
          </w:tcPr>
          <w:p w14:paraId="13F1A6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32(4)</w:t>
            </w:r>
          </w:p>
        </w:tc>
        <w:tc>
          <w:tcPr>
            <w:tcW w:w="851" w:type="dxa"/>
          </w:tcPr>
          <w:p w14:paraId="387F60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285-289</w:t>
            </w:r>
          </w:p>
        </w:tc>
        <w:tc>
          <w:tcPr>
            <w:tcW w:w="1559" w:type="dxa"/>
          </w:tcPr>
          <w:p w14:paraId="09A271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10.3109/09513590.2015.1115974</w:t>
            </w:r>
          </w:p>
        </w:tc>
        <w:tc>
          <w:tcPr>
            <w:tcW w:w="850" w:type="dxa"/>
            <w:shd w:val="clear" w:color="auto" w:fill="auto"/>
            <w:noWrap/>
            <w:hideMark/>
          </w:tcPr>
          <w:p w14:paraId="37F6FD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9617B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0B06499" w14:textId="77777777" w:rsidTr="00924B3D">
        <w:trPr>
          <w:trHeight w:val="300"/>
        </w:trPr>
        <w:tc>
          <w:tcPr>
            <w:tcW w:w="1009" w:type="dxa"/>
            <w:shd w:val="clear" w:color="auto" w:fill="auto"/>
            <w:noWrap/>
            <w:hideMark/>
          </w:tcPr>
          <w:p w14:paraId="4C60C0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6B7DF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Jayedi A, Zargar MS.</w:t>
            </w:r>
          </w:p>
        </w:tc>
        <w:tc>
          <w:tcPr>
            <w:tcW w:w="709" w:type="dxa"/>
            <w:shd w:val="clear" w:color="auto" w:fill="auto"/>
            <w:noWrap/>
            <w:hideMark/>
          </w:tcPr>
          <w:p w14:paraId="470405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04E78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Intake of vitamin B6, folate, and vitamin B12 and risk of coronary heart disease: A systematic review and dose-response meta-analysis of prospective cohort studies.</w:t>
            </w:r>
          </w:p>
        </w:tc>
        <w:tc>
          <w:tcPr>
            <w:tcW w:w="1417" w:type="dxa"/>
          </w:tcPr>
          <w:p w14:paraId="5D6A39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Critical reviews in food science and nutrition</w:t>
            </w:r>
          </w:p>
        </w:tc>
        <w:tc>
          <w:tcPr>
            <w:tcW w:w="709" w:type="dxa"/>
          </w:tcPr>
          <w:p w14:paraId="4F1AA2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w:t>
            </w:r>
          </w:p>
        </w:tc>
        <w:tc>
          <w:tcPr>
            <w:tcW w:w="851" w:type="dxa"/>
          </w:tcPr>
          <w:p w14:paraId="4BDBD2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w:t>
            </w:r>
          </w:p>
        </w:tc>
        <w:tc>
          <w:tcPr>
            <w:tcW w:w="1559" w:type="dxa"/>
          </w:tcPr>
          <w:p w14:paraId="4B1D83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64A52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C5E82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1EBE0A62" w14:textId="77777777" w:rsidTr="00924B3D">
        <w:trPr>
          <w:trHeight w:val="300"/>
        </w:trPr>
        <w:tc>
          <w:tcPr>
            <w:tcW w:w="1009" w:type="dxa"/>
            <w:shd w:val="clear" w:color="auto" w:fill="auto"/>
            <w:noWrap/>
            <w:hideMark/>
          </w:tcPr>
          <w:p w14:paraId="4A1011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58320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Jiang DQ, Zhao SH, Li MX, Jiang LL, Wang Y, Wang Y.</w:t>
            </w:r>
          </w:p>
        </w:tc>
        <w:tc>
          <w:tcPr>
            <w:tcW w:w="709" w:type="dxa"/>
            <w:shd w:val="clear" w:color="auto" w:fill="auto"/>
            <w:noWrap/>
            <w:hideMark/>
          </w:tcPr>
          <w:p w14:paraId="728B0A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5B2D6A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Prostaglandin E1 plus methylcobalamin combination therapy versus prostaglandin E1 monotherapy for patients with diabetic peripheral neuropathy: A meta-analysis of randomized controlled trials.</w:t>
            </w:r>
          </w:p>
        </w:tc>
        <w:tc>
          <w:tcPr>
            <w:tcW w:w="1417" w:type="dxa"/>
          </w:tcPr>
          <w:p w14:paraId="7855C8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Medicine</w:t>
            </w:r>
          </w:p>
        </w:tc>
        <w:tc>
          <w:tcPr>
            <w:tcW w:w="709" w:type="dxa"/>
          </w:tcPr>
          <w:p w14:paraId="0DE86D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97(44)</w:t>
            </w:r>
          </w:p>
        </w:tc>
        <w:tc>
          <w:tcPr>
            <w:tcW w:w="851" w:type="dxa"/>
          </w:tcPr>
          <w:p w14:paraId="28CCB5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1559" w:type="dxa"/>
          </w:tcPr>
          <w:p w14:paraId="506151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07CF4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4AF28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02DAB789" w14:textId="77777777" w:rsidTr="00924B3D">
        <w:trPr>
          <w:trHeight w:val="300"/>
        </w:trPr>
        <w:tc>
          <w:tcPr>
            <w:tcW w:w="1009" w:type="dxa"/>
            <w:shd w:val="clear" w:color="auto" w:fill="auto"/>
            <w:noWrap/>
            <w:hideMark/>
          </w:tcPr>
          <w:p w14:paraId="7BA122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FB08F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Jiang Y, Turgeon DK, Wright BD, et al</w:t>
            </w:r>
          </w:p>
        </w:tc>
        <w:tc>
          <w:tcPr>
            <w:tcW w:w="709" w:type="dxa"/>
            <w:shd w:val="clear" w:color="auto" w:fill="auto"/>
            <w:noWrap/>
            <w:hideMark/>
          </w:tcPr>
          <w:p w14:paraId="637908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355754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ginger root on cyclooxygenase-1 and 15-hydroxyprostaglandin dehydrogenase expression in colonic mucosa of humans at normal and increased risk of colorectal cancer</w:t>
            </w:r>
          </w:p>
        </w:tc>
        <w:tc>
          <w:tcPr>
            <w:tcW w:w="1417" w:type="dxa"/>
          </w:tcPr>
          <w:p w14:paraId="7246BB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 J Cancer Prev</w:t>
            </w:r>
          </w:p>
        </w:tc>
        <w:tc>
          <w:tcPr>
            <w:tcW w:w="709" w:type="dxa"/>
          </w:tcPr>
          <w:p w14:paraId="1E8343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22(5)</w:t>
            </w:r>
          </w:p>
        </w:tc>
        <w:tc>
          <w:tcPr>
            <w:tcW w:w="851" w:type="dxa"/>
          </w:tcPr>
          <w:p w14:paraId="2CAF6B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455</w:t>
            </w:r>
          </w:p>
        </w:tc>
        <w:tc>
          <w:tcPr>
            <w:tcW w:w="1559" w:type="dxa"/>
          </w:tcPr>
          <w:p w14:paraId="60B1DB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2303D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FC3BA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E544B53" w14:textId="77777777" w:rsidTr="00924B3D">
        <w:trPr>
          <w:trHeight w:val="300"/>
        </w:trPr>
        <w:tc>
          <w:tcPr>
            <w:tcW w:w="1009" w:type="dxa"/>
            <w:shd w:val="clear" w:color="auto" w:fill="auto"/>
            <w:noWrap/>
            <w:hideMark/>
          </w:tcPr>
          <w:p w14:paraId="1BBFB3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45505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Jolfaie NR, Mirzaie S, Ghiasvand R, Askari G, Miraghajani M.</w:t>
            </w:r>
          </w:p>
        </w:tc>
        <w:tc>
          <w:tcPr>
            <w:tcW w:w="709" w:type="dxa"/>
            <w:shd w:val="clear" w:color="auto" w:fill="auto"/>
            <w:noWrap/>
            <w:hideMark/>
          </w:tcPr>
          <w:p w14:paraId="6CBAF0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5AA4E3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 of glutamine intake on complications of colorectal and colon cancer treatment: A systematic review. </w:t>
            </w:r>
          </w:p>
        </w:tc>
        <w:tc>
          <w:tcPr>
            <w:tcW w:w="1417" w:type="dxa"/>
          </w:tcPr>
          <w:p w14:paraId="02BD4D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Res Med Sci</w:t>
            </w:r>
          </w:p>
        </w:tc>
        <w:tc>
          <w:tcPr>
            <w:tcW w:w="709" w:type="dxa"/>
          </w:tcPr>
          <w:p w14:paraId="334233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20(9)</w:t>
            </w:r>
          </w:p>
        </w:tc>
        <w:tc>
          <w:tcPr>
            <w:tcW w:w="851" w:type="dxa"/>
          </w:tcPr>
          <w:p w14:paraId="0DC958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910-918</w:t>
            </w:r>
          </w:p>
        </w:tc>
        <w:tc>
          <w:tcPr>
            <w:tcW w:w="1559" w:type="dxa"/>
          </w:tcPr>
          <w:p w14:paraId="005E87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10.4103/1735-1995.170634</w:t>
            </w:r>
          </w:p>
        </w:tc>
        <w:tc>
          <w:tcPr>
            <w:tcW w:w="850" w:type="dxa"/>
            <w:shd w:val="clear" w:color="auto" w:fill="auto"/>
            <w:noWrap/>
            <w:hideMark/>
          </w:tcPr>
          <w:p w14:paraId="4571E9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E2A0D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552F8BB4" w14:textId="77777777" w:rsidTr="00924B3D">
        <w:trPr>
          <w:trHeight w:val="300"/>
        </w:trPr>
        <w:tc>
          <w:tcPr>
            <w:tcW w:w="1009" w:type="dxa"/>
            <w:shd w:val="clear" w:color="auto" w:fill="auto"/>
            <w:noWrap/>
            <w:hideMark/>
          </w:tcPr>
          <w:p w14:paraId="32DAA3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8D11B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Joseph B, Nair PM, Nanda A</w:t>
            </w:r>
          </w:p>
        </w:tc>
        <w:tc>
          <w:tcPr>
            <w:tcW w:w="709" w:type="dxa"/>
            <w:shd w:val="clear" w:color="auto" w:fill="auto"/>
            <w:noWrap/>
            <w:hideMark/>
          </w:tcPr>
          <w:p w14:paraId="59176A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72698B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naturopathy and yoga intervention on CD4 count of the individuals receiving antiretroviral therapy-report from a human immunodeficiency virus sanatorium, Pune</w:t>
            </w:r>
          </w:p>
        </w:tc>
        <w:tc>
          <w:tcPr>
            <w:tcW w:w="1417" w:type="dxa"/>
          </w:tcPr>
          <w:p w14:paraId="561785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Yoga</w:t>
            </w:r>
          </w:p>
        </w:tc>
        <w:tc>
          <w:tcPr>
            <w:tcW w:w="709" w:type="dxa"/>
          </w:tcPr>
          <w:p w14:paraId="5F5A3D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8(2)</w:t>
            </w:r>
          </w:p>
        </w:tc>
        <w:tc>
          <w:tcPr>
            <w:tcW w:w="851" w:type="dxa"/>
          </w:tcPr>
          <w:p w14:paraId="240343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122</w:t>
            </w:r>
          </w:p>
        </w:tc>
        <w:tc>
          <w:tcPr>
            <w:tcW w:w="1559" w:type="dxa"/>
          </w:tcPr>
          <w:p w14:paraId="2C43B8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D1210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90879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A6D7462" w14:textId="77777777" w:rsidTr="00924B3D">
        <w:trPr>
          <w:trHeight w:val="300"/>
        </w:trPr>
        <w:tc>
          <w:tcPr>
            <w:tcW w:w="1009" w:type="dxa"/>
            <w:shd w:val="clear" w:color="auto" w:fill="auto"/>
            <w:noWrap/>
            <w:hideMark/>
          </w:tcPr>
          <w:p w14:paraId="1C0F4D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21A7B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Jung JY, Kwon HH, Hong JS, Yoon JY, Park MS, Jang MY et al.</w:t>
            </w:r>
          </w:p>
        </w:tc>
        <w:tc>
          <w:tcPr>
            <w:tcW w:w="709" w:type="dxa"/>
            <w:shd w:val="clear" w:color="auto" w:fill="auto"/>
            <w:noWrap/>
            <w:hideMark/>
          </w:tcPr>
          <w:p w14:paraId="1CFC33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1244E1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 of dietary supplementation with omega-3 fatty acid and gamma-linolenic acid on acne vulgaris: a randomised, double-blind, controlled trial. </w:t>
            </w:r>
          </w:p>
        </w:tc>
        <w:tc>
          <w:tcPr>
            <w:tcW w:w="1417" w:type="dxa"/>
          </w:tcPr>
          <w:p w14:paraId="779656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Acta Derm Venereol</w:t>
            </w:r>
          </w:p>
        </w:tc>
        <w:tc>
          <w:tcPr>
            <w:tcW w:w="709" w:type="dxa"/>
          </w:tcPr>
          <w:p w14:paraId="5D77AF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94(5)</w:t>
            </w:r>
          </w:p>
        </w:tc>
        <w:tc>
          <w:tcPr>
            <w:tcW w:w="851" w:type="dxa"/>
          </w:tcPr>
          <w:p w14:paraId="5398F6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521-525</w:t>
            </w:r>
          </w:p>
        </w:tc>
        <w:tc>
          <w:tcPr>
            <w:tcW w:w="1559" w:type="dxa"/>
          </w:tcPr>
          <w:p w14:paraId="2E2CA5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10.2340/00015555-1802</w:t>
            </w:r>
          </w:p>
        </w:tc>
        <w:tc>
          <w:tcPr>
            <w:tcW w:w="850" w:type="dxa"/>
            <w:shd w:val="clear" w:color="auto" w:fill="auto"/>
            <w:noWrap/>
            <w:hideMark/>
          </w:tcPr>
          <w:p w14:paraId="01E5A4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1DB05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2303D7A" w14:textId="77777777" w:rsidTr="00924B3D">
        <w:trPr>
          <w:trHeight w:val="300"/>
        </w:trPr>
        <w:tc>
          <w:tcPr>
            <w:tcW w:w="1009" w:type="dxa"/>
            <w:shd w:val="clear" w:color="auto" w:fill="auto"/>
            <w:noWrap/>
            <w:hideMark/>
          </w:tcPr>
          <w:p w14:paraId="4416AF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55356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Kamenova P.</w:t>
            </w:r>
          </w:p>
        </w:tc>
        <w:tc>
          <w:tcPr>
            <w:tcW w:w="709" w:type="dxa"/>
            <w:shd w:val="clear" w:color="auto" w:fill="auto"/>
            <w:noWrap/>
            <w:hideMark/>
          </w:tcPr>
          <w:p w14:paraId="5924E8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78020C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Improvement of insulin sensitivity in patients with type 2 diabetes mellitus after oral administration of alpha-lipoic acid. </w:t>
            </w:r>
          </w:p>
        </w:tc>
        <w:tc>
          <w:tcPr>
            <w:tcW w:w="1417" w:type="dxa"/>
          </w:tcPr>
          <w:p w14:paraId="01963E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Hormones (Athens)</w:t>
            </w:r>
          </w:p>
        </w:tc>
        <w:tc>
          <w:tcPr>
            <w:tcW w:w="709" w:type="dxa"/>
          </w:tcPr>
          <w:p w14:paraId="7BEA4E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w:t>
            </w:r>
          </w:p>
        </w:tc>
        <w:tc>
          <w:tcPr>
            <w:tcW w:w="851" w:type="dxa"/>
          </w:tcPr>
          <w:p w14:paraId="66C92C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251–258</w:t>
            </w:r>
          </w:p>
        </w:tc>
        <w:tc>
          <w:tcPr>
            <w:tcW w:w="1559" w:type="dxa"/>
          </w:tcPr>
          <w:p w14:paraId="4EB04C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C6483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7166B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7BAE1C0" w14:textId="77777777" w:rsidTr="00924B3D">
        <w:trPr>
          <w:trHeight w:val="300"/>
        </w:trPr>
        <w:tc>
          <w:tcPr>
            <w:tcW w:w="1009" w:type="dxa"/>
            <w:shd w:val="clear" w:color="auto" w:fill="auto"/>
            <w:noWrap/>
            <w:hideMark/>
          </w:tcPr>
          <w:p w14:paraId="1FB348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3C00F9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Kar S, Wong M, Rogozinska E, Thangaratinam S.</w:t>
            </w:r>
          </w:p>
        </w:tc>
        <w:tc>
          <w:tcPr>
            <w:tcW w:w="709" w:type="dxa"/>
            <w:shd w:val="clear" w:color="auto" w:fill="auto"/>
            <w:noWrap/>
            <w:hideMark/>
          </w:tcPr>
          <w:p w14:paraId="0C6E6C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033F55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of omega-3 fatty acids in prevention of early preterm delivery: a systematic review and meta-analysis of randomized studies. </w:t>
            </w:r>
          </w:p>
        </w:tc>
        <w:tc>
          <w:tcPr>
            <w:tcW w:w="1417" w:type="dxa"/>
          </w:tcPr>
          <w:p w14:paraId="2FB8ED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European Journal of Obstetrics &amp; Gynecology and Reproductive Biology</w:t>
            </w:r>
          </w:p>
        </w:tc>
        <w:tc>
          <w:tcPr>
            <w:tcW w:w="709" w:type="dxa"/>
          </w:tcPr>
          <w:p w14:paraId="646CCE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198</w:t>
            </w:r>
          </w:p>
        </w:tc>
        <w:tc>
          <w:tcPr>
            <w:tcW w:w="851" w:type="dxa"/>
          </w:tcPr>
          <w:p w14:paraId="3D4541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40-46</w:t>
            </w:r>
          </w:p>
        </w:tc>
        <w:tc>
          <w:tcPr>
            <w:tcW w:w="1559" w:type="dxa"/>
          </w:tcPr>
          <w:p w14:paraId="24F333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10.1016/j.ejogrb.2015.11.033</w:t>
            </w:r>
          </w:p>
        </w:tc>
        <w:tc>
          <w:tcPr>
            <w:tcW w:w="850" w:type="dxa"/>
            <w:shd w:val="clear" w:color="auto" w:fill="auto"/>
            <w:noWrap/>
            <w:hideMark/>
          </w:tcPr>
          <w:p w14:paraId="2106AF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88F97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11BC7800" w14:textId="77777777" w:rsidTr="00924B3D">
        <w:trPr>
          <w:trHeight w:val="300"/>
        </w:trPr>
        <w:tc>
          <w:tcPr>
            <w:tcW w:w="1009" w:type="dxa"/>
            <w:shd w:val="clear" w:color="auto" w:fill="auto"/>
            <w:noWrap/>
            <w:hideMark/>
          </w:tcPr>
          <w:p w14:paraId="377360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03818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Kastelein JJ, Maki KC, Susekov A, Ezhov M, Nordestgaard BG, Machielse BN, et al.</w:t>
            </w:r>
          </w:p>
        </w:tc>
        <w:tc>
          <w:tcPr>
            <w:tcW w:w="709" w:type="dxa"/>
            <w:shd w:val="clear" w:color="auto" w:fill="auto"/>
            <w:noWrap/>
            <w:hideMark/>
          </w:tcPr>
          <w:p w14:paraId="6313C1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07EF6B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free fatty acids for the treatment of severe hypertriglyceridemia: the Epanova for Lowering Very high triglycerides (EVOLVE) trial. </w:t>
            </w:r>
          </w:p>
        </w:tc>
        <w:tc>
          <w:tcPr>
            <w:tcW w:w="1417" w:type="dxa"/>
          </w:tcPr>
          <w:p w14:paraId="070A59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Clin Lipidol</w:t>
            </w:r>
          </w:p>
        </w:tc>
        <w:tc>
          <w:tcPr>
            <w:tcW w:w="709" w:type="dxa"/>
          </w:tcPr>
          <w:p w14:paraId="332996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8(1)</w:t>
            </w:r>
          </w:p>
        </w:tc>
        <w:tc>
          <w:tcPr>
            <w:tcW w:w="851" w:type="dxa"/>
          </w:tcPr>
          <w:p w14:paraId="5D7F4A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94-106</w:t>
            </w:r>
          </w:p>
        </w:tc>
        <w:tc>
          <w:tcPr>
            <w:tcW w:w="1559" w:type="dxa"/>
          </w:tcPr>
          <w:p w14:paraId="774A71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10.1016/j.jacl.2013.10.003</w:t>
            </w:r>
          </w:p>
        </w:tc>
        <w:tc>
          <w:tcPr>
            <w:tcW w:w="850" w:type="dxa"/>
            <w:shd w:val="clear" w:color="auto" w:fill="auto"/>
            <w:noWrap/>
            <w:hideMark/>
          </w:tcPr>
          <w:p w14:paraId="7DE7B2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CA7F0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CC71A73" w14:textId="77777777" w:rsidTr="00924B3D">
        <w:trPr>
          <w:trHeight w:val="300"/>
        </w:trPr>
        <w:tc>
          <w:tcPr>
            <w:tcW w:w="1009" w:type="dxa"/>
            <w:shd w:val="clear" w:color="auto" w:fill="auto"/>
            <w:noWrap/>
            <w:hideMark/>
          </w:tcPr>
          <w:p w14:paraId="065460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E0814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Kazaks AG, Uriu-Adams JY, Albertson TE, Shenoy S, Stern JS</w:t>
            </w:r>
          </w:p>
        </w:tc>
        <w:tc>
          <w:tcPr>
            <w:tcW w:w="709" w:type="dxa"/>
            <w:shd w:val="clear" w:color="auto" w:fill="auto"/>
            <w:noWrap/>
            <w:hideMark/>
          </w:tcPr>
          <w:p w14:paraId="470D1C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5D1C0E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Oral Magnesium Supplementation on Measures of Airway Resistance and Subjective Assessment of Asthma Control and Quality of Life in Men and Women with Mild to Moderate Asthma: A Randomized Placebo Controlled Trial.</w:t>
            </w:r>
          </w:p>
        </w:tc>
        <w:tc>
          <w:tcPr>
            <w:tcW w:w="1417" w:type="dxa"/>
          </w:tcPr>
          <w:p w14:paraId="185629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Asthma</w:t>
            </w:r>
          </w:p>
        </w:tc>
        <w:tc>
          <w:tcPr>
            <w:tcW w:w="709" w:type="dxa"/>
          </w:tcPr>
          <w:p w14:paraId="3C8BB1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47 (1)</w:t>
            </w:r>
          </w:p>
        </w:tc>
        <w:tc>
          <w:tcPr>
            <w:tcW w:w="851" w:type="dxa"/>
          </w:tcPr>
          <w:p w14:paraId="562312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83-92</w:t>
            </w:r>
          </w:p>
        </w:tc>
        <w:tc>
          <w:tcPr>
            <w:tcW w:w="1559" w:type="dxa"/>
          </w:tcPr>
          <w:p w14:paraId="1A9B82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AEBEF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84291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5F3789C" w14:textId="77777777" w:rsidTr="00924B3D">
        <w:trPr>
          <w:trHeight w:val="300"/>
        </w:trPr>
        <w:tc>
          <w:tcPr>
            <w:tcW w:w="1009" w:type="dxa"/>
            <w:shd w:val="clear" w:color="auto" w:fill="auto"/>
            <w:noWrap/>
            <w:hideMark/>
          </w:tcPr>
          <w:p w14:paraId="1D4E77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65425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Kean JD, Sarris J, Scholey A, et al</w:t>
            </w:r>
          </w:p>
        </w:tc>
        <w:tc>
          <w:tcPr>
            <w:tcW w:w="709" w:type="dxa"/>
            <w:shd w:val="clear" w:color="auto" w:fill="auto"/>
            <w:noWrap/>
            <w:hideMark/>
          </w:tcPr>
          <w:p w14:paraId="452EFD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6B0E6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Reduced inattention and hyperactivity and improved cognition after marine oil extract (PCSO-524®) supplementation in children and adolescents with clinical and subclinical symptoms of attention-deficit hyperactivity disorder (ADHD): a randomised, double-b</w:t>
            </w:r>
          </w:p>
        </w:tc>
        <w:tc>
          <w:tcPr>
            <w:tcW w:w="1417" w:type="dxa"/>
          </w:tcPr>
          <w:p w14:paraId="3B8F3E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Psychopharmacology</w:t>
            </w:r>
          </w:p>
        </w:tc>
        <w:tc>
          <w:tcPr>
            <w:tcW w:w="709" w:type="dxa"/>
          </w:tcPr>
          <w:p w14:paraId="015C22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234(3)</w:t>
            </w:r>
          </w:p>
        </w:tc>
        <w:tc>
          <w:tcPr>
            <w:tcW w:w="851" w:type="dxa"/>
          </w:tcPr>
          <w:p w14:paraId="469585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403-20</w:t>
            </w:r>
          </w:p>
        </w:tc>
        <w:tc>
          <w:tcPr>
            <w:tcW w:w="1559" w:type="dxa"/>
          </w:tcPr>
          <w:p w14:paraId="713FDB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9DB1D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5F8D4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6B5B296" w14:textId="77777777" w:rsidTr="00924B3D">
        <w:trPr>
          <w:trHeight w:val="300"/>
        </w:trPr>
        <w:tc>
          <w:tcPr>
            <w:tcW w:w="1009" w:type="dxa"/>
            <w:shd w:val="clear" w:color="auto" w:fill="auto"/>
            <w:noWrap/>
            <w:hideMark/>
          </w:tcPr>
          <w:p w14:paraId="7866DE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D83E7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Kennedy DA, Lewis E, Cooley K, et al.</w:t>
            </w:r>
          </w:p>
        </w:tc>
        <w:tc>
          <w:tcPr>
            <w:tcW w:w="709" w:type="dxa"/>
            <w:shd w:val="clear" w:color="auto" w:fill="auto"/>
            <w:noWrap/>
            <w:hideMark/>
          </w:tcPr>
          <w:p w14:paraId="686036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4E1AB1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exploratory comparative investigation of Food Allergy/Sensitivity Testing in IBS (The FAST Study): a comparison between various laboratory methods and an elimination diet</w:t>
            </w:r>
          </w:p>
        </w:tc>
        <w:tc>
          <w:tcPr>
            <w:tcW w:w="1417" w:type="dxa"/>
          </w:tcPr>
          <w:p w14:paraId="712487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Advances in Integrative Medicine</w:t>
            </w:r>
          </w:p>
        </w:tc>
        <w:tc>
          <w:tcPr>
            <w:tcW w:w="709" w:type="dxa"/>
          </w:tcPr>
          <w:p w14:paraId="217E6E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w:t>
            </w:r>
          </w:p>
        </w:tc>
        <w:tc>
          <w:tcPr>
            <w:tcW w:w="851" w:type="dxa"/>
          </w:tcPr>
          <w:p w14:paraId="0A6BA0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124-30</w:t>
            </w:r>
          </w:p>
        </w:tc>
        <w:tc>
          <w:tcPr>
            <w:tcW w:w="1559" w:type="dxa"/>
          </w:tcPr>
          <w:p w14:paraId="5E0000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11BB3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EB87D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6095E2A" w14:textId="77777777" w:rsidTr="00924B3D">
        <w:trPr>
          <w:trHeight w:val="300"/>
        </w:trPr>
        <w:tc>
          <w:tcPr>
            <w:tcW w:w="1009" w:type="dxa"/>
            <w:shd w:val="clear" w:color="auto" w:fill="auto"/>
            <w:noWrap/>
            <w:hideMark/>
          </w:tcPr>
          <w:p w14:paraId="639103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D516A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Kessopoulou, E., H. J. Powers, K. K. Sharma, M. J. Pearson, J. M. Russell, I. D. Cooke and C. L. Barratt</w:t>
            </w:r>
          </w:p>
        </w:tc>
        <w:tc>
          <w:tcPr>
            <w:tcW w:w="709" w:type="dxa"/>
            <w:shd w:val="clear" w:color="auto" w:fill="auto"/>
            <w:noWrap/>
            <w:hideMark/>
          </w:tcPr>
          <w:p w14:paraId="477D04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1995</w:t>
            </w:r>
          </w:p>
        </w:tc>
        <w:tc>
          <w:tcPr>
            <w:tcW w:w="3544" w:type="dxa"/>
            <w:shd w:val="clear" w:color="auto" w:fill="auto"/>
            <w:noWrap/>
            <w:hideMark/>
          </w:tcPr>
          <w:p w14:paraId="221F1A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double-blind randomized placebo cross-over controlled trial using the antioxidant vitamin E to treat reactive oxygen species associated male infertility.</w:t>
            </w:r>
          </w:p>
        </w:tc>
        <w:tc>
          <w:tcPr>
            <w:tcW w:w="1417" w:type="dxa"/>
          </w:tcPr>
          <w:p w14:paraId="1E473D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Fertility and sterility</w:t>
            </w:r>
          </w:p>
        </w:tc>
        <w:tc>
          <w:tcPr>
            <w:tcW w:w="709" w:type="dxa"/>
          </w:tcPr>
          <w:p w14:paraId="2E196F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64(4):</w:t>
            </w:r>
          </w:p>
        </w:tc>
        <w:tc>
          <w:tcPr>
            <w:tcW w:w="851" w:type="dxa"/>
          </w:tcPr>
          <w:p w14:paraId="20DE3A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825-831</w:t>
            </w:r>
          </w:p>
        </w:tc>
        <w:tc>
          <w:tcPr>
            <w:tcW w:w="1559" w:type="dxa"/>
          </w:tcPr>
          <w:p w14:paraId="0868EE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0015-0282</w:t>
            </w:r>
          </w:p>
        </w:tc>
        <w:tc>
          <w:tcPr>
            <w:tcW w:w="850" w:type="dxa"/>
            <w:shd w:val="clear" w:color="auto" w:fill="auto"/>
            <w:noWrap/>
            <w:hideMark/>
          </w:tcPr>
          <w:p w14:paraId="3C96C2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EB8E3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C06E838" w14:textId="77777777" w:rsidTr="00924B3D">
        <w:trPr>
          <w:trHeight w:val="300"/>
        </w:trPr>
        <w:tc>
          <w:tcPr>
            <w:tcW w:w="1009" w:type="dxa"/>
            <w:shd w:val="clear" w:color="auto" w:fill="auto"/>
            <w:noWrap/>
            <w:hideMark/>
          </w:tcPr>
          <w:p w14:paraId="006E27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CEB8D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Kim CH, Han KA, Yu J, Lee SH, Jeon HK, Kim SH, et al.</w:t>
            </w:r>
          </w:p>
        </w:tc>
        <w:tc>
          <w:tcPr>
            <w:tcW w:w="709" w:type="dxa"/>
            <w:shd w:val="clear" w:color="auto" w:fill="auto"/>
            <w:noWrap/>
            <w:hideMark/>
          </w:tcPr>
          <w:p w14:paraId="139914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2B626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Efficacy and safety of adding omega-3 fatty acids in statin-treated patients with residual hypertriglyceridemia: ROMANTIC (Rosuvastatin-OMAcor in residual hyperTriglyceridemia), a randomized, double-blind, and placebo-controlled trial. </w:t>
            </w:r>
          </w:p>
        </w:tc>
        <w:tc>
          <w:tcPr>
            <w:tcW w:w="1417" w:type="dxa"/>
          </w:tcPr>
          <w:p w14:paraId="50DF75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 Ther</w:t>
            </w:r>
          </w:p>
        </w:tc>
        <w:tc>
          <w:tcPr>
            <w:tcW w:w="709" w:type="dxa"/>
          </w:tcPr>
          <w:p w14:paraId="27AFEE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40(1)</w:t>
            </w:r>
          </w:p>
        </w:tc>
        <w:tc>
          <w:tcPr>
            <w:tcW w:w="851" w:type="dxa"/>
          </w:tcPr>
          <w:p w14:paraId="234ACB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83-94</w:t>
            </w:r>
          </w:p>
        </w:tc>
        <w:tc>
          <w:tcPr>
            <w:tcW w:w="1559" w:type="dxa"/>
          </w:tcPr>
          <w:p w14:paraId="075E48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10.1016/j.clinthera.2017.11.007</w:t>
            </w:r>
          </w:p>
        </w:tc>
        <w:tc>
          <w:tcPr>
            <w:tcW w:w="850" w:type="dxa"/>
            <w:shd w:val="clear" w:color="auto" w:fill="auto"/>
            <w:noWrap/>
            <w:hideMark/>
          </w:tcPr>
          <w:p w14:paraId="46FE65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89520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D2E7107" w14:textId="77777777" w:rsidTr="00924B3D">
        <w:trPr>
          <w:trHeight w:val="300"/>
        </w:trPr>
        <w:tc>
          <w:tcPr>
            <w:tcW w:w="1009" w:type="dxa"/>
            <w:shd w:val="clear" w:color="auto" w:fill="auto"/>
            <w:noWrap/>
            <w:hideMark/>
          </w:tcPr>
          <w:p w14:paraId="3007B0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1FD42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Kim LS, Hilli L, Orlowski J, et al</w:t>
            </w:r>
          </w:p>
        </w:tc>
        <w:tc>
          <w:tcPr>
            <w:tcW w:w="709" w:type="dxa"/>
            <w:shd w:val="clear" w:color="auto" w:fill="auto"/>
            <w:noWrap/>
            <w:hideMark/>
          </w:tcPr>
          <w:p w14:paraId="5BE91D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191A6D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of probiotics and nutrients in functional gastrointestinal disorders: a preliminary clinical trial</w:t>
            </w:r>
          </w:p>
        </w:tc>
        <w:tc>
          <w:tcPr>
            <w:tcW w:w="1417" w:type="dxa"/>
          </w:tcPr>
          <w:p w14:paraId="25F932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Digestive Diseases and Sciences</w:t>
            </w:r>
          </w:p>
        </w:tc>
        <w:tc>
          <w:tcPr>
            <w:tcW w:w="709" w:type="dxa"/>
          </w:tcPr>
          <w:p w14:paraId="6422E5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51(12)</w:t>
            </w:r>
          </w:p>
        </w:tc>
        <w:tc>
          <w:tcPr>
            <w:tcW w:w="851" w:type="dxa"/>
          </w:tcPr>
          <w:p w14:paraId="29CAEC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2134-44</w:t>
            </w:r>
          </w:p>
        </w:tc>
        <w:tc>
          <w:tcPr>
            <w:tcW w:w="1559" w:type="dxa"/>
          </w:tcPr>
          <w:p w14:paraId="68D5B5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99B2B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0E7F1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488E728" w14:textId="77777777" w:rsidTr="00924B3D">
        <w:trPr>
          <w:trHeight w:val="300"/>
        </w:trPr>
        <w:tc>
          <w:tcPr>
            <w:tcW w:w="1009" w:type="dxa"/>
            <w:shd w:val="clear" w:color="auto" w:fill="auto"/>
            <w:noWrap/>
            <w:hideMark/>
          </w:tcPr>
          <w:p w14:paraId="59B2FF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30CFE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Kim LS, Hilli L, Orlowski J, et al.</w:t>
            </w:r>
          </w:p>
        </w:tc>
        <w:tc>
          <w:tcPr>
            <w:tcW w:w="709" w:type="dxa"/>
            <w:shd w:val="clear" w:color="auto" w:fill="auto"/>
            <w:noWrap/>
            <w:hideMark/>
          </w:tcPr>
          <w:p w14:paraId="648374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2227D7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of probiotics and nutrients in functional gastrointestinal disorders: a preliminary clinical trial</w:t>
            </w:r>
          </w:p>
        </w:tc>
        <w:tc>
          <w:tcPr>
            <w:tcW w:w="1417" w:type="dxa"/>
          </w:tcPr>
          <w:p w14:paraId="6D8105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Digestive Diseases and Sciences</w:t>
            </w:r>
          </w:p>
        </w:tc>
        <w:tc>
          <w:tcPr>
            <w:tcW w:w="709" w:type="dxa"/>
          </w:tcPr>
          <w:p w14:paraId="09CF58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51(12</w:t>
            </w:r>
          </w:p>
        </w:tc>
        <w:tc>
          <w:tcPr>
            <w:tcW w:w="851" w:type="dxa"/>
          </w:tcPr>
          <w:p w14:paraId="728903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2134-44</w:t>
            </w:r>
          </w:p>
        </w:tc>
        <w:tc>
          <w:tcPr>
            <w:tcW w:w="1559" w:type="dxa"/>
          </w:tcPr>
          <w:p w14:paraId="0D4D3B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6E44A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F0F99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430CCBC" w14:textId="77777777" w:rsidTr="00924B3D">
        <w:trPr>
          <w:trHeight w:val="300"/>
        </w:trPr>
        <w:tc>
          <w:tcPr>
            <w:tcW w:w="1009" w:type="dxa"/>
            <w:shd w:val="clear" w:color="auto" w:fill="auto"/>
            <w:noWrap/>
            <w:hideMark/>
          </w:tcPr>
          <w:p w14:paraId="4318D6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AD7A4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Kisan R, Sujan M, Adoor M, et al.</w:t>
            </w:r>
          </w:p>
        </w:tc>
        <w:tc>
          <w:tcPr>
            <w:tcW w:w="709" w:type="dxa"/>
            <w:shd w:val="clear" w:color="auto" w:fill="auto"/>
            <w:noWrap/>
            <w:hideMark/>
          </w:tcPr>
          <w:p w14:paraId="2DE114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2ED246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yoga on migraine: A comprehensive study using clinical profile and cardiac autonomic functions.</w:t>
            </w:r>
          </w:p>
        </w:tc>
        <w:tc>
          <w:tcPr>
            <w:tcW w:w="1417" w:type="dxa"/>
          </w:tcPr>
          <w:p w14:paraId="53F883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Yoga</w:t>
            </w:r>
          </w:p>
        </w:tc>
        <w:tc>
          <w:tcPr>
            <w:tcW w:w="709" w:type="dxa"/>
          </w:tcPr>
          <w:p w14:paraId="7FCBAB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w:t>
            </w:r>
          </w:p>
        </w:tc>
        <w:tc>
          <w:tcPr>
            <w:tcW w:w="851" w:type="dxa"/>
          </w:tcPr>
          <w:p w14:paraId="438532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126</w:t>
            </w:r>
          </w:p>
        </w:tc>
        <w:tc>
          <w:tcPr>
            <w:tcW w:w="1559" w:type="dxa"/>
          </w:tcPr>
          <w:p w14:paraId="6801B7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4DE0E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5E1D8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E4DFE86" w14:textId="77777777" w:rsidTr="00924B3D">
        <w:trPr>
          <w:trHeight w:val="300"/>
        </w:trPr>
        <w:tc>
          <w:tcPr>
            <w:tcW w:w="1009" w:type="dxa"/>
            <w:shd w:val="clear" w:color="auto" w:fill="auto"/>
            <w:noWrap/>
            <w:hideMark/>
          </w:tcPr>
          <w:p w14:paraId="0F2B33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076FCB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Koutoubi S, Heiselmann PR, Murdoch S, et al</w:t>
            </w:r>
          </w:p>
        </w:tc>
        <w:tc>
          <w:tcPr>
            <w:tcW w:w="709" w:type="dxa"/>
            <w:shd w:val="clear" w:color="auto" w:fill="auto"/>
            <w:noWrap/>
            <w:hideMark/>
          </w:tcPr>
          <w:p w14:paraId="66EFAF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142998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Changes in consumer knowledge and behavioral intention toward genetically engineered (GE) foods</w:t>
            </w:r>
          </w:p>
        </w:tc>
        <w:tc>
          <w:tcPr>
            <w:tcW w:w="1417" w:type="dxa"/>
          </w:tcPr>
          <w:p w14:paraId="1ABA1D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FASEB J</w:t>
            </w:r>
          </w:p>
        </w:tc>
        <w:tc>
          <w:tcPr>
            <w:tcW w:w="709" w:type="dxa"/>
          </w:tcPr>
          <w:p w14:paraId="710CC8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 (1Suppl)</w:t>
            </w:r>
          </w:p>
        </w:tc>
        <w:tc>
          <w:tcPr>
            <w:tcW w:w="851" w:type="dxa"/>
          </w:tcPr>
          <w:p w14:paraId="127C35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681.9-81.9</w:t>
            </w:r>
          </w:p>
        </w:tc>
        <w:tc>
          <w:tcPr>
            <w:tcW w:w="1559" w:type="dxa"/>
          </w:tcPr>
          <w:p w14:paraId="420AF1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8DD09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2BE01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116AA6F" w14:textId="77777777" w:rsidTr="00924B3D">
        <w:trPr>
          <w:trHeight w:val="300"/>
        </w:trPr>
        <w:tc>
          <w:tcPr>
            <w:tcW w:w="1009" w:type="dxa"/>
            <w:shd w:val="clear" w:color="auto" w:fill="auto"/>
            <w:noWrap/>
            <w:hideMark/>
          </w:tcPr>
          <w:p w14:paraId="312A2A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99B36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Krishnamurthy MN, Telles S</w:t>
            </w:r>
          </w:p>
        </w:tc>
        <w:tc>
          <w:tcPr>
            <w:tcW w:w="709" w:type="dxa"/>
            <w:shd w:val="clear" w:color="auto" w:fill="auto"/>
            <w:noWrap/>
            <w:hideMark/>
          </w:tcPr>
          <w:p w14:paraId="127711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7CEB4D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Assessing depression following two ancient Indian interventions: effects of yoga and ayurveda on older adults in a residential home</w:t>
            </w:r>
          </w:p>
        </w:tc>
        <w:tc>
          <w:tcPr>
            <w:tcW w:w="1417" w:type="dxa"/>
          </w:tcPr>
          <w:p w14:paraId="6A14EA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Gerontol Nurs</w:t>
            </w:r>
          </w:p>
        </w:tc>
        <w:tc>
          <w:tcPr>
            <w:tcW w:w="709" w:type="dxa"/>
          </w:tcPr>
          <w:p w14:paraId="3F79A9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33(2)</w:t>
            </w:r>
          </w:p>
        </w:tc>
        <w:tc>
          <w:tcPr>
            <w:tcW w:w="851" w:type="dxa"/>
          </w:tcPr>
          <w:p w14:paraId="396103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17-23</w:t>
            </w:r>
          </w:p>
        </w:tc>
        <w:tc>
          <w:tcPr>
            <w:tcW w:w="1559" w:type="dxa"/>
          </w:tcPr>
          <w:p w14:paraId="59CF5F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3A1A8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BCCF6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2DC6369" w14:textId="77777777" w:rsidTr="00924B3D">
        <w:trPr>
          <w:trHeight w:val="300"/>
        </w:trPr>
        <w:tc>
          <w:tcPr>
            <w:tcW w:w="1009" w:type="dxa"/>
            <w:shd w:val="clear" w:color="auto" w:fill="auto"/>
            <w:noWrap/>
            <w:hideMark/>
          </w:tcPr>
          <w:p w14:paraId="4D9541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1FD1D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Kristensen S, Schmidt EB, Schlemmer A, Rasmussen C, Johansen MB, Christensen JH.</w:t>
            </w:r>
          </w:p>
        </w:tc>
        <w:tc>
          <w:tcPr>
            <w:tcW w:w="709" w:type="dxa"/>
            <w:shd w:val="clear" w:color="auto" w:fill="auto"/>
            <w:noWrap/>
            <w:hideMark/>
          </w:tcPr>
          <w:p w14:paraId="165791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38640B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Beneficial effect of n-3 polyunsaturated fatty acids on inflammation and analgesic use in psoriatic arthritis: a randomized, double blind, placebo-controlled trial. </w:t>
            </w:r>
          </w:p>
        </w:tc>
        <w:tc>
          <w:tcPr>
            <w:tcW w:w="1417" w:type="dxa"/>
          </w:tcPr>
          <w:p w14:paraId="7116D9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Scand J Rheumatol</w:t>
            </w:r>
          </w:p>
        </w:tc>
        <w:tc>
          <w:tcPr>
            <w:tcW w:w="709" w:type="dxa"/>
          </w:tcPr>
          <w:p w14:paraId="149343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47(1)</w:t>
            </w:r>
          </w:p>
        </w:tc>
        <w:tc>
          <w:tcPr>
            <w:tcW w:w="851" w:type="dxa"/>
          </w:tcPr>
          <w:p w14:paraId="709791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27-36</w:t>
            </w:r>
          </w:p>
        </w:tc>
        <w:tc>
          <w:tcPr>
            <w:tcW w:w="1559" w:type="dxa"/>
          </w:tcPr>
          <w:p w14:paraId="01B2AC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10.1080/03009742.2017.1287304</w:t>
            </w:r>
          </w:p>
        </w:tc>
        <w:tc>
          <w:tcPr>
            <w:tcW w:w="850" w:type="dxa"/>
            <w:shd w:val="clear" w:color="auto" w:fill="auto"/>
            <w:noWrap/>
            <w:hideMark/>
          </w:tcPr>
          <w:p w14:paraId="3E9878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A6294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A31A7F0" w14:textId="77777777" w:rsidTr="00924B3D">
        <w:trPr>
          <w:trHeight w:val="300"/>
        </w:trPr>
        <w:tc>
          <w:tcPr>
            <w:tcW w:w="1009" w:type="dxa"/>
            <w:shd w:val="clear" w:color="auto" w:fill="auto"/>
            <w:noWrap/>
            <w:hideMark/>
          </w:tcPr>
          <w:p w14:paraId="4BDE88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33278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Laganà AS, Vitagliano A, Noventa M, Ambrosini G, D'Anna R.</w:t>
            </w:r>
          </w:p>
        </w:tc>
        <w:tc>
          <w:tcPr>
            <w:tcW w:w="709" w:type="dxa"/>
            <w:shd w:val="clear" w:color="auto" w:fill="auto"/>
            <w:noWrap/>
            <w:hideMark/>
          </w:tcPr>
          <w:p w14:paraId="324420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AAD51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Myo-inositol supplementation reduces the amount of gonadotropins and length of ovarian stimulation in women undergoing IVF: a systematic review and meta-analysis of randomized controlled trials. </w:t>
            </w:r>
          </w:p>
        </w:tc>
        <w:tc>
          <w:tcPr>
            <w:tcW w:w="1417" w:type="dxa"/>
          </w:tcPr>
          <w:p w14:paraId="660FAF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Arch Gynecol Obstet</w:t>
            </w:r>
          </w:p>
        </w:tc>
        <w:tc>
          <w:tcPr>
            <w:tcW w:w="709" w:type="dxa"/>
          </w:tcPr>
          <w:p w14:paraId="02D6E7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298(4)</w:t>
            </w:r>
          </w:p>
        </w:tc>
        <w:tc>
          <w:tcPr>
            <w:tcW w:w="851" w:type="dxa"/>
          </w:tcPr>
          <w:p w14:paraId="098064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675-684</w:t>
            </w:r>
          </w:p>
        </w:tc>
        <w:tc>
          <w:tcPr>
            <w:tcW w:w="1559" w:type="dxa"/>
          </w:tcPr>
          <w:p w14:paraId="1D8C18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10.1007/s00404-018-4861-y</w:t>
            </w:r>
          </w:p>
        </w:tc>
        <w:tc>
          <w:tcPr>
            <w:tcW w:w="850" w:type="dxa"/>
            <w:shd w:val="clear" w:color="auto" w:fill="auto"/>
            <w:noWrap/>
            <w:hideMark/>
          </w:tcPr>
          <w:p w14:paraId="228C31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75104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10DA72F3" w14:textId="77777777" w:rsidTr="00924B3D">
        <w:trPr>
          <w:trHeight w:val="300"/>
        </w:trPr>
        <w:tc>
          <w:tcPr>
            <w:tcW w:w="1009" w:type="dxa"/>
            <w:shd w:val="clear" w:color="auto" w:fill="auto"/>
            <w:noWrap/>
            <w:hideMark/>
          </w:tcPr>
          <w:p w14:paraId="5E048F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00808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Lakhan, S. E., Ford, C. T. and Tepper, D</w:t>
            </w:r>
          </w:p>
        </w:tc>
        <w:tc>
          <w:tcPr>
            <w:tcW w:w="709" w:type="dxa"/>
            <w:shd w:val="clear" w:color="auto" w:fill="auto"/>
            <w:noWrap/>
            <w:hideMark/>
          </w:tcPr>
          <w:p w14:paraId="7F3758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094E9E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Zingiberaceae extracts for pain: a systematic review and meta-analysis</w:t>
            </w:r>
          </w:p>
        </w:tc>
        <w:tc>
          <w:tcPr>
            <w:tcW w:w="1417" w:type="dxa"/>
          </w:tcPr>
          <w:p w14:paraId="282D1C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Nutrition</w:t>
            </w:r>
          </w:p>
        </w:tc>
        <w:tc>
          <w:tcPr>
            <w:tcW w:w="709" w:type="dxa"/>
          </w:tcPr>
          <w:p w14:paraId="65A61C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w:t>
            </w:r>
          </w:p>
        </w:tc>
        <w:tc>
          <w:tcPr>
            <w:tcW w:w="851" w:type="dxa"/>
          </w:tcPr>
          <w:p w14:paraId="30952A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50</w:t>
            </w:r>
          </w:p>
        </w:tc>
        <w:tc>
          <w:tcPr>
            <w:tcW w:w="1559" w:type="dxa"/>
          </w:tcPr>
          <w:p w14:paraId="65808D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1475-2891</w:t>
            </w:r>
            <w:r w:rsidRPr="00D518FF">
              <w:rPr>
                <w:rFonts w:ascii="Aptos" w:hAnsi="Aptos" w:cs="Calibri"/>
                <w:color w:val="000000"/>
                <w:sz w:val="16"/>
                <w:szCs w:val="16"/>
              </w:rPr>
              <w:br/>
              <w:t>DOI: 10.1186/s12937-015-0038-8</w:t>
            </w:r>
            <w:r w:rsidRPr="00D518FF">
              <w:rPr>
                <w:rFonts w:ascii="Aptos" w:hAnsi="Aptos" w:cs="Calibri"/>
                <w:color w:val="000000"/>
                <w:sz w:val="16"/>
                <w:szCs w:val="16"/>
              </w:rPr>
              <w:br/>
              <w:t>PMCID: PMC4436156</w:t>
            </w:r>
            <w:r w:rsidRPr="00D518FF">
              <w:rPr>
                <w:rFonts w:ascii="Aptos" w:hAnsi="Aptos" w:cs="Calibri"/>
                <w:color w:val="000000"/>
                <w:sz w:val="16"/>
                <w:szCs w:val="16"/>
              </w:rPr>
              <w:br/>
              <w:t>Accession Number: 25972154</w:t>
            </w:r>
          </w:p>
        </w:tc>
        <w:tc>
          <w:tcPr>
            <w:tcW w:w="850" w:type="dxa"/>
            <w:shd w:val="clear" w:color="auto" w:fill="auto"/>
            <w:noWrap/>
            <w:hideMark/>
          </w:tcPr>
          <w:p w14:paraId="0FB560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C3679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F058E70" w14:textId="77777777" w:rsidTr="00924B3D">
        <w:trPr>
          <w:trHeight w:val="300"/>
        </w:trPr>
        <w:tc>
          <w:tcPr>
            <w:tcW w:w="1009" w:type="dxa"/>
            <w:shd w:val="clear" w:color="auto" w:fill="auto"/>
            <w:noWrap/>
            <w:hideMark/>
          </w:tcPr>
          <w:p w14:paraId="277894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7E292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Langhurst J, Musial F et al. </w:t>
            </w:r>
          </w:p>
        </w:tc>
        <w:tc>
          <w:tcPr>
            <w:tcW w:w="709" w:type="dxa"/>
            <w:shd w:val="clear" w:color="auto" w:fill="auto"/>
            <w:noWrap/>
            <w:hideMark/>
          </w:tcPr>
          <w:p w14:paraId="2A2B87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630A9C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of Hydrotherapy in Fibromyalgia syndrome- a meta-analysis of randomized controlled clinical trials</w:t>
            </w:r>
          </w:p>
        </w:tc>
        <w:tc>
          <w:tcPr>
            <w:tcW w:w="1417" w:type="dxa"/>
          </w:tcPr>
          <w:p w14:paraId="2927F7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Rheumatology (Oxford) </w:t>
            </w:r>
          </w:p>
        </w:tc>
        <w:tc>
          <w:tcPr>
            <w:tcW w:w="709" w:type="dxa"/>
          </w:tcPr>
          <w:p w14:paraId="7D5389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48(9)</w:t>
            </w:r>
          </w:p>
        </w:tc>
        <w:tc>
          <w:tcPr>
            <w:tcW w:w="851" w:type="dxa"/>
          </w:tcPr>
          <w:p w14:paraId="08DCF4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1156-1159</w:t>
            </w:r>
          </w:p>
        </w:tc>
        <w:tc>
          <w:tcPr>
            <w:tcW w:w="1559" w:type="dxa"/>
          </w:tcPr>
          <w:p w14:paraId="1F9107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10.1093/rheumatology/kep182</w:t>
            </w:r>
          </w:p>
        </w:tc>
        <w:tc>
          <w:tcPr>
            <w:tcW w:w="850" w:type="dxa"/>
            <w:shd w:val="clear" w:color="auto" w:fill="auto"/>
            <w:noWrap/>
            <w:hideMark/>
          </w:tcPr>
          <w:p w14:paraId="19D570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C4506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45969D2" w14:textId="77777777" w:rsidTr="00924B3D">
        <w:trPr>
          <w:trHeight w:val="300"/>
        </w:trPr>
        <w:tc>
          <w:tcPr>
            <w:tcW w:w="1009" w:type="dxa"/>
            <w:shd w:val="clear" w:color="auto" w:fill="auto"/>
            <w:noWrap/>
            <w:hideMark/>
          </w:tcPr>
          <w:p w14:paraId="4336529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60BB7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Lauche R, Stumpe C, Fehr J, et al.</w:t>
            </w:r>
          </w:p>
        </w:tc>
        <w:tc>
          <w:tcPr>
            <w:tcW w:w="709" w:type="dxa"/>
            <w:shd w:val="clear" w:color="auto" w:fill="auto"/>
            <w:noWrap/>
            <w:hideMark/>
          </w:tcPr>
          <w:p w14:paraId="5A966B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57AE3E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effects of tai chi and neck exercises in the treatment of chronic nonspecific neck pain: a randomized controlled trial</w:t>
            </w:r>
          </w:p>
        </w:tc>
        <w:tc>
          <w:tcPr>
            <w:tcW w:w="1417" w:type="dxa"/>
          </w:tcPr>
          <w:p w14:paraId="52A7DA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Pain</w:t>
            </w:r>
          </w:p>
        </w:tc>
        <w:tc>
          <w:tcPr>
            <w:tcW w:w="709" w:type="dxa"/>
          </w:tcPr>
          <w:p w14:paraId="0C7738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17(9)</w:t>
            </w:r>
          </w:p>
        </w:tc>
        <w:tc>
          <w:tcPr>
            <w:tcW w:w="851" w:type="dxa"/>
          </w:tcPr>
          <w:p w14:paraId="54CAB6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101-27</w:t>
            </w:r>
          </w:p>
        </w:tc>
        <w:tc>
          <w:tcPr>
            <w:tcW w:w="1559" w:type="dxa"/>
          </w:tcPr>
          <w:p w14:paraId="7FB84A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C1D47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A5BF1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BEC2C63" w14:textId="77777777" w:rsidTr="00924B3D">
        <w:trPr>
          <w:trHeight w:val="300"/>
        </w:trPr>
        <w:tc>
          <w:tcPr>
            <w:tcW w:w="1009" w:type="dxa"/>
            <w:shd w:val="clear" w:color="auto" w:fill="auto"/>
            <w:noWrap/>
            <w:hideMark/>
          </w:tcPr>
          <w:p w14:paraId="553D77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215BE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Laviano A, Molfino A, Lacaria MT, Canelli A, De Leo S, Preziosa I, et al.</w:t>
            </w:r>
          </w:p>
        </w:tc>
        <w:tc>
          <w:tcPr>
            <w:tcW w:w="709" w:type="dxa"/>
            <w:shd w:val="clear" w:color="auto" w:fill="auto"/>
            <w:noWrap/>
            <w:hideMark/>
          </w:tcPr>
          <w:p w14:paraId="073646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483DF7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Glutamine supplementation favors weight loss in nondieting obese female patients. A pilot study. </w:t>
            </w:r>
          </w:p>
        </w:tc>
        <w:tc>
          <w:tcPr>
            <w:tcW w:w="1417" w:type="dxa"/>
          </w:tcPr>
          <w:p w14:paraId="0C5286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 J Clin Nutr</w:t>
            </w:r>
          </w:p>
        </w:tc>
        <w:tc>
          <w:tcPr>
            <w:tcW w:w="709" w:type="dxa"/>
          </w:tcPr>
          <w:p w14:paraId="54FA00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68(11)</w:t>
            </w:r>
          </w:p>
        </w:tc>
        <w:tc>
          <w:tcPr>
            <w:tcW w:w="851" w:type="dxa"/>
          </w:tcPr>
          <w:p w14:paraId="15ECFA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1264-1266</w:t>
            </w:r>
          </w:p>
        </w:tc>
        <w:tc>
          <w:tcPr>
            <w:tcW w:w="1559" w:type="dxa"/>
          </w:tcPr>
          <w:p w14:paraId="3F5D7B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10.1038/ejcn.2014.184</w:t>
            </w:r>
          </w:p>
        </w:tc>
        <w:tc>
          <w:tcPr>
            <w:tcW w:w="850" w:type="dxa"/>
            <w:shd w:val="clear" w:color="auto" w:fill="auto"/>
            <w:noWrap/>
            <w:hideMark/>
          </w:tcPr>
          <w:p w14:paraId="006953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3BFB0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BEF8A4B" w14:textId="77777777" w:rsidTr="00924B3D">
        <w:trPr>
          <w:trHeight w:val="300"/>
        </w:trPr>
        <w:tc>
          <w:tcPr>
            <w:tcW w:w="1009" w:type="dxa"/>
            <w:shd w:val="clear" w:color="auto" w:fill="auto"/>
            <w:noWrap/>
            <w:hideMark/>
          </w:tcPr>
          <w:p w14:paraId="3E6F9F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B3905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Leach MJ, Pincombe J, Foster G</w:t>
            </w:r>
          </w:p>
        </w:tc>
        <w:tc>
          <w:tcPr>
            <w:tcW w:w="709" w:type="dxa"/>
            <w:shd w:val="clear" w:color="auto" w:fill="auto"/>
            <w:noWrap/>
            <w:hideMark/>
          </w:tcPr>
          <w:p w14:paraId="358FA0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61FD94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efficacy of horsechestnut seed extract in the treatment of venous ulceration</w:t>
            </w:r>
          </w:p>
        </w:tc>
        <w:tc>
          <w:tcPr>
            <w:tcW w:w="1417" w:type="dxa"/>
          </w:tcPr>
          <w:p w14:paraId="583146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Wound Care</w:t>
            </w:r>
          </w:p>
        </w:tc>
        <w:tc>
          <w:tcPr>
            <w:tcW w:w="709" w:type="dxa"/>
          </w:tcPr>
          <w:p w14:paraId="756B1F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15(4)</w:t>
            </w:r>
          </w:p>
        </w:tc>
        <w:tc>
          <w:tcPr>
            <w:tcW w:w="851" w:type="dxa"/>
          </w:tcPr>
          <w:p w14:paraId="29A555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159-67</w:t>
            </w:r>
          </w:p>
        </w:tc>
        <w:tc>
          <w:tcPr>
            <w:tcW w:w="1559" w:type="dxa"/>
          </w:tcPr>
          <w:p w14:paraId="46C4AF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285ED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6E78B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EFD4E43" w14:textId="77777777" w:rsidTr="00924B3D">
        <w:trPr>
          <w:trHeight w:val="300"/>
        </w:trPr>
        <w:tc>
          <w:tcPr>
            <w:tcW w:w="1009" w:type="dxa"/>
            <w:shd w:val="clear" w:color="auto" w:fill="auto"/>
            <w:noWrap/>
            <w:hideMark/>
          </w:tcPr>
          <w:p w14:paraId="0F993A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46670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Leech, B, Schloss, J &amp; Steel, A</w:t>
            </w:r>
          </w:p>
        </w:tc>
        <w:tc>
          <w:tcPr>
            <w:tcW w:w="709" w:type="dxa"/>
            <w:shd w:val="clear" w:color="auto" w:fill="auto"/>
            <w:noWrap/>
            <w:hideMark/>
          </w:tcPr>
          <w:p w14:paraId="68EB79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C907C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Investigation into complementary and integrative medicine practitioners' clinical experience of intestinal permeability: A cross-sectional survey.</w:t>
            </w:r>
          </w:p>
        </w:tc>
        <w:tc>
          <w:tcPr>
            <w:tcW w:w="1417" w:type="dxa"/>
          </w:tcPr>
          <w:p w14:paraId="3E13BF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clinical practice</w:t>
            </w:r>
          </w:p>
        </w:tc>
        <w:tc>
          <w:tcPr>
            <w:tcW w:w="709" w:type="dxa"/>
          </w:tcPr>
          <w:p w14:paraId="16ACED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31</w:t>
            </w:r>
          </w:p>
        </w:tc>
        <w:tc>
          <w:tcPr>
            <w:tcW w:w="851" w:type="dxa"/>
          </w:tcPr>
          <w:p w14:paraId="0323BE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200-209</w:t>
            </w:r>
          </w:p>
        </w:tc>
        <w:tc>
          <w:tcPr>
            <w:tcW w:w="1559" w:type="dxa"/>
          </w:tcPr>
          <w:p w14:paraId="0D497B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doi.org/10.1016/j.ctcp.2018.02.014</w:t>
            </w:r>
          </w:p>
        </w:tc>
        <w:tc>
          <w:tcPr>
            <w:tcW w:w="850" w:type="dxa"/>
            <w:shd w:val="clear" w:color="auto" w:fill="auto"/>
            <w:noWrap/>
            <w:hideMark/>
          </w:tcPr>
          <w:p w14:paraId="571D49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99688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B6F4464" w14:textId="77777777" w:rsidTr="00924B3D">
        <w:trPr>
          <w:trHeight w:val="300"/>
        </w:trPr>
        <w:tc>
          <w:tcPr>
            <w:tcW w:w="1009" w:type="dxa"/>
            <w:shd w:val="clear" w:color="auto" w:fill="auto"/>
            <w:noWrap/>
            <w:hideMark/>
          </w:tcPr>
          <w:p w14:paraId="16B039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1A669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Lenzi, A., P. Sgro, P. Salacone, D. Paoli, B. Gilio, F. Lombardo, M. Santulli, A. Agarwal and L. Gandini</w:t>
            </w:r>
          </w:p>
        </w:tc>
        <w:tc>
          <w:tcPr>
            <w:tcW w:w="709" w:type="dxa"/>
            <w:shd w:val="clear" w:color="auto" w:fill="auto"/>
            <w:noWrap/>
            <w:hideMark/>
          </w:tcPr>
          <w:p w14:paraId="68181F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2004</w:t>
            </w:r>
          </w:p>
        </w:tc>
        <w:tc>
          <w:tcPr>
            <w:tcW w:w="3544" w:type="dxa"/>
            <w:shd w:val="clear" w:color="auto" w:fill="auto"/>
            <w:noWrap/>
            <w:hideMark/>
          </w:tcPr>
          <w:p w14:paraId="007EBD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placebo-controlled double-blind randomized trial of the use of combined l-carnitine and l-acetyl-carnitine treatment in men with asthenozoospermia.:.</w:t>
            </w:r>
          </w:p>
        </w:tc>
        <w:tc>
          <w:tcPr>
            <w:tcW w:w="1417" w:type="dxa"/>
          </w:tcPr>
          <w:p w14:paraId="193826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Fertility and sterility</w:t>
            </w:r>
          </w:p>
        </w:tc>
        <w:tc>
          <w:tcPr>
            <w:tcW w:w="709" w:type="dxa"/>
          </w:tcPr>
          <w:p w14:paraId="1A3817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81(6)</w:t>
            </w:r>
          </w:p>
        </w:tc>
        <w:tc>
          <w:tcPr>
            <w:tcW w:w="851" w:type="dxa"/>
          </w:tcPr>
          <w:p w14:paraId="74E1AA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1578-1584</w:t>
            </w:r>
          </w:p>
        </w:tc>
        <w:tc>
          <w:tcPr>
            <w:tcW w:w="1559" w:type="dxa"/>
          </w:tcPr>
          <w:p w14:paraId="105FEF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0015-0282</w:t>
            </w:r>
          </w:p>
        </w:tc>
        <w:tc>
          <w:tcPr>
            <w:tcW w:w="850" w:type="dxa"/>
            <w:shd w:val="clear" w:color="auto" w:fill="auto"/>
            <w:noWrap/>
            <w:hideMark/>
          </w:tcPr>
          <w:p w14:paraId="4B7CE4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14692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064AEDC" w14:textId="77777777" w:rsidTr="00924B3D">
        <w:trPr>
          <w:trHeight w:val="300"/>
        </w:trPr>
        <w:tc>
          <w:tcPr>
            <w:tcW w:w="1009" w:type="dxa"/>
            <w:shd w:val="clear" w:color="auto" w:fill="auto"/>
            <w:noWrap/>
            <w:hideMark/>
          </w:tcPr>
          <w:p w14:paraId="569F8E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42397D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Leombruni P, Miniotti M, Colonna F, Sica C, Castelli L, Bruzzone M, et al.</w:t>
            </w:r>
          </w:p>
        </w:tc>
        <w:tc>
          <w:tcPr>
            <w:tcW w:w="709" w:type="dxa"/>
            <w:shd w:val="clear" w:color="auto" w:fill="auto"/>
            <w:noWrap/>
            <w:hideMark/>
          </w:tcPr>
          <w:p w14:paraId="3282D6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607543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randomised controlled trial comparing duloxetine and acetyl L-carnitine in fibromyalgic patients: preliminary data. </w:t>
            </w:r>
          </w:p>
        </w:tc>
        <w:tc>
          <w:tcPr>
            <w:tcW w:w="1417" w:type="dxa"/>
          </w:tcPr>
          <w:p w14:paraId="0DA069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 Exp Rheumatol</w:t>
            </w:r>
          </w:p>
        </w:tc>
        <w:tc>
          <w:tcPr>
            <w:tcW w:w="709" w:type="dxa"/>
          </w:tcPr>
          <w:p w14:paraId="5DEAE9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33(1 Suppl 88)</w:t>
            </w:r>
          </w:p>
        </w:tc>
        <w:tc>
          <w:tcPr>
            <w:tcW w:w="851" w:type="dxa"/>
          </w:tcPr>
          <w:p w14:paraId="181CC0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S82-85</w:t>
            </w:r>
          </w:p>
        </w:tc>
        <w:tc>
          <w:tcPr>
            <w:tcW w:w="1559" w:type="dxa"/>
          </w:tcPr>
          <w:p w14:paraId="220556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1C47E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A3EA5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0C2D64F" w14:textId="77777777" w:rsidTr="00924B3D">
        <w:trPr>
          <w:trHeight w:val="300"/>
        </w:trPr>
        <w:tc>
          <w:tcPr>
            <w:tcW w:w="1009" w:type="dxa"/>
            <w:shd w:val="clear" w:color="auto" w:fill="auto"/>
            <w:noWrap/>
            <w:hideMark/>
          </w:tcPr>
          <w:p w14:paraId="71950F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E8288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Leung HW, Chan AL.</w:t>
            </w:r>
          </w:p>
        </w:tc>
        <w:tc>
          <w:tcPr>
            <w:tcW w:w="709" w:type="dxa"/>
            <w:shd w:val="clear" w:color="auto" w:fill="auto"/>
            <w:noWrap/>
            <w:hideMark/>
          </w:tcPr>
          <w:p w14:paraId="70AAA0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5CE60F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Glutamine in alleviation of radiation-induced severe oral mucositis: a meta-analysis. </w:t>
            </w:r>
          </w:p>
        </w:tc>
        <w:tc>
          <w:tcPr>
            <w:tcW w:w="1417" w:type="dxa"/>
          </w:tcPr>
          <w:p w14:paraId="00E64C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 Cancer</w:t>
            </w:r>
          </w:p>
        </w:tc>
        <w:tc>
          <w:tcPr>
            <w:tcW w:w="709" w:type="dxa"/>
          </w:tcPr>
          <w:p w14:paraId="1DFE70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68(5)</w:t>
            </w:r>
          </w:p>
        </w:tc>
        <w:tc>
          <w:tcPr>
            <w:tcW w:w="851" w:type="dxa"/>
          </w:tcPr>
          <w:p w14:paraId="4540B3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734-742</w:t>
            </w:r>
          </w:p>
        </w:tc>
        <w:tc>
          <w:tcPr>
            <w:tcW w:w="1559" w:type="dxa"/>
          </w:tcPr>
          <w:p w14:paraId="5E26F6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10.1080/01635581.2016.1159700</w:t>
            </w:r>
          </w:p>
        </w:tc>
        <w:tc>
          <w:tcPr>
            <w:tcW w:w="850" w:type="dxa"/>
            <w:shd w:val="clear" w:color="auto" w:fill="auto"/>
            <w:noWrap/>
            <w:hideMark/>
          </w:tcPr>
          <w:p w14:paraId="17C35F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D3C63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51E532A" w14:textId="77777777" w:rsidTr="00924B3D">
        <w:trPr>
          <w:trHeight w:val="300"/>
        </w:trPr>
        <w:tc>
          <w:tcPr>
            <w:tcW w:w="1009" w:type="dxa"/>
            <w:shd w:val="clear" w:color="auto" w:fill="auto"/>
            <w:noWrap/>
            <w:hideMark/>
          </w:tcPr>
          <w:p w14:paraId="5DA46B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7B2FB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 S, Chen X, Li Q, Du J, Liu Z, Peng Y, et al.</w:t>
            </w:r>
          </w:p>
        </w:tc>
        <w:tc>
          <w:tcPr>
            <w:tcW w:w="709" w:type="dxa"/>
            <w:shd w:val="clear" w:color="auto" w:fill="auto"/>
            <w:noWrap/>
            <w:hideMark/>
          </w:tcPr>
          <w:p w14:paraId="786706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235F6B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of acetyl-L-carnitine and methylcobalamin for diabetic peripheral neuropathy: A multicenter, randomized, double-blind, controlled trial. </w:t>
            </w:r>
          </w:p>
        </w:tc>
        <w:tc>
          <w:tcPr>
            <w:tcW w:w="1417" w:type="dxa"/>
          </w:tcPr>
          <w:p w14:paraId="1EA70F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Diabetes Investig</w:t>
            </w:r>
          </w:p>
        </w:tc>
        <w:tc>
          <w:tcPr>
            <w:tcW w:w="709" w:type="dxa"/>
          </w:tcPr>
          <w:p w14:paraId="09FC22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7(5)</w:t>
            </w:r>
          </w:p>
        </w:tc>
        <w:tc>
          <w:tcPr>
            <w:tcW w:w="851" w:type="dxa"/>
          </w:tcPr>
          <w:p w14:paraId="28D2EC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777-785</w:t>
            </w:r>
          </w:p>
        </w:tc>
        <w:tc>
          <w:tcPr>
            <w:tcW w:w="1559" w:type="dxa"/>
          </w:tcPr>
          <w:p w14:paraId="3ED81C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10.1111/jdi.12493</w:t>
            </w:r>
          </w:p>
        </w:tc>
        <w:tc>
          <w:tcPr>
            <w:tcW w:w="850" w:type="dxa"/>
            <w:shd w:val="clear" w:color="auto" w:fill="auto"/>
            <w:noWrap/>
            <w:hideMark/>
          </w:tcPr>
          <w:p w14:paraId="03BB3A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0B119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C7977B5" w14:textId="77777777" w:rsidTr="00924B3D">
        <w:trPr>
          <w:trHeight w:val="300"/>
        </w:trPr>
        <w:tc>
          <w:tcPr>
            <w:tcW w:w="1009" w:type="dxa"/>
            <w:shd w:val="clear" w:color="auto" w:fill="auto"/>
            <w:noWrap/>
            <w:hideMark/>
          </w:tcPr>
          <w:p w14:paraId="576971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32DCC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 S, Li Q, Li Y, Li L, Tian H, Sun X.</w:t>
            </w:r>
          </w:p>
        </w:tc>
        <w:tc>
          <w:tcPr>
            <w:tcW w:w="709" w:type="dxa"/>
            <w:shd w:val="clear" w:color="auto" w:fill="auto"/>
            <w:noWrap/>
            <w:hideMark/>
          </w:tcPr>
          <w:p w14:paraId="0F0A55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1A71F4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Acetyl-L-carnitine in the treatment of peripheral neuropathic pain: a systematic review and meta-analysis of randomized controlled trials. </w:t>
            </w:r>
          </w:p>
        </w:tc>
        <w:tc>
          <w:tcPr>
            <w:tcW w:w="1417" w:type="dxa"/>
          </w:tcPr>
          <w:p w14:paraId="20CBB38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41B220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w:t>
            </w:r>
          </w:p>
        </w:tc>
        <w:tc>
          <w:tcPr>
            <w:tcW w:w="851" w:type="dxa"/>
          </w:tcPr>
          <w:p w14:paraId="69A6CF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119479</w:t>
            </w:r>
          </w:p>
        </w:tc>
        <w:tc>
          <w:tcPr>
            <w:tcW w:w="1559" w:type="dxa"/>
          </w:tcPr>
          <w:p w14:paraId="3F8207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10.1371/journal.pone.0119479</w:t>
            </w:r>
          </w:p>
        </w:tc>
        <w:tc>
          <w:tcPr>
            <w:tcW w:w="850" w:type="dxa"/>
            <w:shd w:val="clear" w:color="auto" w:fill="auto"/>
            <w:noWrap/>
            <w:hideMark/>
          </w:tcPr>
          <w:p w14:paraId="7A661F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AE489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700EDE1A" w14:textId="77777777" w:rsidTr="00924B3D">
        <w:trPr>
          <w:trHeight w:val="300"/>
        </w:trPr>
        <w:tc>
          <w:tcPr>
            <w:tcW w:w="1009" w:type="dxa"/>
            <w:shd w:val="clear" w:color="auto" w:fill="auto"/>
            <w:noWrap/>
            <w:hideMark/>
          </w:tcPr>
          <w:p w14:paraId="0AF25B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EB7D9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Lubna Fatima, Arshiya Sultana</w:t>
            </w:r>
          </w:p>
        </w:tc>
        <w:tc>
          <w:tcPr>
            <w:tcW w:w="709" w:type="dxa"/>
            <w:shd w:val="clear" w:color="auto" w:fill="auto"/>
            <w:noWrap/>
            <w:hideMark/>
          </w:tcPr>
          <w:p w14:paraId="3E1C24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8BBB0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of </w:t>
            </w:r>
            <w:r w:rsidRPr="00D518FF">
              <w:rPr>
                <w:rFonts w:ascii="Aptos" w:hAnsi="Aptos" w:cs="Calibri"/>
                <w:i/>
                <w:iCs/>
                <w:color w:val="000000"/>
                <w:sz w:val="16"/>
                <w:szCs w:val="16"/>
              </w:rPr>
              <w:t>Tribulus terrestris</w:t>
            </w:r>
            <w:r w:rsidRPr="00D518FF">
              <w:rPr>
                <w:rFonts w:ascii="Aptos" w:hAnsi="Aptos" w:cs="Calibri"/>
                <w:color w:val="000000"/>
                <w:sz w:val="16"/>
                <w:szCs w:val="16"/>
              </w:rPr>
              <w:t> L. (fruits) in menopausal transition symptoms: A randomized placebo controlled study</w:t>
            </w:r>
          </w:p>
        </w:tc>
        <w:tc>
          <w:tcPr>
            <w:tcW w:w="1417" w:type="dxa"/>
          </w:tcPr>
          <w:p w14:paraId="336B05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Advances in Integrative Medicine</w:t>
            </w:r>
          </w:p>
        </w:tc>
        <w:tc>
          <w:tcPr>
            <w:tcW w:w="709" w:type="dxa"/>
          </w:tcPr>
          <w:p w14:paraId="2BB2A4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4 (2)</w:t>
            </w:r>
          </w:p>
        </w:tc>
        <w:tc>
          <w:tcPr>
            <w:tcW w:w="851" w:type="dxa"/>
          </w:tcPr>
          <w:p w14:paraId="7F5EC1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56-65</w:t>
            </w:r>
          </w:p>
        </w:tc>
        <w:tc>
          <w:tcPr>
            <w:tcW w:w="1559" w:type="dxa"/>
          </w:tcPr>
          <w:p w14:paraId="71392C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doi.org/10.1016/j.aimed.2017.10.003</w:t>
            </w:r>
          </w:p>
        </w:tc>
        <w:tc>
          <w:tcPr>
            <w:tcW w:w="850" w:type="dxa"/>
            <w:shd w:val="clear" w:color="auto" w:fill="auto"/>
            <w:noWrap/>
            <w:hideMark/>
          </w:tcPr>
          <w:p w14:paraId="397EEA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4EBAB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6BEBEA7" w14:textId="77777777" w:rsidTr="00924B3D">
        <w:trPr>
          <w:trHeight w:val="300"/>
        </w:trPr>
        <w:tc>
          <w:tcPr>
            <w:tcW w:w="1009" w:type="dxa"/>
            <w:shd w:val="clear" w:color="auto" w:fill="auto"/>
            <w:noWrap/>
            <w:hideMark/>
          </w:tcPr>
          <w:p w14:paraId="056B82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874C1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MacRedmond R, Singhera G, Attridge S, Bahzad M, Fava C, Lai Y, Hallstrand TS, Dorscheid DR.</w:t>
            </w:r>
          </w:p>
        </w:tc>
        <w:tc>
          <w:tcPr>
            <w:tcW w:w="709" w:type="dxa"/>
            <w:shd w:val="clear" w:color="auto" w:fill="auto"/>
            <w:noWrap/>
            <w:hideMark/>
          </w:tcPr>
          <w:p w14:paraId="022055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2D8236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Conjugated linoleic acid improves airway hyper-reactivity in overweight mild asthmatics. </w:t>
            </w:r>
          </w:p>
        </w:tc>
        <w:tc>
          <w:tcPr>
            <w:tcW w:w="1417" w:type="dxa"/>
          </w:tcPr>
          <w:p w14:paraId="777519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&amp; Experimental Allergy</w:t>
            </w:r>
          </w:p>
        </w:tc>
        <w:tc>
          <w:tcPr>
            <w:tcW w:w="709" w:type="dxa"/>
          </w:tcPr>
          <w:p w14:paraId="6266AB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w:t>
            </w:r>
          </w:p>
        </w:tc>
        <w:tc>
          <w:tcPr>
            <w:tcW w:w="851" w:type="dxa"/>
          </w:tcPr>
          <w:p w14:paraId="17D433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1071–1078</w:t>
            </w:r>
          </w:p>
        </w:tc>
        <w:tc>
          <w:tcPr>
            <w:tcW w:w="1559" w:type="dxa"/>
          </w:tcPr>
          <w:p w14:paraId="42CE95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10.1111/j.1365-2222.2010.03531.x</w:t>
            </w:r>
          </w:p>
        </w:tc>
        <w:tc>
          <w:tcPr>
            <w:tcW w:w="850" w:type="dxa"/>
            <w:shd w:val="clear" w:color="auto" w:fill="auto"/>
            <w:noWrap/>
            <w:hideMark/>
          </w:tcPr>
          <w:p w14:paraId="0A5907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48ED6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5CE82A2" w14:textId="77777777" w:rsidTr="00924B3D">
        <w:trPr>
          <w:trHeight w:val="300"/>
        </w:trPr>
        <w:tc>
          <w:tcPr>
            <w:tcW w:w="1009" w:type="dxa"/>
            <w:shd w:val="clear" w:color="auto" w:fill="auto"/>
            <w:noWrap/>
            <w:hideMark/>
          </w:tcPr>
          <w:p w14:paraId="1EA4DF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61507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Magge S, Lembo A.</w:t>
            </w:r>
          </w:p>
        </w:tc>
        <w:tc>
          <w:tcPr>
            <w:tcW w:w="709" w:type="dxa"/>
            <w:shd w:val="clear" w:color="auto" w:fill="auto"/>
            <w:noWrap/>
            <w:hideMark/>
          </w:tcPr>
          <w:p w14:paraId="5FCB63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18B6E8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and Alternative Medicine for the Irritable Bowel Syndrome</w:t>
            </w:r>
          </w:p>
        </w:tc>
        <w:tc>
          <w:tcPr>
            <w:tcW w:w="1417" w:type="dxa"/>
          </w:tcPr>
          <w:p w14:paraId="3C0132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Gastroenterology Clinics</w:t>
            </w:r>
          </w:p>
        </w:tc>
        <w:tc>
          <w:tcPr>
            <w:tcW w:w="709" w:type="dxa"/>
          </w:tcPr>
          <w:p w14:paraId="14E979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 (1)</w:t>
            </w:r>
          </w:p>
        </w:tc>
        <w:tc>
          <w:tcPr>
            <w:tcW w:w="851" w:type="dxa"/>
          </w:tcPr>
          <w:p w14:paraId="5BE45B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245–253</w:t>
            </w:r>
          </w:p>
        </w:tc>
        <w:tc>
          <w:tcPr>
            <w:tcW w:w="1559" w:type="dxa"/>
          </w:tcPr>
          <w:p w14:paraId="62A8AE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7C3C59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24D98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E405851" w14:textId="77777777" w:rsidTr="00924B3D">
        <w:trPr>
          <w:trHeight w:val="300"/>
        </w:trPr>
        <w:tc>
          <w:tcPr>
            <w:tcW w:w="1009" w:type="dxa"/>
            <w:shd w:val="clear" w:color="auto" w:fill="auto"/>
            <w:noWrap/>
            <w:hideMark/>
          </w:tcPr>
          <w:p w14:paraId="3E767A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23C33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Maghsoumi-Norouzabad L, Mansoori A, Abed R, Shishehbor F.</w:t>
            </w:r>
          </w:p>
        </w:tc>
        <w:tc>
          <w:tcPr>
            <w:tcW w:w="709" w:type="dxa"/>
            <w:shd w:val="clear" w:color="auto" w:fill="auto"/>
            <w:noWrap/>
            <w:hideMark/>
          </w:tcPr>
          <w:p w14:paraId="3A9192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DBA2E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of omega-3 fatty acids on the frequency, severity, and duration of migraine attacks: a systematic review and meta-analysis of randomized controlled trials. </w:t>
            </w:r>
          </w:p>
        </w:tc>
        <w:tc>
          <w:tcPr>
            <w:tcW w:w="1417" w:type="dxa"/>
          </w:tcPr>
          <w:p w14:paraId="6A93BE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Nutritional neuroscience</w:t>
            </w:r>
          </w:p>
        </w:tc>
        <w:tc>
          <w:tcPr>
            <w:tcW w:w="709" w:type="dxa"/>
          </w:tcPr>
          <w:p w14:paraId="4101EE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21(9)</w:t>
            </w:r>
          </w:p>
        </w:tc>
        <w:tc>
          <w:tcPr>
            <w:tcW w:w="851" w:type="dxa"/>
          </w:tcPr>
          <w:p w14:paraId="0226B4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614-623</w:t>
            </w:r>
          </w:p>
        </w:tc>
        <w:tc>
          <w:tcPr>
            <w:tcW w:w="1559" w:type="dxa"/>
          </w:tcPr>
          <w:p w14:paraId="21E99D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10.1080/1028415X.2017.1344371</w:t>
            </w:r>
          </w:p>
        </w:tc>
        <w:tc>
          <w:tcPr>
            <w:tcW w:w="850" w:type="dxa"/>
            <w:shd w:val="clear" w:color="auto" w:fill="auto"/>
            <w:noWrap/>
            <w:hideMark/>
          </w:tcPr>
          <w:p w14:paraId="1A4E0E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F941041" w14:textId="283CDBB0"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68333EB2" w14:textId="77777777" w:rsidTr="00924B3D">
        <w:trPr>
          <w:trHeight w:val="300"/>
        </w:trPr>
        <w:tc>
          <w:tcPr>
            <w:tcW w:w="1009" w:type="dxa"/>
            <w:shd w:val="clear" w:color="auto" w:fill="auto"/>
            <w:noWrap/>
            <w:hideMark/>
          </w:tcPr>
          <w:p w14:paraId="7588F8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2C2DD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Manjunath N, Telles S</w:t>
            </w:r>
          </w:p>
        </w:tc>
        <w:tc>
          <w:tcPr>
            <w:tcW w:w="709" w:type="dxa"/>
            <w:shd w:val="clear" w:color="auto" w:fill="auto"/>
            <w:noWrap/>
            <w:hideMark/>
          </w:tcPr>
          <w:p w14:paraId="28A697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2003</w:t>
            </w:r>
          </w:p>
        </w:tc>
        <w:tc>
          <w:tcPr>
            <w:tcW w:w="3544" w:type="dxa"/>
            <w:shd w:val="clear" w:color="auto" w:fill="auto"/>
            <w:noWrap/>
            <w:hideMark/>
          </w:tcPr>
          <w:p w14:paraId="1A215F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sirsasana (headstand) practice on autonomic and respiratory variables</w:t>
            </w:r>
          </w:p>
        </w:tc>
        <w:tc>
          <w:tcPr>
            <w:tcW w:w="1417" w:type="dxa"/>
          </w:tcPr>
          <w:p w14:paraId="0D628A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Physiology and Pharmacology</w:t>
            </w:r>
          </w:p>
        </w:tc>
        <w:tc>
          <w:tcPr>
            <w:tcW w:w="709" w:type="dxa"/>
          </w:tcPr>
          <w:p w14:paraId="185C13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47(1)</w:t>
            </w:r>
          </w:p>
        </w:tc>
        <w:tc>
          <w:tcPr>
            <w:tcW w:w="851" w:type="dxa"/>
          </w:tcPr>
          <w:p w14:paraId="1F67DA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34-42</w:t>
            </w:r>
          </w:p>
        </w:tc>
        <w:tc>
          <w:tcPr>
            <w:tcW w:w="1559" w:type="dxa"/>
          </w:tcPr>
          <w:p w14:paraId="6E42A4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D9F20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CAC47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433F685" w14:textId="77777777" w:rsidTr="00924B3D">
        <w:trPr>
          <w:trHeight w:val="300"/>
        </w:trPr>
        <w:tc>
          <w:tcPr>
            <w:tcW w:w="1009" w:type="dxa"/>
            <w:shd w:val="clear" w:color="auto" w:fill="auto"/>
            <w:noWrap/>
            <w:hideMark/>
          </w:tcPr>
          <w:p w14:paraId="10F919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F446C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Manjunath N, Telles S</w:t>
            </w:r>
          </w:p>
        </w:tc>
        <w:tc>
          <w:tcPr>
            <w:tcW w:w="709" w:type="dxa"/>
            <w:shd w:val="clear" w:color="auto" w:fill="auto"/>
            <w:noWrap/>
            <w:hideMark/>
          </w:tcPr>
          <w:p w14:paraId="3F0F18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2001</w:t>
            </w:r>
          </w:p>
        </w:tc>
        <w:tc>
          <w:tcPr>
            <w:tcW w:w="3544" w:type="dxa"/>
            <w:shd w:val="clear" w:color="auto" w:fill="auto"/>
            <w:noWrap/>
            <w:hideMark/>
          </w:tcPr>
          <w:p w14:paraId="4136E4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Improved performance in the Tower of London test following yoga</w:t>
            </w:r>
          </w:p>
        </w:tc>
        <w:tc>
          <w:tcPr>
            <w:tcW w:w="1417" w:type="dxa"/>
          </w:tcPr>
          <w:p w14:paraId="71DCC1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Physiology and Pharmacology</w:t>
            </w:r>
          </w:p>
        </w:tc>
        <w:tc>
          <w:tcPr>
            <w:tcW w:w="709" w:type="dxa"/>
          </w:tcPr>
          <w:p w14:paraId="3CE52C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45(3)</w:t>
            </w:r>
          </w:p>
        </w:tc>
        <w:tc>
          <w:tcPr>
            <w:tcW w:w="851" w:type="dxa"/>
          </w:tcPr>
          <w:p w14:paraId="3EF12A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351-4</w:t>
            </w:r>
          </w:p>
        </w:tc>
        <w:tc>
          <w:tcPr>
            <w:tcW w:w="1559" w:type="dxa"/>
          </w:tcPr>
          <w:p w14:paraId="45093D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E951B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947D7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272B3DC" w14:textId="77777777" w:rsidTr="00924B3D">
        <w:trPr>
          <w:trHeight w:val="300"/>
        </w:trPr>
        <w:tc>
          <w:tcPr>
            <w:tcW w:w="1009" w:type="dxa"/>
            <w:shd w:val="clear" w:color="auto" w:fill="auto"/>
            <w:noWrap/>
            <w:hideMark/>
          </w:tcPr>
          <w:p w14:paraId="788508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294F2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Manjunath N, Telles S</w:t>
            </w:r>
          </w:p>
        </w:tc>
        <w:tc>
          <w:tcPr>
            <w:tcW w:w="709" w:type="dxa"/>
            <w:shd w:val="clear" w:color="auto" w:fill="auto"/>
            <w:noWrap/>
            <w:hideMark/>
          </w:tcPr>
          <w:p w14:paraId="47172C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1999</w:t>
            </w:r>
          </w:p>
        </w:tc>
        <w:tc>
          <w:tcPr>
            <w:tcW w:w="3544" w:type="dxa"/>
            <w:shd w:val="clear" w:color="auto" w:fill="auto"/>
            <w:noWrap/>
            <w:hideMark/>
          </w:tcPr>
          <w:p w14:paraId="5F0778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Improvement in visual perceptual sensitivity in children following yoga training</w:t>
            </w:r>
          </w:p>
        </w:tc>
        <w:tc>
          <w:tcPr>
            <w:tcW w:w="1417" w:type="dxa"/>
          </w:tcPr>
          <w:p w14:paraId="3CB79C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Indian Psychology</w:t>
            </w:r>
          </w:p>
        </w:tc>
        <w:tc>
          <w:tcPr>
            <w:tcW w:w="709" w:type="dxa"/>
          </w:tcPr>
          <w:p w14:paraId="6AF32A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17(2)</w:t>
            </w:r>
          </w:p>
        </w:tc>
        <w:tc>
          <w:tcPr>
            <w:tcW w:w="851" w:type="dxa"/>
          </w:tcPr>
          <w:p w14:paraId="0DBC1B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41-5</w:t>
            </w:r>
          </w:p>
        </w:tc>
        <w:tc>
          <w:tcPr>
            <w:tcW w:w="1559" w:type="dxa"/>
          </w:tcPr>
          <w:p w14:paraId="047B0B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F752E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8C82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72DBD95" w14:textId="77777777" w:rsidTr="00924B3D">
        <w:trPr>
          <w:trHeight w:val="300"/>
        </w:trPr>
        <w:tc>
          <w:tcPr>
            <w:tcW w:w="1009" w:type="dxa"/>
            <w:shd w:val="clear" w:color="auto" w:fill="auto"/>
            <w:noWrap/>
            <w:hideMark/>
          </w:tcPr>
          <w:p w14:paraId="256AB2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95364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Manjunath N, Telles S</w:t>
            </w:r>
          </w:p>
        </w:tc>
        <w:tc>
          <w:tcPr>
            <w:tcW w:w="709" w:type="dxa"/>
            <w:shd w:val="clear" w:color="auto" w:fill="auto"/>
            <w:noWrap/>
            <w:hideMark/>
          </w:tcPr>
          <w:p w14:paraId="5F3D2A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1999</w:t>
            </w:r>
          </w:p>
        </w:tc>
        <w:tc>
          <w:tcPr>
            <w:tcW w:w="3544" w:type="dxa"/>
            <w:shd w:val="clear" w:color="auto" w:fill="auto"/>
            <w:noWrap/>
            <w:hideMark/>
          </w:tcPr>
          <w:p w14:paraId="489958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Factors influencing changes in tweezer dexterity scores following yoga training</w:t>
            </w:r>
          </w:p>
        </w:tc>
        <w:tc>
          <w:tcPr>
            <w:tcW w:w="1417" w:type="dxa"/>
          </w:tcPr>
          <w:p w14:paraId="3DD984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Physiology and Pharmacology</w:t>
            </w:r>
          </w:p>
        </w:tc>
        <w:tc>
          <w:tcPr>
            <w:tcW w:w="709" w:type="dxa"/>
          </w:tcPr>
          <w:p w14:paraId="5CACCE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43</w:t>
            </w:r>
          </w:p>
        </w:tc>
        <w:tc>
          <w:tcPr>
            <w:tcW w:w="851" w:type="dxa"/>
          </w:tcPr>
          <w:p w14:paraId="6C6D94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225-9</w:t>
            </w:r>
          </w:p>
        </w:tc>
        <w:tc>
          <w:tcPr>
            <w:tcW w:w="1559" w:type="dxa"/>
          </w:tcPr>
          <w:p w14:paraId="42ED50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537B8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59C45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8D2ECE9" w14:textId="77777777" w:rsidTr="00924B3D">
        <w:trPr>
          <w:trHeight w:val="300"/>
        </w:trPr>
        <w:tc>
          <w:tcPr>
            <w:tcW w:w="1009" w:type="dxa"/>
            <w:shd w:val="clear" w:color="auto" w:fill="auto"/>
            <w:noWrap/>
            <w:hideMark/>
          </w:tcPr>
          <w:p w14:paraId="70CED2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964A1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Marchioli R, Barzi F, Bomba E, Chieffo C, Di Gregorio D, Di Mascio R, Franzosi MG, Geraci E,Levantesi G, Maggioni AP, Mantini L, Marfisi RM, Mastrogiuseppe G, Mininni N, Nicolosi GL, Santini M, Schweiger C, </w:t>
            </w:r>
            <w:r w:rsidRPr="00D518FF">
              <w:rPr>
                <w:rFonts w:ascii="Aptos" w:hAnsi="Aptos" w:cs="Calibri"/>
                <w:color w:val="000000"/>
                <w:sz w:val="16"/>
                <w:szCs w:val="16"/>
              </w:rPr>
              <w:lastRenderedPageBreak/>
              <w:t>Tavazzi L, Tognoni G, Tucci C, Valagussa F. </w:t>
            </w:r>
          </w:p>
        </w:tc>
        <w:tc>
          <w:tcPr>
            <w:tcW w:w="709" w:type="dxa"/>
            <w:shd w:val="clear" w:color="auto" w:fill="auto"/>
            <w:noWrap/>
            <w:hideMark/>
          </w:tcPr>
          <w:p w14:paraId="34A45E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2002</w:t>
            </w:r>
          </w:p>
        </w:tc>
        <w:tc>
          <w:tcPr>
            <w:tcW w:w="3544" w:type="dxa"/>
            <w:shd w:val="clear" w:color="auto" w:fill="auto"/>
            <w:noWrap/>
            <w:hideMark/>
          </w:tcPr>
          <w:p w14:paraId="20CC51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GISSI-Prevenzione Investigators. Early protection against sudden death by n-3 polyunsaturated fatty acids after myocardial infarction: time-course analysis of the results of the Gruppo Italiano per lo Studio della Sopravvivenza nell’Infarto Miocardico (GISSI)-Prevenzione. </w:t>
            </w:r>
          </w:p>
        </w:tc>
        <w:tc>
          <w:tcPr>
            <w:tcW w:w="1417" w:type="dxa"/>
          </w:tcPr>
          <w:p w14:paraId="596100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Circulation </w:t>
            </w:r>
          </w:p>
        </w:tc>
        <w:tc>
          <w:tcPr>
            <w:tcW w:w="709" w:type="dxa"/>
          </w:tcPr>
          <w:p w14:paraId="7968F1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105</w:t>
            </w:r>
          </w:p>
        </w:tc>
        <w:tc>
          <w:tcPr>
            <w:tcW w:w="851" w:type="dxa"/>
          </w:tcPr>
          <w:p w14:paraId="4A0D14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1897–1903</w:t>
            </w:r>
          </w:p>
        </w:tc>
        <w:tc>
          <w:tcPr>
            <w:tcW w:w="1559" w:type="dxa"/>
          </w:tcPr>
          <w:p w14:paraId="72C90C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5F449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7A750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138F3CE" w14:textId="77777777" w:rsidTr="00924B3D">
        <w:trPr>
          <w:trHeight w:val="300"/>
        </w:trPr>
        <w:tc>
          <w:tcPr>
            <w:tcW w:w="1009" w:type="dxa"/>
            <w:shd w:val="clear" w:color="auto" w:fill="auto"/>
            <w:noWrap/>
            <w:hideMark/>
          </w:tcPr>
          <w:p w14:paraId="2ED781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C9CA4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Maroon JC, Boost JW.</w:t>
            </w:r>
          </w:p>
        </w:tc>
        <w:tc>
          <w:tcPr>
            <w:tcW w:w="709" w:type="dxa"/>
            <w:shd w:val="clear" w:color="auto" w:fill="auto"/>
            <w:noWrap/>
            <w:hideMark/>
          </w:tcPr>
          <w:p w14:paraId="405B6C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0E5541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 3 (fish oil) fatty acids as an anti-inflammatory: an alternative to non-steroidal anti-inflammatory drugs for discogenic pain. </w:t>
            </w:r>
          </w:p>
        </w:tc>
        <w:tc>
          <w:tcPr>
            <w:tcW w:w="1417" w:type="dxa"/>
          </w:tcPr>
          <w:p w14:paraId="77C53C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Surgical Neurology</w:t>
            </w:r>
          </w:p>
        </w:tc>
        <w:tc>
          <w:tcPr>
            <w:tcW w:w="709" w:type="dxa"/>
          </w:tcPr>
          <w:p w14:paraId="64B1AC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65</w:t>
            </w:r>
          </w:p>
        </w:tc>
        <w:tc>
          <w:tcPr>
            <w:tcW w:w="851" w:type="dxa"/>
          </w:tcPr>
          <w:p w14:paraId="0F24D7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326-331</w:t>
            </w:r>
          </w:p>
        </w:tc>
        <w:tc>
          <w:tcPr>
            <w:tcW w:w="1559" w:type="dxa"/>
          </w:tcPr>
          <w:p w14:paraId="135E24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D9F5A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56A11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47AB346" w14:textId="77777777" w:rsidTr="00924B3D">
        <w:trPr>
          <w:trHeight w:val="300"/>
        </w:trPr>
        <w:tc>
          <w:tcPr>
            <w:tcW w:w="1009" w:type="dxa"/>
            <w:shd w:val="clear" w:color="auto" w:fill="auto"/>
            <w:noWrap/>
            <w:hideMark/>
          </w:tcPr>
          <w:p w14:paraId="10EE10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80E63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Mazahery H, Stonehouse W, Delshad M, Kruger M, Conlon C, Beck K, von Hurst P.</w:t>
            </w:r>
          </w:p>
        </w:tc>
        <w:tc>
          <w:tcPr>
            <w:tcW w:w="709" w:type="dxa"/>
            <w:shd w:val="clear" w:color="auto" w:fill="auto"/>
            <w:noWrap/>
            <w:hideMark/>
          </w:tcPr>
          <w:p w14:paraId="7B1191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C05C0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Relationship between long chain n-3 polyunsaturated fatty acids and autism spectrum disorder: systematic review and meta-analysis of case-control and randomised controlled trials. </w:t>
            </w:r>
          </w:p>
        </w:tc>
        <w:tc>
          <w:tcPr>
            <w:tcW w:w="1417" w:type="dxa"/>
          </w:tcPr>
          <w:p w14:paraId="33C2FC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5A53F3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9(2)</w:t>
            </w:r>
          </w:p>
        </w:tc>
        <w:tc>
          <w:tcPr>
            <w:tcW w:w="851" w:type="dxa"/>
          </w:tcPr>
          <w:p w14:paraId="61B13D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155</w:t>
            </w:r>
          </w:p>
        </w:tc>
        <w:tc>
          <w:tcPr>
            <w:tcW w:w="1559" w:type="dxa"/>
          </w:tcPr>
          <w:p w14:paraId="67944C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F580B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FAE80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39DF1A06" w14:textId="77777777" w:rsidTr="00924B3D">
        <w:trPr>
          <w:trHeight w:val="300"/>
        </w:trPr>
        <w:tc>
          <w:tcPr>
            <w:tcW w:w="1009" w:type="dxa"/>
            <w:shd w:val="clear" w:color="auto" w:fill="auto"/>
            <w:noWrap/>
            <w:hideMark/>
          </w:tcPr>
          <w:p w14:paraId="023C5B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09793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McCrory M, Roberts S, Gehrke M, et al</w:t>
            </w:r>
          </w:p>
        </w:tc>
        <w:tc>
          <w:tcPr>
            <w:tcW w:w="709" w:type="dxa"/>
            <w:shd w:val="clear" w:color="auto" w:fill="auto"/>
            <w:noWrap/>
            <w:hideMark/>
          </w:tcPr>
          <w:p w14:paraId="31F471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09BD6B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Dietary variety increases ad-libitum energy intake more than does dietary fat: a 13-day randomized feeding trial</w:t>
            </w:r>
          </w:p>
        </w:tc>
        <w:tc>
          <w:tcPr>
            <w:tcW w:w="1417" w:type="dxa"/>
          </w:tcPr>
          <w:p w14:paraId="42C0E5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Obesity</w:t>
            </w:r>
          </w:p>
        </w:tc>
        <w:tc>
          <w:tcPr>
            <w:tcW w:w="709" w:type="dxa"/>
          </w:tcPr>
          <w:p w14:paraId="7D3C00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w:t>
            </w:r>
          </w:p>
        </w:tc>
        <w:tc>
          <w:tcPr>
            <w:tcW w:w="851" w:type="dxa"/>
          </w:tcPr>
          <w:p w14:paraId="01EBF5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S231-32</w:t>
            </w:r>
          </w:p>
        </w:tc>
        <w:tc>
          <w:tcPr>
            <w:tcW w:w="1559" w:type="dxa"/>
          </w:tcPr>
          <w:p w14:paraId="544883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CDABC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E8686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A49121C" w14:textId="77777777" w:rsidTr="00924B3D">
        <w:trPr>
          <w:trHeight w:val="300"/>
        </w:trPr>
        <w:tc>
          <w:tcPr>
            <w:tcW w:w="1009" w:type="dxa"/>
            <w:shd w:val="clear" w:color="auto" w:fill="auto"/>
            <w:noWrap/>
            <w:hideMark/>
          </w:tcPr>
          <w:p w14:paraId="3EF634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65136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McCrory M, Roberts S, Gehrke M, et al</w:t>
            </w:r>
          </w:p>
        </w:tc>
        <w:tc>
          <w:tcPr>
            <w:tcW w:w="709" w:type="dxa"/>
            <w:shd w:val="clear" w:color="auto" w:fill="auto"/>
            <w:noWrap/>
            <w:hideMark/>
          </w:tcPr>
          <w:p w14:paraId="74B167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54EA64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Dietary variety increases ad-libitum energy intake more than does dietary fat: a 13-day randomized feeding trial</w:t>
            </w:r>
          </w:p>
        </w:tc>
        <w:tc>
          <w:tcPr>
            <w:tcW w:w="1417" w:type="dxa"/>
          </w:tcPr>
          <w:p w14:paraId="699C2E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Obesity</w:t>
            </w:r>
          </w:p>
        </w:tc>
        <w:tc>
          <w:tcPr>
            <w:tcW w:w="709" w:type="dxa"/>
          </w:tcPr>
          <w:p w14:paraId="66CB58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w:t>
            </w:r>
          </w:p>
        </w:tc>
        <w:tc>
          <w:tcPr>
            <w:tcW w:w="851" w:type="dxa"/>
          </w:tcPr>
          <w:p w14:paraId="220600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S231-32</w:t>
            </w:r>
          </w:p>
        </w:tc>
        <w:tc>
          <w:tcPr>
            <w:tcW w:w="1559" w:type="dxa"/>
          </w:tcPr>
          <w:p w14:paraId="5B4624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CE1C2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BE77A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C4FDC4C" w14:textId="77777777" w:rsidTr="00924B3D">
        <w:trPr>
          <w:trHeight w:val="300"/>
        </w:trPr>
        <w:tc>
          <w:tcPr>
            <w:tcW w:w="1009" w:type="dxa"/>
            <w:shd w:val="clear" w:color="auto" w:fill="auto"/>
            <w:noWrap/>
            <w:hideMark/>
          </w:tcPr>
          <w:p w14:paraId="50488C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A4593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McCrory MA, Gehrke MM, Eldridge GC, et al.</w:t>
            </w:r>
          </w:p>
        </w:tc>
        <w:tc>
          <w:tcPr>
            <w:tcW w:w="709" w:type="dxa"/>
            <w:shd w:val="clear" w:color="auto" w:fill="auto"/>
            <w:noWrap/>
            <w:hideMark/>
          </w:tcPr>
          <w:p w14:paraId="2A276E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45B408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Taste preferences: biobehavioural and nutrient correlates</w:t>
            </w:r>
          </w:p>
        </w:tc>
        <w:tc>
          <w:tcPr>
            <w:tcW w:w="1417" w:type="dxa"/>
          </w:tcPr>
          <w:p w14:paraId="26A7FB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FASEB J</w:t>
            </w:r>
          </w:p>
        </w:tc>
        <w:tc>
          <w:tcPr>
            <w:tcW w:w="709" w:type="dxa"/>
          </w:tcPr>
          <w:p w14:paraId="156E1B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20(4)</w:t>
            </w:r>
          </w:p>
        </w:tc>
        <w:tc>
          <w:tcPr>
            <w:tcW w:w="851" w:type="dxa"/>
          </w:tcPr>
          <w:p w14:paraId="3C248B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A175-75</w:t>
            </w:r>
          </w:p>
        </w:tc>
        <w:tc>
          <w:tcPr>
            <w:tcW w:w="1559" w:type="dxa"/>
          </w:tcPr>
          <w:p w14:paraId="60F84C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09589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3D3B8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C3C4B86" w14:textId="77777777" w:rsidTr="00924B3D">
        <w:trPr>
          <w:trHeight w:val="300"/>
        </w:trPr>
        <w:tc>
          <w:tcPr>
            <w:tcW w:w="1009" w:type="dxa"/>
            <w:shd w:val="clear" w:color="auto" w:fill="auto"/>
            <w:noWrap/>
            <w:hideMark/>
          </w:tcPr>
          <w:p w14:paraId="3EC304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A9F31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McDermott KA, Rao MR, Nagarathna R, et al.</w:t>
            </w:r>
          </w:p>
        </w:tc>
        <w:tc>
          <w:tcPr>
            <w:tcW w:w="709" w:type="dxa"/>
            <w:shd w:val="clear" w:color="auto" w:fill="auto"/>
            <w:noWrap/>
            <w:hideMark/>
          </w:tcPr>
          <w:p w14:paraId="283D24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4CAEFF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yoga intervention for type 2 diabetes risk reduction: a pilot randomized controlled trial.</w:t>
            </w:r>
          </w:p>
        </w:tc>
        <w:tc>
          <w:tcPr>
            <w:tcW w:w="1417" w:type="dxa"/>
          </w:tcPr>
          <w:p w14:paraId="709BDE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26B43E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w:t>
            </w:r>
          </w:p>
        </w:tc>
        <w:tc>
          <w:tcPr>
            <w:tcW w:w="851" w:type="dxa"/>
          </w:tcPr>
          <w:p w14:paraId="6BC039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212</w:t>
            </w:r>
          </w:p>
        </w:tc>
        <w:tc>
          <w:tcPr>
            <w:tcW w:w="1559" w:type="dxa"/>
          </w:tcPr>
          <w:p w14:paraId="48612E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332A4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8D771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3A262E4" w14:textId="77777777" w:rsidTr="00924B3D">
        <w:trPr>
          <w:trHeight w:val="300"/>
        </w:trPr>
        <w:tc>
          <w:tcPr>
            <w:tcW w:w="1009" w:type="dxa"/>
            <w:shd w:val="clear" w:color="auto" w:fill="auto"/>
            <w:noWrap/>
            <w:hideMark/>
          </w:tcPr>
          <w:p w14:paraId="102A4D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1E6C2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McDougall J, Thomas LE, McDougall C, et al</w:t>
            </w:r>
          </w:p>
        </w:tc>
        <w:tc>
          <w:tcPr>
            <w:tcW w:w="709" w:type="dxa"/>
            <w:shd w:val="clear" w:color="auto" w:fill="auto"/>
            <w:noWrap/>
            <w:hideMark/>
          </w:tcPr>
          <w:p w14:paraId="4CAE46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54E02D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7 days on an ad libitum low-fat vegan diet: the McDougall Program cohort</w:t>
            </w:r>
          </w:p>
        </w:tc>
        <w:tc>
          <w:tcPr>
            <w:tcW w:w="1417" w:type="dxa"/>
          </w:tcPr>
          <w:p w14:paraId="373987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 Journal</w:t>
            </w:r>
          </w:p>
        </w:tc>
        <w:tc>
          <w:tcPr>
            <w:tcW w:w="709" w:type="dxa"/>
          </w:tcPr>
          <w:p w14:paraId="3500D8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13(1)</w:t>
            </w:r>
          </w:p>
        </w:tc>
        <w:tc>
          <w:tcPr>
            <w:tcW w:w="851" w:type="dxa"/>
          </w:tcPr>
          <w:p w14:paraId="7C798B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99</w:t>
            </w:r>
          </w:p>
        </w:tc>
        <w:tc>
          <w:tcPr>
            <w:tcW w:w="1559" w:type="dxa"/>
          </w:tcPr>
          <w:p w14:paraId="5DF808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F701D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1DDC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273ECC76" w14:textId="77777777" w:rsidTr="00924B3D">
        <w:trPr>
          <w:trHeight w:val="300"/>
        </w:trPr>
        <w:tc>
          <w:tcPr>
            <w:tcW w:w="1009" w:type="dxa"/>
            <w:shd w:val="clear" w:color="auto" w:fill="auto"/>
            <w:noWrap/>
            <w:hideMark/>
          </w:tcPr>
          <w:p w14:paraId="27B886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D1121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McEwen BJ, Morel-Kopp M-C, Chen W, et al</w:t>
            </w:r>
          </w:p>
        </w:tc>
        <w:tc>
          <w:tcPr>
            <w:tcW w:w="709" w:type="dxa"/>
            <w:shd w:val="clear" w:color="auto" w:fill="auto"/>
            <w:noWrap/>
            <w:hideMark/>
          </w:tcPr>
          <w:p w14:paraId="453799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00FE5B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omega-3 polyunsaturated fatty acids on platelet function in healthy subjects and subjects with cardiovascular disease</w:t>
            </w:r>
          </w:p>
        </w:tc>
        <w:tc>
          <w:tcPr>
            <w:tcW w:w="1417" w:type="dxa"/>
          </w:tcPr>
          <w:p w14:paraId="391697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Semin Thromb Hemost</w:t>
            </w:r>
          </w:p>
        </w:tc>
        <w:tc>
          <w:tcPr>
            <w:tcW w:w="709" w:type="dxa"/>
          </w:tcPr>
          <w:p w14:paraId="32CC88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39(01)</w:t>
            </w:r>
          </w:p>
        </w:tc>
        <w:tc>
          <w:tcPr>
            <w:tcW w:w="851" w:type="dxa"/>
          </w:tcPr>
          <w:p w14:paraId="6B9790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25-32</w:t>
            </w:r>
          </w:p>
        </w:tc>
        <w:tc>
          <w:tcPr>
            <w:tcW w:w="1559" w:type="dxa"/>
          </w:tcPr>
          <w:p w14:paraId="309BEE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912FA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812E0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7E138229" w14:textId="77777777" w:rsidTr="00924B3D">
        <w:trPr>
          <w:trHeight w:val="300"/>
        </w:trPr>
        <w:tc>
          <w:tcPr>
            <w:tcW w:w="1009" w:type="dxa"/>
            <w:shd w:val="clear" w:color="auto" w:fill="auto"/>
            <w:noWrap/>
            <w:hideMark/>
          </w:tcPr>
          <w:p w14:paraId="2F3688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A2F15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McEwen BJ, Morel-Kopp M-C, Tofler GH, et al</w:t>
            </w:r>
          </w:p>
        </w:tc>
        <w:tc>
          <w:tcPr>
            <w:tcW w:w="709" w:type="dxa"/>
            <w:shd w:val="clear" w:color="auto" w:fill="auto"/>
            <w:noWrap/>
            <w:hideMark/>
          </w:tcPr>
          <w:p w14:paraId="5B550A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68829F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omega-3 polyunsaturated fatty acids on fibrin and thrombin generation in healthy subjects and subjects with cardiovascular disease</w:t>
            </w:r>
          </w:p>
        </w:tc>
        <w:tc>
          <w:tcPr>
            <w:tcW w:w="1417" w:type="dxa"/>
          </w:tcPr>
          <w:p w14:paraId="763D7B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Semin Thromb Hemost</w:t>
            </w:r>
          </w:p>
        </w:tc>
        <w:tc>
          <w:tcPr>
            <w:tcW w:w="709" w:type="dxa"/>
          </w:tcPr>
          <w:p w14:paraId="2FBA66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41(3)</w:t>
            </w:r>
          </w:p>
        </w:tc>
        <w:tc>
          <w:tcPr>
            <w:tcW w:w="851" w:type="dxa"/>
          </w:tcPr>
          <w:p w14:paraId="1CF2B4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315-22</w:t>
            </w:r>
          </w:p>
        </w:tc>
        <w:tc>
          <w:tcPr>
            <w:tcW w:w="1559" w:type="dxa"/>
          </w:tcPr>
          <w:p w14:paraId="260AD0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7F375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1E234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64B283FE" w14:textId="77777777" w:rsidTr="00924B3D">
        <w:trPr>
          <w:trHeight w:val="300"/>
        </w:trPr>
        <w:tc>
          <w:tcPr>
            <w:tcW w:w="1009" w:type="dxa"/>
            <w:shd w:val="clear" w:color="auto" w:fill="auto"/>
            <w:noWrap/>
            <w:hideMark/>
          </w:tcPr>
          <w:p w14:paraId="4D756A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C8B9F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McEwen BJ, Morel-Kopp MC, Tofler GH, Ward CM.</w:t>
            </w:r>
          </w:p>
        </w:tc>
        <w:tc>
          <w:tcPr>
            <w:tcW w:w="709" w:type="dxa"/>
            <w:shd w:val="clear" w:color="auto" w:fill="auto"/>
            <w:noWrap/>
            <w:hideMark/>
          </w:tcPr>
          <w:p w14:paraId="038089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752002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omega-3 polyunsaturated fatty acids on fibrin and thrombin generation in healthy subjects and subjects with cardiovascular disease.</w:t>
            </w:r>
          </w:p>
        </w:tc>
        <w:tc>
          <w:tcPr>
            <w:tcW w:w="1417" w:type="dxa"/>
          </w:tcPr>
          <w:p w14:paraId="680507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Seminars in thrombosis and hemostasis</w:t>
            </w:r>
          </w:p>
        </w:tc>
        <w:tc>
          <w:tcPr>
            <w:tcW w:w="709" w:type="dxa"/>
          </w:tcPr>
          <w:p w14:paraId="24058C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41(3)</w:t>
            </w:r>
          </w:p>
        </w:tc>
        <w:tc>
          <w:tcPr>
            <w:tcW w:w="851" w:type="dxa"/>
          </w:tcPr>
          <w:p w14:paraId="03E77F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315-322</w:t>
            </w:r>
          </w:p>
        </w:tc>
        <w:tc>
          <w:tcPr>
            <w:tcW w:w="1559" w:type="dxa"/>
          </w:tcPr>
          <w:p w14:paraId="6310E4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A2827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18635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552D5D8E" w14:textId="77777777" w:rsidTr="00924B3D">
        <w:trPr>
          <w:trHeight w:val="300"/>
        </w:trPr>
        <w:tc>
          <w:tcPr>
            <w:tcW w:w="1009" w:type="dxa"/>
            <w:shd w:val="clear" w:color="auto" w:fill="auto"/>
            <w:noWrap/>
            <w:hideMark/>
          </w:tcPr>
          <w:p w14:paraId="2F7E8B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4AD35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Mehdi Bahreini, Amir-Hossein Ramezani, Farideh Shishehbor, Anahita Mansoori.</w:t>
            </w:r>
          </w:p>
        </w:tc>
        <w:tc>
          <w:tcPr>
            <w:tcW w:w="709" w:type="dxa"/>
            <w:shd w:val="clear" w:color="auto" w:fill="auto"/>
            <w:noWrap/>
            <w:hideMark/>
          </w:tcPr>
          <w:p w14:paraId="23F8C2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95D64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 of omega-3 on circulating adiponectin in adults with type 2 diabetes mellitus: a systematic review and meta-analysis of randomized controlled trials. </w:t>
            </w:r>
          </w:p>
        </w:tc>
        <w:tc>
          <w:tcPr>
            <w:tcW w:w="1417" w:type="dxa"/>
          </w:tcPr>
          <w:p w14:paraId="2EDF1D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Canadian Journal of Diabetes</w:t>
            </w:r>
          </w:p>
        </w:tc>
        <w:tc>
          <w:tcPr>
            <w:tcW w:w="709" w:type="dxa"/>
          </w:tcPr>
          <w:p w14:paraId="4087CE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42(5)</w:t>
            </w:r>
          </w:p>
        </w:tc>
        <w:tc>
          <w:tcPr>
            <w:tcW w:w="851" w:type="dxa"/>
          </w:tcPr>
          <w:p w14:paraId="3502C8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553–559</w:t>
            </w:r>
          </w:p>
        </w:tc>
        <w:tc>
          <w:tcPr>
            <w:tcW w:w="1559" w:type="dxa"/>
          </w:tcPr>
          <w:p w14:paraId="46DD3B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03FB8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7989F8B" w14:textId="37F2975C"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1790A14E" w14:textId="77777777" w:rsidTr="00924B3D">
        <w:trPr>
          <w:trHeight w:val="300"/>
        </w:trPr>
        <w:tc>
          <w:tcPr>
            <w:tcW w:w="1009" w:type="dxa"/>
            <w:shd w:val="clear" w:color="auto" w:fill="auto"/>
            <w:noWrap/>
            <w:hideMark/>
          </w:tcPr>
          <w:p w14:paraId="486AE4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7BBD4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Menon R, Cribb L, Murphy J, et al</w:t>
            </w:r>
          </w:p>
        </w:tc>
        <w:tc>
          <w:tcPr>
            <w:tcW w:w="709" w:type="dxa"/>
            <w:shd w:val="clear" w:color="auto" w:fill="auto"/>
            <w:noWrap/>
            <w:hideMark/>
          </w:tcPr>
          <w:p w14:paraId="0BCAEC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2E956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Mitochondrial modifying nutrients in treating chronic fatigue syndrome: a 16-week open-label pilot study</w:t>
            </w:r>
          </w:p>
        </w:tc>
        <w:tc>
          <w:tcPr>
            <w:tcW w:w="1417" w:type="dxa"/>
          </w:tcPr>
          <w:p w14:paraId="4CA80A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Advances in Integrative Medicine</w:t>
            </w:r>
          </w:p>
        </w:tc>
        <w:tc>
          <w:tcPr>
            <w:tcW w:w="709" w:type="dxa"/>
          </w:tcPr>
          <w:p w14:paraId="65A0D0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4(3)</w:t>
            </w:r>
          </w:p>
        </w:tc>
        <w:tc>
          <w:tcPr>
            <w:tcW w:w="851" w:type="dxa"/>
          </w:tcPr>
          <w:p w14:paraId="6579C6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109-14</w:t>
            </w:r>
          </w:p>
        </w:tc>
        <w:tc>
          <w:tcPr>
            <w:tcW w:w="1559" w:type="dxa"/>
          </w:tcPr>
          <w:p w14:paraId="0BCB19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991DA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B7BCD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6F03563" w14:textId="77777777" w:rsidTr="00924B3D">
        <w:trPr>
          <w:trHeight w:val="300"/>
        </w:trPr>
        <w:tc>
          <w:tcPr>
            <w:tcW w:w="1009" w:type="dxa"/>
            <w:shd w:val="clear" w:color="auto" w:fill="auto"/>
            <w:noWrap/>
            <w:hideMark/>
          </w:tcPr>
          <w:p w14:paraId="2288F8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7BAED4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Mickleborough TD, Lindley MR, Ionescu AA, Fly AD.</w:t>
            </w:r>
          </w:p>
        </w:tc>
        <w:tc>
          <w:tcPr>
            <w:tcW w:w="709" w:type="dxa"/>
            <w:shd w:val="clear" w:color="auto" w:fill="auto"/>
            <w:noWrap/>
            <w:hideMark/>
          </w:tcPr>
          <w:p w14:paraId="7D1AEB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0CD2CF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Protective effect of fish oil supplementation on exercise-induced bronchoconstriction in asthma. </w:t>
            </w:r>
          </w:p>
        </w:tc>
        <w:tc>
          <w:tcPr>
            <w:tcW w:w="1417" w:type="dxa"/>
          </w:tcPr>
          <w:p w14:paraId="0E7089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Chest</w:t>
            </w:r>
          </w:p>
        </w:tc>
        <w:tc>
          <w:tcPr>
            <w:tcW w:w="709" w:type="dxa"/>
          </w:tcPr>
          <w:p w14:paraId="0E6408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129</w:t>
            </w:r>
          </w:p>
        </w:tc>
        <w:tc>
          <w:tcPr>
            <w:tcW w:w="851" w:type="dxa"/>
          </w:tcPr>
          <w:p w14:paraId="2EB8D7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39-49</w:t>
            </w:r>
          </w:p>
        </w:tc>
        <w:tc>
          <w:tcPr>
            <w:tcW w:w="1559" w:type="dxa"/>
          </w:tcPr>
          <w:p w14:paraId="0420E5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10.1378/chest.129.1.39</w:t>
            </w:r>
          </w:p>
        </w:tc>
        <w:tc>
          <w:tcPr>
            <w:tcW w:w="850" w:type="dxa"/>
            <w:shd w:val="clear" w:color="auto" w:fill="auto"/>
            <w:noWrap/>
            <w:hideMark/>
          </w:tcPr>
          <w:p w14:paraId="7D0F40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3A76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766558A" w14:textId="77777777" w:rsidTr="00924B3D">
        <w:trPr>
          <w:trHeight w:val="300"/>
        </w:trPr>
        <w:tc>
          <w:tcPr>
            <w:tcW w:w="1009" w:type="dxa"/>
            <w:shd w:val="clear" w:color="auto" w:fill="auto"/>
            <w:noWrap/>
            <w:hideMark/>
          </w:tcPr>
          <w:p w14:paraId="583CFD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6C36B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Middleton P, Gomersall JC, Gould JF, Shepherd E, Olsen SF, Makrides M.</w:t>
            </w:r>
          </w:p>
        </w:tc>
        <w:tc>
          <w:tcPr>
            <w:tcW w:w="709" w:type="dxa"/>
            <w:shd w:val="clear" w:color="auto" w:fill="auto"/>
            <w:noWrap/>
            <w:hideMark/>
          </w:tcPr>
          <w:p w14:paraId="01FD20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66DFF0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Omega</w:t>
            </w:r>
            <w:r w:rsidRPr="00D518FF">
              <w:rPr>
                <w:rFonts w:ascii="Cambria Math" w:hAnsi="Cambria Math" w:cs="Cambria Math"/>
                <w:color w:val="000000"/>
                <w:sz w:val="16"/>
                <w:szCs w:val="16"/>
              </w:rPr>
              <w:t>‐</w:t>
            </w:r>
            <w:r w:rsidRPr="00D518FF">
              <w:rPr>
                <w:rFonts w:ascii="Aptos" w:hAnsi="Aptos" w:cs="Calibri"/>
                <w:color w:val="000000"/>
                <w:sz w:val="16"/>
                <w:szCs w:val="16"/>
              </w:rPr>
              <w:t xml:space="preserve">3 fatty acid addition during pregnancy. </w:t>
            </w:r>
          </w:p>
        </w:tc>
        <w:tc>
          <w:tcPr>
            <w:tcW w:w="1417" w:type="dxa"/>
          </w:tcPr>
          <w:p w14:paraId="3820EA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Cochrane Database of Systematic Reviews</w:t>
            </w:r>
          </w:p>
        </w:tc>
        <w:tc>
          <w:tcPr>
            <w:tcW w:w="709" w:type="dxa"/>
          </w:tcPr>
          <w:p w14:paraId="61BEDC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w:t>
            </w:r>
          </w:p>
        </w:tc>
        <w:tc>
          <w:tcPr>
            <w:tcW w:w="851" w:type="dxa"/>
          </w:tcPr>
          <w:p w14:paraId="721CBD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1559" w:type="dxa"/>
          </w:tcPr>
          <w:p w14:paraId="53AB97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78D485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C0F70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317781A8" w14:textId="77777777" w:rsidTr="00924B3D">
        <w:trPr>
          <w:trHeight w:val="300"/>
        </w:trPr>
        <w:tc>
          <w:tcPr>
            <w:tcW w:w="1009" w:type="dxa"/>
            <w:shd w:val="clear" w:color="auto" w:fill="auto"/>
            <w:noWrap/>
            <w:hideMark/>
          </w:tcPr>
          <w:p w14:paraId="3BEC61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66197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Milliman WB, Lamson DW, Brignall MS</w:t>
            </w:r>
          </w:p>
        </w:tc>
        <w:tc>
          <w:tcPr>
            <w:tcW w:w="709" w:type="dxa"/>
            <w:shd w:val="clear" w:color="auto" w:fill="auto"/>
            <w:noWrap/>
            <w:hideMark/>
          </w:tcPr>
          <w:p w14:paraId="18F206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2000</w:t>
            </w:r>
          </w:p>
        </w:tc>
        <w:tc>
          <w:tcPr>
            <w:tcW w:w="3544" w:type="dxa"/>
            <w:shd w:val="clear" w:color="auto" w:fill="auto"/>
            <w:noWrap/>
            <w:hideMark/>
          </w:tcPr>
          <w:p w14:paraId="17ED2B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Hepatitis C: a retrospective study, literature review, and naturopathic protocol</w:t>
            </w:r>
          </w:p>
        </w:tc>
        <w:tc>
          <w:tcPr>
            <w:tcW w:w="1417" w:type="dxa"/>
          </w:tcPr>
          <w:p w14:paraId="00BD38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Alternative Medicine Review</w:t>
            </w:r>
          </w:p>
        </w:tc>
        <w:tc>
          <w:tcPr>
            <w:tcW w:w="709" w:type="dxa"/>
          </w:tcPr>
          <w:p w14:paraId="763599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5(4)</w:t>
            </w:r>
          </w:p>
        </w:tc>
        <w:tc>
          <w:tcPr>
            <w:tcW w:w="851" w:type="dxa"/>
          </w:tcPr>
          <w:p w14:paraId="0160C8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355</w:t>
            </w:r>
          </w:p>
        </w:tc>
        <w:tc>
          <w:tcPr>
            <w:tcW w:w="1559" w:type="dxa"/>
          </w:tcPr>
          <w:p w14:paraId="790A73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0EFE3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DF880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60647258" w14:textId="77777777" w:rsidTr="00924B3D">
        <w:trPr>
          <w:trHeight w:val="300"/>
        </w:trPr>
        <w:tc>
          <w:tcPr>
            <w:tcW w:w="1009" w:type="dxa"/>
            <w:shd w:val="clear" w:color="auto" w:fill="auto"/>
            <w:noWrap/>
            <w:hideMark/>
          </w:tcPr>
          <w:p w14:paraId="50B5D7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B10C9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Mills E, Prousky J, Raskin G, et al</w:t>
            </w:r>
          </w:p>
        </w:tc>
        <w:tc>
          <w:tcPr>
            <w:tcW w:w="709" w:type="dxa"/>
            <w:shd w:val="clear" w:color="auto" w:fill="auto"/>
            <w:noWrap/>
            <w:hideMark/>
          </w:tcPr>
          <w:p w14:paraId="7E0B9C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2003</w:t>
            </w:r>
          </w:p>
        </w:tc>
        <w:tc>
          <w:tcPr>
            <w:tcW w:w="3544" w:type="dxa"/>
            <w:shd w:val="clear" w:color="auto" w:fill="auto"/>
            <w:noWrap/>
            <w:hideMark/>
          </w:tcPr>
          <w:p w14:paraId="1E7944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safety of over-the-counter niacin. A randomized placebo-controlled trial [ISRCTN18054903]</w:t>
            </w:r>
          </w:p>
        </w:tc>
        <w:tc>
          <w:tcPr>
            <w:tcW w:w="1417" w:type="dxa"/>
          </w:tcPr>
          <w:p w14:paraId="2D579A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Clinical Pharmacology</w:t>
            </w:r>
          </w:p>
        </w:tc>
        <w:tc>
          <w:tcPr>
            <w:tcW w:w="709" w:type="dxa"/>
          </w:tcPr>
          <w:p w14:paraId="14D70F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w:t>
            </w:r>
          </w:p>
        </w:tc>
        <w:tc>
          <w:tcPr>
            <w:tcW w:w="851" w:type="dxa"/>
          </w:tcPr>
          <w:p w14:paraId="198B19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w:t>
            </w:r>
          </w:p>
        </w:tc>
        <w:tc>
          <w:tcPr>
            <w:tcW w:w="1559" w:type="dxa"/>
          </w:tcPr>
          <w:p w14:paraId="08515C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44A87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A4CD3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33E4D76" w14:textId="77777777" w:rsidTr="00924B3D">
        <w:trPr>
          <w:trHeight w:val="300"/>
        </w:trPr>
        <w:tc>
          <w:tcPr>
            <w:tcW w:w="1009" w:type="dxa"/>
            <w:shd w:val="clear" w:color="auto" w:fill="auto"/>
            <w:noWrap/>
            <w:hideMark/>
          </w:tcPr>
          <w:p w14:paraId="088395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AF804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Miranti EH, Stolzenberg-Solomon R, Weinstein SJ, Selhub J, Mannisto S, Taylor PR, et al.</w:t>
            </w:r>
          </w:p>
        </w:tc>
        <w:tc>
          <w:tcPr>
            <w:tcW w:w="709" w:type="dxa"/>
            <w:shd w:val="clear" w:color="auto" w:fill="auto"/>
            <w:noWrap/>
            <w:hideMark/>
          </w:tcPr>
          <w:p w14:paraId="57D48A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FE400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Low vitamin B12 increases risk of gastric cancer: a prospective study of one-carbon metabolism nutrients and risk of upper gastrointestinal tract cancer.</w:t>
            </w:r>
          </w:p>
        </w:tc>
        <w:tc>
          <w:tcPr>
            <w:tcW w:w="1417" w:type="dxa"/>
          </w:tcPr>
          <w:p w14:paraId="38F2D4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 J Cancer [Internet].</w:t>
            </w:r>
          </w:p>
        </w:tc>
        <w:tc>
          <w:tcPr>
            <w:tcW w:w="709" w:type="dxa"/>
          </w:tcPr>
          <w:p w14:paraId="56C1F7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 (6)</w:t>
            </w:r>
          </w:p>
        </w:tc>
        <w:tc>
          <w:tcPr>
            <w:tcW w:w="851" w:type="dxa"/>
          </w:tcPr>
          <w:p w14:paraId="6A350B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1120-1129</w:t>
            </w:r>
          </w:p>
        </w:tc>
        <w:tc>
          <w:tcPr>
            <w:tcW w:w="1559" w:type="dxa"/>
          </w:tcPr>
          <w:p w14:paraId="1015CB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F25EA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C909F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D874B9E" w14:textId="77777777" w:rsidTr="00924B3D">
        <w:trPr>
          <w:trHeight w:val="300"/>
        </w:trPr>
        <w:tc>
          <w:tcPr>
            <w:tcW w:w="1009" w:type="dxa"/>
            <w:shd w:val="clear" w:color="auto" w:fill="auto"/>
            <w:noWrap/>
            <w:hideMark/>
          </w:tcPr>
          <w:p w14:paraId="782E74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94464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Mirmasoumi G, Fazilati M, Foroozanfard F, Vahedpoor Z, Mahmoodi S, Taghizadeh M, et al.</w:t>
            </w:r>
          </w:p>
        </w:tc>
        <w:tc>
          <w:tcPr>
            <w:tcW w:w="709" w:type="dxa"/>
            <w:shd w:val="clear" w:color="auto" w:fill="auto"/>
            <w:noWrap/>
            <w:hideMark/>
          </w:tcPr>
          <w:p w14:paraId="3FD6DF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315A09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effects of flaxseed oil omega-3 fatty acids supplementation on metabolic status of patients with polycystic ovary syndrome: a randomized, double-blind, placebo-controlled trial. </w:t>
            </w:r>
          </w:p>
        </w:tc>
        <w:tc>
          <w:tcPr>
            <w:tcW w:w="1417" w:type="dxa"/>
          </w:tcPr>
          <w:p w14:paraId="661826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Exp Clin Endocrinol Diabetes</w:t>
            </w:r>
          </w:p>
        </w:tc>
        <w:tc>
          <w:tcPr>
            <w:tcW w:w="709" w:type="dxa"/>
          </w:tcPr>
          <w:p w14:paraId="4794A2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126(4)</w:t>
            </w:r>
          </w:p>
        </w:tc>
        <w:tc>
          <w:tcPr>
            <w:tcW w:w="851" w:type="dxa"/>
          </w:tcPr>
          <w:p w14:paraId="2C1A57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222-228</w:t>
            </w:r>
          </w:p>
        </w:tc>
        <w:tc>
          <w:tcPr>
            <w:tcW w:w="1559" w:type="dxa"/>
          </w:tcPr>
          <w:p w14:paraId="098C03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10.1055/s-0043-119751</w:t>
            </w:r>
          </w:p>
        </w:tc>
        <w:tc>
          <w:tcPr>
            <w:tcW w:w="850" w:type="dxa"/>
            <w:shd w:val="clear" w:color="auto" w:fill="auto"/>
            <w:noWrap/>
            <w:hideMark/>
          </w:tcPr>
          <w:p w14:paraId="5B672A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FD01A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E68B15E" w14:textId="77777777" w:rsidTr="00924B3D">
        <w:trPr>
          <w:trHeight w:val="300"/>
        </w:trPr>
        <w:tc>
          <w:tcPr>
            <w:tcW w:w="1009" w:type="dxa"/>
            <w:shd w:val="clear" w:color="auto" w:fill="auto"/>
            <w:noWrap/>
            <w:hideMark/>
          </w:tcPr>
          <w:p w14:paraId="1A6CA7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571B8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Mischley LK, Conley KE, Shankland EG, et al</w:t>
            </w:r>
          </w:p>
        </w:tc>
        <w:tc>
          <w:tcPr>
            <w:tcW w:w="709" w:type="dxa"/>
            <w:shd w:val="clear" w:color="auto" w:fill="auto"/>
            <w:noWrap/>
            <w:hideMark/>
          </w:tcPr>
          <w:p w14:paraId="06B4B6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5DB8E0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Central nervous system uptake of intranasal glutathione in Parkinson's disease</w:t>
            </w:r>
          </w:p>
        </w:tc>
        <w:tc>
          <w:tcPr>
            <w:tcW w:w="1417" w:type="dxa"/>
          </w:tcPr>
          <w:p w14:paraId="188FF9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NPJ Parkinson's Disease</w:t>
            </w:r>
          </w:p>
        </w:tc>
        <w:tc>
          <w:tcPr>
            <w:tcW w:w="709" w:type="dxa"/>
          </w:tcPr>
          <w:p w14:paraId="66526E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w:t>
            </w:r>
          </w:p>
        </w:tc>
        <w:tc>
          <w:tcPr>
            <w:tcW w:w="851" w:type="dxa"/>
          </w:tcPr>
          <w:p w14:paraId="0360F5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1-Jun</w:t>
            </w:r>
          </w:p>
        </w:tc>
        <w:tc>
          <w:tcPr>
            <w:tcW w:w="1559" w:type="dxa"/>
          </w:tcPr>
          <w:p w14:paraId="39BCB1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6F45C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793DB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A3C7AC2" w14:textId="77777777" w:rsidTr="00924B3D">
        <w:trPr>
          <w:trHeight w:val="300"/>
        </w:trPr>
        <w:tc>
          <w:tcPr>
            <w:tcW w:w="1009" w:type="dxa"/>
            <w:shd w:val="clear" w:color="auto" w:fill="auto"/>
            <w:noWrap/>
            <w:hideMark/>
          </w:tcPr>
          <w:p w14:paraId="51694B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F88EE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Mischley LK, Lau RC, Shankland EG, et al</w:t>
            </w:r>
          </w:p>
        </w:tc>
        <w:tc>
          <w:tcPr>
            <w:tcW w:w="709" w:type="dxa"/>
            <w:shd w:val="clear" w:color="auto" w:fill="auto"/>
            <w:noWrap/>
            <w:hideMark/>
          </w:tcPr>
          <w:p w14:paraId="53284B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BD57C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Phase IIb study of intranasal glutathione in Parkinson’s disease</w:t>
            </w:r>
          </w:p>
        </w:tc>
        <w:tc>
          <w:tcPr>
            <w:tcW w:w="1417" w:type="dxa"/>
          </w:tcPr>
          <w:p w14:paraId="580DC8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Parkinson's Disease</w:t>
            </w:r>
          </w:p>
        </w:tc>
        <w:tc>
          <w:tcPr>
            <w:tcW w:w="709" w:type="dxa"/>
          </w:tcPr>
          <w:p w14:paraId="23D470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w:t>
            </w:r>
          </w:p>
        </w:tc>
        <w:tc>
          <w:tcPr>
            <w:tcW w:w="851" w:type="dxa"/>
          </w:tcPr>
          <w:p w14:paraId="27FBAB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289-99</w:t>
            </w:r>
          </w:p>
        </w:tc>
        <w:tc>
          <w:tcPr>
            <w:tcW w:w="1559" w:type="dxa"/>
          </w:tcPr>
          <w:p w14:paraId="7CE4A6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AC487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9EE1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9A7A9E2" w14:textId="77777777" w:rsidTr="00924B3D">
        <w:trPr>
          <w:trHeight w:val="300"/>
        </w:trPr>
        <w:tc>
          <w:tcPr>
            <w:tcW w:w="1009" w:type="dxa"/>
            <w:shd w:val="clear" w:color="auto" w:fill="auto"/>
            <w:noWrap/>
            <w:hideMark/>
          </w:tcPr>
          <w:p w14:paraId="3D3E26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465C3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Moran LJ, Tsagareli V, Noakes M, Norman R.</w:t>
            </w:r>
          </w:p>
        </w:tc>
        <w:tc>
          <w:tcPr>
            <w:tcW w:w="709" w:type="dxa"/>
            <w:shd w:val="clear" w:color="auto" w:fill="auto"/>
            <w:noWrap/>
            <w:hideMark/>
          </w:tcPr>
          <w:p w14:paraId="1F0CCF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4988AB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Altered preconception fatty acid intake is associated with improved pregnancy rates in overweight and obese women undertaking in vitro fertilisation. </w:t>
            </w:r>
          </w:p>
        </w:tc>
        <w:tc>
          <w:tcPr>
            <w:tcW w:w="1417" w:type="dxa"/>
          </w:tcPr>
          <w:p w14:paraId="1B3073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2CC554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8(1)</w:t>
            </w:r>
          </w:p>
        </w:tc>
        <w:tc>
          <w:tcPr>
            <w:tcW w:w="851" w:type="dxa"/>
          </w:tcPr>
          <w:p w14:paraId="293EFD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E10</w:t>
            </w:r>
          </w:p>
        </w:tc>
        <w:tc>
          <w:tcPr>
            <w:tcW w:w="1559" w:type="dxa"/>
          </w:tcPr>
          <w:p w14:paraId="709BDC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10.3390/nu8010010</w:t>
            </w:r>
          </w:p>
        </w:tc>
        <w:tc>
          <w:tcPr>
            <w:tcW w:w="850" w:type="dxa"/>
            <w:shd w:val="clear" w:color="auto" w:fill="auto"/>
            <w:noWrap/>
            <w:hideMark/>
          </w:tcPr>
          <w:p w14:paraId="265856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600D9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6F106A1" w14:textId="77777777" w:rsidTr="00924B3D">
        <w:trPr>
          <w:trHeight w:val="300"/>
        </w:trPr>
        <w:tc>
          <w:tcPr>
            <w:tcW w:w="1009" w:type="dxa"/>
            <w:shd w:val="clear" w:color="auto" w:fill="auto"/>
            <w:noWrap/>
            <w:hideMark/>
          </w:tcPr>
          <w:p w14:paraId="002CEF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6EE2998" w14:textId="77777777" w:rsidR="008F3151" w:rsidRPr="00D518FF" w:rsidRDefault="008F3151" w:rsidP="00924B3D">
            <w:pPr>
              <w:rPr>
                <w:rFonts w:ascii="Aptos" w:hAnsi="Aptos" w:cs="Calibri"/>
                <w:color w:val="000000"/>
                <w:sz w:val="16"/>
                <w:szCs w:val="16"/>
                <w:u w:val="single"/>
              </w:rPr>
            </w:pPr>
            <w:r w:rsidRPr="00D518FF">
              <w:rPr>
                <w:rFonts w:ascii="Aptos" w:hAnsi="Aptos" w:cs="Calibri"/>
                <w:color w:val="000000"/>
                <w:sz w:val="16"/>
                <w:szCs w:val="16"/>
                <w:u w:val="single"/>
              </w:rPr>
              <w:t>Mortensen SA</w:t>
            </w:r>
            <w:r w:rsidRPr="00D518FF">
              <w:rPr>
                <w:rFonts w:ascii="Aptos" w:hAnsi="Aptos" w:cs="Calibri"/>
                <w:color w:val="000000"/>
                <w:sz w:val="16"/>
                <w:szCs w:val="16"/>
              </w:rPr>
              <w:t>, </w:t>
            </w:r>
            <w:r w:rsidRPr="00D518FF">
              <w:rPr>
                <w:rFonts w:ascii="Aptos" w:hAnsi="Aptos" w:cs="Calibri"/>
                <w:color w:val="000000"/>
                <w:sz w:val="16"/>
                <w:szCs w:val="16"/>
                <w:u w:val="single"/>
              </w:rPr>
              <w:t>Rosenfeldt F</w:t>
            </w:r>
            <w:r w:rsidRPr="00D518FF">
              <w:rPr>
                <w:rFonts w:ascii="Aptos" w:hAnsi="Aptos" w:cs="Calibri"/>
                <w:color w:val="000000"/>
                <w:sz w:val="16"/>
                <w:szCs w:val="16"/>
              </w:rPr>
              <w:t>, </w:t>
            </w:r>
            <w:r w:rsidRPr="00D518FF">
              <w:rPr>
                <w:rFonts w:ascii="Aptos" w:hAnsi="Aptos" w:cs="Calibri"/>
                <w:color w:val="000000"/>
                <w:sz w:val="16"/>
                <w:szCs w:val="16"/>
                <w:u w:val="single"/>
              </w:rPr>
              <w:t>Kumar A</w:t>
            </w:r>
            <w:r w:rsidRPr="00D518FF">
              <w:rPr>
                <w:rFonts w:ascii="Aptos" w:hAnsi="Aptos" w:cs="Calibri"/>
                <w:color w:val="000000"/>
                <w:sz w:val="16"/>
                <w:szCs w:val="16"/>
              </w:rPr>
              <w:t>, </w:t>
            </w:r>
            <w:r w:rsidRPr="00D518FF">
              <w:rPr>
                <w:rFonts w:ascii="Aptos" w:hAnsi="Aptos" w:cs="Calibri"/>
                <w:color w:val="000000"/>
                <w:sz w:val="16"/>
                <w:szCs w:val="16"/>
                <w:u w:val="single"/>
              </w:rPr>
              <w:t>Dolliner P</w:t>
            </w:r>
            <w:r w:rsidRPr="00D518FF">
              <w:rPr>
                <w:rFonts w:ascii="Aptos" w:hAnsi="Aptos" w:cs="Calibri"/>
                <w:color w:val="000000"/>
                <w:sz w:val="16"/>
                <w:szCs w:val="16"/>
              </w:rPr>
              <w:t>, </w:t>
            </w:r>
            <w:r w:rsidRPr="00D518FF">
              <w:rPr>
                <w:rFonts w:ascii="Aptos" w:hAnsi="Aptos" w:cs="Calibri"/>
                <w:color w:val="000000"/>
                <w:sz w:val="16"/>
                <w:szCs w:val="16"/>
                <w:u w:val="single"/>
              </w:rPr>
              <w:t>Filipiak KJ</w:t>
            </w:r>
            <w:r w:rsidRPr="00D518FF">
              <w:rPr>
                <w:rFonts w:ascii="Aptos" w:hAnsi="Aptos" w:cs="Calibri"/>
                <w:color w:val="000000"/>
                <w:sz w:val="16"/>
                <w:szCs w:val="16"/>
              </w:rPr>
              <w:t>, </w:t>
            </w:r>
            <w:r w:rsidRPr="00D518FF">
              <w:rPr>
                <w:rFonts w:ascii="Aptos" w:hAnsi="Aptos" w:cs="Calibri"/>
                <w:color w:val="000000"/>
                <w:sz w:val="16"/>
                <w:szCs w:val="16"/>
                <w:u w:val="single"/>
              </w:rPr>
              <w:t>Pella D</w:t>
            </w:r>
            <w:r w:rsidRPr="00D518FF">
              <w:rPr>
                <w:rFonts w:ascii="Aptos" w:hAnsi="Aptos" w:cs="Calibri"/>
                <w:color w:val="000000"/>
                <w:sz w:val="16"/>
                <w:szCs w:val="16"/>
              </w:rPr>
              <w:t>, </w:t>
            </w:r>
            <w:r w:rsidRPr="00D518FF">
              <w:rPr>
                <w:rFonts w:ascii="Aptos" w:hAnsi="Aptos" w:cs="Calibri"/>
                <w:color w:val="000000"/>
                <w:sz w:val="16"/>
                <w:szCs w:val="16"/>
                <w:u w:val="single"/>
              </w:rPr>
              <w:t>Alehagen U</w:t>
            </w:r>
            <w:r w:rsidRPr="00D518FF">
              <w:rPr>
                <w:rFonts w:ascii="Aptos" w:hAnsi="Aptos" w:cs="Calibri"/>
                <w:color w:val="000000"/>
                <w:sz w:val="16"/>
                <w:szCs w:val="16"/>
              </w:rPr>
              <w:t>, </w:t>
            </w:r>
            <w:r w:rsidRPr="00D518FF">
              <w:rPr>
                <w:rFonts w:ascii="Aptos" w:hAnsi="Aptos" w:cs="Calibri"/>
                <w:color w:val="000000"/>
                <w:sz w:val="16"/>
                <w:szCs w:val="16"/>
                <w:u w:val="single"/>
              </w:rPr>
              <w:t>Steurer G</w:t>
            </w:r>
            <w:r w:rsidRPr="00D518FF">
              <w:rPr>
                <w:rFonts w:ascii="Aptos" w:hAnsi="Aptos" w:cs="Calibri"/>
                <w:color w:val="000000"/>
                <w:sz w:val="16"/>
                <w:szCs w:val="16"/>
              </w:rPr>
              <w:t>, </w:t>
            </w:r>
            <w:r w:rsidRPr="00D518FF">
              <w:rPr>
                <w:rFonts w:ascii="Aptos" w:hAnsi="Aptos" w:cs="Calibri"/>
                <w:color w:val="000000"/>
                <w:sz w:val="16"/>
                <w:szCs w:val="16"/>
                <w:u w:val="single"/>
              </w:rPr>
              <w:t>Littarru GP</w:t>
            </w:r>
            <w:r w:rsidRPr="00D518FF">
              <w:rPr>
                <w:rFonts w:ascii="Aptos" w:hAnsi="Aptos" w:cs="Calibri"/>
                <w:color w:val="000000"/>
                <w:sz w:val="16"/>
                <w:szCs w:val="16"/>
              </w:rPr>
              <w:t>. </w:t>
            </w:r>
            <w:r w:rsidRPr="00D518FF">
              <w:rPr>
                <w:rFonts w:ascii="Aptos" w:hAnsi="Aptos" w:cs="Calibri"/>
                <w:color w:val="000000"/>
                <w:sz w:val="16"/>
                <w:szCs w:val="16"/>
                <w:u w:val="single"/>
              </w:rPr>
              <w:t>Q-SYMBIO Study Investigators</w:t>
            </w:r>
            <w:r w:rsidRPr="00D518FF">
              <w:rPr>
                <w:rFonts w:ascii="Aptos" w:hAnsi="Aptos" w:cs="Calibri"/>
                <w:color w:val="000000"/>
                <w:sz w:val="16"/>
                <w:szCs w:val="16"/>
              </w:rPr>
              <w:t>.</w:t>
            </w:r>
          </w:p>
        </w:tc>
        <w:tc>
          <w:tcPr>
            <w:tcW w:w="709" w:type="dxa"/>
            <w:shd w:val="clear" w:color="auto" w:fill="auto"/>
            <w:noWrap/>
            <w:hideMark/>
          </w:tcPr>
          <w:p w14:paraId="09BE89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6DA847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coenzyme Q10 on morbidity and mortality in chronic heart failure: results from Q-SYMBIO: a randomized double-blind trial.</w:t>
            </w:r>
          </w:p>
        </w:tc>
        <w:tc>
          <w:tcPr>
            <w:tcW w:w="1417" w:type="dxa"/>
          </w:tcPr>
          <w:p w14:paraId="6BD7FC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JACC. Heart failure</w:t>
            </w:r>
          </w:p>
        </w:tc>
        <w:tc>
          <w:tcPr>
            <w:tcW w:w="709" w:type="dxa"/>
          </w:tcPr>
          <w:p w14:paraId="57EBC5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 (6)</w:t>
            </w:r>
          </w:p>
        </w:tc>
        <w:tc>
          <w:tcPr>
            <w:tcW w:w="851" w:type="dxa"/>
          </w:tcPr>
          <w:p w14:paraId="0B13D5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641-649</w:t>
            </w:r>
          </w:p>
        </w:tc>
        <w:tc>
          <w:tcPr>
            <w:tcW w:w="1559" w:type="dxa"/>
          </w:tcPr>
          <w:p w14:paraId="12E165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BFB3E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09ECB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9E87820" w14:textId="77777777" w:rsidTr="00924B3D">
        <w:trPr>
          <w:trHeight w:val="300"/>
        </w:trPr>
        <w:tc>
          <w:tcPr>
            <w:tcW w:w="1009" w:type="dxa"/>
            <w:shd w:val="clear" w:color="auto" w:fill="auto"/>
            <w:noWrap/>
            <w:hideMark/>
          </w:tcPr>
          <w:p w14:paraId="6797F2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B4E6C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Mozaffari H, Daneshzad E, Larijani B, Bellissimo N, Azadbakht L.</w:t>
            </w:r>
          </w:p>
        </w:tc>
        <w:tc>
          <w:tcPr>
            <w:tcW w:w="709" w:type="dxa"/>
            <w:shd w:val="clear" w:color="auto" w:fill="auto"/>
            <w:noWrap/>
            <w:hideMark/>
          </w:tcPr>
          <w:p w14:paraId="1AA14E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395844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Dietary intake of fish, n-3 polyunsaturated fatty acids, and risk of inflammatory bowel disease: a systematic review and meta-analysis of observational studies. </w:t>
            </w:r>
          </w:p>
        </w:tc>
        <w:tc>
          <w:tcPr>
            <w:tcW w:w="1417" w:type="dxa"/>
          </w:tcPr>
          <w:p w14:paraId="0A4F31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European Journal Of Nutrition</w:t>
            </w:r>
          </w:p>
        </w:tc>
        <w:tc>
          <w:tcPr>
            <w:tcW w:w="709" w:type="dxa"/>
          </w:tcPr>
          <w:p w14:paraId="1B1EA2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1" w:type="dxa"/>
          </w:tcPr>
          <w:p w14:paraId="014C0A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Jan-17</w:t>
            </w:r>
          </w:p>
        </w:tc>
        <w:tc>
          <w:tcPr>
            <w:tcW w:w="1559" w:type="dxa"/>
          </w:tcPr>
          <w:p w14:paraId="5D34CA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D3AFB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ACB72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3CE886AD" w14:textId="77777777" w:rsidTr="00924B3D">
        <w:trPr>
          <w:trHeight w:val="300"/>
        </w:trPr>
        <w:tc>
          <w:tcPr>
            <w:tcW w:w="1009" w:type="dxa"/>
            <w:shd w:val="clear" w:color="auto" w:fill="auto"/>
            <w:noWrap/>
            <w:hideMark/>
          </w:tcPr>
          <w:p w14:paraId="065531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D5DA4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Mukai T, Kishi T, Matsuda Y, Iwata N.</w:t>
            </w:r>
          </w:p>
        </w:tc>
        <w:tc>
          <w:tcPr>
            <w:tcW w:w="709" w:type="dxa"/>
            <w:shd w:val="clear" w:color="auto" w:fill="auto"/>
            <w:noWrap/>
            <w:hideMark/>
          </w:tcPr>
          <w:p w14:paraId="5C764F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41D7E6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meta-analysis of inositol for depression and anxiety disorders. </w:t>
            </w:r>
          </w:p>
        </w:tc>
        <w:tc>
          <w:tcPr>
            <w:tcW w:w="1417" w:type="dxa"/>
          </w:tcPr>
          <w:p w14:paraId="12C171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Hum Psychopharmacol</w:t>
            </w:r>
          </w:p>
        </w:tc>
        <w:tc>
          <w:tcPr>
            <w:tcW w:w="709" w:type="dxa"/>
          </w:tcPr>
          <w:p w14:paraId="222DF4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29(1)</w:t>
            </w:r>
          </w:p>
        </w:tc>
        <w:tc>
          <w:tcPr>
            <w:tcW w:w="851" w:type="dxa"/>
          </w:tcPr>
          <w:p w14:paraId="581B20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55-63</w:t>
            </w:r>
          </w:p>
        </w:tc>
        <w:tc>
          <w:tcPr>
            <w:tcW w:w="1559" w:type="dxa"/>
          </w:tcPr>
          <w:p w14:paraId="23B937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10.1002/hup.2369</w:t>
            </w:r>
          </w:p>
        </w:tc>
        <w:tc>
          <w:tcPr>
            <w:tcW w:w="850" w:type="dxa"/>
            <w:shd w:val="clear" w:color="auto" w:fill="auto"/>
            <w:noWrap/>
            <w:hideMark/>
          </w:tcPr>
          <w:p w14:paraId="138C00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CF0CC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EF03118" w14:textId="77777777" w:rsidTr="00924B3D">
        <w:trPr>
          <w:trHeight w:val="300"/>
        </w:trPr>
        <w:tc>
          <w:tcPr>
            <w:tcW w:w="1009" w:type="dxa"/>
            <w:shd w:val="clear" w:color="auto" w:fill="auto"/>
            <w:noWrap/>
            <w:hideMark/>
          </w:tcPr>
          <w:p w14:paraId="3F836A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F996733" w14:textId="77777777" w:rsidR="008F3151" w:rsidRPr="00D518FF" w:rsidRDefault="008F3151" w:rsidP="00924B3D">
            <w:pPr>
              <w:rPr>
                <w:rFonts w:ascii="Aptos" w:hAnsi="Aptos" w:cs="Calibri"/>
                <w:color w:val="0563C1"/>
                <w:sz w:val="16"/>
                <w:szCs w:val="16"/>
                <w:u w:val="single"/>
              </w:rPr>
            </w:pPr>
            <w:r w:rsidRPr="00D518FF">
              <w:rPr>
                <w:rFonts w:ascii="Aptos" w:hAnsi="Aptos" w:cs="Calibri"/>
                <w:color w:val="0563C1"/>
                <w:sz w:val="16"/>
                <w:szCs w:val="16"/>
                <w:u w:val="single"/>
              </w:rPr>
              <w:t xml:space="preserve">Myers SP, </w:t>
            </w:r>
            <w:r w:rsidRPr="00D518FF">
              <w:rPr>
                <w:rFonts w:ascii="Aptos" w:hAnsi="Aptos" w:cs="Calibri"/>
                <w:color w:val="0563C1"/>
                <w:sz w:val="16"/>
                <w:szCs w:val="16"/>
                <w:u w:val="single"/>
              </w:rPr>
              <w:br/>
              <w:t>Vigar V.</w:t>
            </w:r>
          </w:p>
        </w:tc>
        <w:tc>
          <w:tcPr>
            <w:tcW w:w="709" w:type="dxa"/>
            <w:shd w:val="clear" w:color="auto" w:fill="auto"/>
            <w:noWrap/>
            <w:hideMark/>
          </w:tcPr>
          <w:p w14:paraId="2B18D9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36D67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the Evidence for Whole-System, Multi-Modality Naturopathic Medicine: A Systematic Scoping Review</w:t>
            </w:r>
          </w:p>
        </w:tc>
        <w:tc>
          <w:tcPr>
            <w:tcW w:w="1417" w:type="dxa"/>
          </w:tcPr>
          <w:p w14:paraId="4726F8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Journal of Alternative and </w:t>
            </w:r>
            <w:r w:rsidRPr="00D518FF">
              <w:rPr>
                <w:rFonts w:ascii="Aptos" w:hAnsi="Aptos" w:cs="Calibri"/>
                <w:color w:val="000000"/>
                <w:sz w:val="16"/>
                <w:szCs w:val="16"/>
              </w:rPr>
              <w:lastRenderedPageBreak/>
              <w:t>Complementary Medicine</w:t>
            </w:r>
          </w:p>
        </w:tc>
        <w:tc>
          <w:tcPr>
            <w:tcW w:w="709" w:type="dxa"/>
          </w:tcPr>
          <w:p w14:paraId="3D0CB0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25(2)</w:t>
            </w:r>
          </w:p>
        </w:tc>
        <w:tc>
          <w:tcPr>
            <w:tcW w:w="851" w:type="dxa"/>
          </w:tcPr>
          <w:p w14:paraId="2AE538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141-168</w:t>
            </w:r>
          </w:p>
        </w:tc>
        <w:tc>
          <w:tcPr>
            <w:tcW w:w="1559" w:type="dxa"/>
          </w:tcPr>
          <w:p w14:paraId="36AD9C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10.1089/acm.2018.0340</w:t>
            </w:r>
          </w:p>
        </w:tc>
        <w:tc>
          <w:tcPr>
            <w:tcW w:w="850" w:type="dxa"/>
            <w:shd w:val="clear" w:color="auto" w:fill="auto"/>
            <w:noWrap/>
            <w:hideMark/>
          </w:tcPr>
          <w:p w14:paraId="3D4DE2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0030553" w14:textId="2A7C781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7B3B1DA5" w14:textId="77777777" w:rsidTr="00924B3D">
        <w:trPr>
          <w:trHeight w:val="300"/>
        </w:trPr>
        <w:tc>
          <w:tcPr>
            <w:tcW w:w="1009" w:type="dxa"/>
            <w:shd w:val="clear" w:color="auto" w:fill="auto"/>
            <w:noWrap/>
            <w:hideMark/>
          </w:tcPr>
          <w:p w14:paraId="1F984D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0F309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SP, Mulder AM, Baker DG, et al.</w:t>
            </w:r>
          </w:p>
        </w:tc>
        <w:tc>
          <w:tcPr>
            <w:tcW w:w="709" w:type="dxa"/>
            <w:shd w:val="clear" w:color="auto" w:fill="auto"/>
            <w:noWrap/>
            <w:hideMark/>
          </w:tcPr>
          <w:p w14:paraId="76CB72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75E758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fucoidan from Fucus vesiculosus in reducing symptoms of osteoarthritis: a randomized placebo-controlled trial</w:t>
            </w:r>
          </w:p>
        </w:tc>
        <w:tc>
          <w:tcPr>
            <w:tcW w:w="1417" w:type="dxa"/>
          </w:tcPr>
          <w:p w14:paraId="473442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Biologics : targets &amp; therapy</w:t>
            </w:r>
          </w:p>
        </w:tc>
        <w:tc>
          <w:tcPr>
            <w:tcW w:w="709" w:type="dxa"/>
          </w:tcPr>
          <w:p w14:paraId="3ADFFE8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w:t>
            </w:r>
          </w:p>
        </w:tc>
        <w:tc>
          <w:tcPr>
            <w:tcW w:w="851" w:type="dxa"/>
          </w:tcPr>
          <w:p w14:paraId="3E336A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81-8</w:t>
            </w:r>
          </w:p>
        </w:tc>
        <w:tc>
          <w:tcPr>
            <w:tcW w:w="1559" w:type="dxa"/>
          </w:tcPr>
          <w:p w14:paraId="5592A0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51B0E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A1178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9A618C4" w14:textId="77777777" w:rsidTr="00924B3D">
        <w:trPr>
          <w:trHeight w:val="300"/>
        </w:trPr>
        <w:tc>
          <w:tcPr>
            <w:tcW w:w="1009" w:type="dxa"/>
            <w:shd w:val="clear" w:color="auto" w:fill="auto"/>
            <w:noWrap/>
            <w:hideMark/>
          </w:tcPr>
          <w:p w14:paraId="25ED4C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BAE43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SP, O'Connor J, Fitton JH, et al</w:t>
            </w:r>
          </w:p>
        </w:tc>
        <w:tc>
          <w:tcPr>
            <w:tcW w:w="709" w:type="dxa"/>
            <w:shd w:val="clear" w:color="auto" w:fill="auto"/>
            <w:noWrap/>
            <w:hideMark/>
          </w:tcPr>
          <w:p w14:paraId="075985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105D51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combined phase I and II open-label study on the immunomodulatory effects of seaweed extract nutrient complex</w:t>
            </w:r>
          </w:p>
        </w:tc>
        <w:tc>
          <w:tcPr>
            <w:tcW w:w="1417" w:type="dxa"/>
          </w:tcPr>
          <w:p w14:paraId="6712D8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Biologics : targets &amp; therapy</w:t>
            </w:r>
          </w:p>
        </w:tc>
        <w:tc>
          <w:tcPr>
            <w:tcW w:w="709" w:type="dxa"/>
          </w:tcPr>
          <w:p w14:paraId="590E35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w:t>
            </w:r>
          </w:p>
        </w:tc>
        <w:tc>
          <w:tcPr>
            <w:tcW w:w="851" w:type="dxa"/>
          </w:tcPr>
          <w:p w14:paraId="113080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33-44</w:t>
            </w:r>
          </w:p>
        </w:tc>
        <w:tc>
          <w:tcPr>
            <w:tcW w:w="1559" w:type="dxa"/>
          </w:tcPr>
          <w:p w14:paraId="0CCE17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96F28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86083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0137901" w14:textId="77777777" w:rsidTr="00924B3D">
        <w:trPr>
          <w:trHeight w:val="300"/>
        </w:trPr>
        <w:tc>
          <w:tcPr>
            <w:tcW w:w="1009" w:type="dxa"/>
            <w:shd w:val="clear" w:color="auto" w:fill="auto"/>
            <w:noWrap/>
            <w:hideMark/>
          </w:tcPr>
          <w:p w14:paraId="041105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C0421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SP, O'Connor J, Fitton JH, et al</w:t>
            </w:r>
          </w:p>
        </w:tc>
        <w:tc>
          <w:tcPr>
            <w:tcW w:w="709" w:type="dxa"/>
            <w:shd w:val="clear" w:color="auto" w:fill="auto"/>
            <w:noWrap/>
            <w:hideMark/>
          </w:tcPr>
          <w:p w14:paraId="658F9B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51601F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combined phase I and II open label study on the effects of a seaweed extract nutrient complex on osteoarthritis</w:t>
            </w:r>
          </w:p>
        </w:tc>
        <w:tc>
          <w:tcPr>
            <w:tcW w:w="1417" w:type="dxa"/>
          </w:tcPr>
          <w:p w14:paraId="6FA7AB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Biologics : targets &amp; therapy</w:t>
            </w:r>
          </w:p>
        </w:tc>
        <w:tc>
          <w:tcPr>
            <w:tcW w:w="709" w:type="dxa"/>
          </w:tcPr>
          <w:p w14:paraId="0E63C0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w:t>
            </w:r>
          </w:p>
        </w:tc>
        <w:tc>
          <w:tcPr>
            <w:tcW w:w="851" w:type="dxa"/>
          </w:tcPr>
          <w:p w14:paraId="23ED2C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33-44</w:t>
            </w:r>
          </w:p>
        </w:tc>
        <w:tc>
          <w:tcPr>
            <w:tcW w:w="1559" w:type="dxa"/>
          </w:tcPr>
          <w:p w14:paraId="5CBEB9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BE101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20D37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3ADDD3C" w14:textId="77777777" w:rsidTr="00924B3D">
        <w:trPr>
          <w:trHeight w:val="300"/>
        </w:trPr>
        <w:tc>
          <w:tcPr>
            <w:tcW w:w="1009" w:type="dxa"/>
            <w:shd w:val="clear" w:color="auto" w:fill="auto"/>
            <w:noWrap/>
            <w:hideMark/>
          </w:tcPr>
          <w:p w14:paraId="36160E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73B11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SP, Stevenson L, Cheras PA, et al.</w:t>
            </w:r>
          </w:p>
        </w:tc>
        <w:tc>
          <w:tcPr>
            <w:tcW w:w="709" w:type="dxa"/>
            <w:shd w:val="clear" w:color="auto" w:fill="auto"/>
            <w:noWrap/>
            <w:hideMark/>
          </w:tcPr>
          <w:p w14:paraId="00296F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50A2AE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forced titration study of the antioxidant and immunomodulatory effects of Ambrotose AO supplement.</w:t>
            </w:r>
          </w:p>
        </w:tc>
        <w:tc>
          <w:tcPr>
            <w:tcW w:w="1417" w:type="dxa"/>
          </w:tcPr>
          <w:p w14:paraId="0BFF3C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59C67C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w:t>
            </w:r>
          </w:p>
        </w:tc>
        <w:tc>
          <w:tcPr>
            <w:tcW w:w="851" w:type="dxa"/>
          </w:tcPr>
          <w:p w14:paraId="2EA51B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w:t>
            </w:r>
          </w:p>
        </w:tc>
        <w:tc>
          <w:tcPr>
            <w:tcW w:w="1559" w:type="dxa"/>
          </w:tcPr>
          <w:p w14:paraId="0F233E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631A8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A1506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4064168" w14:textId="77777777" w:rsidTr="00924B3D">
        <w:trPr>
          <w:trHeight w:val="300"/>
        </w:trPr>
        <w:tc>
          <w:tcPr>
            <w:tcW w:w="1009" w:type="dxa"/>
            <w:shd w:val="clear" w:color="auto" w:fill="auto"/>
            <w:noWrap/>
            <w:hideMark/>
          </w:tcPr>
          <w:p w14:paraId="600D1E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24823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 P,  Viga, V</w:t>
            </w:r>
          </w:p>
        </w:tc>
        <w:tc>
          <w:tcPr>
            <w:tcW w:w="709" w:type="dxa"/>
            <w:shd w:val="clear" w:color="auto" w:fill="auto"/>
            <w:noWrap/>
            <w:hideMark/>
          </w:tcPr>
          <w:p w14:paraId="547E73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2248F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the Evidence for Whole-System, Multi-Modality Naturopathic Medicine: A Systematic Scoping Review</w:t>
            </w:r>
          </w:p>
        </w:tc>
        <w:tc>
          <w:tcPr>
            <w:tcW w:w="1417" w:type="dxa"/>
          </w:tcPr>
          <w:p w14:paraId="1FB3CE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4FF666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3AD973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141-168</w:t>
            </w:r>
          </w:p>
        </w:tc>
        <w:tc>
          <w:tcPr>
            <w:tcW w:w="1559" w:type="dxa"/>
          </w:tcPr>
          <w:p w14:paraId="432207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10.1089/acm.2018.0340</w:t>
            </w:r>
          </w:p>
        </w:tc>
        <w:tc>
          <w:tcPr>
            <w:tcW w:w="850" w:type="dxa"/>
            <w:shd w:val="clear" w:color="auto" w:fill="auto"/>
            <w:noWrap/>
            <w:hideMark/>
          </w:tcPr>
          <w:p w14:paraId="0B9090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0CA442" w14:textId="6790ED58"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7FDD748A" w14:textId="77777777" w:rsidTr="00924B3D">
        <w:trPr>
          <w:trHeight w:val="300"/>
        </w:trPr>
        <w:tc>
          <w:tcPr>
            <w:tcW w:w="1009" w:type="dxa"/>
            <w:shd w:val="clear" w:color="auto" w:fill="auto"/>
            <w:noWrap/>
            <w:hideMark/>
          </w:tcPr>
          <w:p w14:paraId="6F080C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2E480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 P,  Viga, V</w:t>
            </w:r>
          </w:p>
        </w:tc>
        <w:tc>
          <w:tcPr>
            <w:tcW w:w="709" w:type="dxa"/>
            <w:shd w:val="clear" w:color="auto" w:fill="auto"/>
            <w:noWrap/>
            <w:hideMark/>
          </w:tcPr>
          <w:p w14:paraId="333280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3375B3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the Evidence for Whole-System, Multi-Modality Naturopathic Medicine: A Systematic Scoping Review</w:t>
            </w:r>
          </w:p>
        </w:tc>
        <w:tc>
          <w:tcPr>
            <w:tcW w:w="1417" w:type="dxa"/>
          </w:tcPr>
          <w:p w14:paraId="456AC6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2C5814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4A0D23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141-168</w:t>
            </w:r>
          </w:p>
        </w:tc>
        <w:tc>
          <w:tcPr>
            <w:tcW w:w="1559" w:type="dxa"/>
          </w:tcPr>
          <w:p w14:paraId="750980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10.1089/acm.2018.0340</w:t>
            </w:r>
          </w:p>
        </w:tc>
        <w:tc>
          <w:tcPr>
            <w:tcW w:w="850" w:type="dxa"/>
            <w:shd w:val="clear" w:color="auto" w:fill="auto"/>
            <w:noWrap/>
            <w:hideMark/>
          </w:tcPr>
          <w:p w14:paraId="08A4F3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B2E7223" w14:textId="3D8BA13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5421E7D1" w14:textId="77777777" w:rsidTr="00924B3D">
        <w:trPr>
          <w:trHeight w:val="300"/>
        </w:trPr>
        <w:tc>
          <w:tcPr>
            <w:tcW w:w="1009" w:type="dxa"/>
            <w:shd w:val="clear" w:color="auto" w:fill="auto"/>
            <w:noWrap/>
            <w:hideMark/>
          </w:tcPr>
          <w:p w14:paraId="6DCCCB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4A58A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 P. and V. Vigar</w:t>
            </w:r>
          </w:p>
        </w:tc>
        <w:tc>
          <w:tcPr>
            <w:tcW w:w="709" w:type="dxa"/>
            <w:shd w:val="clear" w:color="auto" w:fill="auto"/>
            <w:noWrap/>
            <w:hideMark/>
          </w:tcPr>
          <w:p w14:paraId="3DCE02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233EFE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state of the evidence for whole-system, multi-modality naturopathic medicine: a systematic scoping review. </w:t>
            </w:r>
          </w:p>
        </w:tc>
        <w:tc>
          <w:tcPr>
            <w:tcW w:w="1417" w:type="dxa"/>
          </w:tcPr>
          <w:p w14:paraId="42B1F5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4012F2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31F97E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w:t>
            </w:r>
          </w:p>
        </w:tc>
        <w:tc>
          <w:tcPr>
            <w:tcW w:w="1559" w:type="dxa"/>
          </w:tcPr>
          <w:p w14:paraId="4B7ED6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BFB74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8A52FA6" w14:textId="2B47B199"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139CFDA6" w14:textId="77777777" w:rsidTr="00924B3D">
        <w:trPr>
          <w:trHeight w:val="300"/>
        </w:trPr>
        <w:tc>
          <w:tcPr>
            <w:tcW w:w="1009" w:type="dxa"/>
            <w:shd w:val="clear" w:color="auto" w:fill="auto"/>
            <w:noWrap/>
            <w:hideMark/>
          </w:tcPr>
          <w:p w14:paraId="33C728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A5930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 P. and Vigar V.</w:t>
            </w:r>
          </w:p>
        </w:tc>
        <w:tc>
          <w:tcPr>
            <w:tcW w:w="709" w:type="dxa"/>
            <w:shd w:val="clear" w:color="auto" w:fill="auto"/>
            <w:noWrap/>
            <w:hideMark/>
          </w:tcPr>
          <w:p w14:paraId="4AB9AD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0422C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Evidence for Whole-System, Multi-Modality Naturopathic Medicine: A Systematic Scoping Review</w:t>
            </w:r>
          </w:p>
        </w:tc>
        <w:tc>
          <w:tcPr>
            <w:tcW w:w="1417" w:type="dxa"/>
          </w:tcPr>
          <w:p w14:paraId="15A916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Alternative and Complementary Medicine</w:t>
            </w:r>
          </w:p>
        </w:tc>
        <w:tc>
          <w:tcPr>
            <w:tcW w:w="709" w:type="dxa"/>
          </w:tcPr>
          <w:p w14:paraId="12E257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 (2)</w:t>
            </w:r>
          </w:p>
        </w:tc>
        <w:tc>
          <w:tcPr>
            <w:tcW w:w="851" w:type="dxa"/>
          </w:tcPr>
          <w:p w14:paraId="1050E5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141 - 168</w:t>
            </w:r>
          </w:p>
        </w:tc>
        <w:tc>
          <w:tcPr>
            <w:tcW w:w="1559" w:type="dxa"/>
          </w:tcPr>
          <w:p w14:paraId="0A7090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 10.1089/acm.2018.0340</w:t>
            </w:r>
          </w:p>
        </w:tc>
        <w:tc>
          <w:tcPr>
            <w:tcW w:w="850" w:type="dxa"/>
            <w:shd w:val="clear" w:color="auto" w:fill="auto"/>
            <w:noWrap/>
            <w:hideMark/>
          </w:tcPr>
          <w:p w14:paraId="1B6CD0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9A5433" w14:textId="7A559944"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59498A60" w14:textId="77777777" w:rsidTr="00924B3D">
        <w:trPr>
          <w:trHeight w:val="300"/>
        </w:trPr>
        <w:tc>
          <w:tcPr>
            <w:tcW w:w="1009" w:type="dxa"/>
            <w:shd w:val="clear" w:color="auto" w:fill="auto"/>
            <w:noWrap/>
            <w:hideMark/>
          </w:tcPr>
          <w:p w14:paraId="08BB89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DA8BF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 P., Viga, V.</w:t>
            </w:r>
          </w:p>
        </w:tc>
        <w:tc>
          <w:tcPr>
            <w:tcW w:w="709" w:type="dxa"/>
            <w:shd w:val="clear" w:color="auto" w:fill="auto"/>
            <w:noWrap/>
            <w:hideMark/>
          </w:tcPr>
          <w:p w14:paraId="6DC9FA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8A20F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the Evidence for Whole-System, Multi-Modality Naturopathic Medicine: A Systematic Scoping Review</w:t>
            </w:r>
          </w:p>
        </w:tc>
        <w:tc>
          <w:tcPr>
            <w:tcW w:w="1417" w:type="dxa"/>
          </w:tcPr>
          <w:p w14:paraId="7C2DB6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00CF59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2DB3B2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141-168</w:t>
            </w:r>
          </w:p>
        </w:tc>
        <w:tc>
          <w:tcPr>
            <w:tcW w:w="1559" w:type="dxa"/>
          </w:tcPr>
          <w:p w14:paraId="61E34E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10.1089/acm.2018.0340</w:t>
            </w:r>
          </w:p>
        </w:tc>
        <w:tc>
          <w:tcPr>
            <w:tcW w:w="850" w:type="dxa"/>
            <w:shd w:val="clear" w:color="auto" w:fill="auto"/>
            <w:noWrap/>
            <w:hideMark/>
          </w:tcPr>
          <w:p w14:paraId="6835C0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11BF9C2" w14:textId="01C3C88A"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55C40D86" w14:textId="77777777" w:rsidTr="00924B3D">
        <w:trPr>
          <w:trHeight w:val="300"/>
        </w:trPr>
        <w:tc>
          <w:tcPr>
            <w:tcW w:w="1009" w:type="dxa"/>
            <w:shd w:val="clear" w:color="auto" w:fill="auto"/>
            <w:noWrap/>
            <w:hideMark/>
          </w:tcPr>
          <w:p w14:paraId="754E6B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C774E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SP &amp; Vigar, V</w:t>
            </w:r>
          </w:p>
        </w:tc>
        <w:tc>
          <w:tcPr>
            <w:tcW w:w="709" w:type="dxa"/>
            <w:shd w:val="clear" w:color="auto" w:fill="auto"/>
            <w:noWrap/>
            <w:hideMark/>
          </w:tcPr>
          <w:p w14:paraId="680883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29A36E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the Evidence for Whole-System, Multi-Modality Naturopathic Medicine: A Systematic Scoping Review’</w:t>
            </w:r>
          </w:p>
        </w:tc>
        <w:tc>
          <w:tcPr>
            <w:tcW w:w="1417" w:type="dxa"/>
          </w:tcPr>
          <w:p w14:paraId="7DE56C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658E91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2961C0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141-168</w:t>
            </w:r>
          </w:p>
        </w:tc>
        <w:tc>
          <w:tcPr>
            <w:tcW w:w="1559" w:type="dxa"/>
          </w:tcPr>
          <w:p w14:paraId="262E6C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10.1089/acm.2018.0340</w:t>
            </w:r>
          </w:p>
        </w:tc>
        <w:tc>
          <w:tcPr>
            <w:tcW w:w="850" w:type="dxa"/>
            <w:shd w:val="clear" w:color="auto" w:fill="auto"/>
            <w:noWrap/>
            <w:hideMark/>
          </w:tcPr>
          <w:p w14:paraId="5DFE0B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619C5BE" w14:textId="1511A07F"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7CAC0627" w14:textId="77777777" w:rsidTr="00924B3D">
        <w:trPr>
          <w:trHeight w:val="300"/>
        </w:trPr>
        <w:tc>
          <w:tcPr>
            <w:tcW w:w="1009" w:type="dxa"/>
            <w:shd w:val="clear" w:color="auto" w:fill="auto"/>
            <w:noWrap/>
            <w:hideMark/>
          </w:tcPr>
          <w:p w14:paraId="5D479F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FB079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Myers, Stephen; Vigar, Vanessa</w:t>
            </w:r>
          </w:p>
        </w:tc>
        <w:tc>
          <w:tcPr>
            <w:tcW w:w="709" w:type="dxa"/>
            <w:shd w:val="clear" w:color="auto" w:fill="auto"/>
            <w:noWrap/>
            <w:hideMark/>
          </w:tcPr>
          <w:p w14:paraId="5030F1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00AF52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the Evidence for Whole-System,</w:t>
            </w:r>
            <w:r w:rsidRPr="00D518FF">
              <w:rPr>
                <w:rFonts w:ascii="Aptos" w:hAnsi="Aptos" w:cs="Calibri"/>
                <w:color w:val="000000"/>
                <w:sz w:val="16"/>
                <w:szCs w:val="16"/>
              </w:rPr>
              <w:br/>
              <w:t>Multi-Modality Naturopathic Medicine:</w:t>
            </w:r>
            <w:r w:rsidRPr="00D518FF">
              <w:rPr>
                <w:rFonts w:ascii="Aptos" w:hAnsi="Aptos" w:cs="Calibri"/>
                <w:color w:val="000000"/>
                <w:sz w:val="16"/>
                <w:szCs w:val="16"/>
              </w:rPr>
              <w:br/>
              <w:t>A Systematic Scoping Review</w:t>
            </w:r>
          </w:p>
        </w:tc>
        <w:tc>
          <w:tcPr>
            <w:tcW w:w="1417" w:type="dxa"/>
          </w:tcPr>
          <w:p w14:paraId="60FC5B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alternative and complementary medicine</w:t>
            </w:r>
          </w:p>
        </w:tc>
        <w:tc>
          <w:tcPr>
            <w:tcW w:w="709" w:type="dxa"/>
          </w:tcPr>
          <w:p w14:paraId="4C6071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 (2)</w:t>
            </w:r>
          </w:p>
        </w:tc>
        <w:tc>
          <w:tcPr>
            <w:tcW w:w="851" w:type="dxa"/>
          </w:tcPr>
          <w:p w14:paraId="2AF36E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141-168</w:t>
            </w:r>
          </w:p>
        </w:tc>
        <w:tc>
          <w:tcPr>
            <w:tcW w:w="1559" w:type="dxa"/>
          </w:tcPr>
          <w:p w14:paraId="57DF1B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 10.1089/acm.2018.0340</w:t>
            </w:r>
          </w:p>
        </w:tc>
        <w:tc>
          <w:tcPr>
            <w:tcW w:w="850" w:type="dxa"/>
            <w:shd w:val="clear" w:color="auto" w:fill="auto"/>
            <w:noWrap/>
            <w:hideMark/>
          </w:tcPr>
          <w:p w14:paraId="252116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17B9266" w14:textId="395F4C1F"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7F8A3656" w14:textId="77777777" w:rsidTr="00924B3D">
        <w:trPr>
          <w:trHeight w:val="300"/>
        </w:trPr>
        <w:tc>
          <w:tcPr>
            <w:tcW w:w="1009" w:type="dxa"/>
            <w:shd w:val="clear" w:color="auto" w:fill="auto"/>
            <w:noWrap/>
            <w:hideMark/>
          </w:tcPr>
          <w:p w14:paraId="6E7501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19D00F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Nagashree RS, Manjunath N, Indu M, et al</w:t>
            </w:r>
          </w:p>
        </w:tc>
        <w:tc>
          <w:tcPr>
            <w:tcW w:w="709" w:type="dxa"/>
            <w:shd w:val="clear" w:color="auto" w:fill="auto"/>
            <w:noWrap/>
            <w:hideMark/>
          </w:tcPr>
          <w:p w14:paraId="5DFB97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17E723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a diet enriched with fresh coconut saturated fats on plasma lipids and erythrocyte fatty acid composition in normal adults</w:t>
            </w:r>
          </w:p>
        </w:tc>
        <w:tc>
          <w:tcPr>
            <w:tcW w:w="1417" w:type="dxa"/>
          </w:tcPr>
          <w:p w14:paraId="19558B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the American College of Nutrition</w:t>
            </w:r>
          </w:p>
        </w:tc>
        <w:tc>
          <w:tcPr>
            <w:tcW w:w="709" w:type="dxa"/>
          </w:tcPr>
          <w:p w14:paraId="01DD21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36(5)</w:t>
            </w:r>
          </w:p>
        </w:tc>
        <w:tc>
          <w:tcPr>
            <w:tcW w:w="851" w:type="dxa"/>
          </w:tcPr>
          <w:p w14:paraId="1B4DA7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330-4</w:t>
            </w:r>
          </w:p>
        </w:tc>
        <w:tc>
          <w:tcPr>
            <w:tcW w:w="1559" w:type="dxa"/>
          </w:tcPr>
          <w:p w14:paraId="0D2BBD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21DD0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CE59B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B20C17F" w14:textId="77777777" w:rsidTr="00924B3D">
        <w:trPr>
          <w:trHeight w:val="300"/>
        </w:trPr>
        <w:tc>
          <w:tcPr>
            <w:tcW w:w="1009" w:type="dxa"/>
            <w:shd w:val="clear" w:color="auto" w:fill="auto"/>
            <w:noWrap/>
            <w:hideMark/>
          </w:tcPr>
          <w:p w14:paraId="745389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3BEF6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Nagasukeerthi P, Mooventhan A, Manjunath N</w:t>
            </w:r>
          </w:p>
        </w:tc>
        <w:tc>
          <w:tcPr>
            <w:tcW w:w="709" w:type="dxa"/>
            <w:shd w:val="clear" w:color="auto" w:fill="auto"/>
            <w:noWrap/>
            <w:hideMark/>
          </w:tcPr>
          <w:p w14:paraId="10156A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209711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Short-term effect of add on bell pepper (Capsicum annuum var. grossum) juice with integrated approach of yoga therapy on blood glucose levels and cardiovascular functions in patients with type 2 diabetes mellitus: a randomized controlled study</w:t>
            </w:r>
          </w:p>
        </w:tc>
        <w:tc>
          <w:tcPr>
            <w:tcW w:w="1417" w:type="dxa"/>
          </w:tcPr>
          <w:p w14:paraId="5E7E64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31E253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34</w:t>
            </w:r>
          </w:p>
        </w:tc>
        <w:tc>
          <w:tcPr>
            <w:tcW w:w="851" w:type="dxa"/>
          </w:tcPr>
          <w:p w14:paraId="52ACF6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42-5</w:t>
            </w:r>
          </w:p>
        </w:tc>
        <w:tc>
          <w:tcPr>
            <w:tcW w:w="1559" w:type="dxa"/>
          </w:tcPr>
          <w:p w14:paraId="5075E2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59159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2644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717541A" w14:textId="77777777" w:rsidTr="00924B3D">
        <w:trPr>
          <w:trHeight w:val="300"/>
        </w:trPr>
        <w:tc>
          <w:tcPr>
            <w:tcW w:w="1009" w:type="dxa"/>
            <w:shd w:val="clear" w:color="auto" w:fill="auto"/>
            <w:noWrap/>
            <w:hideMark/>
          </w:tcPr>
          <w:p w14:paraId="02ABEA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85691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Nagasukeerthi P, Mooventhan A, Manjunath N</w:t>
            </w:r>
          </w:p>
        </w:tc>
        <w:tc>
          <w:tcPr>
            <w:tcW w:w="709" w:type="dxa"/>
            <w:shd w:val="clear" w:color="auto" w:fill="auto"/>
            <w:noWrap/>
            <w:hideMark/>
          </w:tcPr>
          <w:p w14:paraId="4C1A38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2501B6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Short-term effect of add on bell pepper (Capsicum annuum var. grossum) juice with integrated approach of yoga therapy on blood glucose levels and cardiovascular functions in patients with type 2 diabetes mellitus: a randomized controlled study</w:t>
            </w:r>
          </w:p>
        </w:tc>
        <w:tc>
          <w:tcPr>
            <w:tcW w:w="1417" w:type="dxa"/>
          </w:tcPr>
          <w:p w14:paraId="4DC48A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07F2C3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34</w:t>
            </w:r>
          </w:p>
        </w:tc>
        <w:tc>
          <w:tcPr>
            <w:tcW w:w="851" w:type="dxa"/>
          </w:tcPr>
          <w:p w14:paraId="0738D3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42-5</w:t>
            </w:r>
          </w:p>
        </w:tc>
        <w:tc>
          <w:tcPr>
            <w:tcW w:w="1559" w:type="dxa"/>
          </w:tcPr>
          <w:p w14:paraId="2A0576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E8E08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9F13F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A1ABAD5" w14:textId="77777777" w:rsidTr="00924B3D">
        <w:trPr>
          <w:trHeight w:val="300"/>
        </w:trPr>
        <w:tc>
          <w:tcPr>
            <w:tcW w:w="1009" w:type="dxa"/>
            <w:shd w:val="clear" w:color="auto" w:fill="auto"/>
            <w:noWrap/>
            <w:hideMark/>
          </w:tcPr>
          <w:p w14:paraId="35025A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65451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Nalgirkar SP, Vinchurkar SA, Saoji AA, et al.</w:t>
            </w:r>
          </w:p>
        </w:tc>
        <w:tc>
          <w:tcPr>
            <w:tcW w:w="709" w:type="dxa"/>
            <w:shd w:val="clear" w:color="auto" w:fill="auto"/>
            <w:noWrap/>
            <w:hideMark/>
          </w:tcPr>
          <w:p w14:paraId="5BBD16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01162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Yoga as a therapeutic intervention in the management of dysfunctional uterine bleeding: a controlled pilot study</w:t>
            </w:r>
          </w:p>
        </w:tc>
        <w:tc>
          <w:tcPr>
            <w:tcW w:w="1417" w:type="dxa"/>
          </w:tcPr>
          <w:p w14:paraId="360391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Mid-Life Health</w:t>
            </w:r>
          </w:p>
        </w:tc>
        <w:tc>
          <w:tcPr>
            <w:tcW w:w="709" w:type="dxa"/>
          </w:tcPr>
          <w:p w14:paraId="41EA9D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9(1)</w:t>
            </w:r>
          </w:p>
        </w:tc>
        <w:tc>
          <w:tcPr>
            <w:tcW w:w="851" w:type="dxa"/>
          </w:tcPr>
          <w:p w14:paraId="60AFE7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Aug-13</w:t>
            </w:r>
          </w:p>
        </w:tc>
        <w:tc>
          <w:tcPr>
            <w:tcW w:w="1559" w:type="dxa"/>
          </w:tcPr>
          <w:p w14:paraId="575A1B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6CE54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49E5B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AD33A71" w14:textId="77777777" w:rsidTr="00924B3D">
        <w:trPr>
          <w:trHeight w:val="300"/>
        </w:trPr>
        <w:tc>
          <w:tcPr>
            <w:tcW w:w="1009" w:type="dxa"/>
            <w:shd w:val="clear" w:color="auto" w:fill="auto"/>
            <w:noWrap/>
            <w:hideMark/>
          </w:tcPr>
          <w:p w14:paraId="1E7E5F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13242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Nandakumar B, Kadam A, Srikanth H, et al</w:t>
            </w:r>
          </w:p>
        </w:tc>
        <w:tc>
          <w:tcPr>
            <w:tcW w:w="709" w:type="dxa"/>
            <w:shd w:val="clear" w:color="auto" w:fill="auto"/>
            <w:noWrap/>
            <w:hideMark/>
          </w:tcPr>
          <w:p w14:paraId="301B5B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248507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Naturopathy and yoga based life style intervention for cardiovascular risk reduction in patients with cardiovascular risk factors: a pilot study</w:t>
            </w:r>
          </w:p>
        </w:tc>
        <w:tc>
          <w:tcPr>
            <w:tcW w:w="1417" w:type="dxa"/>
          </w:tcPr>
          <w:p w14:paraId="1E7582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1D0C8E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12(Suppl 1)</w:t>
            </w:r>
          </w:p>
        </w:tc>
        <w:tc>
          <w:tcPr>
            <w:tcW w:w="851" w:type="dxa"/>
          </w:tcPr>
          <w:p w14:paraId="05D26E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P106</w:t>
            </w:r>
          </w:p>
        </w:tc>
        <w:tc>
          <w:tcPr>
            <w:tcW w:w="1559" w:type="dxa"/>
          </w:tcPr>
          <w:p w14:paraId="74F2CF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20D42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1AD92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FE211E2" w14:textId="77777777" w:rsidTr="00924B3D">
        <w:trPr>
          <w:trHeight w:val="300"/>
        </w:trPr>
        <w:tc>
          <w:tcPr>
            <w:tcW w:w="1009" w:type="dxa"/>
            <w:shd w:val="clear" w:color="auto" w:fill="auto"/>
            <w:noWrap/>
            <w:hideMark/>
          </w:tcPr>
          <w:p w14:paraId="0475D5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780B8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Nandini B, Mooventhan A, Manjunath N.</w:t>
            </w:r>
          </w:p>
        </w:tc>
        <w:tc>
          <w:tcPr>
            <w:tcW w:w="709" w:type="dxa"/>
            <w:shd w:val="clear" w:color="auto" w:fill="auto"/>
            <w:noWrap/>
            <w:hideMark/>
          </w:tcPr>
          <w:p w14:paraId="602C4E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EC0D2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Add-on effect of hot sand fomentation to yoga on pain, disability, and quality of life in chronic neck pain patients.</w:t>
            </w:r>
          </w:p>
        </w:tc>
        <w:tc>
          <w:tcPr>
            <w:tcW w:w="1417" w:type="dxa"/>
          </w:tcPr>
          <w:p w14:paraId="665DCE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Explore (New York, NY)</w:t>
            </w:r>
          </w:p>
        </w:tc>
        <w:tc>
          <w:tcPr>
            <w:tcW w:w="709" w:type="dxa"/>
          </w:tcPr>
          <w:p w14:paraId="37D32D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w:t>
            </w:r>
          </w:p>
        </w:tc>
        <w:tc>
          <w:tcPr>
            <w:tcW w:w="851" w:type="dxa"/>
          </w:tcPr>
          <w:p w14:paraId="3B799C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373-8</w:t>
            </w:r>
          </w:p>
        </w:tc>
        <w:tc>
          <w:tcPr>
            <w:tcW w:w="1559" w:type="dxa"/>
          </w:tcPr>
          <w:p w14:paraId="438027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68995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72CE1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8B94876" w14:textId="77777777" w:rsidTr="00924B3D">
        <w:trPr>
          <w:trHeight w:val="300"/>
        </w:trPr>
        <w:tc>
          <w:tcPr>
            <w:tcW w:w="1009" w:type="dxa"/>
            <w:shd w:val="clear" w:color="auto" w:fill="auto"/>
            <w:noWrap/>
            <w:hideMark/>
          </w:tcPr>
          <w:p w14:paraId="7ED4FE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C2877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Naveen G, Rao M, Vishal V, et al.</w:t>
            </w:r>
          </w:p>
        </w:tc>
        <w:tc>
          <w:tcPr>
            <w:tcW w:w="709" w:type="dxa"/>
            <w:shd w:val="clear" w:color="auto" w:fill="auto"/>
            <w:noWrap/>
            <w:hideMark/>
          </w:tcPr>
          <w:p w14:paraId="4782A0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794D70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Development and feasibility of yoga therapy module for out-patients with depression in India</w:t>
            </w:r>
          </w:p>
        </w:tc>
        <w:tc>
          <w:tcPr>
            <w:tcW w:w="1417" w:type="dxa"/>
          </w:tcPr>
          <w:p w14:paraId="2AE21B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Psychiatry</w:t>
            </w:r>
          </w:p>
        </w:tc>
        <w:tc>
          <w:tcPr>
            <w:tcW w:w="709" w:type="dxa"/>
          </w:tcPr>
          <w:p w14:paraId="3F4D47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55(Suppl 3)</w:t>
            </w:r>
          </w:p>
        </w:tc>
        <w:tc>
          <w:tcPr>
            <w:tcW w:w="851" w:type="dxa"/>
          </w:tcPr>
          <w:p w14:paraId="12CADF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S350</w:t>
            </w:r>
          </w:p>
        </w:tc>
        <w:tc>
          <w:tcPr>
            <w:tcW w:w="1559" w:type="dxa"/>
          </w:tcPr>
          <w:p w14:paraId="0BDCA4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A8EAA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E24E6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FDF16C9" w14:textId="77777777" w:rsidTr="00924B3D">
        <w:trPr>
          <w:trHeight w:val="300"/>
        </w:trPr>
        <w:tc>
          <w:tcPr>
            <w:tcW w:w="1009" w:type="dxa"/>
            <w:shd w:val="clear" w:color="auto" w:fill="auto"/>
            <w:noWrap/>
            <w:hideMark/>
          </w:tcPr>
          <w:p w14:paraId="671D95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5060F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Nesic J, Duka T.</w:t>
            </w:r>
          </w:p>
        </w:tc>
        <w:tc>
          <w:tcPr>
            <w:tcW w:w="709" w:type="dxa"/>
            <w:shd w:val="clear" w:color="auto" w:fill="auto"/>
            <w:noWrap/>
            <w:hideMark/>
          </w:tcPr>
          <w:p w14:paraId="04A003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09AD4E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Effects of stress and dietary tryptophan enhancement on craving for alcohol in binge and non-binge heavy drinkers. </w:t>
            </w:r>
          </w:p>
        </w:tc>
        <w:tc>
          <w:tcPr>
            <w:tcW w:w="1417" w:type="dxa"/>
          </w:tcPr>
          <w:p w14:paraId="589E68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Behav Pharmacol</w:t>
            </w:r>
          </w:p>
        </w:tc>
        <w:tc>
          <w:tcPr>
            <w:tcW w:w="709" w:type="dxa"/>
          </w:tcPr>
          <w:p w14:paraId="501BCC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25(5-6)</w:t>
            </w:r>
          </w:p>
        </w:tc>
        <w:tc>
          <w:tcPr>
            <w:tcW w:w="851" w:type="dxa"/>
          </w:tcPr>
          <w:p w14:paraId="557372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503-517</w:t>
            </w:r>
          </w:p>
        </w:tc>
        <w:tc>
          <w:tcPr>
            <w:tcW w:w="1559" w:type="dxa"/>
          </w:tcPr>
          <w:p w14:paraId="48FD32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10.1097/FBP.0000000000000067</w:t>
            </w:r>
          </w:p>
        </w:tc>
        <w:tc>
          <w:tcPr>
            <w:tcW w:w="850" w:type="dxa"/>
            <w:shd w:val="clear" w:color="auto" w:fill="auto"/>
            <w:noWrap/>
            <w:hideMark/>
          </w:tcPr>
          <w:p w14:paraId="347FB9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30D4A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EBE567B" w14:textId="77777777" w:rsidTr="00924B3D">
        <w:trPr>
          <w:trHeight w:val="300"/>
        </w:trPr>
        <w:tc>
          <w:tcPr>
            <w:tcW w:w="1009" w:type="dxa"/>
            <w:shd w:val="clear" w:color="auto" w:fill="auto"/>
            <w:noWrap/>
            <w:hideMark/>
          </w:tcPr>
          <w:p w14:paraId="3C7A08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09549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Neuendorf R, </w:t>
            </w:r>
            <w:r w:rsidRPr="00D518FF">
              <w:rPr>
                <w:rFonts w:ascii="Aptos" w:hAnsi="Aptos" w:cs="Calibri"/>
                <w:sz w:val="16"/>
                <w:szCs w:val="16"/>
              </w:rPr>
              <w:t>Corn J</w:t>
            </w:r>
            <w:r w:rsidRPr="00D518FF">
              <w:rPr>
                <w:rFonts w:ascii="Aptos" w:hAnsi="Aptos" w:cs="Calibri"/>
                <w:color w:val="000000"/>
                <w:sz w:val="16"/>
                <w:szCs w:val="16"/>
              </w:rPr>
              <w:t>, </w:t>
            </w:r>
            <w:r w:rsidRPr="00D518FF">
              <w:rPr>
                <w:rFonts w:ascii="Aptos" w:hAnsi="Aptos" w:cs="Calibri"/>
                <w:sz w:val="16"/>
                <w:szCs w:val="16"/>
              </w:rPr>
              <w:t>Hanes D</w:t>
            </w:r>
            <w:r w:rsidRPr="00D518FF">
              <w:rPr>
                <w:rFonts w:ascii="Aptos" w:hAnsi="Aptos" w:cs="Calibri"/>
                <w:color w:val="000000"/>
                <w:sz w:val="16"/>
                <w:szCs w:val="16"/>
              </w:rPr>
              <w:t>, </w:t>
            </w:r>
            <w:r w:rsidRPr="00D518FF">
              <w:rPr>
                <w:rFonts w:ascii="Aptos" w:hAnsi="Aptos" w:cs="Calibri"/>
                <w:sz w:val="16"/>
                <w:szCs w:val="16"/>
              </w:rPr>
              <w:t>Bradley R</w:t>
            </w:r>
            <w:r w:rsidRPr="00D518FF">
              <w:rPr>
                <w:rFonts w:ascii="Aptos" w:hAnsi="Aptos" w:cs="Calibri"/>
                <w:color w:val="000000"/>
                <w:sz w:val="16"/>
                <w:szCs w:val="16"/>
              </w:rPr>
              <w:t>.</w:t>
            </w:r>
          </w:p>
        </w:tc>
        <w:tc>
          <w:tcPr>
            <w:tcW w:w="709" w:type="dxa"/>
            <w:shd w:val="clear" w:color="auto" w:fill="auto"/>
            <w:noWrap/>
            <w:hideMark/>
          </w:tcPr>
          <w:p w14:paraId="6A3EEE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0B4EFC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Impact of Food Immunoglobulin G-Based Elimination Diet on Subsequent Food Immunoglobulin G and Quality of Life in Overweight/Obese Adults</w:t>
            </w:r>
          </w:p>
        </w:tc>
        <w:tc>
          <w:tcPr>
            <w:tcW w:w="1417" w:type="dxa"/>
          </w:tcPr>
          <w:p w14:paraId="703ADB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1CF72B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513F87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241-248</w:t>
            </w:r>
          </w:p>
        </w:tc>
        <w:tc>
          <w:tcPr>
            <w:tcW w:w="1559" w:type="dxa"/>
          </w:tcPr>
          <w:p w14:paraId="0D34AD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10.1089/acm.2018.0310</w:t>
            </w:r>
          </w:p>
        </w:tc>
        <w:tc>
          <w:tcPr>
            <w:tcW w:w="850" w:type="dxa"/>
            <w:shd w:val="clear" w:color="auto" w:fill="auto"/>
            <w:noWrap/>
            <w:hideMark/>
          </w:tcPr>
          <w:p w14:paraId="38FB1A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42C33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455982D" w14:textId="77777777" w:rsidTr="00924B3D">
        <w:trPr>
          <w:trHeight w:val="300"/>
        </w:trPr>
        <w:tc>
          <w:tcPr>
            <w:tcW w:w="1009" w:type="dxa"/>
            <w:shd w:val="clear" w:color="auto" w:fill="auto"/>
            <w:noWrap/>
            <w:hideMark/>
          </w:tcPr>
          <w:p w14:paraId="6708A4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18D01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Neuendorf R, Corn J, Hanes D, et al</w:t>
            </w:r>
          </w:p>
        </w:tc>
        <w:tc>
          <w:tcPr>
            <w:tcW w:w="709" w:type="dxa"/>
            <w:shd w:val="clear" w:color="auto" w:fill="auto"/>
            <w:noWrap/>
            <w:hideMark/>
          </w:tcPr>
          <w:p w14:paraId="297C3C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E2F20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Impact of food immunoglobulin G-based elimination diet on subsequent food immunoglobulin G and quality of life in overweight/obese adults</w:t>
            </w:r>
          </w:p>
        </w:tc>
        <w:tc>
          <w:tcPr>
            <w:tcW w:w="1417" w:type="dxa"/>
          </w:tcPr>
          <w:p w14:paraId="10EEFB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3B29D1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4E640E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241-8</w:t>
            </w:r>
          </w:p>
        </w:tc>
        <w:tc>
          <w:tcPr>
            <w:tcW w:w="1559" w:type="dxa"/>
          </w:tcPr>
          <w:p w14:paraId="6F7FE1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7F45A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447DF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41162AD" w14:textId="77777777" w:rsidTr="00924B3D">
        <w:trPr>
          <w:trHeight w:val="300"/>
        </w:trPr>
        <w:tc>
          <w:tcPr>
            <w:tcW w:w="1009" w:type="dxa"/>
            <w:shd w:val="clear" w:color="auto" w:fill="auto"/>
            <w:noWrap/>
            <w:hideMark/>
          </w:tcPr>
          <w:p w14:paraId="02BBC1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7E9ED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Neuendorf, R, Corn, J, Hanes, D, Bradley, R</w:t>
            </w:r>
          </w:p>
        </w:tc>
        <w:tc>
          <w:tcPr>
            <w:tcW w:w="709" w:type="dxa"/>
            <w:shd w:val="clear" w:color="auto" w:fill="auto"/>
            <w:noWrap/>
            <w:hideMark/>
          </w:tcPr>
          <w:p w14:paraId="643EE4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BD69A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Impact of Food Immunoglobulin G-Based Elimination Diet on Subsequent Food Immunoglobulin G and Quality of Life in Overweight/Obese Adults</w:t>
            </w:r>
          </w:p>
        </w:tc>
        <w:tc>
          <w:tcPr>
            <w:tcW w:w="1417" w:type="dxa"/>
          </w:tcPr>
          <w:p w14:paraId="52F51D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207F22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4865EB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241–248</w:t>
            </w:r>
          </w:p>
        </w:tc>
        <w:tc>
          <w:tcPr>
            <w:tcW w:w="1559" w:type="dxa"/>
          </w:tcPr>
          <w:p w14:paraId="091AE5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10.1089/acm.2018.0310</w:t>
            </w:r>
          </w:p>
        </w:tc>
        <w:tc>
          <w:tcPr>
            <w:tcW w:w="850" w:type="dxa"/>
            <w:shd w:val="clear" w:color="auto" w:fill="auto"/>
            <w:noWrap/>
            <w:hideMark/>
          </w:tcPr>
          <w:p w14:paraId="67D61B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BF293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6B0819E" w14:textId="77777777" w:rsidTr="00924B3D">
        <w:trPr>
          <w:trHeight w:val="300"/>
        </w:trPr>
        <w:tc>
          <w:tcPr>
            <w:tcW w:w="1009" w:type="dxa"/>
            <w:shd w:val="clear" w:color="auto" w:fill="auto"/>
            <w:noWrap/>
            <w:hideMark/>
          </w:tcPr>
          <w:p w14:paraId="6A0364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1F254B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Neuendorf, R, Corn, J, Hanes, D, Bradley, R</w:t>
            </w:r>
          </w:p>
        </w:tc>
        <w:tc>
          <w:tcPr>
            <w:tcW w:w="709" w:type="dxa"/>
            <w:shd w:val="clear" w:color="auto" w:fill="auto"/>
            <w:noWrap/>
            <w:hideMark/>
          </w:tcPr>
          <w:p w14:paraId="74D46E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48E085E" w14:textId="77777777" w:rsidR="008F3151" w:rsidRPr="00D518FF" w:rsidRDefault="008F3151" w:rsidP="00924B3D">
            <w:pPr>
              <w:rPr>
                <w:rFonts w:ascii="Aptos" w:hAnsi="Aptos" w:cs="Calibri"/>
                <w:sz w:val="16"/>
                <w:szCs w:val="16"/>
              </w:rPr>
            </w:pPr>
            <w:r w:rsidRPr="00D518FF">
              <w:rPr>
                <w:rFonts w:ascii="Aptos" w:hAnsi="Aptos" w:cs="Calibri"/>
                <w:sz w:val="16"/>
                <w:szCs w:val="16"/>
              </w:rPr>
              <w:t>Impact of Food Immunoglobulin G-Based Elimination Diet on Subsequent Food Immunoglobulin G and Quality of Life in Overweight/Obese Adults</w:t>
            </w:r>
          </w:p>
        </w:tc>
        <w:tc>
          <w:tcPr>
            <w:tcW w:w="1417" w:type="dxa"/>
          </w:tcPr>
          <w:p w14:paraId="27E3C1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67837D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3A6DD4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241–248</w:t>
            </w:r>
          </w:p>
        </w:tc>
        <w:tc>
          <w:tcPr>
            <w:tcW w:w="1559" w:type="dxa"/>
          </w:tcPr>
          <w:p w14:paraId="22771E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10.1089/acm.2018.0310</w:t>
            </w:r>
          </w:p>
        </w:tc>
        <w:tc>
          <w:tcPr>
            <w:tcW w:w="850" w:type="dxa"/>
            <w:shd w:val="clear" w:color="auto" w:fill="auto"/>
            <w:noWrap/>
            <w:hideMark/>
          </w:tcPr>
          <w:p w14:paraId="4EE20C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1084E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E1FF542" w14:textId="77777777" w:rsidTr="00924B3D">
        <w:trPr>
          <w:trHeight w:val="300"/>
        </w:trPr>
        <w:tc>
          <w:tcPr>
            <w:tcW w:w="1009" w:type="dxa"/>
            <w:shd w:val="clear" w:color="auto" w:fill="auto"/>
            <w:noWrap/>
            <w:hideMark/>
          </w:tcPr>
          <w:p w14:paraId="7C6953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FAAC7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Newton KM, Reed SD, LaCroix AZ, et al</w:t>
            </w:r>
          </w:p>
        </w:tc>
        <w:tc>
          <w:tcPr>
            <w:tcW w:w="709" w:type="dxa"/>
            <w:shd w:val="clear" w:color="auto" w:fill="auto"/>
            <w:noWrap/>
            <w:hideMark/>
          </w:tcPr>
          <w:p w14:paraId="05A864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282A9A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Treatment of vasomotor symptoms of menopause with black cohosh, multibotanicals, soy, hormone therapy, or placebo: a randomized trial</w:t>
            </w:r>
          </w:p>
        </w:tc>
        <w:tc>
          <w:tcPr>
            <w:tcW w:w="1417" w:type="dxa"/>
          </w:tcPr>
          <w:p w14:paraId="057E00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Annals of Internal Medicine</w:t>
            </w:r>
          </w:p>
        </w:tc>
        <w:tc>
          <w:tcPr>
            <w:tcW w:w="709" w:type="dxa"/>
          </w:tcPr>
          <w:p w14:paraId="4DE5F3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w:t>
            </w:r>
          </w:p>
        </w:tc>
        <w:tc>
          <w:tcPr>
            <w:tcW w:w="851" w:type="dxa"/>
          </w:tcPr>
          <w:p w14:paraId="09C726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869-79</w:t>
            </w:r>
          </w:p>
        </w:tc>
        <w:tc>
          <w:tcPr>
            <w:tcW w:w="1559" w:type="dxa"/>
          </w:tcPr>
          <w:p w14:paraId="3824FE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E3685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CB59B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33E622D" w14:textId="77777777" w:rsidTr="00924B3D">
        <w:trPr>
          <w:trHeight w:val="300"/>
        </w:trPr>
        <w:tc>
          <w:tcPr>
            <w:tcW w:w="1009" w:type="dxa"/>
            <w:shd w:val="clear" w:color="auto" w:fill="auto"/>
            <w:noWrap/>
            <w:hideMark/>
          </w:tcPr>
          <w:p w14:paraId="1B10BE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C610A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Newton KM, Reed SD, LaCroix AZ, et al.</w:t>
            </w:r>
          </w:p>
        </w:tc>
        <w:tc>
          <w:tcPr>
            <w:tcW w:w="709" w:type="dxa"/>
            <w:shd w:val="clear" w:color="auto" w:fill="auto"/>
            <w:noWrap/>
            <w:hideMark/>
          </w:tcPr>
          <w:p w14:paraId="61DCC6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6DC10C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Treatment of vasomotor symptoms of menopause with black cohosh, multibotanicals, soy, hormone therapy, or placebo: a randomized trial</w:t>
            </w:r>
          </w:p>
        </w:tc>
        <w:tc>
          <w:tcPr>
            <w:tcW w:w="1417" w:type="dxa"/>
          </w:tcPr>
          <w:p w14:paraId="22060A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Annals of Internal Medicine</w:t>
            </w:r>
          </w:p>
        </w:tc>
        <w:tc>
          <w:tcPr>
            <w:tcW w:w="709" w:type="dxa"/>
          </w:tcPr>
          <w:p w14:paraId="5CCD18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w:t>
            </w:r>
          </w:p>
        </w:tc>
        <w:tc>
          <w:tcPr>
            <w:tcW w:w="851" w:type="dxa"/>
          </w:tcPr>
          <w:p w14:paraId="432199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869-79</w:t>
            </w:r>
          </w:p>
        </w:tc>
        <w:tc>
          <w:tcPr>
            <w:tcW w:w="1559" w:type="dxa"/>
          </w:tcPr>
          <w:p w14:paraId="7B131B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716FB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7BB30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61F31C5" w14:textId="77777777" w:rsidTr="00924B3D">
        <w:trPr>
          <w:trHeight w:val="300"/>
        </w:trPr>
        <w:tc>
          <w:tcPr>
            <w:tcW w:w="1009" w:type="dxa"/>
            <w:shd w:val="clear" w:color="auto" w:fill="auto"/>
            <w:noWrap/>
            <w:hideMark/>
          </w:tcPr>
          <w:p w14:paraId="2B492D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15975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Niedzielin K, Kordecki H, Birkenfeld B.</w:t>
            </w:r>
          </w:p>
        </w:tc>
        <w:tc>
          <w:tcPr>
            <w:tcW w:w="709" w:type="dxa"/>
            <w:shd w:val="clear" w:color="auto" w:fill="auto"/>
            <w:noWrap/>
            <w:hideMark/>
          </w:tcPr>
          <w:p w14:paraId="500317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2001</w:t>
            </w:r>
          </w:p>
        </w:tc>
        <w:tc>
          <w:tcPr>
            <w:tcW w:w="3544" w:type="dxa"/>
            <w:shd w:val="clear" w:color="auto" w:fill="auto"/>
            <w:noWrap/>
            <w:hideMark/>
          </w:tcPr>
          <w:p w14:paraId="21B409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controlled, double-blind, randomized study on the efficacy of Lactobacillus plantarum 299V in patients with irritable bowel syndrome</w:t>
            </w:r>
          </w:p>
        </w:tc>
        <w:tc>
          <w:tcPr>
            <w:tcW w:w="1417" w:type="dxa"/>
          </w:tcPr>
          <w:p w14:paraId="12D011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 J Gastroenterol Hepatol</w:t>
            </w:r>
          </w:p>
        </w:tc>
        <w:tc>
          <w:tcPr>
            <w:tcW w:w="709" w:type="dxa"/>
          </w:tcPr>
          <w:p w14:paraId="533D6B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w:t>
            </w:r>
          </w:p>
        </w:tc>
        <w:tc>
          <w:tcPr>
            <w:tcW w:w="851" w:type="dxa"/>
          </w:tcPr>
          <w:p w14:paraId="765664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1143-1147</w:t>
            </w:r>
          </w:p>
        </w:tc>
        <w:tc>
          <w:tcPr>
            <w:tcW w:w="1559" w:type="dxa"/>
          </w:tcPr>
          <w:p w14:paraId="6B6386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42896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4135E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627B2B3" w14:textId="77777777" w:rsidTr="00924B3D">
        <w:trPr>
          <w:trHeight w:val="300"/>
        </w:trPr>
        <w:tc>
          <w:tcPr>
            <w:tcW w:w="1009" w:type="dxa"/>
            <w:shd w:val="clear" w:color="auto" w:fill="auto"/>
            <w:noWrap/>
            <w:hideMark/>
          </w:tcPr>
          <w:p w14:paraId="25C537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9F490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Nocito Echevarria MA, Andrade Reis T, Ruffo Capatti G, Siciliano Soares V, da Silveira DX, Fidalgo TM.</w:t>
            </w:r>
          </w:p>
        </w:tc>
        <w:tc>
          <w:tcPr>
            <w:tcW w:w="709" w:type="dxa"/>
            <w:shd w:val="clear" w:color="auto" w:fill="auto"/>
            <w:noWrap/>
            <w:hideMark/>
          </w:tcPr>
          <w:p w14:paraId="564A1E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746DC1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N-acetylcysteine for treating cocaine addiction - A systematic review. </w:t>
            </w:r>
          </w:p>
        </w:tc>
        <w:tc>
          <w:tcPr>
            <w:tcW w:w="1417" w:type="dxa"/>
          </w:tcPr>
          <w:p w14:paraId="31B5E9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Psychiatry Res </w:t>
            </w:r>
          </w:p>
        </w:tc>
        <w:tc>
          <w:tcPr>
            <w:tcW w:w="709" w:type="dxa"/>
          </w:tcPr>
          <w:p w14:paraId="2ABE7C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251</w:t>
            </w:r>
          </w:p>
        </w:tc>
        <w:tc>
          <w:tcPr>
            <w:tcW w:w="851" w:type="dxa"/>
          </w:tcPr>
          <w:p w14:paraId="68C578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197-203</w:t>
            </w:r>
          </w:p>
        </w:tc>
        <w:tc>
          <w:tcPr>
            <w:tcW w:w="1559" w:type="dxa"/>
          </w:tcPr>
          <w:p w14:paraId="7AA1D0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10.1016/j.psychres.2017.02.024</w:t>
            </w:r>
          </w:p>
        </w:tc>
        <w:tc>
          <w:tcPr>
            <w:tcW w:w="850" w:type="dxa"/>
            <w:shd w:val="clear" w:color="auto" w:fill="auto"/>
            <w:noWrap/>
            <w:hideMark/>
          </w:tcPr>
          <w:p w14:paraId="2CC264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A327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2914AE42" w14:textId="77777777" w:rsidTr="00924B3D">
        <w:trPr>
          <w:trHeight w:val="300"/>
        </w:trPr>
        <w:tc>
          <w:tcPr>
            <w:tcW w:w="1009" w:type="dxa"/>
            <w:shd w:val="clear" w:color="auto" w:fill="auto"/>
            <w:noWrap/>
            <w:hideMark/>
          </w:tcPr>
          <w:p w14:paraId="1BFF75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2435F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Nouri, K., K. Walch, A. Weghofer, M. Imhof, C. Egarter and J. Ott</w:t>
            </w:r>
          </w:p>
        </w:tc>
        <w:tc>
          <w:tcPr>
            <w:tcW w:w="709" w:type="dxa"/>
            <w:shd w:val="clear" w:color="auto" w:fill="auto"/>
            <w:noWrap/>
            <w:hideMark/>
          </w:tcPr>
          <w:p w14:paraId="5DBF96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1A0890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impact of a standardized oral multinutrient supplementation on embryo quality in in vitro fertilization/intracytoplasmic sperm injection: a prospective randomized trial.</w:t>
            </w:r>
          </w:p>
        </w:tc>
        <w:tc>
          <w:tcPr>
            <w:tcW w:w="1417" w:type="dxa"/>
          </w:tcPr>
          <w:p w14:paraId="55931B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Gynecologic and obstetric investigation</w:t>
            </w:r>
          </w:p>
        </w:tc>
        <w:tc>
          <w:tcPr>
            <w:tcW w:w="709" w:type="dxa"/>
          </w:tcPr>
          <w:p w14:paraId="079C84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82(1)</w:t>
            </w:r>
          </w:p>
        </w:tc>
        <w:tc>
          <w:tcPr>
            <w:tcW w:w="851" w:type="dxa"/>
          </w:tcPr>
          <w:p w14:paraId="1A95A2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41852</w:t>
            </w:r>
          </w:p>
        </w:tc>
        <w:tc>
          <w:tcPr>
            <w:tcW w:w="1559" w:type="dxa"/>
          </w:tcPr>
          <w:p w14:paraId="798D0E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0378-7346</w:t>
            </w:r>
          </w:p>
        </w:tc>
        <w:tc>
          <w:tcPr>
            <w:tcW w:w="850" w:type="dxa"/>
            <w:shd w:val="clear" w:color="auto" w:fill="auto"/>
            <w:noWrap/>
            <w:hideMark/>
          </w:tcPr>
          <w:p w14:paraId="336E27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3FFD8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FE8EAE5" w14:textId="77777777" w:rsidTr="00924B3D">
        <w:trPr>
          <w:trHeight w:val="300"/>
        </w:trPr>
        <w:tc>
          <w:tcPr>
            <w:tcW w:w="1009" w:type="dxa"/>
            <w:shd w:val="clear" w:color="auto" w:fill="auto"/>
            <w:noWrap/>
            <w:hideMark/>
          </w:tcPr>
          <w:p w14:paraId="196DDC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6A313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Oates L, Cohen M, Braun L, et al</w:t>
            </w:r>
          </w:p>
        </w:tc>
        <w:tc>
          <w:tcPr>
            <w:tcW w:w="709" w:type="dxa"/>
            <w:shd w:val="clear" w:color="auto" w:fill="auto"/>
            <w:noWrap/>
            <w:hideMark/>
          </w:tcPr>
          <w:p w14:paraId="592E93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6ADE46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Reduction in urinary organophosphate pesticide metabolites in adults after a week-long organic diet</w:t>
            </w:r>
          </w:p>
        </w:tc>
        <w:tc>
          <w:tcPr>
            <w:tcW w:w="1417" w:type="dxa"/>
          </w:tcPr>
          <w:p w14:paraId="6C479A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Environmental Research</w:t>
            </w:r>
          </w:p>
        </w:tc>
        <w:tc>
          <w:tcPr>
            <w:tcW w:w="709" w:type="dxa"/>
          </w:tcPr>
          <w:p w14:paraId="120793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132</w:t>
            </w:r>
          </w:p>
        </w:tc>
        <w:tc>
          <w:tcPr>
            <w:tcW w:w="851" w:type="dxa"/>
          </w:tcPr>
          <w:p w14:paraId="47A456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105-11</w:t>
            </w:r>
          </w:p>
        </w:tc>
        <w:tc>
          <w:tcPr>
            <w:tcW w:w="1559" w:type="dxa"/>
          </w:tcPr>
          <w:p w14:paraId="06A282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37984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7EA3B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4C3F366" w14:textId="77777777" w:rsidTr="00924B3D">
        <w:trPr>
          <w:trHeight w:val="300"/>
        </w:trPr>
        <w:tc>
          <w:tcPr>
            <w:tcW w:w="1009" w:type="dxa"/>
            <w:shd w:val="clear" w:color="auto" w:fill="auto"/>
            <w:noWrap/>
            <w:hideMark/>
          </w:tcPr>
          <w:p w14:paraId="658826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33489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Oberg EB, Bradley et al. </w:t>
            </w:r>
          </w:p>
        </w:tc>
        <w:tc>
          <w:tcPr>
            <w:tcW w:w="709" w:type="dxa"/>
            <w:shd w:val="clear" w:color="auto" w:fill="auto"/>
            <w:noWrap/>
            <w:hideMark/>
          </w:tcPr>
          <w:p w14:paraId="017BFF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0D147A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Estimated Effects of Whole System Naturopathic Medicine in Select Chronic Disease Conditions: A systematic review</w:t>
            </w:r>
          </w:p>
        </w:tc>
        <w:tc>
          <w:tcPr>
            <w:tcW w:w="1417" w:type="dxa"/>
          </w:tcPr>
          <w:p w14:paraId="65B46A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Alternative and Integrative Medicine</w:t>
            </w:r>
          </w:p>
        </w:tc>
        <w:tc>
          <w:tcPr>
            <w:tcW w:w="709" w:type="dxa"/>
          </w:tcPr>
          <w:p w14:paraId="55624E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Vol 4</w:t>
            </w:r>
          </w:p>
        </w:tc>
        <w:tc>
          <w:tcPr>
            <w:tcW w:w="851" w:type="dxa"/>
          </w:tcPr>
          <w:p w14:paraId="37605C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192</w:t>
            </w:r>
          </w:p>
        </w:tc>
        <w:tc>
          <w:tcPr>
            <w:tcW w:w="1559" w:type="dxa"/>
          </w:tcPr>
          <w:p w14:paraId="06C827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10.4172/2327-5162.1000192</w:t>
            </w:r>
          </w:p>
        </w:tc>
        <w:tc>
          <w:tcPr>
            <w:tcW w:w="850" w:type="dxa"/>
            <w:shd w:val="clear" w:color="auto" w:fill="auto"/>
            <w:noWrap/>
            <w:hideMark/>
          </w:tcPr>
          <w:p w14:paraId="478F3E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D5E4683" w14:textId="71B3A17B"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564067F2" w14:textId="77777777" w:rsidTr="00924B3D">
        <w:trPr>
          <w:trHeight w:val="300"/>
        </w:trPr>
        <w:tc>
          <w:tcPr>
            <w:tcW w:w="1009" w:type="dxa"/>
            <w:shd w:val="clear" w:color="auto" w:fill="auto"/>
            <w:noWrap/>
            <w:hideMark/>
          </w:tcPr>
          <w:p w14:paraId="6C5D41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0A40D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Oberg EB, Bradley RD, Allen J, et al</w:t>
            </w:r>
          </w:p>
        </w:tc>
        <w:tc>
          <w:tcPr>
            <w:tcW w:w="709" w:type="dxa"/>
            <w:shd w:val="clear" w:color="auto" w:fill="auto"/>
            <w:noWrap/>
            <w:hideMark/>
          </w:tcPr>
          <w:p w14:paraId="40AE65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7D86C7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Evaluation of a naturopathic nutrition program for type 2 diabetes</w:t>
            </w:r>
          </w:p>
        </w:tc>
        <w:tc>
          <w:tcPr>
            <w:tcW w:w="1417" w:type="dxa"/>
          </w:tcPr>
          <w:p w14:paraId="36996E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Clinical Practice</w:t>
            </w:r>
          </w:p>
        </w:tc>
        <w:tc>
          <w:tcPr>
            <w:tcW w:w="709" w:type="dxa"/>
          </w:tcPr>
          <w:p w14:paraId="3724A9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17(3)</w:t>
            </w:r>
          </w:p>
        </w:tc>
        <w:tc>
          <w:tcPr>
            <w:tcW w:w="851" w:type="dxa"/>
          </w:tcPr>
          <w:p w14:paraId="1474AA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157-61</w:t>
            </w:r>
          </w:p>
        </w:tc>
        <w:tc>
          <w:tcPr>
            <w:tcW w:w="1559" w:type="dxa"/>
          </w:tcPr>
          <w:p w14:paraId="5AC9B5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741AB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D4EE1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89B6A76" w14:textId="77777777" w:rsidTr="00924B3D">
        <w:trPr>
          <w:trHeight w:val="300"/>
        </w:trPr>
        <w:tc>
          <w:tcPr>
            <w:tcW w:w="1009" w:type="dxa"/>
            <w:shd w:val="clear" w:color="auto" w:fill="auto"/>
            <w:noWrap/>
            <w:hideMark/>
          </w:tcPr>
          <w:p w14:paraId="7FE0A2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7BC79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Oliver G, Dean O, Camfield D, Blair- West S, Ng C, Berk M, Sarris J.</w:t>
            </w:r>
          </w:p>
        </w:tc>
        <w:tc>
          <w:tcPr>
            <w:tcW w:w="709" w:type="dxa"/>
            <w:shd w:val="clear" w:color="auto" w:fill="auto"/>
            <w:noWrap/>
            <w:hideMark/>
          </w:tcPr>
          <w:p w14:paraId="449A0C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64D9F4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N-acetyl cysteine in the treatment of obsessive compulsive and related disorders: a systematic review. </w:t>
            </w:r>
          </w:p>
        </w:tc>
        <w:tc>
          <w:tcPr>
            <w:tcW w:w="1417" w:type="dxa"/>
          </w:tcPr>
          <w:p w14:paraId="187478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Psychopharmacology and Neuroscience</w:t>
            </w:r>
          </w:p>
        </w:tc>
        <w:tc>
          <w:tcPr>
            <w:tcW w:w="709" w:type="dxa"/>
          </w:tcPr>
          <w:p w14:paraId="473FC8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13(1)</w:t>
            </w:r>
          </w:p>
        </w:tc>
        <w:tc>
          <w:tcPr>
            <w:tcW w:w="851" w:type="dxa"/>
          </w:tcPr>
          <w:p w14:paraId="74F316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1559" w:type="dxa"/>
          </w:tcPr>
          <w:p w14:paraId="2CAD23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094751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0F5E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20A5EBF3" w14:textId="77777777" w:rsidTr="00924B3D">
        <w:trPr>
          <w:trHeight w:val="300"/>
        </w:trPr>
        <w:tc>
          <w:tcPr>
            <w:tcW w:w="1009" w:type="dxa"/>
            <w:shd w:val="clear" w:color="auto" w:fill="auto"/>
            <w:noWrap/>
            <w:hideMark/>
          </w:tcPr>
          <w:p w14:paraId="3D5013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407E4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Özturan A, Arslan S, Kocaadam B, Elibol E, İmamoğlu İ, Karadağ MG.</w:t>
            </w:r>
          </w:p>
        </w:tc>
        <w:tc>
          <w:tcPr>
            <w:tcW w:w="709" w:type="dxa"/>
            <w:shd w:val="clear" w:color="auto" w:fill="auto"/>
            <w:noWrap/>
            <w:hideMark/>
          </w:tcPr>
          <w:p w14:paraId="7DCDFB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22A80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 of inositol and its derivatives on diabetes: a systematic review. </w:t>
            </w:r>
          </w:p>
        </w:tc>
        <w:tc>
          <w:tcPr>
            <w:tcW w:w="1417" w:type="dxa"/>
          </w:tcPr>
          <w:p w14:paraId="139E4D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Crit Rev Food Sci Nutr</w:t>
            </w:r>
          </w:p>
        </w:tc>
        <w:tc>
          <w:tcPr>
            <w:tcW w:w="709" w:type="dxa"/>
          </w:tcPr>
          <w:p w14:paraId="3B183E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59(7)</w:t>
            </w:r>
          </w:p>
        </w:tc>
        <w:tc>
          <w:tcPr>
            <w:tcW w:w="851" w:type="dxa"/>
          </w:tcPr>
          <w:p w14:paraId="2C225F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1124-1136</w:t>
            </w:r>
          </w:p>
        </w:tc>
        <w:tc>
          <w:tcPr>
            <w:tcW w:w="1559" w:type="dxa"/>
          </w:tcPr>
          <w:p w14:paraId="3DC541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10.1080/10408398.2017.1392926</w:t>
            </w:r>
          </w:p>
        </w:tc>
        <w:tc>
          <w:tcPr>
            <w:tcW w:w="850" w:type="dxa"/>
            <w:shd w:val="clear" w:color="auto" w:fill="auto"/>
            <w:noWrap/>
            <w:hideMark/>
          </w:tcPr>
          <w:p w14:paraId="536D15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AF0BD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7ED37E2E" w14:textId="77777777" w:rsidTr="00924B3D">
        <w:trPr>
          <w:trHeight w:val="300"/>
        </w:trPr>
        <w:tc>
          <w:tcPr>
            <w:tcW w:w="1009" w:type="dxa"/>
            <w:shd w:val="clear" w:color="auto" w:fill="auto"/>
            <w:noWrap/>
            <w:hideMark/>
          </w:tcPr>
          <w:p w14:paraId="185995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FCB3E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 M Herman, O Szczurko, K Cooley, E J Mills</w:t>
            </w:r>
          </w:p>
        </w:tc>
        <w:tc>
          <w:tcPr>
            <w:tcW w:w="709" w:type="dxa"/>
            <w:shd w:val="clear" w:color="auto" w:fill="auto"/>
            <w:noWrap/>
            <w:hideMark/>
          </w:tcPr>
          <w:p w14:paraId="733BE7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5C2226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Cost-effectiveness of naturopathic care for chronic low back pain</w:t>
            </w:r>
          </w:p>
        </w:tc>
        <w:tc>
          <w:tcPr>
            <w:tcW w:w="1417" w:type="dxa"/>
          </w:tcPr>
          <w:p w14:paraId="252B46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Alternative therapies in health and medicine</w:t>
            </w:r>
          </w:p>
        </w:tc>
        <w:tc>
          <w:tcPr>
            <w:tcW w:w="709" w:type="dxa"/>
          </w:tcPr>
          <w:p w14:paraId="083B91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 (2)</w:t>
            </w:r>
          </w:p>
        </w:tc>
        <w:tc>
          <w:tcPr>
            <w:tcW w:w="851" w:type="dxa"/>
          </w:tcPr>
          <w:p w14:paraId="704CE4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32-39</w:t>
            </w:r>
          </w:p>
        </w:tc>
        <w:tc>
          <w:tcPr>
            <w:tcW w:w="1559" w:type="dxa"/>
          </w:tcPr>
          <w:p w14:paraId="50D7DD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46C08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F857B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EC6BE0F" w14:textId="77777777" w:rsidTr="00924B3D">
        <w:trPr>
          <w:trHeight w:val="300"/>
        </w:trPr>
        <w:tc>
          <w:tcPr>
            <w:tcW w:w="1009" w:type="dxa"/>
            <w:shd w:val="clear" w:color="auto" w:fill="auto"/>
            <w:noWrap/>
            <w:hideMark/>
          </w:tcPr>
          <w:p w14:paraId="129CAF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1FF97D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Pan Y, Liu Y, Guo H, Jabir MS, Liu X, Cui W, Li D.</w:t>
            </w:r>
          </w:p>
        </w:tc>
        <w:tc>
          <w:tcPr>
            <w:tcW w:w="709" w:type="dxa"/>
            <w:shd w:val="clear" w:color="auto" w:fill="auto"/>
            <w:noWrap/>
            <w:hideMark/>
          </w:tcPr>
          <w:p w14:paraId="414914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2B9F3D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Associations between folate and vitamin B12 levels and inflammatory bowel disease: A meta-analysis</w:t>
            </w:r>
          </w:p>
        </w:tc>
        <w:tc>
          <w:tcPr>
            <w:tcW w:w="1417" w:type="dxa"/>
          </w:tcPr>
          <w:p w14:paraId="170FF1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59BAED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 (4)</w:t>
            </w:r>
          </w:p>
        </w:tc>
        <w:tc>
          <w:tcPr>
            <w:tcW w:w="851" w:type="dxa"/>
          </w:tcPr>
          <w:p w14:paraId="732EA1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382</w:t>
            </w:r>
          </w:p>
        </w:tc>
        <w:tc>
          <w:tcPr>
            <w:tcW w:w="1559" w:type="dxa"/>
          </w:tcPr>
          <w:p w14:paraId="5F05E9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00D0DC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79A1F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51102329" w14:textId="77777777" w:rsidTr="00924B3D">
        <w:trPr>
          <w:trHeight w:val="300"/>
        </w:trPr>
        <w:tc>
          <w:tcPr>
            <w:tcW w:w="1009" w:type="dxa"/>
            <w:shd w:val="clear" w:color="auto" w:fill="auto"/>
            <w:noWrap/>
            <w:hideMark/>
          </w:tcPr>
          <w:p w14:paraId="4975FB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E4E68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Papanikolopoulou A, Syrigos KN, Drakoulis N.</w:t>
            </w:r>
          </w:p>
        </w:tc>
        <w:tc>
          <w:tcPr>
            <w:tcW w:w="709" w:type="dxa"/>
            <w:shd w:val="clear" w:color="auto" w:fill="auto"/>
            <w:noWrap/>
            <w:hideMark/>
          </w:tcPr>
          <w:p w14:paraId="310F83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3B37C8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role of glutamine supplementation in thoracic and upper aerodigestive malignancies. </w:t>
            </w:r>
          </w:p>
        </w:tc>
        <w:tc>
          <w:tcPr>
            <w:tcW w:w="1417" w:type="dxa"/>
          </w:tcPr>
          <w:p w14:paraId="660D89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 Cancer</w:t>
            </w:r>
          </w:p>
        </w:tc>
        <w:tc>
          <w:tcPr>
            <w:tcW w:w="709" w:type="dxa"/>
          </w:tcPr>
          <w:p w14:paraId="3071E8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67(2)</w:t>
            </w:r>
          </w:p>
        </w:tc>
        <w:tc>
          <w:tcPr>
            <w:tcW w:w="851" w:type="dxa"/>
          </w:tcPr>
          <w:p w14:paraId="1CF7ED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231-237</w:t>
            </w:r>
          </w:p>
        </w:tc>
        <w:tc>
          <w:tcPr>
            <w:tcW w:w="1559" w:type="dxa"/>
          </w:tcPr>
          <w:p w14:paraId="6E61C0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10.1080/01635581.2015.990572</w:t>
            </w:r>
          </w:p>
        </w:tc>
        <w:tc>
          <w:tcPr>
            <w:tcW w:w="850" w:type="dxa"/>
            <w:shd w:val="clear" w:color="auto" w:fill="auto"/>
            <w:noWrap/>
            <w:hideMark/>
          </w:tcPr>
          <w:p w14:paraId="372D31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CC8B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B5A51E8" w14:textId="77777777" w:rsidTr="00924B3D">
        <w:trPr>
          <w:trHeight w:val="300"/>
        </w:trPr>
        <w:tc>
          <w:tcPr>
            <w:tcW w:w="1009" w:type="dxa"/>
            <w:shd w:val="clear" w:color="auto" w:fill="auto"/>
            <w:noWrap/>
            <w:hideMark/>
          </w:tcPr>
          <w:p w14:paraId="7321B3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EE403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Paydary K, Akamaloo A, Ahmadipour A, Pishgar F, Emamzadehfard S, Akhondzadeh S.</w:t>
            </w:r>
          </w:p>
        </w:tc>
        <w:tc>
          <w:tcPr>
            <w:tcW w:w="709" w:type="dxa"/>
            <w:shd w:val="clear" w:color="auto" w:fill="auto"/>
            <w:noWrap/>
            <w:hideMark/>
          </w:tcPr>
          <w:p w14:paraId="3C61F9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15A201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N-acetylcysteine augmentation therapy for moderate-to-severe obsessive-compulsive disorder: randomized, double-blind, placebo-controlled trial. </w:t>
            </w:r>
          </w:p>
        </w:tc>
        <w:tc>
          <w:tcPr>
            <w:tcW w:w="1417" w:type="dxa"/>
          </w:tcPr>
          <w:p w14:paraId="031E96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Clin Pharm Ther</w:t>
            </w:r>
          </w:p>
        </w:tc>
        <w:tc>
          <w:tcPr>
            <w:tcW w:w="709" w:type="dxa"/>
          </w:tcPr>
          <w:p w14:paraId="4780CB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41(2)</w:t>
            </w:r>
          </w:p>
        </w:tc>
        <w:tc>
          <w:tcPr>
            <w:tcW w:w="851" w:type="dxa"/>
          </w:tcPr>
          <w:p w14:paraId="32FD52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214-219</w:t>
            </w:r>
          </w:p>
        </w:tc>
        <w:tc>
          <w:tcPr>
            <w:tcW w:w="1559" w:type="dxa"/>
          </w:tcPr>
          <w:p w14:paraId="3B5510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10.1111/jcpt.12370</w:t>
            </w:r>
          </w:p>
        </w:tc>
        <w:tc>
          <w:tcPr>
            <w:tcW w:w="850" w:type="dxa"/>
            <w:shd w:val="clear" w:color="auto" w:fill="auto"/>
            <w:noWrap/>
            <w:hideMark/>
          </w:tcPr>
          <w:p w14:paraId="4972E5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7E445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644A990" w14:textId="77777777" w:rsidTr="00924B3D">
        <w:trPr>
          <w:trHeight w:val="300"/>
        </w:trPr>
        <w:tc>
          <w:tcPr>
            <w:tcW w:w="1009" w:type="dxa"/>
            <w:shd w:val="clear" w:color="auto" w:fill="auto"/>
            <w:noWrap/>
            <w:hideMark/>
          </w:tcPr>
          <w:p w14:paraId="03052A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8485F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Perlman AI, Lebow DG, Raphael K, et al</w:t>
            </w:r>
          </w:p>
        </w:tc>
        <w:tc>
          <w:tcPr>
            <w:tcW w:w="709" w:type="dxa"/>
            <w:shd w:val="clear" w:color="auto" w:fill="auto"/>
            <w:noWrap/>
            <w:hideMark/>
          </w:tcPr>
          <w:p w14:paraId="0B7FE2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44291B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point-of-sale communications campaign to provide consumers safety information on drug–dietary supplement interactions: a pilot study</w:t>
            </w:r>
          </w:p>
        </w:tc>
        <w:tc>
          <w:tcPr>
            <w:tcW w:w="1417" w:type="dxa"/>
          </w:tcPr>
          <w:p w14:paraId="781DB1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Health Communication</w:t>
            </w:r>
          </w:p>
        </w:tc>
        <w:tc>
          <w:tcPr>
            <w:tcW w:w="709" w:type="dxa"/>
          </w:tcPr>
          <w:p w14:paraId="2635A7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28(7)</w:t>
            </w:r>
          </w:p>
        </w:tc>
        <w:tc>
          <w:tcPr>
            <w:tcW w:w="851" w:type="dxa"/>
          </w:tcPr>
          <w:p w14:paraId="735BD3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729-39</w:t>
            </w:r>
          </w:p>
        </w:tc>
        <w:tc>
          <w:tcPr>
            <w:tcW w:w="1559" w:type="dxa"/>
          </w:tcPr>
          <w:p w14:paraId="24DEE0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54DE2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7F613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B067B90" w14:textId="77777777" w:rsidTr="00924B3D">
        <w:trPr>
          <w:trHeight w:val="300"/>
        </w:trPr>
        <w:tc>
          <w:tcPr>
            <w:tcW w:w="1009" w:type="dxa"/>
            <w:shd w:val="clear" w:color="auto" w:fill="auto"/>
            <w:noWrap/>
            <w:hideMark/>
          </w:tcPr>
          <w:p w14:paraId="7329F8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C1F71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Pipingas A, Camfield D, Stough C, et al</w:t>
            </w:r>
          </w:p>
        </w:tc>
        <w:tc>
          <w:tcPr>
            <w:tcW w:w="709" w:type="dxa"/>
            <w:shd w:val="clear" w:color="auto" w:fill="auto"/>
            <w:noWrap/>
            <w:hideMark/>
          </w:tcPr>
          <w:p w14:paraId="4D420D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7A1327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effects of multivitamin supplementation on mood and general well-being in healthy young adults. A laboratory and at-home mobile phone assessment</w:t>
            </w:r>
          </w:p>
        </w:tc>
        <w:tc>
          <w:tcPr>
            <w:tcW w:w="1417" w:type="dxa"/>
          </w:tcPr>
          <w:p w14:paraId="4BD38D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Appetite</w:t>
            </w:r>
          </w:p>
        </w:tc>
        <w:tc>
          <w:tcPr>
            <w:tcW w:w="709" w:type="dxa"/>
          </w:tcPr>
          <w:p w14:paraId="0DE23D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69</w:t>
            </w:r>
          </w:p>
        </w:tc>
        <w:tc>
          <w:tcPr>
            <w:tcW w:w="851" w:type="dxa"/>
          </w:tcPr>
          <w:p w14:paraId="3B551A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123-36</w:t>
            </w:r>
          </w:p>
        </w:tc>
        <w:tc>
          <w:tcPr>
            <w:tcW w:w="1559" w:type="dxa"/>
          </w:tcPr>
          <w:p w14:paraId="4AE438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05812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DCFE1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10ABFCE" w14:textId="77777777" w:rsidTr="00924B3D">
        <w:trPr>
          <w:trHeight w:val="300"/>
        </w:trPr>
        <w:tc>
          <w:tcPr>
            <w:tcW w:w="1009" w:type="dxa"/>
            <w:shd w:val="clear" w:color="auto" w:fill="auto"/>
            <w:noWrap/>
            <w:hideMark/>
          </w:tcPr>
          <w:p w14:paraId="72BF33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C158D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Pipingas A, Camfield DA, Stough C, et al</w:t>
            </w:r>
          </w:p>
        </w:tc>
        <w:tc>
          <w:tcPr>
            <w:tcW w:w="709" w:type="dxa"/>
            <w:shd w:val="clear" w:color="auto" w:fill="auto"/>
            <w:noWrap/>
            <w:hideMark/>
          </w:tcPr>
          <w:p w14:paraId="51D4E3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6F290A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multivitamin, mineral and herbal supplement on cognition in younger adults and the contribution of B group vitamins</w:t>
            </w:r>
          </w:p>
        </w:tc>
        <w:tc>
          <w:tcPr>
            <w:tcW w:w="1417" w:type="dxa"/>
          </w:tcPr>
          <w:p w14:paraId="147E2E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Human Psychopharmacology: Clinical and Experimental</w:t>
            </w:r>
          </w:p>
        </w:tc>
        <w:tc>
          <w:tcPr>
            <w:tcW w:w="709" w:type="dxa"/>
          </w:tcPr>
          <w:p w14:paraId="47C60E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29(1)</w:t>
            </w:r>
          </w:p>
        </w:tc>
        <w:tc>
          <w:tcPr>
            <w:tcW w:w="851" w:type="dxa"/>
          </w:tcPr>
          <w:p w14:paraId="1424B8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73-82</w:t>
            </w:r>
          </w:p>
        </w:tc>
        <w:tc>
          <w:tcPr>
            <w:tcW w:w="1559" w:type="dxa"/>
          </w:tcPr>
          <w:p w14:paraId="5FBF45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7CADC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C6E5D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D1D0982" w14:textId="77777777" w:rsidTr="00924B3D">
        <w:trPr>
          <w:trHeight w:val="300"/>
        </w:trPr>
        <w:tc>
          <w:tcPr>
            <w:tcW w:w="1009" w:type="dxa"/>
            <w:shd w:val="clear" w:color="auto" w:fill="auto"/>
            <w:noWrap/>
            <w:hideMark/>
          </w:tcPr>
          <w:p w14:paraId="546D25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A3B7C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PM Herman, O Szczurko, K Cooley, D Seely</w:t>
            </w:r>
          </w:p>
        </w:tc>
        <w:tc>
          <w:tcPr>
            <w:tcW w:w="709" w:type="dxa"/>
            <w:shd w:val="clear" w:color="auto" w:fill="auto"/>
            <w:noWrap/>
            <w:hideMark/>
          </w:tcPr>
          <w:p w14:paraId="5735F2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4BAD08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naturopathic approach to the prevention of cardiovascular disease: cost-effectiveness analysis of a pragmatic multi-worksite randomized clinical trial</w:t>
            </w:r>
          </w:p>
        </w:tc>
        <w:tc>
          <w:tcPr>
            <w:tcW w:w="1417" w:type="dxa"/>
          </w:tcPr>
          <w:p w14:paraId="481911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occupational and environmental medicine</w:t>
            </w:r>
          </w:p>
        </w:tc>
        <w:tc>
          <w:tcPr>
            <w:tcW w:w="709" w:type="dxa"/>
          </w:tcPr>
          <w:p w14:paraId="04AF7E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56 (2)</w:t>
            </w:r>
          </w:p>
        </w:tc>
        <w:tc>
          <w:tcPr>
            <w:tcW w:w="851" w:type="dxa"/>
          </w:tcPr>
          <w:p w14:paraId="5B84B0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171-176</w:t>
            </w:r>
          </w:p>
        </w:tc>
        <w:tc>
          <w:tcPr>
            <w:tcW w:w="1559" w:type="dxa"/>
          </w:tcPr>
          <w:p w14:paraId="0C6523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doi.org/10.1097/JOM.0000000000000066</w:t>
            </w:r>
          </w:p>
        </w:tc>
        <w:tc>
          <w:tcPr>
            <w:tcW w:w="850" w:type="dxa"/>
            <w:shd w:val="clear" w:color="auto" w:fill="auto"/>
            <w:noWrap/>
            <w:hideMark/>
          </w:tcPr>
          <w:p w14:paraId="1F014D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FFD8D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6825111" w14:textId="77777777" w:rsidTr="00924B3D">
        <w:trPr>
          <w:trHeight w:val="300"/>
        </w:trPr>
        <w:tc>
          <w:tcPr>
            <w:tcW w:w="1009" w:type="dxa"/>
            <w:shd w:val="clear" w:color="auto" w:fill="auto"/>
            <w:noWrap/>
            <w:hideMark/>
          </w:tcPr>
          <w:p w14:paraId="2E0268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D79E4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Pundir J, Psaroudakis D, Savnur P, Bhide P, Sabatini L, Teede H et al.</w:t>
            </w:r>
          </w:p>
        </w:tc>
        <w:tc>
          <w:tcPr>
            <w:tcW w:w="709" w:type="dxa"/>
            <w:shd w:val="clear" w:color="auto" w:fill="auto"/>
            <w:noWrap/>
            <w:hideMark/>
          </w:tcPr>
          <w:p w14:paraId="3850E5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27460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Inositol treatment of anovulation in women with polycystic ovary syndrome: a meta-analysis of randomised trials. </w:t>
            </w:r>
          </w:p>
        </w:tc>
        <w:tc>
          <w:tcPr>
            <w:tcW w:w="1417" w:type="dxa"/>
          </w:tcPr>
          <w:p w14:paraId="15A75C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BJOG</w:t>
            </w:r>
          </w:p>
        </w:tc>
        <w:tc>
          <w:tcPr>
            <w:tcW w:w="709" w:type="dxa"/>
          </w:tcPr>
          <w:p w14:paraId="509F1A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125(3)</w:t>
            </w:r>
          </w:p>
        </w:tc>
        <w:tc>
          <w:tcPr>
            <w:tcW w:w="851" w:type="dxa"/>
          </w:tcPr>
          <w:p w14:paraId="02C0FE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299-308</w:t>
            </w:r>
          </w:p>
        </w:tc>
        <w:tc>
          <w:tcPr>
            <w:tcW w:w="1559" w:type="dxa"/>
          </w:tcPr>
          <w:p w14:paraId="40E798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10.1111/1471-0528.14754</w:t>
            </w:r>
          </w:p>
        </w:tc>
        <w:tc>
          <w:tcPr>
            <w:tcW w:w="850" w:type="dxa"/>
            <w:shd w:val="clear" w:color="auto" w:fill="auto"/>
            <w:noWrap/>
            <w:hideMark/>
          </w:tcPr>
          <w:p w14:paraId="0FCE5A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A652D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8BC3280" w14:textId="77777777" w:rsidTr="00924B3D">
        <w:trPr>
          <w:trHeight w:val="300"/>
        </w:trPr>
        <w:tc>
          <w:tcPr>
            <w:tcW w:w="1009" w:type="dxa"/>
            <w:shd w:val="clear" w:color="auto" w:fill="auto"/>
            <w:noWrap/>
            <w:hideMark/>
          </w:tcPr>
          <w:p w14:paraId="206CC4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7C02A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Qiang Y, Li Q, Xin Y, Fang X, Tian Y, Ma J, Wang J, Wang Q, Zhang R, Wang J, Wang F.</w:t>
            </w:r>
          </w:p>
        </w:tc>
        <w:tc>
          <w:tcPr>
            <w:tcW w:w="709" w:type="dxa"/>
            <w:shd w:val="clear" w:color="auto" w:fill="auto"/>
            <w:noWrap/>
            <w:hideMark/>
          </w:tcPr>
          <w:p w14:paraId="723CC4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03853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Intake of dietary one-carbon metabolism-related b vitamins and the risk of esophageal cancer: A dose-response meta-analysis. </w:t>
            </w:r>
          </w:p>
        </w:tc>
        <w:tc>
          <w:tcPr>
            <w:tcW w:w="1417" w:type="dxa"/>
          </w:tcPr>
          <w:p w14:paraId="2BF1AA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711811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10(7)</w:t>
            </w:r>
          </w:p>
        </w:tc>
        <w:tc>
          <w:tcPr>
            <w:tcW w:w="851" w:type="dxa"/>
          </w:tcPr>
          <w:p w14:paraId="436AC5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835</w:t>
            </w:r>
          </w:p>
        </w:tc>
        <w:tc>
          <w:tcPr>
            <w:tcW w:w="1559" w:type="dxa"/>
          </w:tcPr>
          <w:p w14:paraId="723A07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74160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224CC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956B268" w14:textId="77777777" w:rsidTr="00924B3D">
        <w:trPr>
          <w:trHeight w:val="300"/>
        </w:trPr>
        <w:tc>
          <w:tcPr>
            <w:tcW w:w="1009" w:type="dxa"/>
            <w:shd w:val="clear" w:color="auto" w:fill="auto"/>
            <w:noWrap/>
            <w:hideMark/>
          </w:tcPr>
          <w:p w14:paraId="26EA39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2A839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Quinn JF, Raman R, Thomas RG, et al</w:t>
            </w:r>
          </w:p>
        </w:tc>
        <w:tc>
          <w:tcPr>
            <w:tcW w:w="709" w:type="dxa"/>
            <w:shd w:val="clear" w:color="auto" w:fill="auto"/>
            <w:noWrap/>
            <w:hideMark/>
          </w:tcPr>
          <w:p w14:paraId="0AA42F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57CEA2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Docosahexaenoic acid supplementation and cognitive decline in Alzheimer disease: a randomized trial</w:t>
            </w:r>
          </w:p>
        </w:tc>
        <w:tc>
          <w:tcPr>
            <w:tcW w:w="1417" w:type="dxa"/>
          </w:tcPr>
          <w:p w14:paraId="2D3794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JAMA</w:t>
            </w:r>
          </w:p>
        </w:tc>
        <w:tc>
          <w:tcPr>
            <w:tcW w:w="709" w:type="dxa"/>
          </w:tcPr>
          <w:p w14:paraId="484521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304(17)</w:t>
            </w:r>
          </w:p>
        </w:tc>
        <w:tc>
          <w:tcPr>
            <w:tcW w:w="851" w:type="dxa"/>
          </w:tcPr>
          <w:p w14:paraId="1F114C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1903-11</w:t>
            </w:r>
          </w:p>
        </w:tc>
        <w:tc>
          <w:tcPr>
            <w:tcW w:w="1559" w:type="dxa"/>
          </w:tcPr>
          <w:p w14:paraId="75B0E2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DFAC3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27C8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BE5F049" w14:textId="77777777" w:rsidTr="00924B3D">
        <w:trPr>
          <w:trHeight w:val="300"/>
        </w:trPr>
        <w:tc>
          <w:tcPr>
            <w:tcW w:w="1009" w:type="dxa"/>
            <w:shd w:val="clear" w:color="auto" w:fill="auto"/>
            <w:noWrap/>
            <w:hideMark/>
          </w:tcPr>
          <w:p w14:paraId="3E071C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1DBF5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Raghavendra R, Nagarathna R, Nagendra H, et al.</w:t>
            </w:r>
          </w:p>
        </w:tc>
        <w:tc>
          <w:tcPr>
            <w:tcW w:w="709" w:type="dxa"/>
            <w:shd w:val="clear" w:color="auto" w:fill="auto"/>
            <w:noWrap/>
            <w:hideMark/>
          </w:tcPr>
          <w:p w14:paraId="5E66C5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27B5DB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an integrated yoga programme on chemotherapy</w:t>
            </w:r>
            <w:r w:rsidRPr="00D518FF">
              <w:rPr>
                <w:rFonts w:ascii="Cambria Math" w:hAnsi="Cambria Math" w:cs="Cambria Math"/>
                <w:color w:val="000000"/>
                <w:sz w:val="16"/>
                <w:szCs w:val="16"/>
              </w:rPr>
              <w:t>‐</w:t>
            </w:r>
            <w:r w:rsidRPr="00D518FF">
              <w:rPr>
                <w:rFonts w:ascii="Aptos" w:hAnsi="Aptos" w:cs="Calibri"/>
                <w:color w:val="000000"/>
                <w:sz w:val="16"/>
                <w:szCs w:val="16"/>
              </w:rPr>
              <w:t>induced nausea and emesis in breast cancer patients</w:t>
            </w:r>
          </w:p>
        </w:tc>
        <w:tc>
          <w:tcPr>
            <w:tcW w:w="1417" w:type="dxa"/>
          </w:tcPr>
          <w:p w14:paraId="06AF2A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European Journal of Cancer Care</w:t>
            </w:r>
          </w:p>
        </w:tc>
        <w:tc>
          <w:tcPr>
            <w:tcW w:w="709" w:type="dxa"/>
          </w:tcPr>
          <w:p w14:paraId="08FF5F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16(6)</w:t>
            </w:r>
          </w:p>
        </w:tc>
        <w:tc>
          <w:tcPr>
            <w:tcW w:w="851" w:type="dxa"/>
          </w:tcPr>
          <w:p w14:paraId="48053E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462-74</w:t>
            </w:r>
          </w:p>
        </w:tc>
        <w:tc>
          <w:tcPr>
            <w:tcW w:w="1559" w:type="dxa"/>
          </w:tcPr>
          <w:p w14:paraId="0C4103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53125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98199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F9B0331" w14:textId="77777777" w:rsidTr="00924B3D">
        <w:trPr>
          <w:trHeight w:val="300"/>
        </w:trPr>
        <w:tc>
          <w:tcPr>
            <w:tcW w:w="1009" w:type="dxa"/>
            <w:shd w:val="clear" w:color="auto" w:fill="auto"/>
            <w:noWrap/>
            <w:hideMark/>
          </w:tcPr>
          <w:p w14:paraId="7F3FF6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3DC13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Raghavendra RM, Vadiraja H, Nagarathna R, et al</w:t>
            </w:r>
          </w:p>
        </w:tc>
        <w:tc>
          <w:tcPr>
            <w:tcW w:w="709" w:type="dxa"/>
            <w:shd w:val="clear" w:color="auto" w:fill="auto"/>
            <w:noWrap/>
            <w:hideMark/>
          </w:tcPr>
          <w:p w14:paraId="3CF61E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490F44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 yoga program on cortisol rhythm and mood states in early breast cancer patients undergoing adjuvant radiotherapy: a randomized controlled trial</w:t>
            </w:r>
          </w:p>
        </w:tc>
        <w:tc>
          <w:tcPr>
            <w:tcW w:w="1417" w:type="dxa"/>
          </w:tcPr>
          <w:p w14:paraId="69C48B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Integrative Cancer Therapies</w:t>
            </w:r>
          </w:p>
        </w:tc>
        <w:tc>
          <w:tcPr>
            <w:tcW w:w="709" w:type="dxa"/>
          </w:tcPr>
          <w:p w14:paraId="341AC2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8(1)</w:t>
            </w:r>
          </w:p>
        </w:tc>
        <w:tc>
          <w:tcPr>
            <w:tcW w:w="851" w:type="dxa"/>
          </w:tcPr>
          <w:p w14:paraId="019E4A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37-46</w:t>
            </w:r>
          </w:p>
        </w:tc>
        <w:tc>
          <w:tcPr>
            <w:tcW w:w="1559" w:type="dxa"/>
          </w:tcPr>
          <w:p w14:paraId="309990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E5A05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E8496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BBF5CF6" w14:textId="77777777" w:rsidTr="00924B3D">
        <w:trPr>
          <w:trHeight w:val="300"/>
        </w:trPr>
        <w:tc>
          <w:tcPr>
            <w:tcW w:w="1009" w:type="dxa"/>
            <w:shd w:val="clear" w:color="auto" w:fill="auto"/>
            <w:noWrap/>
            <w:hideMark/>
          </w:tcPr>
          <w:p w14:paraId="68D64B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001C38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Rajaei E, Mowla K, Ghorbani A, Bahadoram S, Bahadoram M, Dargahi-Malamir M.</w:t>
            </w:r>
          </w:p>
        </w:tc>
        <w:tc>
          <w:tcPr>
            <w:tcW w:w="709" w:type="dxa"/>
            <w:shd w:val="clear" w:color="auto" w:fill="auto"/>
            <w:noWrap/>
            <w:hideMark/>
          </w:tcPr>
          <w:p w14:paraId="55A796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194446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 of omega-3 fatty acids in patients with active rheumatoid arthritis receiving DMARDS therapy: double-blind randomized controlled trial. </w:t>
            </w:r>
          </w:p>
        </w:tc>
        <w:tc>
          <w:tcPr>
            <w:tcW w:w="1417" w:type="dxa"/>
          </w:tcPr>
          <w:p w14:paraId="6B533F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Glob J Health Sci</w:t>
            </w:r>
          </w:p>
        </w:tc>
        <w:tc>
          <w:tcPr>
            <w:tcW w:w="709" w:type="dxa"/>
          </w:tcPr>
          <w:p w14:paraId="73BCC4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8(7)</w:t>
            </w:r>
          </w:p>
        </w:tc>
        <w:tc>
          <w:tcPr>
            <w:tcW w:w="851" w:type="dxa"/>
          </w:tcPr>
          <w:p w14:paraId="2BB81C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18-25</w:t>
            </w:r>
          </w:p>
        </w:tc>
        <w:tc>
          <w:tcPr>
            <w:tcW w:w="1559" w:type="dxa"/>
          </w:tcPr>
          <w:p w14:paraId="513C68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10.5539/gjhs.v8n7p18</w:t>
            </w:r>
          </w:p>
        </w:tc>
        <w:tc>
          <w:tcPr>
            <w:tcW w:w="850" w:type="dxa"/>
            <w:shd w:val="clear" w:color="auto" w:fill="auto"/>
            <w:noWrap/>
            <w:hideMark/>
          </w:tcPr>
          <w:p w14:paraId="158A93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0482B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2C13FA3" w14:textId="77777777" w:rsidTr="00924B3D">
        <w:trPr>
          <w:trHeight w:val="300"/>
        </w:trPr>
        <w:tc>
          <w:tcPr>
            <w:tcW w:w="1009" w:type="dxa"/>
            <w:shd w:val="clear" w:color="auto" w:fill="auto"/>
            <w:noWrap/>
            <w:hideMark/>
          </w:tcPr>
          <w:p w14:paraId="275E4B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78402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Rao AV, Bested AC, Beaulne TM, et al.</w:t>
            </w:r>
          </w:p>
        </w:tc>
        <w:tc>
          <w:tcPr>
            <w:tcW w:w="709" w:type="dxa"/>
            <w:shd w:val="clear" w:color="auto" w:fill="auto"/>
            <w:noWrap/>
            <w:hideMark/>
          </w:tcPr>
          <w:p w14:paraId="4E6CA2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38AAB5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randomized, double-blind, placebo-controlled pilot study of a probiotic in emotional symptoms of chronic fatigue syndrome</w:t>
            </w:r>
          </w:p>
        </w:tc>
        <w:tc>
          <w:tcPr>
            <w:tcW w:w="1417" w:type="dxa"/>
          </w:tcPr>
          <w:p w14:paraId="080673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Gut Pathogens</w:t>
            </w:r>
          </w:p>
        </w:tc>
        <w:tc>
          <w:tcPr>
            <w:tcW w:w="709" w:type="dxa"/>
          </w:tcPr>
          <w:p w14:paraId="7A8E72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w:t>
            </w:r>
          </w:p>
        </w:tc>
        <w:tc>
          <w:tcPr>
            <w:tcW w:w="851" w:type="dxa"/>
          </w:tcPr>
          <w:p w14:paraId="45DCCC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1-Jun</w:t>
            </w:r>
          </w:p>
        </w:tc>
        <w:tc>
          <w:tcPr>
            <w:tcW w:w="1559" w:type="dxa"/>
          </w:tcPr>
          <w:p w14:paraId="429CB2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06CEE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DF8F4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7E449C8" w14:textId="77777777" w:rsidTr="00924B3D">
        <w:trPr>
          <w:trHeight w:val="300"/>
        </w:trPr>
        <w:tc>
          <w:tcPr>
            <w:tcW w:w="1009" w:type="dxa"/>
            <w:shd w:val="clear" w:color="auto" w:fill="auto"/>
            <w:noWrap/>
            <w:hideMark/>
          </w:tcPr>
          <w:p w14:paraId="1AB307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14267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Rao MR, Raghuram N, Nagendra H, et al</w:t>
            </w:r>
          </w:p>
        </w:tc>
        <w:tc>
          <w:tcPr>
            <w:tcW w:w="709" w:type="dxa"/>
            <w:shd w:val="clear" w:color="auto" w:fill="auto"/>
            <w:noWrap/>
            <w:hideMark/>
          </w:tcPr>
          <w:p w14:paraId="4B9249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462321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Anxiolytic effects of a yoga program in early breast cancer patients undergoing conventional treatment: a randomized controlled trial</w:t>
            </w:r>
          </w:p>
        </w:tc>
        <w:tc>
          <w:tcPr>
            <w:tcW w:w="1417" w:type="dxa"/>
          </w:tcPr>
          <w:p w14:paraId="4CC5A5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5578FE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w:t>
            </w:r>
          </w:p>
        </w:tc>
        <w:tc>
          <w:tcPr>
            <w:tcW w:w="851" w:type="dxa"/>
          </w:tcPr>
          <w:p w14:paraId="1DCD3D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1-Aug</w:t>
            </w:r>
          </w:p>
        </w:tc>
        <w:tc>
          <w:tcPr>
            <w:tcW w:w="1559" w:type="dxa"/>
          </w:tcPr>
          <w:p w14:paraId="65B0ED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F98B3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027F4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9E8958F" w14:textId="77777777" w:rsidTr="00924B3D">
        <w:trPr>
          <w:trHeight w:val="300"/>
        </w:trPr>
        <w:tc>
          <w:tcPr>
            <w:tcW w:w="1009" w:type="dxa"/>
            <w:shd w:val="clear" w:color="auto" w:fill="auto"/>
            <w:noWrap/>
            <w:hideMark/>
          </w:tcPr>
          <w:p w14:paraId="5BEF38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35F09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Rao RM, Raghuram N, Nagendra H, et al</w:t>
            </w:r>
          </w:p>
        </w:tc>
        <w:tc>
          <w:tcPr>
            <w:tcW w:w="709" w:type="dxa"/>
            <w:shd w:val="clear" w:color="auto" w:fill="auto"/>
            <w:noWrap/>
            <w:hideMark/>
          </w:tcPr>
          <w:p w14:paraId="700E01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45D65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an integrated yoga program on self-reported depression scores in breast cancer patients undergoing conventional treatment: a randomized controlled trial</w:t>
            </w:r>
          </w:p>
        </w:tc>
        <w:tc>
          <w:tcPr>
            <w:tcW w:w="1417" w:type="dxa"/>
          </w:tcPr>
          <w:p w14:paraId="6E1511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Palliative Care</w:t>
            </w:r>
          </w:p>
        </w:tc>
        <w:tc>
          <w:tcPr>
            <w:tcW w:w="709" w:type="dxa"/>
          </w:tcPr>
          <w:p w14:paraId="3958AE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21(2)</w:t>
            </w:r>
          </w:p>
        </w:tc>
        <w:tc>
          <w:tcPr>
            <w:tcW w:w="851" w:type="dxa"/>
          </w:tcPr>
          <w:p w14:paraId="1A3AAE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174</w:t>
            </w:r>
          </w:p>
        </w:tc>
        <w:tc>
          <w:tcPr>
            <w:tcW w:w="1559" w:type="dxa"/>
          </w:tcPr>
          <w:p w14:paraId="58343C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706DB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D2971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8CA4515" w14:textId="77777777" w:rsidTr="00924B3D">
        <w:trPr>
          <w:trHeight w:val="300"/>
        </w:trPr>
        <w:tc>
          <w:tcPr>
            <w:tcW w:w="1009" w:type="dxa"/>
            <w:shd w:val="clear" w:color="auto" w:fill="auto"/>
            <w:noWrap/>
            <w:hideMark/>
          </w:tcPr>
          <w:p w14:paraId="3ABE55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2D8A0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Rao RM, Raghuram N, Nagendra HR, et al.</w:t>
            </w:r>
          </w:p>
        </w:tc>
        <w:tc>
          <w:tcPr>
            <w:tcW w:w="709" w:type="dxa"/>
            <w:shd w:val="clear" w:color="auto" w:fill="auto"/>
            <w:noWrap/>
            <w:hideMark/>
          </w:tcPr>
          <w:p w14:paraId="3B9E00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77352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a yoga program on mood states, quality of life, and toxicity in breast cancer patients receiving conventional treatment: a randomized controlled trial</w:t>
            </w:r>
          </w:p>
        </w:tc>
        <w:tc>
          <w:tcPr>
            <w:tcW w:w="1417" w:type="dxa"/>
          </w:tcPr>
          <w:p w14:paraId="5E358E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Palliative Care</w:t>
            </w:r>
          </w:p>
        </w:tc>
        <w:tc>
          <w:tcPr>
            <w:tcW w:w="709" w:type="dxa"/>
          </w:tcPr>
          <w:p w14:paraId="47A119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23(3)</w:t>
            </w:r>
          </w:p>
        </w:tc>
        <w:tc>
          <w:tcPr>
            <w:tcW w:w="851" w:type="dxa"/>
          </w:tcPr>
          <w:p w14:paraId="0A597B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247</w:t>
            </w:r>
          </w:p>
        </w:tc>
        <w:tc>
          <w:tcPr>
            <w:tcW w:w="1559" w:type="dxa"/>
          </w:tcPr>
          <w:p w14:paraId="25E9CF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5B8D2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E65F7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8056A8A" w14:textId="77777777" w:rsidTr="00924B3D">
        <w:trPr>
          <w:trHeight w:val="300"/>
        </w:trPr>
        <w:tc>
          <w:tcPr>
            <w:tcW w:w="1009" w:type="dxa"/>
            <w:shd w:val="clear" w:color="auto" w:fill="auto"/>
            <w:noWrap/>
            <w:hideMark/>
          </w:tcPr>
          <w:p w14:paraId="62C92E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B12E9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Rao RM, Vadiraja H, Nagaratna R, et al.</w:t>
            </w:r>
          </w:p>
        </w:tc>
        <w:tc>
          <w:tcPr>
            <w:tcW w:w="709" w:type="dxa"/>
            <w:shd w:val="clear" w:color="auto" w:fill="auto"/>
            <w:noWrap/>
            <w:hideMark/>
          </w:tcPr>
          <w:p w14:paraId="7F822E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04EDF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yoga on sleep quality and neuroendocrine immune response in metastatic breast cancer patients</w:t>
            </w:r>
          </w:p>
        </w:tc>
        <w:tc>
          <w:tcPr>
            <w:tcW w:w="1417" w:type="dxa"/>
          </w:tcPr>
          <w:p w14:paraId="2CEEE9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Palliative Care</w:t>
            </w:r>
          </w:p>
        </w:tc>
        <w:tc>
          <w:tcPr>
            <w:tcW w:w="709" w:type="dxa"/>
          </w:tcPr>
          <w:p w14:paraId="6489EA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23(3)</w:t>
            </w:r>
          </w:p>
        </w:tc>
        <w:tc>
          <w:tcPr>
            <w:tcW w:w="851" w:type="dxa"/>
          </w:tcPr>
          <w:p w14:paraId="19EE62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253</w:t>
            </w:r>
          </w:p>
        </w:tc>
        <w:tc>
          <w:tcPr>
            <w:tcW w:w="1559" w:type="dxa"/>
          </w:tcPr>
          <w:p w14:paraId="694074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8B606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A194F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7328DDF" w14:textId="77777777" w:rsidTr="00924B3D">
        <w:trPr>
          <w:trHeight w:val="300"/>
        </w:trPr>
        <w:tc>
          <w:tcPr>
            <w:tcW w:w="1009" w:type="dxa"/>
            <w:shd w:val="clear" w:color="auto" w:fill="auto"/>
            <w:noWrap/>
            <w:hideMark/>
          </w:tcPr>
          <w:p w14:paraId="72D4F0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E2972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Ratnakumari ME, Manavalan N, Sathyanath D, et al</w:t>
            </w:r>
          </w:p>
        </w:tc>
        <w:tc>
          <w:tcPr>
            <w:tcW w:w="709" w:type="dxa"/>
            <w:shd w:val="clear" w:color="auto" w:fill="auto"/>
            <w:noWrap/>
            <w:hideMark/>
          </w:tcPr>
          <w:p w14:paraId="4718A5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781E1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Study to evaluate the changes in polycystic ovarian morphology after naturopathic and yogic interventions</w:t>
            </w:r>
          </w:p>
        </w:tc>
        <w:tc>
          <w:tcPr>
            <w:tcW w:w="1417" w:type="dxa"/>
          </w:tcPr>
          <w:p w14:paraId="6CB417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Yoga</w:t>
            </w:r>
          </w:p>
        </w:tc>
        <w:tc>
          <w:tcPr>
            <w:tcW w:w="709" w:type="dxa"/>
          </w:tcPr>
          <w:p w14:paraId="53E838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11(2)</w:t>
            </w:r>
          </w:p>
        </w:tc>
        <w:tc>
          <w:tcPr>
            <w:tcW w:w="851" w:type="dxa"/>
          </w:tcPr>
          <w:p w14:paraId="0EDE05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139-47</w:t>
            </w:r>
          </w:p>
        </w:tc>
        <w:tc>
          <w:tcPr>
            <w:tcW w:w="1559" w:type="dxa"/>
          </w:tcPr>
          <w:p w14:paraId="768486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531D8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45335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4D57BFA" w14:textId="77777777" w:rsidTr="00924B3D">
        <w:trPr>
          <w:trHeight w:val="300"/>
        </w:trPr>
        <w:tc>
          <w:tcPr>
            <w:tcW w:w="1009" w:type="dxa"/>
            <w:shd w:val="clear" w:color="auto" w:fill="auto"/>
            <w:noWrap/>
            <w:hideMark/>
          </w:tcPr>
          <w:p w14:paraId="297965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12F10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Reid, R, Steel, A, Wardle, J. Adams, J</w:t>
            </w:r>
          </w:p>
        </w:tc>
        <w:tc>
          <w:tcPr>
            <w:tcW w:w="709" w:type="dxa"/>
            <w:shd w:val="clear" w:color="auto" w:fill="auto"/>
            <w:noWrap/>
            <w:hideMark/>
          </w:tcPr>
          <w:p w14:paraId="7590A2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48C63E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Medicine for the Management of Endometriosis, Dysmenorrhea, and Menorrhagia: A Content Analysis</w:t>
            </w:r>
          </w:p>
        </w:tc>
        <w:tc>
          <w:tcPr>
            <w:tcW w:w="1417" w:type="dxa"/>
          </w:tcPr>
          <w:p w14:paraId="7852D2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1C67D6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569D40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202–226</w:t>
            </w:r>
          </w:p>
        </w:tc>
        <w:tc>
          <w:tcPr>
            <w:tcW w:w="1559" w:type="dxa"/>
          </w:tcPr>
          <w:p w14:paraId="69ADF7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10.1089/acm.2018.0305</w:t>
            </w:r>
          </w:p>
        </w:tc>
        <w:tc>
          <w:tcPr>
            <w:tcW w:w="850" w:type="dxa"/>
            <w:shd w:val="clear" w:color="auto" w:fill="auto"/>
            <w:noWrap/>
            <w:hideMark/>
          </w:tcPr>
          <w:p w14:paraId="51F340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C02DC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34B5031" w14:textId="77777777" w:rsidTr="00924B3D">
        <w:trPr>
          <w:trHeight w:val="300"/>
        </w:trPr>
        <w:tc>
          <w:tcPr>
            <w:tcW w:w="1009" w:type="dxa"/>
            <w:shd w:val="clear" w:color="auto" w:fill="auto"/>
            <w:noWrap/>
            <w:hideMark/>
          </w:tcPr>
          <w:p w14:paraId="5D01E7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D21F1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Reid, R, Steel, A, Wardle, J. Adams, J</w:t>
            </w:r>
          </w:p>
        </w:tc>
        <w:tc>
          <w:tcPr>
            <w:tcW w:w="709" w:type="dxa"/>
            <w:shd w:val="clear" w:color="auto" w:fill="auto"/>
            <w:noWrap/>
            <w:hideMark/>
          </w:tcPr>
          <w:p w14:paraId="0A38B0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3BDA0104" w14:textId="77777777" w:rsidR="008F3151" w:rsidRPr="00D518FF" w:rsidRDefault="008F3151" w:rsidP="00924B3D">
            <w:pPr>
              <w:rPr>
                <w:rFonts w:ascii="Aptos" w:hAnsi="Aptos" w:cs="Calibri"/>
                <w:sz w:val="16"/>
                <w:szCs w:val="16"/>
              </w:rPr>
            </w:pPr>
            <w:r w:rsidRPr="00D518FF">
              <w:rPr>
                <w:rFonts w:ascii="Aptos" w:hAnsi="Aptos" w:cs="Calibri"/>
                <w:sz w:val="16"/>
                <w:szCs w:val="16"/>
              </w:rPr>
              <w:t>Naturopathic Medicine for the Management of Endometriosis, Dysmenorrhea, and Menorrhagia: A Content Analysis</w:t>
            </w:r>
          </w:p>
        </w:tc>
        <w:tc>
          <w:tcPr>
            <w:tcW w:w="1417" w:type="dxa"/>
          </w:tcPr>
          <w:p w14:paraId="3565D0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1E001E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059B1E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202–226</w:t>
            </w:r>
          </w:p>
        </w:tc>
        <w:tc>
          <w:tcPr>
            <w:tcW w:w="1559" w:type="dxa"/>
          </w:tcPr>
          <w:p w14:paraId="2AE725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10.1089/acm.2018.0305</w:t>
            </w:r>
          </w:p>
        </w:tc>
        <w:tc>
          <w:tcPr>
            <w:tcW w:w="850" w:type="dxa"/>
            <w:shd w:val="clear" w:color="auto" w:fill="auto"/>
            <w:noWrap/>
            <w:hideMark/>
          </w:tcPr>
          <w:p w14:paraId="00A4E6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127EA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89DF095" w14:textId="77777777" w:rsidTr="00924B3D">
        <w:trPr>
          <w:trHeight w:val="300"/>
        </w:trPr>
        <w:tc>
          <w:tcPr>
            <w:tcW w:w="1009" w:type="dxa"/>
            <w:shd w:val="clear" w:color="auto" w:fill="auto"/>
            <w:noWrap/>
            <w:hideMark/>
          </w:tcPr>
          <w:p w14:paraId="7B5027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D106F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Richardson J, Lee H, Koch P, et al</w:t>
            </w:r>
          </w:p>
        </w:tc>
        <w:tc>
          <w:tcPr>
            <w:tcW w:w="709" w:type="dxa"/>
            <w:shd w:val="clear" w:color="auto" w:fill="auto"/>
            <w:noWrap/>
            <w:hideMark/>
          </w:tcPr>
          <w:p w14:paraId="0A7F23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4A8395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Mediators of dietary change among hispanic breast cancer survivors in a culturally-based dietary intervention</w:t>
            </w:r>
          </w:p>
        </w:tc>
        <w:tc>
          <w:tcPr>
            <w:tcW w:w="1417" w:type="dxa"/>
          </w:tcPr>
          <w:p w14:paraId="351732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Nutrition Education and Behavior</w:t>
            </w:r>
          </w:p>
        </w:tc>
        <w:tc>
          <w:tcPr>
            <w:tcW w:w="709" w:type="dxa"/>
          </w:tcPr>
          <w:p w14:paraId="55EF3A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45(4)</w:t>
            </w:r>
          </w:p>
        </w:tc>
        <w:tc>
          <w:tcPr>
            <w:tcW w:w="851" w:type="dxa"/>
          </w:tcPr>
          <w:p w14:paraId="55AA19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S64</w:t>
            </w:r>
          </w:p>
        </w:tc>
        <w:tc>
          <w:tcPr>
            <w:tcW w:w="1559" w:type="dxa"/>
          </w:tcPr>
          <w:p w14:paraId="799FF3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85306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41D71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53B81C2" w14:textId="77777777" w:rsidTr="00924B3D">
        <w:trPr>
          <w:trHeight w:val="300"/>
        </w:trPr>
        <w:tc>
          <w:tcPr>
            <w:tcW w:w="1009" w:type="dxa"/>
            <w:shd w:val="clear" w:color="auto" w:fill="auto"/>
            <w:noWrap/>
            <w:hideMark/>
          </w:tcPr>
          <w:p w14:paraId="4E2340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971F7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Ritenbaugh C, Hammerschlag R, Calabrese C, et al.</w:t>
            </w:r>
          </w:p>
        </w:tc>
        <w:tc>
          <w:tcPr>
            <w:tcW w:w="709" w:type="dxa"/>
            <w:shd w:val="clear" w:color="auto" w:fill="auto"/>
            <w:noWrap/>
            <w:hideMark/>
          </w:tcPr>
          <w:p w14:paraId="642F47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04D501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pilot whole systems clinical trial of traditional Chinese medicine and naturopathic medicine for the treatment of temporomandibular disorders</w:t>
            </w:r>
          </w:p>
        </w:tc>
        <w:tc>
          <w:tcPr>
            <w:tcW w:w="1417" w:type="dxa"/>
          </w:tcPr>
          <w:p w14:paraId="7AB905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2715A0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w:t>
            </w:r>
          </w:p>
        </w:tc>
        <w:tc>
          <w:tcPr>
            <w:tcW w:w="851" w:type="dxa"/>
          </w:tcPr>
          <w:p w14:paraId="03B279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475-87</w:t>
            </w:r>
          </w:p>
        </w:tc>
        <w:tc>
          <w:tcPr>
            <w:tcW w:w="1559" w:type="dxa"/>
          </w:tcPr>
          <w:p w14:paraId="70DB60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B1710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EDDFC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C72C6EE" w14:textId="77777777" w:rsidTr="00924B3D">
        <w:trPr>
          <w:trHeight w:val="300"/>
        </w:trPr>
        <w:tc>
          <w:tcPr>
            <w:tcW w:w="1009" w:type="dxa"/>
            <w:shd w:val="clear" w:color="auto" w:fill="auto"/>
            <w:noWrap/>
            <w:hideMark/>
          </w:tcPr>
          <w:p w14:paraId="26EDBB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94011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Ritenbaugh, C,  et al</w:t>
            </w:r>
          </w:p>
        </w:tc>
        <w:tc>
          <w:tcPr>
            <w:tcW w:w="709" w:type="dxa"/>
            <w:shd w:val="clear" w:color="auto" w:fill="auto"/>
            <w:noWrap/>
            <w:hideMark/>
          </w:tcPr>
          <w:p w14:paraId="79FB4E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3902CC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Pilot Whole Systems Clinical Trial of Traditional Chinese Medicine and Naturopathic Medicine for the Treatment of Temporomandibular Disorders</w:t>
            </w:r>
          </w:p>
        </w:tc>
        <w:tc>
          <w:tcPr>
            <w:tcW w:w="1417" w:type="dxa"/>
          </w:tcPr>
          <w:p w14:paraId="3B7A74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Alternative and Complementary Medicine</w:t>
            </w:r>
          </w:p>
        </w:tc>
        <w:tc>
          <w:tcPr>
            <w:tcW w:w="709" w:type="dxa"/>
          </w:tcPr>
          <w:p w14:paraId="63E4BA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 (5)</w:t>
            </w:r>
          </w:p>
        </w:tc>
        <w:tc>
          <w:tcPr>
            <w:tcW w:w="851" w:type="dxa"/>
          </w:tcPr>
          <w:p w14:paraId="58C864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475-87</w:t>
            </w:r>
          </w:p>
        </w:tc>
        <w:tc>
          <w:tcPr>
            <w:tcW w:w="1559" w:type="dxa"/>
          </w:tcPr>
          <w:p w14:paraId="1ACD66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https://doi.org/10.1089/acm.2007.0738</w:t>
            </w:r>
          </w:p>
        </w:tc>
        <w:tc>
          <w:tcPr>
            <w:tcW w:w="850" w:type="dxa"/>
            <w:shd w:val="clear" w:color="auto" w:fill="auto"/>
            <w:noWrap/>
            <w:hideMark/>
          </w:tcPr>
          <w:p w14:paraId="54D68D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601C1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1E1DB1C" w14:textId="77777777" w:rsidTr="00924B3D">
        <w:trPr>
          <w:trHeight w:val="300"/>
        </w:trPr>
        <w:tc>
          <w:tcPr>
            <w:tcW w:w="1009" w:type="dxa"/>
            <w:shd w:val="clear" w:color="auto" w:fill="auto"/>
            <w:noWrap/>
            <w:hideMark/>
          </w:tcPr>
          <w:p w14:paraId="6A466C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2AC42F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Roffman JL, Petruzzi LJ, Tanner AS, Brown HE, Eryilmaz H, Ho NF, et al.</w:t>
            </w:r>
          </w:p>
        </w:tc>
        <w:tc>
          <w:tcPr>
            <w:tcW w:w="709" w:type="dxa"/>
            <w:shd w:val="clear" w:color="auto" w:fill="auto"/>
            <w:noWrap/>
            <w:hideMark/>
          </w:tcPr>
          <w:p w14:paraId="43591E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4CF51F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Biochemical, physiological and clinical effects of L-methylfolate in schizophrenia: a randomized controlled trial.</w:t>
            </w:r>
          </w:p>
        </w:tc>
        <w:tc>
          <w:tcPr>
            <w:tcW w:w="1417" w:type="dxa"/>
          </w:tcPr>
          <w:p w14:paraId="72D581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Mol Psychiatry</w:t>
            </w:r>
          </w:p>
        </w:tc>
        <w:tc>
          <w:tcPr>
            <w:tcW w:w="709" w:type="dxa"/>
          </w:tcPr>
          <w:p w14:paraId="03E4B8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 (2)</w:t>
            </w:r>
          </w:p>
        </w:tc>
        <w:tc>
          <w:tcPr>
            <w:tcW w:w="851" w:type="dxa"/>
          </w:tcPr>
          <w:p w14:paraId="787F76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316-322</w:t>
            </w:r>
          </w:p>
        </w:tc>
        <w:tc>
          <w:tcPr>
            <w:tcW w:w="1559" w:type="dxa"/>
          </w:tcPr>
          <w:p w14:paraId="4CE887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10.1038/mp.2017.41</w:t>
            </w:r>
          </w:p>
        </w:tc>
        <w:tc>
          <w:tcPr>
            <w:tcW w:w="850" w:type="dxa"/>
            <w:shd w:val="clear" w:color="auto" w:fill="auto"/>
            <w:noWrap/>
            <w:hideMark/>
          </w:tcPr>
          <w:p w14:paraId="0F9DB6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05E04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9100245" w14:textId="77777777" w:rsidTr="00924B3D">
        <w:trPr>
          <w:trHeight w:val="300"/>
        </w:trPr>
        <w:tc>
          <w:tcPr>
            <w:tcW w:w="1009" w:type="dxa"/>
            <w:shd w:val="clear" w:color="auto" w:fill="auto"/>
            <w:noWrap/>
            <w:hideMark/>
          </w:tcPr>
          <w:p w14:paraId="709F8F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46406C6" w14:textId="77777777" w:rsidR="008F3151" w:rsidRPr="00D518FF" w:rsidRDefault="008F3151" w:rsidP="00924B3D">
            <w:pPr>
              <w:rPr>
                <w:rFonts w:ascii="Aptos" w:hAnsi="Aptos" w:cs="Calibri"/>
                <w:color w:val="212121"/>
                <w:sz w:val="16"/>
                <w:szCs w:val="16"/>
              </w:rPr>
            </w:pPr>
            <w:r w:rsidRPr="00D518FF">
              <w:rPr>
                <w:rFonts w:ascii="Aptos" w:hAnsi="Aptos" w:cs="Calibri"/>
                <w:color w:val="212121"/>
                <w:sz w:val="16"/>
                <w:szCs w:val="16"/>
              </w:rPr>
              <w:t>Romeyke T, Nöhammer E, Scheuer HC, Stummer H</w:t>
            </w:r>
          </w:p>
        </w:tc>
        <w:tc>
          <w:tcPr>
            <w:tcW w:w="709" w:type="dxa"/>
            <w:shd w:val="clear" w:color="auto" w:fill="auto"/>
            <w:noWrap/>
            <w:hideMark/>
          </w:tcPr>
          <w:p w14:paraId="7C64AB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D0F6C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Integration of naturopathic medicine into acute inpatient care: An approach for patient-centred medicine under diagnosis-related groups</w:t>
            </w:r>
          </w:p>
        </w:tc>
        <w:tc>
          <w:tcPr>
            <w:tcW w:w="1417" w:type="dxa"/>
          </w:tcPr>
          <w:p w14:paraId="13CACF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 Ther Clin Pract</w:t>
            </w:r>
          </w:p>
        </w:tc>
        <w:tc>
          <w:tcPr>
            <w:tcW w:w="709" w:type="dxa"/>
          </w:tcPr>
          <w:p w14:paraId="66984F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w:t>
            </w:r>
          </w:p>
        </w:tc>
        <w:tc>
          <w:tcPr>
            <w:tcW w:w="851" w:type="dxa"/>
          </w:tcPr>
          <w:p w14:paraId="7C2DEF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42979</w:t>
            </w:r>
          </w:p>
        </w:tc>
        <w:tc>
          <w:tcPr>
            <w:tcW w:w="1559" w:type="dxa"/>
          </w:tcPr>
          <w:p w14:paraId="095C69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doi:10.1016/j.ctcp.2017.04.004</w:t>
            </w:r>
          </w:p>
        </w:tc>
        <w:tc>
          <w:tcPr>
            <w:tcW w:w="850" w:type="dxa"/>
            <w:shd w:val="clear" w:color="auto" w:fill="auto"/>
            <w:noWrap/>
            <w:hideMark/>
          </w:tcPr>
          <w:p w14:paraId="393F43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B1D95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F8F6A83" w14:textId="77777777" w:rsidTr="00924B3D">
        <w:trPr>
          <w:trHeight w:val="300"/>
        </w:trPr>
        <w:tc>
          <w:tcPr>
            <w:tcW w:w="1009" w:type="dxa"/>
            <w:shd w:val="clear" w:color="auto" w:fill="auto"/>
            <w:noWrap/>
            <w:hideMark/>
          </w:tcPr>
          <w:p w14:paraId="0633F8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2CFE0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Ross C, Herman PM, Rocklin O, et al</w:t>
            </w:r>
          </w:p>
        </w:tc>
        <w:tc>
          <w:tcPr>
            <w:tcW w:w="709" w:type="dxa"/>
            <w:shd w:val="clear" w:color="auto" w:fill="auto"/>
            <w:noWrap/>
            <w:hideMark/>
          </w:tcPr>
          <w:p w14:paraId="4BE623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56E2C6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Evaluation of integrative medicine supplements for mitigation of chronic insomnia and constipation in an inpatient eating disorders setting</w:t>
            </w:r>
          </w:p>
        </w:tc>
        <w:tc>
          <w:tcPr>
            <w:tcW w:w="1417" w:type="dxa"/>
          </w:tcPr>
          <w:p w14:paraId="54F2B3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Explore: The Journal of Science and Healing</w:t>
            </w:r>
          </w:p>
        </w:tc>
        <w:tc>
          <w:tcPr>
            <w:tcW w:w="709" w:type="dxa"/>
          </w:tcPr>
          <w:p w14:paraId="7DEC1B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w:t>
            </w:r>
          </w:p>
        </w:tc>
        <w:tc>
          <w:tcPr>
            <w:tcW w:w="851" w:type="dxa"/>
          </w:tcPr>
          <w:p w14:paraId="65F554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315-20</w:t>
            </w:r>
          </w:p>
        </w:tc>
        <w:tc>
          <w:tcPr>
            <w:tcW w:w="1559" w:type="dxa"/>
          </w:tcPr>
          <w:p w14:paraId="0FC54D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F4179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DDE2D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04575EC" w14:textId="77777777" w:rsidTr="00924B3D">
        <w:trPr>
          <w:trHeight w:val="300"/>
        </w:trPr>
        <w:tc>
          <w:tcPr>
            <w:tcW w:w="1009" w:type="dxa"/>
            <w:shd w:val="clear" w:color="auto" w:fill="auto"/>
            <w:noWrap/>
            <w:hideMark/>
          </w:tcPr>
          <w:p w14:paraId="7BF5EC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46D54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Ryan JJ, Hanes DA, Corroon J, et al</w:t>
            </w:r>
          </w:p>
        </w:tc>
        <w:tc>
          <w:tcPr>
            <w:tcW w:w="709" w:type="dxa"/>
            <w:shd w:val="clear" w:color="auto" w:fill="auto"/>
            <w:noWrap/>
            <w:hideMark/>
          </w:tcPr>
          <w:p w14:paraId="1154C7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C802F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Prospective safety evaluation of a cardiovascular health dietary supplement in adults with prehypertension and stage I hypertension</w:t>
            </w:r>
          </w:p>
        </w:tc>
        <w:tc>
          <w:tcPr>
            <w:tcW w:w="1417" w:type="dxa"/>
          </w:tcPr>
          <w:p w14:paraId="5CA91D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5EE45A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795E92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249-256</w:t>
            </w:r>
          </w:p>
        </w:tc>
        <w:tc>
          <w:tcPr>
            <w:tcW w:w="1559" w:type="dxa"/>
          </w:tcPr>
          <w:p w14:paraId="3C3122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41786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58026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D362295" w14:textId="77777777" w:rsidTr="00924B3D">
        <w:trPr>
          <w:trHeight w:val="300"/>
        </w:trPr>
        <w:tc>
          <w:tcPr>
            <w:tcW w:w="1009" w:type="dxa"/>
            <w:shd w:val="clear" w:color="auto" w:fill="auto"/>
            <w:noWrap/>
            <w:hideMark/>
          </w:tcPr>
          <w:p w14:paraId="73C9B5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C56159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Ryan, J, Hanes, D, Corroon, J, Taylor, J, Bradley, R</w:t>
            </w:r>
          </w:p>
        </w:tc>
        <w:tc>
          <w:tcPr>
            <w:tcW w:w="709" w:type="dxa"/>
            <w:shd w:val="clear" w:color="auto" w:fill="auto"/>
            <w:noWrap/>
            <w:hideMark/>
          </w:tcPr>
          <w:p w14:paraId="2D8785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430D97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Prospective Safety Evaluation of a Cardiovascular Health Dietary Supplement in Adults with Prehypertension and Stage I Hypertension</w:t>
            </w:r>
          </w:p>
        </w:tc>
        <w:tc>
          <w:tcPr>
            <w:tcW w:w="1417" w:type="dxa"/>
          </w:tcPr>
          <w:p w14:paraId="7B701B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16E2F39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1BA710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249–256</w:t>
            </w:r>
          </w:p>
        </w:tc>
        <w:tc>
          <w:tcPr>
            <w:tcW w:w="1559" w:type="dxa"/>
          </w:tcPr>
          <w:p w14:paraId="73334D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10.1089/acm.2018.0311</w:t>
            </w:r>
          </w:p>
        </w:tc>
        <w:tc>
          <w:tcPr>
            <w:tcW w:w="850" w:type="dxa"/>
            <w:shd w:val="clear" w:color="auto" w:fill="auto"/>
            <w:noWrap/>
            <w:hideMark/>
          </w:tcPr>
          <w:p w14:paraId="122036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8C874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EF2AC91" w14:textId="77777777" w:rsidTr="00924B3D">
        <w:trPr>
          <w:trHeight w:val="300"/>
        </w:trPr>
        <w:tc>
          <w:tcPr>
            <w:tcW w:w="1009" w:type="dxa"/>
            <w:shd w:val="clear" w:color="auto" w:fill="auto"/>
            <w:noWrap/>
            <w:hideMark/>
          </w:tcPr>
          <w:p w14:paraId="60D991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5BD75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Ryan, J, Hanes, D, Corroon, J, Taylor, J, Bradley, R</w:t>
            </w:r>
          </w:p>
        </w:tc>
        <w:tc>
          <w:tcPr>
            <w:tcW w:w="709" w:type="dxa"/>
            <w:shd w:val="clear" w:color="auto" w:fill="auto"/>
            <w:noWrap/>
            <w:hideMark/>
          </w:tcPr>
          <w:p w14:paraId="205900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167FE36" w14:textId="77777777" w:rsidR="008F3151" w:rsidRPr="00D518FF" w:rsidRDefault="008F3151" w:rsidP="00924B3D">
            <w:pPr>
              <w:rPr>
                <w:rFonts w:ascii="Aptos" w:hAnsi="Aptos" w:cs="Calibri"/>
                <w:sz w:val="16"/>
                <w:szCs w:val="16"/>
              </w:rPr>
            </w:pPr>
            <w:r w:rsidRPr="00D518FF">
              <w:rPr>
                <w:rFonts w:ascii="Aptos" w:hAnsi="Aptos" w:cs="Calibri"/>
                <w:sz w:val="16"/>
                <w:szCs w:val="16"/>
              </w:rPr>
              <w:t>Prospective Safety Evaluation of a Cardiovascular Health Dietary Supplement in Adults with Prehypertension and Stage I Hypertension</w:t>
            </w:r>
          </w:p>
        </w:tc>
        <w:tc>
          <w:tcPr>
            <w:tcW w:w="1417" w:type="dxa"/>
          </w:tcPr>
          <w:p w14:paraId="5D9024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7DE375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1A15E3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249–256</w:t>
            </w:r>
          </w:p>
        </w:tc>
        <w:tc>
          <w:tcPr>
            <w:tcW w:w="1559" w:type="dxa"/>
          </w:tcPr>
          <w:p w14:paraId="54D306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10.1089/acm.2018.0311</w:t>
            </w:r>
          </w:p>
        </w:tc>
        <w:tc>
          <w:tcPr>
            <w:tcW w:w="850" w:type="dxa"/>
            <w:shd w:val="clear" w:color="auto" w:fill="auto"/>
            <w:noWrap/>
            <w:hideMark/>
          </w:tcPr>
          <w:p w14:paraId="3EB3E4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654D1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AF7414C" w14:textId="77777777" w:rsidTr="00924B3D">
        <w:trPr>
          <w:trHeight w:val="300"/>
        </w:trPr>
        <w:tc>
          <w:tcPr>
            <w:tcW w:w="1009" w:type="dxa"/>
            <w:shd w:val="clear" w:color="auto" w:fill="auto"/>
            <w:noWrap/>
            <w:hideMark/>
          </w:tcPr>
          <w:p w14:paraId="4ED327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59D02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Sahebkar A, Reiner Ž, Simental-Mendía LE, Ferretti G, Cicero AFG.</w:t>
            </w:r>
          </w:p>
        </w:tc>
        <w:tc>
          <w:tcPr>
            <w:tcW w:w="709" w:type="dxa"/>
            <w:shd w:val="clear" w:color="auto" w:fill="auto"/>
            <w:noWrap/>
            <w:hideMark/>
          </w:tcPr>
          <w:p w14:paraId="43648B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03378C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 of extended-release niacin on plasma lipoprotein(a) levels: a systematic review and meta-analysis of randomized placebo-controlled trials. </w:t>
            </w:r>
          </w:p>
        </w:tc>
        <w:tc>
          <w:tcPr>
            <w:tcW w:w="1417" w:type="dxa"/>
          </w:tcPr>
          <w:p w14:paraId="050B55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Metabolism</w:t>
            </w:r>
          </w:p>
        </w:tc>
        <w:tc>
          <w:tcPr>
            <w:tcW w:w="709" w:type="dxa"/>
          </w:tcPr>
          <w:p w14:paraId="1ED728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65(11)</w:t>
            </w:r>
          </w:p>
        </w:tc>
        <w:tc>
          <w:tcPr>
            <w:tcW w:w="851" w:type="dxa"/>
          </w:tcPr>
          <w:p w14:paraId="3F3CAB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1664-1678</w:t>
            </w:r>
          </w:p>
        </w:tc>
        <w:tc>
          <w:tcPr>
            <w:tcW w:w="1559" w:type="dxa"/>
          </w:tcPr>
          <w:p w14:paraId="1588130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04EC0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84430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7ACCB55A" w14:textId="77777777" w:rsidTr="00924B3D">
        <w:trPr>
          <w:trHeight w:val="300"/>
        </w:trPr>
        <w:tc>
          <w:tcPr>
            <w:tcW w:w="1009" w:type="dxa"/>
            <w:shd w:val="clear" w:color="auto" w:fill="auto"/>
            <w:noWrap/>
            <w:hideMark/>
          </w:tcPr>
          <w:p w14:paraId="3A90DC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25E3C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Salazar L, Higgins D, Childs J, et al</w:t>
            </w:r>
          </w:p>
        </w:tc>
        <w:tc>
          <w:tcPr>
            <w:tcW w:w="709" w:type="dxa"/>
            <w:shd w:val="clear" w:color="auto" w:fill="auto"/>
            <w:noWrap/>
            <w:hideMark/>
          </w:tcPr>
          <w:p w14:paraId="543DE5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659BDC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Abstract P2-11-03: Phase I/II randomized study of combination immunotherapy with or without polysaccharide krestin (PSK) concurrently with a HER2 ICD peptide-based vaccine in patients with stage IV breast cancer receiving HER2-targeted monoclonal antibody therapy</w:t>
            </w:r>
          </w:p>
        </w:tc>
        <w:tc>
          <w:tcPr>
            <w:tcW w:w="1417" w:type="dxa"/>
          </w:tcPr>
          <w:p w14:paraId="276F1C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Research</w:t>
            </w:r>
          </w:p>
        </w:tc>
        <w:tc>
          <w:tcPr>
            <w:tcW w:w="709" w:type="dxa"/>
          </w:tcPr>
          <w:p w14:paraId="6CA2EB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76(4 Suppl)</w:t>
            </w:r>
          </w:p>
        </w:tc>
        <w:tc>
          <w:tcPr>
            <w:tcW w:w="851" w:type="dxa"/>
          </w:tcPr>
          <w:p w14:paraId="4126D1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P2-11-03</w:t>
            </w:r>
          </w:p>
        </w:tc>
        <w:tc>
          <w:tcPr>
            <w:tcW w:w="1559" w:type="dxa"/>
          </w:tcPr>
          <w:p w14:paraId="0933CC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32899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79FDC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9ECF200" w14:textId="77777777" w:rsidTr="00924B3D">
        <w:trPr>
          <w:trHeight w:val="300"/>
        </w:trPr>
        <w:tc>
          <w:tcPr>
            <w:tcW w:w="1009" w:type="dxa"/>
            <w:shd w:val="clear" w:color="auto" w:fill="auto"/>
            <w:noWrap/>
            <w:hideMark/>
          </w:tcPr>
          <w:p w14:paraId="1A5635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860C0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Salmond SJ, George J, Strasser SI, et al.</w:t>
            </w:r>
          </w:p>
        </w:tc>
        <w:tc>
          <w:tcPr>
            <w:tcW w:w="709" w:type="dxa"/>
            <w:shd w:val="clear" w:color="auto" w:fill="auto"/>
            <w:noWrap/>
            <w:hideMark/>
          </w:tcPr>
          <w:p w14:paraId="32B2FB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77755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Hep573 Study: A randomised, double-blind, placebo controlled trial of silymarin alone and combined with antioxidants to improve liver function and quality of life in people with chronic hepatitis C.</w:t>
            </w:r>
          </w:p>
        </w:tc>
        <w:tc>
          <w:tcPr>
            <w:tcW w:w="1417" w:type="dxa"/>
          </w:tcPr>
          <w:p w14:paraId="581784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 Journal of Herbal &amp; Naturopathic Medicine (AJHNM)</w:t>
            </w:r>
          </w:p>
        </w:tc>
        <w:tc>
          <w:tcPr>
            <w:tcW w:w="709" w:type="dxa"/>
          </w:tcPr>
          <w:p w14:paraId="19454E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 (2)</w:t>
            </w:r>
          </w:p>
        </w:tc>
        <w:tc>
          <w:tcPr>
            <w:tcW w:w="851" w:type="dxa"/>
          </w:tcPr>
          <w:p w14:paraId="12D6A6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64-76</w:t>
            </w:r>
          </w:p>
        </w:tc>
        <w:tc>
          <w:tcPr>
            <w:tcW w:w="1559" w:type="dxa"/>
          </w:tcPr>
          <w:p w14:paraId="4FB461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10.33235/ajhnm.31.2.64-76</w:t>
            </w:r>
          </w:p>
        </w:tc>
        <w:tc>
          <w:tcPr>
            <w:tcW w:w="850" w:type="dxa"/>
            <w:shd w:val="clear" w:color="auto" w:fill="auto"/>
            <w:noWrap/>
            <w:hideMark/>
          </w:tcPr>
          <w:p w14:paraId="561048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9B759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0B3E5A6" w14:textId="77777777" w:rsidTr="00924B3D">
        <w:trPr>
          <w:trHeight w:val="300"/>
        </w:trPr>
        <w:tc>
          <w:tcPr>
            <w:tcW w:w="1009" w:type="dxa"/>
            <w:shd w:val="clear" w:color="auto" w:fill="auto"/>
            <w:noWrap/>
            <w:hideMark/>
          </w:tcPr>
          <w:p w14:paraId="320CA4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A2196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Salmond, S., et al</w:t>
            </w:r>
          </w:p>
        </w:tc>
        <w:tc>
          <w:tcPr>
            <w:tcW w:w="709" w:type="dxa"/>
            <w:shd w:val="clear" w:color="auto" w:fill="auto"/>
            <w:noWrap/>
            <w:hideMark/>
          </w:tcPr>
          <w:p w14:paraId="6586A0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8D0F3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Hep573 Study: A randomised, double-blind, placebo-controlled trial of silymarin alone and combined with antioxidants to improve liver function and quality of life in people with chronic hepatitis C</w:t>
            </w:r>
          </w:p>
        </w:tc>
        <w:tc>
          <w:tcPr>
            <w:tcW w:w="1417" w:type="dxa"/>
          </w:tcPr>
          <w:p w14:paraId="031116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Herbal and Naturopathic Medicine, Vol. 30, No. 1, 2018: 12-24</w:t>
            </w:r>
          </w:p>
        </w:tc>
        <w:tc>
          <w:tcPr>
            <w:tcW w:w="709" w:type="dxa"/>
          </w:tcPr>
          <w:p w14:paraId="418D79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30, No. 1</w:t>
            </w:r>
          </w:p>
        </w:tc>
        <w:tc>
          <w:tcPr>
            <w:tcW w:w="851" w:type="dxa"/>
          </w:tcPr>
          <w:p w14:paraId="6B8178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45627</w:t>
            </w:r>
          </w:p>
        </w:tc>
        <w:tc>
          <w:tcPr>
            <w:tcW w:w="1559" w:type="dxa"/>
          </w:tcPr>
          <w:p w14:paraId="60F7CB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t>
            </w:r>
          </w:p>
        </w:tc>
        <w:tc>
          <w:tcPr>
            <w:tcW w:w="850" w:type="dxa"/>
            <w:shd w:val="clear" w:color="auto" w:fill="auto"/>
            <w:noWrap/>
            <w:hideMark/>
          </w:tcPr>
          <w:p w14:paraId="1D4B4A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C735C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C08BEA5" w14:textId="77777777" w:rsidTr="00924B3D">
        <w:trPr>
          <w:trHeight w:val="300"/>
        </w:trPr>
        <w:tc>
          <w:tcPr>
            <w:tcW w:w="1009" w:type="dxa"/>
            <w:shd w:val="clear" w:color="auto" w:fill="auto"/>
            <w:noWrap/>
            <w:hideMark/>
          </w:tcPr>
          <w:p w14:paraId="307DCE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655D2E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Salmond, SJ, George, J, Strasser, SI, Byth, K, Rawlinson, B, Mori, TA, Croft, KD, Adams, LA and Batey, RG</w:t>
            </w:r>
          </w:p>
        </w:tc>
        <w:tc>
          <w:tcPr>
            <w:tcW w:w="709" w:type="dxa"/>
            <w:shd w:val="clear" w:color="auto" w:fill="auto"/>
            <w:noWrap/>
            <w:hideMark/>
          </w:tcPr>
          <w:p w14:paraId="42BBD4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3AC5CD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Hep573 Study: A randomised, double-blind, placebo controlled trial of silymarin alone and combined with antioxidants to improve liver function and quality of life in people with chronic hepatitis C</w:t>
            </w:r>
          </w:p>
        </w:tc>
        <w:tc>
          <w:tcPr>
            <w:tcW w:w="1417" w:type="dxa"/>
          </w:tcPr>
          <w:p w14:paraId="51586E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Herbal Medicine</w:t>
            </w:r>
          </w:p>
        </w:tc>
        <w:tc>
          <w:tcPr>
            <w:tcW w:w="709" w:type="dxa"/>
          </w:tcPr>
          <w:p w14:paraId="4892F0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30(1)</w:t>
            </w:r>
          </w:p>
        </w:tc>
        <w:tc>
          <w:tcPr>
            <w:tcW w:w="851" w:type="dxa"/>
          </w:tcPr>
          <w:p w14:paraId="481C53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45992</w:t>
            </w:r>
          </w:p>
        </w:tc>
        <w:tc>
          <w:tcPr>
            <w:tcW w:w="1559" w:type="dxa"/>
          </w:tcPr>
          <w:p w14:paraId="01B226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2200-3886</w:t>
            </w:r>
          </w:p>
        </w:tc>
        <w:tc>
          <w:tcPr>
            <w:tcW w:w="850" w:type="dxa"/>
            <w:shd w:val="clear" w:color="auto" w:fill="auto"/>
            <w:noWrap/>
            <w:hideMark/>
          </w:tcPr>
          <w:p w14:paraId="2A6D60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124CE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FFDDEFA" w14:textId="77777777" w:rsidTr="00924B3D">
        <w:trPr>
          <w:trHeight w:val="300"/>
        </w:trPr>
        <w:tc>
          <w:tcPr>
            <w:tcW w:w="1009" w:type="dxa"/>
            <w:shd w:val="clear" w:color="auto" w:fill="auto"/>
            <w:noWrap/>
            <w:hideMark/>
          </w:tcPr>
          <w:p w14:paraId="36869A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4E31E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Santamaria A, Di Benedetto A, Petrella E, Pintaudi B, Corrado F, D'Anna R, et al.</w:t>
            </w:r>
          </w:p>
        </w:tc>
        <w:tc>
          <w:tcPr>
            <w:tcW w:w="709" w:type="dxa"/>
            <w:shd w:val="clear" w:color="auto" w:fill="auto"/>
            <w:noWrap/>
            <w:hideMark/>
          </w:tcPr>
          <w:p w14:paraId="780415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4FC59E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Myo-inositol may prevent gestational diabetes onset in overweight women: a randomized, controlled trial.</w:t>
            </w:r>
          </w:p>
        </w:tc>
        <w:tc>
          <w:tcPr>
            <w:tcW w:w="1417" w:type="dxa"/>
          </w:tcPr>
          <w:p w14:paraId="6B5FBC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Matern Fetal Neonatal Med</w:t>
            </w:r>
          </w:p>
        </w:tc>
        <w:tc>
          <w:tcPr>
            <w:tcW w:w="709" w:type="dxa"/>
          </w:tcPr>
          <w:p w14:paraId="52DB8F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 (19)</w:t>
            </w:r>
          </w:p>
        </w:tc>
        <w:tc>
          <w:tcPr>
            <w:tcW w:w="851" w:type="dxa"/>
          </w:tcPr>
          <w:p w14:paraId="4C2EE2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3234-3237</w:t>
            </w:r>
          </w:p>
        </w:tc>
        <w:tc>
          <w:tcPr>
            <w:tcW w:w="1559" w:type="dxa"/>
          </w:tcPr>
          <w:p w14:paraId="3DAAA4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10.3109/14767058.2015.1121478</w:t>
            </w:r>
          </w:p>
        </w:tc>
        <w:tc>
          <w:tcPr>
            <w:tcW w:w="850" w:type="dxa"/>
            <w:shd w:val="clear" w:color="auto" w:fill="auto"/>
            <w:noWrap/>
            <w:hideMark/>
          </w:tcPr>
          <w:p w14:paraId="5669B7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0B94E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90A3198" w14:textId="77777777" w:rsidTr="00924B3D">
        <w:trPr>
          <w:trHeight w:val="300"/>
        </w:trPr>
        <w:tc>
          <w:tcPr>
            <w:tcW w:w="1009" w:type="dxa"/>
            <w:shd w:val="clear" w:color="auto" w:fill="auto"/>
            <w:noWrap/>
            <w:hideMark/>
          </w:tcPr>
          <w:p w14:paraId="595FF2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0D72A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Saper RB, Lemaster C, Delitto A, et al.</w:t>
            </w:r>
          </w:p>
        </w:tc>
        <w:tc>
          <w:tcPr>
            <w:tcW w:w="709" w:type="dxa"/>
            <w:shd w:val="clear" w:color="auto" w:fill="auto"/>
            <w:noWrap/>
            <w:hideMark/>
          </w:tcPr>
          <w:p w14:paraId="6997C1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7DDCF8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Yoga, physical therapy, or education for chronic low back pain: a randomized noninferiority trial</w:t>
            </w:r>
          </w:p>
        </w:tc>
        <w:tc>
          <w:tcPr>
            <w:tcW w:w="1417" w:type="dxa"/>
          </w:tcPr>
          <w:p w14:paraId="21375C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Annals of Internal Medicine</w:t>
            </w:r>
          </w:p>
        </w:tc>
        <w:tc>
          <w:tcPr>
            <w:tcW w:w="709" w:type="dxa"/>
          </w:tcPr>
          <w:p w14:paraId="63D77A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167(2)</w:t>
            </w:r>
          </w:p>
        </w:tc>
        <w:tc>
          <w:tcPr>
            <w:tcW w:w="851" w:type="dxa"/>
          </w:tcPr>
          <w:p w14:paraId="5C7C65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85-94</w:t>
            </w:r>
          </w:p>
        </w:tc>
        <w:tc>
          <w:tcPr>
            <w:tcW w:w="1559" w:type="dxa"/>
          </w:tcPr>
          <w:p w14:paraId="2B3E2F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BBA5B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75312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9BEFB0F" w14:textId="77777777" w:rsidTr="00924B3D">
        <w:trPr>
          <w:trHeight w:val="300"/>
        </w:trPr>
        <w:tc>
          <w:tcPr>
            <w:tcW w:w="1009" w:type="dxa"/>
            <w:shd w:val="clear" w:color="auto" w:fill="auto"/>
            <w:noWrap/>
            <w:hideMark/>
          </w:tcPr>
          <w:p w14:paraId="371D54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B4872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Adams J, Kavanagh DJ.</w:t>
            </w:r>
          </w:p>
        </w:tc>
        <w:tc>
          <w:tcPr>
            <w:tcW w:w="709" w:type="dxa"/>
            <w:shd w:val="clear" w:color="auto" w:fill="auto"/>
            <w:noWrap/>
            <w:hideMark/>
          </w:tcPr>
          <w:p w14:paraId="256A3A9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775735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explorative qualitative analysis of participants' experience of using kava versus placebo in an RCT</w:t>
            </w:r>
          </w:p>
        </w:tc>
        <w:tc>
          <w:tcPr>
            <w:tcW w:w="1417" w:type="dxa"/>
          </w:tcPr>
          <w:p w14:paraId="67A9B7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Medical Herbalism</w:t>
            </w:r>
          </w:p>
        </w:tc>
        <w:tc>
          <w:tcPr>
            <w:tcW w:w="709" w:type="dxa"/>
          </w:tcPr>
          <w:p w14:paraId="74E1F0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22(1)</w:t>
            </w:r>
          </w:p>
        </w:tc>
        <w:tc>
          <w:tcPr>
            <w:tcW w:w="851" w:type="dxa"/>
          </w:tcPr>
          <w:p w14:paraId="1AD653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12-Jun</w:t>
            </w:r>
          </w:p>
        </w:tc>
        <w:tc>
          <w:tcPr>
            <w:tcW w:w="1559" w:type="dxa"/>
          </w:tcPr>
          <w:p w14:paraId="2B4C30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4FDDF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A6A43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01B242D" w14:textId="77777777" w:rsidTr="00924B3D">
        <w:trPr>
          <w:trHeight w:val="300"/>
        </w:trPr>
        <w:tc>
          <w:tcPr>
            <w:tcW w:w="1009" w:type="dxa"/>
            <w:shd w:val="clear" w:color="auto" w:fill="auto"/>
            <w:noWrap/>
            <w:hideMark/>
          </w:tcPr>
          <w:p w14:paraId="4EB220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28755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Byrne GJ, Bousman C, et al.</w:t>
            </w:r>
          </w:p>
        </w:tc>
        <w:tc>
          <w:tcPr>
            <w:tcW w:w="709" w:type="dxa"/>
            <w:shd w:val="clear" w:color="auto" w:fill="auto"/>
            <w:noWrap/>
            <w:hideMark/>
          </w:tcPr>
          <w:p w14:paraId="3CF63B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4D5888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Adjunctive S-adenosylmethionine (SAMe) in treating non-remittent major depressive disorder: An 8-week double-blind, randomized, controlled trial</w:t>
            </w:r>
          </w:p>
        </w:tc>
        <w:tc>
          <w:tcPr>
            <w:tcW w:w="1417" w:type="dxa"/>
          </w:tcPr>
          <w:p w14:paraId="58742B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Neuropsychopharmacology</w:t>
            </w:r>
          </w:p>
        </w:tc>
        <w:tc>
          <w:tcPr>
            <w:tcW w:w="709" w:type="dxa"/>
          </w:tcPr>
          <w:p w14:paraId="7BAF23A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28(10)</w:t>
            </w:r>
          </w:p>
        </w:tc>
        <w:tc>
          <w:tcPr>
            <w:tcW w:w="851" w:type="dxa"/>
          </w:tcPr>
          <w:p w14:paraId="08F7E4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1126-36</w:t>
            </w:r>
          </w:p>
        </w:tc>
        <w:tc>
          <w:tcPr>
            <w:tcW w:w="1559" w:type="dxa"/>
          </w:tcPr>
          <w:p w14:paraId="290CE2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E64673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CD7DB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B81EE02" w14:textId="77777777" w:rsidTr="00924B3D">
        <w:trPr>
          <w:trHeight w:val="300"/>
        </w:trPr>
        <w:tc>
          <w:tcPr>
            <w:tcW w:w="1009" w:type="dxa"/>
            <w:shd w:val="clear" w:color="auto" w:fill="auto"/>
            <w:noWrap/>
            <w:hideMark/>
          </w:tcPr>
          <w:p w14:paraId="4C4799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1CE3F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Byrne GJ, Cribb L, et al.</w:t>
            </w:r>
          </w:p>
        </w:tc>
        <w:tc>
          <w:tcPr>
            <w:tcW w:w="709" w:type="dxa"/>
            <w:shd w:val="clear" w:color="auto" w:fill="auto"/>
            <w:noWrap/>
            <w:hideMark/>
          </w:tcPr>
          <w:p w14:paraId="107388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3B3DD5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L-Theanine in the adjunctive treatment of generalised anxiety disorder: a double-blind, randomised, placebo-controlled trial</w:t>
            </w:r>
          </w:p>
        </w:tc>
        <w:tc>
          <w:tcPr>
            <w:tcW w:w="1417" w:type="dxa"/>
          </w:tcPr>
          <w:p w14:paraId="4E2A59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Psychiatric Research</w:t>
            </w:r>
          </w:p>
        </w:tc>
        <w:tc>
          <w:tcPr>
            <w:tcW w:w="709" w:type="dxa"/>
          </w:tcPr>
          <w:p w14:paraId="49B97E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110</w:t>
            </w:r>
          </w:p>
        </w:tc>
        <w:tc>
          <w:tcPr>
            <w:tcW w:w="851" w:type="dxa"/>
          </w:tcPr>
          <w:p w14:paraId="6C27F1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31-37</w:t>
            </w:r>
          </w:p>
        </w:tc>
        <w:tc>
          <w:tcPr>
            <w:tcW w:w="1559" w:type="dxa"/>
          </w:tcPr>
          <w:p w14:paraId="537637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94773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533B3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89000B2" w14:textId="77777777" w:rsidTr="00924B3D">
        <w:trPr>
          <w:trHeight w:val="300"/>
        </w:trPr>
        <w:tc>
          <w:tcPr>
            <w:tcW w:w="1009" w:type="dxa"/>
            <w:shd w:val="clear" w:color="auto" w:fill="auto"/>
            <w:noWrap/>
            <w:hideMark/>
          </w:tcPr>
          <w:p w14:paraId="7294B8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E88A7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Byrne GJ, Stough C, et al.</w:t>
            </w:r>
          </w:p>
        </w:tc>
        <w:tc>
          <w:tcPr>
            <w:tcW w:w="709" w:type="dxa"/>
            <w:shd w:val="clear" w:color="auto" w:fill="auto"/>
            <w:noWrap/>
            <w:hideMark/>
          </w:tcPr>
          <w:p w14:paraId="6B8E0C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437302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Nutraceuticals for major depressive disorder- more is not merrier: an 8-week double-blind, randomised, controlled trial</w:t>
            </w:r>
          </w:p>
        </w:tc>
        <w:tc>
          <w:tcPr>
            <w:tcW w:w="1417" w:type="dxa"/>
          </w:tcPr>
          <w:p w14:paraId="2E445B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Affective Disorders</w:t>
            </w:r>
          </w:p>
        </w:tc>
        <w:tc>
          <w:tcPr>
            <w:tcW w:w="709" w:type="dxa"/>
          </w:tcPr>
          <w:p w14:paraId="0F722F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245</w:t>
            </w:r>
          </w:p>
        </w:tc>
        <w:tc>
          <w:tcPr>
            <w:tcW w:w="851" w:type="dxa"/>
          </w:tcPr>
          <w:p w14:paraId="2A93CD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1007-15</w:t>
            </w:r>
          </w:p>
        </w:tc>
        <w:tc>
          <w:tcPr>
            <w:tcW w:w="1559" w:type="dxa"/>
          </w:tcPr>
          <w:p w14:paraId="034F29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F0291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09D95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2845077" w14:textId="77777777" w:rsidTr="00924B3D">
        <w:trPr>
          <w:trHeight w:val="300"/>
        </w:trPr>
        <w:tc>
          <w:tcPr>
            <w:tcW w:w="1009" w:type="dxa"/>
            <w:shd w:val="clear" w:color="auto" w:fill="auto"/>
            <w:noWrap/>
            <w:hideMark/>
          </w:tcPr>
          <w:p w14:paraId="77779B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28930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Cox KH, Camfield DA, et al</w:t>
            </w:r>
          </w:p>
        </w:tc>
        <w:tc>
          <w:tcPr>
            <w:tcW w:w="709" w:type="dxa"/>
            <w:shd w:val="clear" w:color="auto" w:fill="auto"/>
            <w:noWrap/>
            <w:hideMark/>
          </w:tcPr>
          <w:p w14:paraId="24238F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0336DB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Participant experiences from chronic administration of a multivitamin versus placebo on subjective health and wellbeing: a double-blind qualitative analysis of a randomised controlled trial</w:t>
            </w:r>
          </w:p>
        </w:tc>
        <w:tc>
          <w:tcPr>
            <w:tcW w:w="1417" w:type="dxa"/>
          </w:tcPr>
          <w:p w14:paraId="6A9C0A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 Journal</w:t>
            </w:r>
          </w:p>
        </w:tc>
        <w:tc>
          <w:tcPr>
            <w:tcW w:w="709" w:type="dxa"/>
          </w:tcPr>
          <w:p w14:paraId="7F50F9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11(1)</w:t>
            </w:r>
          </w:p>
        </w:tc>
        <w:tc>
          <w:tcPr>
            <w:tcW w:w="851" w:type="dxa"/>
          </w:tcPr>
          <w:p w14:paraId="606DEB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110</w:t>
            </w:r>
          </w:p>
        </w:tc>
        <w:tc>
          <w:tcPr>
            <w:tcW w:w="1559" w:type="dxa"/>
          </w:tcPr>
          <w:p w14:paraId="73E572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45430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CCB68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DA39827" w14:textId="77777777" w:rsidTr="00924B3D">
        <w:trPr>
          <w:trHeight w:val="300"/>
        </w:trPr>
        <w:tc>
          <w:tcPr>
            <w:tcW w:w="1009" w:type="dxa"/>
            <w:shd w:val="clear" w:color="auto" w:fill="auto"/>
            <w:noWrap/>
            <w:hideMark/>
          </w:tcPr>
          <w:p w14:paraId="390FCA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DD6D3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Fava M, Schweitzer I, et al.</w:t>
            </w:r>
          </w:p>
        </w:tc>
        <w:tc>
          <w:tcPr>
            <w:tcW w:w="709" w:type="dxa"/>
            <w:shd w:val="clear" w:color="auto" w:fill="auto"/>
            <w:noWrap/>
            <w:hideMark/>
          </w:tcPr>
          <w:p w14:paraId="257EBB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09E7A5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 John’s wort (Hypericum perforatum) versus sertraline and placebo in major depressive disorder: continuation data from a 26-week RCT</w:t>
            </w:r>
          </w:p>
        </w:tc>
        <w:tc>
          <w:tcPr>
            <w:tcW w:w="1417" w:type="dxa"/>
          </w:tcPr>
          <w:p w14:paraId="16CF6A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Pharmacopsychiatry</w:t>
            </w:r>
          </w:p>
        </w:tc>
        <w:tc>
          <w:tcPr>
            <w:tcW w:w="709" w:type="dxa"/>
          </w:tcPr>
          <w:p w14:paraId="2E34CA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45(07)</w:t>
            </w:r>
          </w:p>
        </w:tc>
        <w:tc>
          <w:tcPr>
            <w:tcW w:w="851" w:type="dxa"/>
          </w:tcPr>
          <w:p w14:paraId="3A4768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275-8</w:t>
            </w:r>
          </w:p>
        </w:tc>
        <w:tc>
          <w:tcPr>
            <w:tcW w:w="1559" w:type="dxa"/>
          </w:tcPr>
          <w:p w14:paraId="608014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C9390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408B8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9BA2928" w14:textId="77777777" w:rsidTr="00924B3D">
        <w:trPr>
          <w:trHeight w:val="300"/>
        </w:trPr>
        <w:tc>
          <w:tcPr>
            <w:tcW w:w="1009" w:type="dxa"/>
            <w:shd w:val="clear" w:color="auto" w:fill="auto"/>
            <w:noWrap/>
            <w:hideMark/>
          </w:tcPr>
          <w:p w14:paraId="1810EF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CB477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Kavanagh D, Byrne G, et al.</w:t>
            </w:r>
          </w:p>
        </w:tc>
        <w:tc>
          <w:tcPr>
            <w:tcW w:w="709" w:type="dxa"/>
            <w:shd w:val="clear" w:color="auto" w:fill="auto"/>
            <w:noWrap/>
            <w:hideMark/>
          </w:tcPr>
          <w:p w14:paraId="12584C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608AFB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Kava Anxiety Depression Spectrum Study (KADSS): a randomized, placebo-controlled crossover trial using an aqueous extract of Piper methysticum</w:t>
            </w:r>
          </w:p>
        </w:tc>
        <w:tc>
          <w:tcPr>
            <w:tcW w:w="1417" w:type="dxa"/>
          </w:tcPr>
          <w:p w14:paraId="4EE434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Psychopharmacology</w:t>
            </w:r>
          </w:p>
        </w:tc>
        <w:tc>
          <w:tcPr>
            <w:tcW w:w="709" w:type="dxa"/>
          </w:tcPr>
          <w:p w14:paraId="23CA19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205(3)</w:t>
            </w:r>
          </w:p>
        </w:tc>
        <w:tc>
          <w:tcPr>
            <w:tcW w:w="851" w:type="dxa"/>
          </w:tcPr>
          <w:p w14:paraId="1B3D4D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399-407</w:t>
            </w:r>
          </w:p>
        </w:tc>
        <w:tc>
          <w:tcPr>
            <w:tcW w:w="1559" w:type="dxa"/>
          </w:tcPr>
          <w:p w14:paraId="19C399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FDB8F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525E4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6E3CE4F" w14:textId="77777777" w:rsidTr="00924B3D">
        <w:trPr>
          <w:trHeight w:val="300"/>
        </w:trPr>
        <w:tc>
          <w:tcPr>
            <w:tcW w:w="1009" w:type="dxa"/>
            <w:shd w:val="clear" w:color="auto" w:fill="auto"/>
            <w:noWrap/>
            <w:hideMark/>
          </w:tcPr>
          <w:p w14:paraId="35C9B6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66763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Kavanagh DJ, Adams J, et al.</w:t>
            </w:r>
          </w:p>
        </w:tc>
        <w:tc>
          <w:tcPr>
            <w:tcW w:w="709" w:type="dxa"/>
            <w:shd w:val="clear" w:color="auto" w:fill="auto"/>
            <w:noWrap/>
            <w:hideMark/>
          </w:tcPr>
          <w:p w14:paraId="1755E7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55A403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Kava Anxiety Depression Spectrum Study (KADSS): a mixed methods RCT using an aqueous extract of Piper methysticum</w:t>
            </w:r>
          </w:p>
        </w:tc>
        <w:tc>
          <w:tcPr>
            <w:tcW w:w="1417" w:type="dxa"/>
          </w:tcPr>
          <w:p w14:paraId="102AE4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589DBB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17(3)</w:t>
            </w:r>
          </w:p>
        </w:tc>
        <w:tc>
          <w:tcPr>
            <w:tcW w:w="851" w:type="dxa"/>
          </w:tcPr>
          <w:p w14:paraId="3634E8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176-8</w:t>
            </w:r>
          </w:p>
        </w:tc>
        <w:tc>
          <w:tcPr>
            <w:tcW w:w="1559" w:type="dxa"/>
          </w:tcPr>
          <w:p w14:paraId="26BB35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6FA89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48BEB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3B72B71" w14:textId="77777777" w:rsidTr="00924B3D">
        <w:trPr>
          <w:trHeight w:val="300"/>
        </w:trPr>
        <w:tc>
          <w:tcPr>
            <w:tcW w:w="1009" w:type="dxa"/>
            <w:shd w:val="clear" w:color="auto" w:fill="auto"/>
            <w:noWrap/>
            <w:hideMark/>
          </w:tcPr>
          <w:p w14:paraId="6C6E64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21048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Kavanagh DJ, Deed G, et al</w:t>
            </w:r>
          </w:p>
        </w:tc>
        <w:tc>
          <w:tcPr>
            <w:tcW w:w="709" w:type="dxa"/>
            <w:shd w:val="clear" w:color="auto" w:fill="auto"/>
            <w:noWrap/>
            <w:hideMark/>
          </w:tcPr>
          <w:p w14:paraId="25BFDD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4C8FFF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 John's wort and Kava in treating major depressive disorder with comorbid anxiety: a randomised double</w:t>
            </w:r>
            <w:r w:rsidRPr="00D518FF">
              <w:rPr>
                <w:rFonts w:ascii="Cambria Math" w:hAnsi="Cambria Math" w:cs="Cambria Math"/>
                <w:color w:val="000000"/>
                <w:sz w:val="16"/>
                <w:szCs w:val="16"/>
              </w:rPr>
              <w:t>‐</w:t>
            </w:r>
            <w:r w:rsidRPr="00D518FF">
              <w:rPr>
                <w:rFonts w:ascii="Aptos" w:hAnsi="Aptos" w:cs="Calibri"/>
                <w:color w:val="000000"/>
                <w:sz w:val="16"/>
                <w:szCs w:val="16"/>
              </w:rPr>
              <w:t>blind placebo</w:t>
            </w:r>
            <w:r w:rsidRPr="00D518FF">
              <w:rPr>
                <w:rFonts w:ascii="Cambria Math" w:hAnsi="Cambria Math" w:cs="Cambria Math"/>
                <w:color w:val="000000"/>
                <w:sz w:val="16"/>
                <w:szCs w:val="16"/>
              </w:rPr>
              <w:t>‐</w:t>
            </w:r>
            <w:r w:rsidRPr="00D518FF">
              <w:rPr>
                <w:rFonts w:ascii="Aptos" w:hAnsi="Aptos" w:cs="Calibri"/>
                <w:color w:val="000000"/>
                <w:sz w:val="16"/>
                <w:szCs w:val="16"/>
              </w:rPr>
              <w:t>controlled pilot trial</w:t>
            </w:r>
          </w:p>
        </w:tc>
        <w:tc>
          <w:tcPr>
            <w:tcW w:w="1417" w:type="dxa"/>
          </w:tcPr>
          <w:p w14:paraId="4B594C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Human Psychopharmacology: Clinical and Experimental</w:t>
            </w:r>
          </w:p>
        </w:tc>
        <w:tc>
          <w:tcPr>
            <w:tcW w:w="709" w:type="dxa"/>
          </w:tcPr>
          <w:p w14:paraId="3BD340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24(1)</w:t>
            </w:r>
          </w:p>
        </w:tc>
        <w:tc>
          <w:tcPr>
            <w:tcW w:w="851" w:type="dxa"/>
          </w:tcPr>
          <w:p w14:paraId="325F9C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41-8</w:t>
            </w:r>
          </w:p>
        </w:tc>
        <w:tc>
          <w:tcPr>
            <w:tcW w:w="1559" w:type="dxa"/>
          </w:tcPr>
          <w:p w14:paraId="190FB7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B0423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CD36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639E9F8" w14:textId="77777777" w:rsidTr="00924B3D">
        <w:trPr>
          <w:trHeight w:val="300"/>
        </w:trPr>
        <w:tc>
          <w:tcPr>
            <w:tcW w:w="1009" w:type="dxa"/>
            <w:shd w:val="clear" w:color="auto" w:fill="auto"/>
            <w:noWrap/>
            <w:hideMark/>
          </w:tcPr>
          <w:p w14:paraId="150A68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4B5486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Laporte E, Scholey A, et al.</w:t>
            </w:r>
          </w:p>
        </w:tc>
        <w:tc>
          <w:tcPr>
            <w:tcW w:w="709" w:type="dxa"/>
            <w:shd w:val="clear" w:color="auto" w:fill="auto"/>
            <w:noWrap/>
            <w:hideMark/>
          </w:tcPr>
          <w:p w14:paraId="04BC58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488D94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Does a medicinal dose of kava impair driving? A randomized, placebo-controlled, double-blind study.</w:t>
            </w:r>
          </w:p>
        </w:tc>
        <w:tc>
          <w:tcPr>
            <w:tcW w:w="1417" w:type="dxa"/>
          </w:tcPr>
          <w:p w14:paraId="7A85BF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Human Psychopharmacology: Clinical and Experimental</w:t>
            </w:r>
          </w:p>
        </w:tc>
        <w:tc>
          <w:tcPr>
            <w:tcW w:w="709" w:type="dxa"/>
          </w:tcPr>
          <w:p w14:paraId="780D67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29(1)</w:t>
            </w:r>
          </w:p>
        </w:tc>
        <w:tc>
          <w:tcPr>
            <w:tcW w:w="851" w:type="dxa"/>
          </w:tcPr>
          <w:p w14:paraId="3545AE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73-82</w:t>
            </w:r>
          </w:p>
        </w:tc>
        <w:tc>
          <w:tcPr>
            <w:tcW w:w="1559" w:type="dxa"/>
          </w:tcPr>
          <w:p w14:paraId="4D4AA9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4560D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443C0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2DC6B43" w14:textId="77777777" w:rsidTr="00924B3D">
        <w:trPr>
          <w:trHeight w:val="300"/>
        </w:trPr>
        <w:tc>
          <w:tcPr>
            <w:tcW w:w="1009" w:type="dxa"/>
            <w:shd w:val="clear" w:color="auto" w:fill="auto"/>
            <w:noWrap/>
            <w:hideMark/>
          </w:tcPr>
          <w:p w14:paraId="16D196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19309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Oliver G, Camfield DA, et al</w:t>
            </w:r>
          </w:p>
        </w:tc>
        <w:tc>
          <w:tcPr>
            <w:tcW w:w="709" w:type="dxa"/>
            <w:shd w:val="clear" w:color="auto" w:fill="auto"/>
            <w:noWrap/>
            <w:hideMark/>
          </w:tcPr>
          <w:p w14:paraId="00EB89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67196F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Participant characteristics as modifiers of response to N-acetyl cysteine (NAC) in obsessive-compulsive disorder</w:t>
            </w:r>
          </w:p>
        </w:tc>
        <w:tc>
          <w:tcPr>
            <w:tcW w:w="1417" w:type="dxa"/>
          </w:tcPr>
          <w:p w14:paraId="55CBD7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Clinical Psychological Science</w:t>
            </w:r>
          </w:p>
        </w:tc>
        <w:tc>
          <w:tcPr>
            <w:tcW w:w="709" w:type="dxa"/>
          </w:tcPr>
          <w:p w14:paraId="0804C4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4(6)</w:t>
            </w:r>
          </w:p>
        </w:tc>
        <w:tc>
          <w:tcPr>
            <w:tcW w:w="851" w:type="dxa"/>
          </w:tcPr>
          <w:p w14:paraId="39E388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1104-11</w:t>
            </w:r>
          </w:p>
        </w:tc>
        <w:tc>
          <w:tcPr>
            <w:tcW w:w="1559" w:type="dxa"/>
          </w:tcPr>
          <w:p w14:paraId="68E7A2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9488C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F48B1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50C55D5" w14:textId="77777777" w:rsidTr="00924B3D">
        <w:trPr>
          <w:trHeight w:val="300"/>
        </w:trPr>
        <w:tc>
          <w:tcPr>
            <w:tcW w:w="1009" w:type="dxa"/>
            <w:shd w:val="clear" w:color="auto" w:fill="auto"/>
            <w:noWrap/>
            <w:hideMark/>
          </w:tcPr>
          <w:p w14:paraId="0D0BCC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8AFFD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Papakostas GI, Vitolo O, et al</w:t>
            </w:r>
          </w:p>
        </w:tc>
        <w:tc>
          <w:tcPr>
            <w:tcW w:w="709" w:type="dxa"/>
            <w:shd w:val="clear" w:color="auto" w:fill="auto"/>
            <w:noWrap/>
            <w:hideMark/>
          </w:tcPr>
          <w:p w14:paraId="3299EC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560B3E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S-adenosyl methionine (SAMe) versus escitalopram and placebo in major depression RCT: efficacy and effects of histamine and carnitine as moderators of response</w:t>
            </w:r>
          </w:p>
        </w:tc>
        <w:tc>
          <w:tcPr>
            <w:tcW w:w="1417" w:type="dxa"/>
          </w:tcPr>
          <w:p w14:paraId="086ACB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Affective Disorders</w:t>
            </w:r>
          </w:p>
        </w:tc>
        <w:tc>
          <w:tcPr>
            <w:tcW w:w="709" w:type="dxa"/>
          </w:tcPr>
          <w:p w14:paraId="0402AE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164</w:t>
            </w:r>
          </w:p>
        </w:tc>
        <w:tc>
          <w:tcPr>
            <w:tcW w:w="851" w:type="dxa"/>
          </w:tcPr>
          <w:p w14:paraId="75E7CD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76-81</w:t>
            </w:r>
          </w:p>
        </w:tc>
        <w:tc>
          <w:tcPr>
            <w:tcW w:w="1559" w:type="dxa"/>
          </w:tcPr>
          <w:p w14:paraId="58CEE4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42C50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310C2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884B7FE" w14:textId="77777777" w:rsidTr="00924B3D">
        <w:trPr>
          <w:trHeight w:val="300"/>
        </w:trPr>
        <w:tc>
          <w:tcPr>
            <w:tcW w:w="1009" w:type="dxa"/>
            <w:shd w:val="clear" w:color="auto" w:fill="auto"/>
            <w:noWrap/>
            <w:hideMark/>
          </w:tcPr>
          <w:p w14:paraId="35459F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B06C6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Scholey A, Schweitzer I, et al.</w:t>
            </w:r>
          </w:p>
        </w:tc>
        <w:tc>
          <w:tcPr>
            <w:tcW w:w="709" w:type="dxa"/>
            <w:shd w:val="clear" w:color="auto" w:fill="auto"/>
            <w:noWrap/>
            <w:hideMark/>
          </w:tcPr>
          <w:p w14:paraId="5DFB0E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037655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acute effects of kava and oxazepam on anxiety, mood, neurocognition; and genetic correlates: a randomized, placebo</w:t>
            </w:r>
            <w:r w:rsidRPr="00D518FF">
              <w:rPr>
                <w:rFonts w:ascii="Cambria Math" w:hAnsi="Cambria Math" w:cs="Cambria Math"/>
                <w:color w:val="000000"/>
                <w:sz w:val="16"/>
                <w:szCs w:val="16"/>
              </w:rPr>
              <w:t>‐</w:t>
            </w:r>
            <w:r w:rsidRPr="00D518FF">
              <w:rPr>
                <w:rFonts w:ascii="Aptos" w:hAnsi="Aptos" w:cs="Calibri"/>
                <w:color w:val="000000"/>
                <w:sz w:val="16"/>
                <w:szCs w:val="16"/>
              </w:rPr>
              <w:t>controlled, double</w:t>
            </w:r>
            <w:r w:rsidRPr="00D518FF">
              <w:rPr>
                <w:rFonts w:ascii="Cambria Math" w:hAnsi="Cambria Math" w:cs="Cambria Math"/>
                <w:color w:val="000000"/>
                <w:sz w:val="16"/>
                <w:szCs w:val="16"/>
              </w:rPr>
              <w:t>‐</w:t>
            </w:r>
            <w:r w:rsidRPr="00D518FF">
              <w:rPr>
                <w:rFonts w:ascii="Aptos" w:hAnsi="Aptos" w:cs="Calibri"/>
                <w:color w:val="000000"/>
                <w:sz w:val="16"/>
                <w:szCs w:val="16"/>
              </w:rPr>
              <w:t>blind study</w:t>
            </w:r>
          </w:p>
        </w:tc>
        <w:tc>
          <w:tcPr>
            <w:tcW w:w="1417" w:type="dxa"/>
          </w:tcPr>
          <w:p w14:paraId="6DAAD8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Human Psychopharmacology: Clinical and Experimental</w:t>
            </w:r>
          </w:p>
        </w:tc>
        <w:tc>
          <w:tcPr>
            <w:tcW w:w="709" w:type="dxa"/>
          </w:tcPr>
          <w:p w14:paraId="4E4CFA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27(3)</w:t>
            </w:r>
          </w:p>
        </w:tc>
        <w:tc>
          <w:tcPr>
            <w:tcW w:w="851" w:type="dxa"/>
          </w:tcPr>
          <w:p w14:paraId="7A3132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262-9</w:t>
            </w:r>
          </w:p>
        </w:tc>
        <w:tc>
          <w:tcPr>
            <w:tcW w:w="1559" w:type="dxa"/>
          </w:tcPr>
          <w:p w14:paraId="4C6169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01009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23CFB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DB7E6D8" w14:textId="77777777" w:rsidTr="00924B3D">
        <w:trPr>
          <w:trHeight w:val="300"/>
        </w:trPr>
        <w:tc>
          <w:tcPr>
            <w:tcW w:w="1009" w:type="dxa"/>
            <w:shd w:val="clear" w:color="auto" w:fill="auto"/>
            <w:noWrap/>
            <w:hideMark/>
          </w:tcPr>
          <w:p w14:paraId="269359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DDD4F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Stough C, Bousman CA, et al.</w:t>
            </w:r>
          </w:p>
        </w:tc>
        <w:tc>
          <w:tcPr>
            <w:tcW w:w="709" w:type="dxa"/>
            <w:shd w:val="clear" w:color="auto" w:fill="auto"/>
            <w:noWrap/>
            <w:hideMark/>
          </w:tcPr>
          <w:p w14:paraId="2E363C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71BF4D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Kava in the treatment of generalized anxiety disorder: a double-blind, randomized, placebo-controlled study</w:t>
            </w:r>
          </w:p>
        </w:tc>
        <w:tc>
          <w:tcPr>
            <w:tcW w:w="1417" w:type="dxa"/>
          </w:tcPr>
          <w:p w14:paraId="531BDF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Clinical Psychopharmacology</w:t>
            </w:r>
          </w:p>
        </w:tc>
        <w:tc>
          <w:tcPr>
            <w:tcW w:w="709" w:type="dxa"/>
          </w:tcPr>
          <w:p w14:paraId="6F6A2E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33(5)</w:t>
            </w:r>
          </w:p>
        </w:tc>
        <w:tc>
          <w:tcPr>
            <w:tcW w:w="851" w:type="dxa"/>
          </w:tcPr>
          <w:p w14:paraId="577E80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643-8</w:t>
            </w:r>
          </w:p>
        </w:tc>
        <w:tc>
          <w:tcPr>
            <w:tcW w:w="1559" w:type="dxa"/>
          </w:tcPr>
          <w:p w14:paraId="2B0C3B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F4E96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50220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6488791" w14:textId="77777777" w:rsidTr="00924B3D">
        <w:trPr>
          <w:trHeight w:val="300"/>
        </w:trPr>
        <w:tc>
          <w:tcPr>
            <w:tcW w:w="1009" w:type="dxa"/>
            <w:shd w:val="clear" w:color="auto" w:fill="auto"/>
            <w:noWrap/>
            <w:hideMark/>
          </w:tcPr>
          <w:p w14:paraId="231FC6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4FC16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Sarris J, Stough C, Teschke R, et al.</w:t>
            </w:r>
          </w:p>
        </w:tc>
        <w:tc>
          <w:tcPr>
            <w:tcW w:w="709" w:type="dxa"/>
            <w:shd w:val="clear" w:color="auto" w:fill="auto"/>
            <w:noWrap/>
            <w:hideMark/>
          </w:tcPr>
          <w:p w14:paraId="2606EC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72A592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Kava for the treatment of generalized anxiety disorder RCT: analysis of adverse reactions, liver function, addiction, and sexual effects</w:t>
            </w:r>
          </w:p>
        </w:tc>
        <w:tc>
          <w:tcPr>
            <w:tcW w:w="1417" w:type="dxa"/>
          </w:tcPr>
          <w:p w14:paraId="54EBA0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Phytotherapy Research</w:t>
            </w:r>
          </w:p>
        </w:tc>
        <w:tc>
          <w:tcPr>
            <w:tcW w:w="709" w:type="dxa"/>
          </w:tcPr>
          <w:p w14:paraId="6E8184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27(11)</w:t>
            </w:r>
          </w:p>
        </w:tc>
        <w:tc>
          <w:tcPr>
            <w:tcW w:w="851" w:type="dxa"/>
          </w:tcPr>
          <w:p w14:paraId="79C875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1723-8</w:t>
            </w:r>
          </w:p>
        </w:tc>
        <w:tc>
          <w:tcPr>
            <w:tcW w:w="1559" w:type="dxa"/>
          </w:tcPr>
          <w:p w14:paraId="1A4589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8AE9C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DC76A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8C0090C" w14:textId="77777777" w:rsidTr="00924B3D">
        <w:trPr>
          <w:trHeight w:val="300"/>
        </w:trPr>
        <w:tc>
          <w:tcPr>
            <w:tcW w:w="1009" w:type="dxa"/>
            <w:shd w:val="clear" w:color="auto" w:fill="auto"/>
            <w:noWrap/>
            <w:hideMark/>
          </w:tcPr>
          <w:p w14:paraId="6785A3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CD7F6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Satish V, Rao RM, Manjunath NK, et al</w:t>
            </w:r>
          </w:p>
        </w:tc>
        <w:tc>
          <w:tcPr>
            <w:tcW w:w="709" w:type="dxa"/>
            <w:shd w:val="clear" w:color="auto" w:fill="auto"/>
            <w:noWrap/>
            <w:hideMark/>
          </w:tcPr>
          <w:p w14:paraId="540657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26873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Yoga versus physical exercise for cardio-respiratory fitness in adolescent school children: a randomized controlled trial</w:t>
            </w:r>
          </w:p>
        </w:tc>
        <w:tc>
          <w:tcPr>
            <w:tcW w:w="1417" w:type="dxa"/>
          </w:tcPr>
          <w:p w14:paraId="4C248D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Adolescent Medicine and Health</w:t>
            </w:r>
          </w:p>
        </w:tc>
        <w:tc>
          <w:tcPr>
            <w:tcW w:w="709" w:type="dxa"/>
          </w:tcPr>
          <w:p w14:paraId="314CE6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1" w:type="dxa"/>
          </w:tcPr>
          <w:p w14:paraId="6E3124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6E3F72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 10.1515/ijamh-2017-0154</w:t>
            </w:r>
          </w:p>
        </w:tc>
        <w:tc>
          <w:tcPr>
            <w:tcW w:w="850" w:type="dxa"/>
            <w:shd w:val="clear" w:color="auto" w:fill="auto"/>
            <w:noWrap/>
            <w:hideMark/>
          </w:tcPr>
          <w:p w14:paraId="13113E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78C34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6717125" w14:textId="77777777" w:rsidTr="00924B3D">
        <w:trPr>
          <w:trHeight w:val="300"/>
        </w:trPr>
        <w:tc>
          <w:tcPr>
            <w:tcW w:w="1009" w:type="dxa"/>
            <w:shd w:val="clear" w:color="auto" w:fill="auto"/>
            <w:noWrap/>
            <w:hideMark/>
          </w:tcPr>
          <w:p w14:paraId="7A281A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F9543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Saunders PR, Smith F, Schusky RW</w:t>
            </w:r>
          </w:p>
        </w:tc>
        <w:tc>
          <w:tcPr>
            <w:tcW w:w="709" w:type="dxa"/>
            <w:shd w:val="clear" w:color="auto" w:fill="auto"/>
            <w:noWrap/>
            <w:hideMark/>
          </w:tcPr>
          <w:p w14:paraId="4C42FD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410595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Echinacea purpurea L. in children: safety, tolerability, compliance, and clinical effectiveness in upper respiratory tract infections</w:t>
            </w:r>
          </w:p>
        </w:tc>
        <w:tc>
          <w:tcPr>
            <w:tcW w:w="1417" w:type="dxa"/>
          </w:tcPr>
          <w:p w14:paraId="0E57D2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Canadian Journal of Physiology and Pharmacology</w:t>
            </w:r>
          </w:p>
        </w:tc>
        <w:tc>
          <w:tcPr>
            <w:tcW w:w="709" w:type="dxa"/>
          </w:tcPr>
          <w:p w14:paraId="5A296B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85(11)</w:t>
            </w:r>
          </w:p>
        </w:tc>
        <w:tc>
          <w:tcPr>
            <w:tcW w:w="851" w:type="dxa"/>
          </w:tcPr>
          <w:p w14:paraId="0208BC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1195-9</w:t>
            </w:r>
          </w:p>
        </w:tc>
        <w:tc>
          <w:tcPr>
            <w:tcW w:w="1559" w:type="dxa"/>
          </w:tcPr>
          <w:p w14:paraId="243951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5EF83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8D43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53EC2E7" w14:textId="77777777" w:rsidTr="00924B3D">
        <w:trPr>
          <w:trHeight w:val="300"/>
        </w:trPr>
        <w:tc>
          <w:tcPr>
            <w:tcW w:w="1009" w:type="dxa"/>
            <w:shd w:val="clear" w:color="auto" w:fill="auto"/>
            <w:noWrap/>
            <w:hideMark/>
          </w:tcPr>
          <w:p w14:paraId="190E55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5F617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Sayles C, Hickerson SC, Bhat RR, Hall J, Garey KW, Trivedi MV.</w:t>
            </w:r>
          </w:p>
        </w:tc>
        <w:tc>
          <w:tcPr>
            <w:tcW w:w="709" w:type="dxa"/>
            <w:shd w:val="clear" w:color="auto" w:fill="auto"/>
            <w:noWrap/>
            <w:hideMark/>
          </w:tcPr>
          <w:p w14:paraId="5CEB03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3EE9B9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Oral glutamine in preventing treatment-related mucositis in adult patients with cancer: a systematic review. </w:t>
            </w:r>
          </w:p>
        </w:tc>
        <w:tc>
          <w:tcPr>
            <w:tcW w:w="1417" w:type="dxa"/>
          </w:tcPr>
          <w:p w14:paraId="27785D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Nutr Clin Pract  </w:t>
            </w:r>
          </w:p>
        </w:tc>
        <w:tc>
          <w:tcPr>
            <w:tcW w:w="709" w:type="dxa"/>
          </w:tcPr>
          <w:p w14:paraId="4F9A88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31(2)</w:t>
            </w:r>
          </w:p>
        </w:tc>
        <w:tc>
          <w:tcPr>
            <w:tcW w:w="851" w:type="dxa"/>
          </w:tcPr>
          <w:p w14:paraId="767336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171-179</w:t>
            </w:r>
          </w:p>
        </w:tc>
        <w:tc>
          <w:tcPr>
            <w:tcW w:w="1559" w:type="dxa"/>
          </w:tcPr>
          <w:p w14:paraId="3CF00F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10.1177/0884533615611857</w:t>
            </w:r>
          </w:p>
        </w:tc>
        <w:tc>
          <w:tcPr>
            <w:tcW w:w="850" w:type="dxa"/>
            <w:shd w:val="clear" w:color="auto" w:fill="auto"/>
            <w:noWrap/>
            <w:hideMark/>
          </w:tcPr>
          <w:p w14:paraId="609997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F4AD7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2C7CF3A" w14:textId="77777777" w:rsidTr="00924B3D">
        <w:trPr>
          <w:trHeight w:val="300"/>
        </w:trPr>
        <w:tc>
          <w:tcPr>
            <w:tcW w:w="1009" w:type="dxa"/>
            <w:shd w:val="clear" w:color="auto" w:fill="auto"/>
            <w:noWrap/>
            <w:hideMark/>
          </w:tcPr>
          <w:p w14:paraId="03C817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E3B30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Schloss J, McIntyre E, Steel A, et al.</w:t>
            </w:r>
          </w:p>
        </w:tc>
        <w:tc>
          <w:tcPr>
            <w:tcW w:w="709" w:type="dxa"/>
            <w:shd w:val="clear" w:color="auto" w:fill="auto"/>
            <w:noWrap/>
            <w:hideMark/>
          </w:tcPr>
          <w:p w14:paraId="2FAEF0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55ED4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Lessons from Outside and Within: Exploring Advancements in Methodology for Naturopathic Medicine Clinical Research.</w:t>
            </w:r>
          </w:p>
        </w:tc>
        <w:tc>
          <w:tcPr>
            <w:tcW w:w="1417" w:type="dxa"/>
          </w:tcPr>
          <w:p w14:paraId="020A0E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56D1CD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49D1D4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135-140</w:t>
            </w:r>
          </w:p>
        </w:tc>
        <w:tc>
          <w:tcPr>
            <w:tcW w:w="1559" w:type="dxa"/>
          </w:tcPr>
          <w:p w14:paraId="11E328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10.1089/acm.2018.0403</w:t>
            </w:r>
          </w:p>
        </w:tc>
        <w:tc>
          <w:tcPr>
            <w:tcW w:w="850" w:type="dxa"/>
            <w:shd w:val="clear" w:color="auto" w:fill="auto"/>
            <w:noWrap/>
            <w:hideMark/>
          </w:tcPr>
          <w:p w14:paraId="529E0E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4A902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42F63CCF" w14:textId="77777777" w:rsidTr="00924B3D">
        <w:trPr>
          <w:trHeight w:val="300"/>
        </w:trPr>
        <w:tc>
          <w:tcPr>
            <w:tcW w:w="1009" w:type="dxa"/>
            <w:shd w:val="clear" w:color="auto" w:fill="auto"/>
            <w:noWrap/>
            <w:hideMark/>
          </w:tcPr>
          <w:p w14:paraId="3665C1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8C03EFA" w14:textId="77777777" w:rsidR="008F3151" w:rsidRPr="00D518FF" w:rsidRDefault="008F3151" w:rsidP="00924B3D">
            <w:pPr>
              <w:rPr>
                <w:rFonts w:ascii="Aptos" w:hAnsi="Aptos" w:cs="Calibri"/>
                <w:color w:val="333333"/>
                <w:sz w:val="16"/>
                <w:szCs w:val="16"/>
              </w:rPr>
            </w:pPr>
            <w:r w:rsidRPr="00D518FF">
              <w:rPr>
                <w:rFonts w:ascii="Aptos" w:hAnsi="Aptos" w:cs="Calibri"/>
                <w:color w:val="333333"/>
                <w:sz w:val="16"/>
                <w:szCs w:val="16"/>
              </w:rPr>
              <w:t>Schloss J, McIntyre E, Steel A, et al.</w:t>
            </w:r>
          </w:p>
        </w:tc>
        <w:tc>
          <w:tcPr>
            <w:tcW w:w="709" w:type="dxa"/>
            <w:shd w:val="clear" w:color="auto" w:fill="auto"/>
            <w:noWrap/>
            <w:hideMark/>
          </w:tcPr>
          <w:p w14:paraId="023CF2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72E533C" w14:textId="77777777" w:rsidR="008F3151" w:rsidRPr="00D518FF" w:rsidRDefault="008F3151" w:rsidP="00924B3D">
            <w:pPr>
              <w:rPr>
                <w:rFonts w:ascii="Aptos" w:hAnsi="Aptos" w:cs="Calibri"/>
                <w:color w:val="333333"/>
                <w:sz w:val="16"/>
                <w:szCs w:val="16"/>
              </w:rPr>
            </w:pPr>
            <w:r w:rsidRPr="00D518FF">
              <w:rPr>
                <w:rFonts w:ascii="Aptos" w:hAnsi="Aptos" w:cs="Calibri"/>
                <w:color w:val="333333"/>
                <w:sz w:val="16"/>
                <w:szCs w:val="16"/>
              </w:rPr>
              <w:t>Lessons from Outside and Within: Exploring Advancements in Methodology for Naturopathic Medicine Clinical Research.</w:t>
            </w:r>
          </w:p>
        </w:tc>
        <w:tc>
          <w:tcPr>
            <w:tcW w:w="1417" w:type="dxa"/>
          </w:tcPr>
          <w:p w14:paraId="473C11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Herbal &amp; Naturopathic Medicine</w:t>
            </w:r>
          </w:p>
        </w:tc>
        <w:tc>
          <w:tcPr>
            <w:tcW w:w="709" w:type="dxa"/>
          </w:tcPr>
          <w:p w14:paraId="66819A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1523A4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135-140</w:t>
            </w:r>
          </w:p>
        </w:tc>
        <w:tc>
          <w:tcPr>
            <w:tcW w:w="1559" w:type="dxa"/>
          </w:tcPr>
          <w:p w14:paraId="135CD6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10.1089/acm.2018.0403</w:t>
            </w:r>
          </w:p>
        </w:tc>
        <w:tc>
          <w:tcPr>
            <w:tcW w:w="850" w:type="dxa"/>
            <w:shd w:val="clear" w:color="auto" w:fill="auto"/>
            <w:noWrap/>
            <w:hideMark/>
          </w:tcPr>
          <w:p w14:paraId="6BA9CC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C1028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3003B05A" w14:textId="77777777" w:rsidTr="00924B3D">
        <w:trPr>
          <w:trHeight w:val="300"/>
        </w:trPr>
        <w:tc>
          <w:tcPr>
            <w:tcW w:w="1009" w:type="dxa"/>
            <w:shd w:val="clear" w:color="auto" w:fill="auto"/>
            <w:noWrap/>
            <w:hideMark/>
          </w:tcPr>
          <w:p w14:paraId="7B87AC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EF8AD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Schloss J, McIntyre E, Steel A, et al.</w:t>
            </w:r>
          </w:p>
        </w:tc>
        <w:tc>
          <w:tcPr>
            <w:tcW w:w="709" w:type="dxa"/>
            <w:shd w:val="clear" w:color="auto" w:fill="auto"/>
            <w:noWrap/>
            <w:hideMark/>
          </w:tcPr>
          <w:p w14:paraId="452353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74047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Lessons from Outside and Within: Exploring Advancements in Methodology for Naturopathic Medicine Clinical Research.</w:t>
            </w:r>
          </w:p>
        </w:tc>
        <w:tc>
          <w:tcPr>
            <w:tcW w:w="1417" w:type="dxa"/>
          </w:tcPr>
          <w:p w14:paraId="77FA79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Journal of Alternative and </w:t>
            </w:r>
            <w:r w:rsidRPr="00D518FF">
              <w:rPr>
                <w:rFonts w:ascii="Aptos" w:hAnsi="Aptos" w:cs="Calibri"/>
                <w:color w:val="000000"/>
                <w:sz w:val="16"/>
                <w:szCs w:val="16"/>
              </w:rPr>
              <w:lastRenderedPageBreak/>
              <w:t>Complementary Medicine</w:t>
            </w:r>
          </w:p>
        </w:tc>
        <w:tc>
          <w:tcPr>
            <w:tcW w:w="709" w:type="dxa"/>
          </w:tcPr>
          <w:p w14:paraId="5F2665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25(2)</w:t>
            </w:r>
          </w:p>
        </w:tc>
        <w:tc>
          <w:tcPr>
            <w:tcW w:w="851" w:type="dxa"/>
          </w:tcPr>
          <w:p w14:paraId="5F083F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135-140</w:t>
            </w:r>
          </w:p>
        </w:tc>
        <w:tc>
          <w:tcPr>
            <w:tcW w:w="1559" w:type="dxa"/>
          </w:tcPr>
          <w:p w14:paraId="5A7B71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10.1089/acm.2018.0403</w:t>
            </w:r>
          </w:p>
        </w:tc>
        <w:tc>
          <w:tcPr>
            <w:tcW w:w="850" w:type="dxa"/>
            <w:shd w:val="clear" w:color="auto" w:fill="auto"/>
            <w:noWrap/>
            <w:hideMark/>
          </w:tcPr>
          <w:p w14:paraId="4CB63F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6A982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00B31AAE" w14:textId="77777777" w:rsidTr="00924B3D">
        <w:trPr>
          <w:trHeight w:val="300"/>
        </w:trPr>
        <w:tc>
          <w:tcPr>
            <w:tcW w:w="1009" w:type="dxa"/>
            <w:shd w:val="clear" w:color="auto" w:fill="auto"/>
            <w:noWrap/>
            <w:hideMark/>
          </w:tcPr>
          <w:p w14:paraId="189129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3FED8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Schloss JM, Colosimo M, Airey C, et al</w:t>
            </w:r>
          </w:p>
        </w:tc>
        <w:tc>
          <w:tcPr>
            <w:tcW w:w="709" w:type="dxa"/>
            <w:shd w:val="clear" w:color="auto" w:fill="auto"/>
            <w:noWrap/>
            <w:hideMark/>
          </w:tcPr>
          <w:p w14:paraId="32D6A7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FDDA6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randomised, placebo-controlled trial assessing the efficacy of an oral B group vitamin in preventing the development of chemotherapy-induced peripheral neuropathy (CIPN)</w:t>
            </w:r>
          </w:p>
        </w:tc>
        <w:tc>
          <w:tcPr>
            <w:tcW w:w="1417" w:type="dxa"/>
          </w:tcPr>
          <w:p w14:paraId="254DCD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Supportive Care in Cancer</w:t>
            </w:r>
          </w:p>
        </w:tc>
        <w:tc>
          <w:tcPr>
            <w:tcW w:w="709" w:type="dxa"/>
          </w:tcPr>
          <w:p w14:paraId="34C6C4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25(1)</w:t>
            </w:r>
          </w:p>
        </w:tc>
        <w:tc>
          <w:tcPr>
            <w:tcW w:w="851" w:type="dxa"/>
          </w:tcPr>
          <w:p w14:paraId="4873C0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195-204</w:t>
            </w:r>
          </w:p>
        </w:tc>
        <w:tc>
          <w:tcPr>
            <w:tcW w:w="1559" w:type="dxa"/>
          </w:tcPr>
          <w:p w14:paraId="1BAB88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E90EC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BB33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0E7F9CD" w14:textId="77777777" w:rsidTr="00924B3D">
        <w:trPr>
          <w:trHeight w:val="300"/>
        </w:trPr>
        <w:tc>
          <w:tcPr>
            <w:tcW w:w="1009" w:type="dxa"/>
            <w:shd w:val="clear" w:color="auto" w:fill="auto"/>
            <w:noWrap/>
            <w:hideMark/>
          </w:tcPr>
          <w:p w14:paraId="721337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64A4B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Schloss JM, Colosimo M, Airey C, et al</w:t>
            </w:r>
          </w:p>
        </w:tc>
        <w:tc>
          <w:tcPr>
            <w:tcW w:w="709" w:type="dxa"/>
            <w:shd w:val="clear" w:color="auto" w:fill="auto"/>
            <w:noWrap/>
            <w:hideMark/>
          </w:tcPr>
          <w:p w14:paraId="4B3C40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617520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Pilot trial assessing the efficacy and safety of a supplemental B vitamin complex to reduce the onset and severity of chemotherapy-induced peripheral neuropathy</w:t>
            </w:r>
          </w:p>
        </w:tc>
        <w:tc>
          <w:tcPr>
            <w:tcW w:w="1417" w:type="dxa"/>
          </w:tcPr>
          <w:p w14:paraId="656452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Clinical Oncology</w:t>
            </w:r>
          </w:p>
        </w:tc>
        <w:tc>
          <w:tcPr>
            <w:tcW w:w="709" w:type="dxa"/>
          </w:tcPr>
          <w:p w14:paraId="54B9467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33(15Suppl)</w:t>
            </w:r>
          </w:p>
        </w:tc>
        <w:tc>
          <w:tcPr>
            <w:tcW w:w="851" w:type="dxa"/>
          </w:tcPr>
          <w:p w14:paraId="62D19E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9604</w:t>
            </w:r>
          </w:p>
        </w:tc>
        <w:tc>
          <w:tcPr>
            <w:tcW w:w="1559" w:type="dxa"/>
          </w:tcPr>
          <w:p w14:paraId="1EAAEE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E8CF1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0225A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2F44DF8" w14:textId="77777777" w:rsidTr="00924B3D">
        <w:trPr>
          <w:trHeight w:val="300"/>
        </w:trPr>
        <w:tc>
          <w:tcPr>
            <w:tcW w:w="1009" w:type="dxa"/>
            <w:shd w:val="clear" w:color="auto" w:fill="auto"/>
            <w:noWrap/>
            <w:hideMark/>
          </w:tcPr>
          <w:p w14:paraId="3E6723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5CC08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Schmidt M, Thomsen M, Schmidt U</w:t>
            </w:r>
          </w:p>
        </w:tc>
        <w:tc>
          <w:tcPr>
            <w:tcW w:w="709" w:type="dxa"/>
            <w:shd w:val="clear" w:color="auto" w:fill="auto"/>
            <w:noWrap/>
            <w:hideMark/>
          </w:tcPr>
          <w:p w14:paraId="4F814B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2E38FC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Suitability of ivy extract for the treatment of paediatric cough</w:t>
            </w:r>
          </w:p>
        </w:tc>
        <w:tc>
          <w:tcPr>
            <w:tcW w:w="1417" w:type="dxa"/>
          </w:tcPr>
          <w:p w14:paraId="5B3FA1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Phytotherapy Research</w:t>
            </w:r>
          </w:p>
        </w:tc>
        <w:tc>
          <w:tcPr>
            <w:tcW w:w="709" w:type="dxa"/>
          </w:tcPr>
          <w:p w14:paraId="331501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26(12)</w:t>
            </w:r>
          </w:p>
        </w:tc>
        <w:tc>
          <w:tcPr>
            <w:tcW w:w="851" w:type="dxa"/>
          </w:tcPr>
          <w:p w14:paraId="47F2B9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1942-7</w:t>
            </w:r>
          </w:p>
        </w:tc>
        <w:tc>
          <w:tcPr>
            <w:tcW w:w="1559" w:type="dxa"/>
          </w:tcPr>
          <w:p w14:paraId="45BB1E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6A047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DE485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BEB42EA" w14:textId="77777777" w:rsidTr="00924B3D">
        <w:trPr>
          <w:trHeight w:val="300"/>
        </w:trPr>
        <w:tc>
          <w:tcPr>
            <w:tcW w:w="1009" w:type="dxa"/>
            <w:shd w:val="clear" w:color="auto" w:fill="auto"/>
            <w:noWrap/>
            <w:hideMark/>
          </w:tcPr>
          <w:p w14:paraId="715FD2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41C37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Schoenthaler SJ, Bier ID</w:t>
            </w:r>
          </w:p>
        </w:tc>
        <w:tc>
          <w:tcPr>
            <w:tcW w:w="709" w:type="dxa"/>
            <w:shd w:val="clear" w:color="auto" w:fill="auto"/>
            <w:noWrap/>
            <w:hideMark/>
          </w:tcPr>
          <w:p w14:paraId="499190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2000</w:t>
            </w:r>
          </w:p>
        </w:tc>
        <w:tc>
          <w:tcPr>
            <w:tcW w:w="3544" w:type="dxa"/>
            <w:shd w:val="clear" w:color="auto" w:fill="auto"/>
            <w:noWrap/>
            <w:hideMark/>
          </w:tcPr>
          <w:p w14:paraId="7060E9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vitamin-mineral supplementation on juvenile delinquincy among American schoolchildren: a randomized, double-blind placebo-controlled trial</w:t>
            </w:r>
          </w:p>
        </w:tc>
        <w:tc>
          <w:tcPr>
            <w:tcW w:w="1417" w:type="dxa"/>
          </w:tcPr>
          <w:p w14:paraId="50F132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502333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w:t>
            </w:r>
          </w:p>
        </w:tc>
        <w:tc>
          <w:tcPr>
            <w:tcW w:w="851" w:type="dxa"/>
          </w:tcPr>
          <w:p w14:paraId="718511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Jul-17</w:t>
            </w:r>
          </w:p>
        </w:tc>
        <w:tc>
          <w:tcPr>
            <w:tcW w:w="1559" w:type="dxa"/>
          </w:tcPr>
          <w:p w14:paraId="190444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3C8ED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E396B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D4E16DE" w14:textId="77777777" w:rsidTr="00924B3D">
        <w:trPr>
          <w:trHeight w:val="300"/>
        </w:trPr>
        <w:tc>
          <w:tcPr>
            <w:tcW w:w="1009" w:type="dxa"/>
            <w:shd w:val="clear" w:color="auto" w:fill="auto"/>
            <w:noWrap/>
            <w:hideMark/>
          </w:tcPr>
          <w:p w14:paraId="6B72F8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4A4E9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Schoenthaler SJ, Bier ID, Young K, et al</w:t>
            </w:r>
          </w:p>
        </w:tc>
        <w:tc>
          <w:tcPr>
            <w:tcW w:w="709" w:type="dxa"/>
            <w:shd w:val="clear" w:color="auto" w:fill="auto"/>
            <w:noWrap/>
            <w:hideMark/>
          </w:tcPr>
          <w:p w14:paraId="3595BE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2000</w:t>
            </w:r>
          </w:p>
        </w:tc>
        <w:tc>
          <w:tcPr>
            <w:tcW w:w="3544" w:type="dxa"/>
            <w:shd w:val="clear" w:color="auto" w:fill="auto"/>
            <w:noWrap/>
            <w:hideMark/>
          </w:tcPr>
          <w:p w14:paraId="4CAF9F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vitamin-mineral supplementation on the intelligence of American schoolchildren: a randomized, double-blind placebo-controlled trial</w:t>
            </w:r>
          </w:p>
        </w:tc>
        <w:tc>
          <w:tcPr>
            <w:tcW w:w="1417" w:type="dxa"/>
          </w:tcPr>
          <w:p w14:paraId="089312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0D3CA9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w:t>
            </w:r>
          </w:p>
        </w:tc>
        <w:tc>
          <w:tcPr>
            <w:tcW w:w="851" w:type="dxa"/>
          </w:tcPr>
          <w:p w14:paraId="6B2E70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19-29</w:t>
            </w:r>
          </w:p>
        </w:tc>
        <w:tc>
          <w:tcPr>
            <w:tcW w:w="1559" w:type="dxa"/>
          </w:tcPr>
          <w:p w14:paraId="6F9EC6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92C3B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0E99D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491C650" w14:textId="77777777" w:rsidTr="00924B3D">
        <w:trPr>
          <w:trHeight w:val="300"/>
        </w:trPr>
        <w:tc>
          <w:tcPr>
            <w:tcW w:w="1009" w:type="dxa"/>
            <w:shd w:val="clear" w:color="auto" w:fill="auto"/>
            <w:noWrap/>
            <w:hideMark/>
          </w:tcPr>
          <w:p w14:paraId="47D02B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8151F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Scholey A, Benson S, Gibbs A, et al.</w:t>
            </w:r>
          </w:p>
        </w:tc>
        <w:tc>
          <w:tcPr>
            <w:tcW w:w="709" w:type="dxa"/>
            <w:shd w:val="clear" w:color="auto" w:fill="auto"/>
            <w:noWrap/>
            <w:hideMark/>
          </w:tcPr>
          <w:p w14:paraId="7D6F46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0F3D9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Exploring the effect of Lactium™ and Zizyphus Complex on sleep quality: a double-blind, randomized placebo-controlled trial</w:t>
            </w:r>
          </w:p>
        </w:tc>
        <w:tc>
          <w:tcPr>
            <w:tcW w:w="1417" w:type="dxa"/>
          </w:tcPr>
          <w:p w14:paraId="15F6C0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36335A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9(2)</w:t>
            </w:r>
          </w:p>
        </w:tc>
        <w:tc>
          <w:tcPr>
            <w:tcW w:w="851" w:type="dxa"/>
          </w:tcPr>
          <w:p w14:paraId="6B1F7E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154</w:t>
            </w:r>
          </w:p>
        </w:tc>
        <w:tc>
          <w:tcPr>
            <w:tcW w:w="1559" w:type="dxa"/>
          </w:tcPr>
          <w:p w14:paraId="324D7B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18B17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00E02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13BB352" w14:textId="77777777" w:rsidTr="00924B3D">
        <w:trPr>
          <w:trHeight w:val="300"/>
        </w:trPr>
        <w:tc>
          <w:tcPr>
            <w:tcW w:w="1009" w:type="dxa"/>
            <w:shd w:val="clear" w:color="auto" w:fill="auto"/>
            <w:noWrap/>
            <w:hideMark/>
          </w:tcPr>
          <w:p w14:paraId="0771AA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EAAB0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Schumann D, Langhorst J, Dobos G, et al.</w:t>
            </w:r>
          </w:p>
        </w:tc>
        <w:tc>
          <w:tcPr>
            <w:tcW w:w="709" w:type="dxa"/>
            <w:shd w:val="clear" w:color="auto" w:fill="auto"/>
            <w:noWrap/>
            <w:hideMark/>
          </w:tcPr>
          <w:p w14:paraId="655481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5FD94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Randomised clinical trial: yoga vs a low</w:t>
            </w:r>
            <w:r w:rsidRPr="00D518FF">
              <w:rPr>
                <w:rFonts w:ascii="Cambria Math" w:hAnsi="Cambria Math" w:cs="Cambria Math"/>
                <w:color w:val="000000"/>
                <w:sz w:val="16"/>
                <w:szCs w:val="16"/>
              </w:rPr>
              <w:t>‐</w:t>
            </w:r>
            <w:r w:rsidRPr="00D518FF">
              <w:rPr>
                <w:rFonts w:ascii="Aptos" w:hAnsi="Aptos" w:cs="Calibri"/>
                <w:color w:val="000000"/>
                <w:sz w:val="16"/>
                <w:szCs w:val="16"/>
              </w:rPr>
              <w:t>FODMAP diet in patients with irritable bowel syndrome</w:t>
            </w:r>
          </w:p>
        </w:tc>
        <w:tc>
          <w:tcPr>
            <w:tcW w:w="1417" w:type="dxa"/>
          </w:tcPr>
          <w:p w14:paraId="1C47B5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Alimentary Pharmacology &amp; Therapeutics</w:t>
            </w:r>
          </w:p>
        </w:tc>
        <w:tc>
          <w:tcPr>
            <w:tcW w:w="709" w:type="dxa"/>
          </w:tcPr>
          <w:p w14:paraId="061526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47(2)</w:t>
            </w:r>
          </w:p>
        </w:tc>
        <w:tc>
          <w:tcPr>
            <w:tcW w:w="851" w:type="dxa"/>
          </w:tcPr>
          <w:p w14:paraId="747A7C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203-11</w:t>
            </w:r>
          </w:p>
        </w:tc>
        <w:tc>
          <w:tcPr>
            <w:tcW w:w="1559" w:type="dxa"/>
          </w:tcPr>
          <w:p w14:paraId="1A0A85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0AA6E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56726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4AE16A8" w14:textId="77777777" w:rsidTr="00924B3D">
        <w:trPr>
          <w:trHeight w:val="300"/>
        </w:trPr>
        <w:tc>
          <w:tcPr>
            <w:tcW w:w="1009" w:type="dxa"/>
            <w:shd w:val="clear" w:color="auto" w:fill="auto"/>
            <w:noWrap/>
            <w:hideMark/>
          </w:tcPr>
          <w:p w14:paraId="0A5B0F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27182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Scott, R., A. MacPherson, R. Yates, B. Hussain and J. Dixon</w:t>
            </w:r>
          </w:p>
        </w:tc>
        <w:tc>
          <w:tcPr>
            <w:tcW w:w="709" w:type="dxa"/>
            <w:shd w:val="clear" w:color="auto" w:fill="auto"/>
            <w:noWrap/>
            <w:hideMark/>
          </w:tcPr>
          <w:p w14:paraId="37B58F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1998</w:t>
            </w:r>
          </w:p>
        </w:tc>
        <w:tc>
          <w:tcPr>
            <w:tcW w:w="3544" w:type="dxa"/>
            <w:shd w:val="clear" w:color="auto" w:fill="auto"/>
            <w:noWrap/>
            <w:hideMark/>
          </w:tcPr>
          <w:p w14:paraId="4B58BF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oral selenium supplementation on human sperm motility.</w:t>
            </w:r>
          </w:p>
        </w:tc>
        <w:tc>
          <w:tcPr>
            <w:tcW w:w="1417" w:type="dxa"/>
          </w:tcPr>
          <w:p w14:paraId="26B92E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British journal of urology</w:t>
            </w:r>
          </w:p>
        </w:tc>
        <w:tc>
          <w:tcPr>
            <w:tcW w:w="709" w:type="dxa"/>
          </w:tcPr>
          <w:p w14:paraId="294A4E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82(1)</w:t>
            </w:r>
          </w:p>
        </w:tc>
        <w:tc>
          <w:tcPr>
            <w:tcW w:w="851" w:type="dxa"/>
          </w:tcPr>
          <w:p w14:paraId="22BF0A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76-80</w:t>
            </w:r>
          </w:p>
        </w:tc>
        <w:tc>
          <w:tcPr>
            <w:tcW w:w="1559" w:type="dxa"/>
          </w:tcPr>
          <w:p w14:paraId="15F782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0007-1331</w:t>
            </w:r>
          </w:p>
        </w:tc>
        <w:tc>
          <w:tcPr>
            <w:tcW w:w="850" w:type="dxa"/>
            <w:shd w:val="clear" w:color="auto" w:fill="auto"/>
            <w:noWrap/>
            <w:hideMark/>
          </w:tcPr>
          <w:p w14:paraId="53515E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3A965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6B6C2D9" w14:textId="77777777" w:rsidTr="00924B3D">
        <w:trPr>
          <w:trHeight w:val="300"/>
        </w:trPr>
        <w:tc>
          <w:tcPr>
            <w:tcW w:w="1009" w:type="dxa"/>
            <w:shd w:val="clear" w:color="auto" w:fill="auto"/>
            <w:noWrap/>
            <w:hideMark/>
          </w:tcPr>
          <w:p w14:paraId="65A7F4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74BCD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Seely D, Singh R</w:t>
            </w:r>
          </w:p>
        </w:tc>
        <w:tc>
          <w:tcPr>
            <w:tcW w:w="709" w:type="dxa"/>
            <w:shd w:val="clear" w:color="auto" w:fill="auto"/>
            <w:noWrap/>
            <w:hideMark/>
          </w:tcPr>
          <w:p w14:paraId="321D5B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2B4A5E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Adaptogenic potential of a polyherbal natural health product: report on a longitudinal clinical trial</w:t>
            </w:r>
          </w:p>
        </w:tc>
        <w:tc>
          <w:tcPr>
            <w:tcW w:w="1417" w:type="dxa"/>
          </w:tcPr>
          <w:p w14:paraId="5F1C6E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Evidence-Based Complementary and Alternative Medicine</w:t>
            </w:r>
          </w:p>
        </w:tc>
        <w:tc>
          <w:tcPr>
            <w:tcW w:w="709" w:type="dxa"/>
          </w:tcPr>
          <w:p w14:paraId="60DA1A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4(3)</w:t>
            </w:r>
          </w:p>
        </w:tc>
        <w:tc>
          <w:tcPr>
            <w:tcW w:w="851" w:type="dxa"/>
          </w:tcPr>
          <w:p w14:paraId="2A2FDF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375-80</w:t>
            </w:r>
          </w:p>
        </w:tc>
        <w:tc>
          <w:tcPr>
            <w:tcW w:w="1559" w:type="dxa"/>
          </w:tcPr>
          <w:p w14:paraId="09A2ED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A762C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2A3F3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777792D" w14:textId="77777777" w:rsidTr="00924B3D">
        <w:trPr>
          <w:trHeight w:val="300"/>
        </w:trPr>
        <w:tc>
          <w:tcPr>
            <w:tcW w:w="1009" w:type="dxa"/>
            <w:shd w:val="clear" w:color="auto" w:fill="auto"/>
            <w:noWrap/>
            <w:hideMark/>
          </w:tcPr>
          <w:p w14:paraId="3C5DE3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8E63D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Seely D, Szczurko O, Cooley K, et al</w:t>
            </w:r>
          </w:p>
        </w:tc>
        <w:tc>
          <w:tcPr>
            <w:tcW w:w="709" w:type="dxa"/>
            <w:shd w:val="clear" w:color="auto" w:fill="auto"/>
            <w:noWrap/>
            <w:hideMark/>
          </w:tcPr>
          <w:p w14:paraId="33DD64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4F6153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medicine for the prevention of cardiovascular disease: a randomized clinical trial</w:t>
            </w:r>
          </w:p>
        </w:tc>
        <w:tc>
          <w:tcPr>
            <w:tcW w:w="1417" w:type="dxa"/>
          </w:tcPr>
          <w:p w14:paraId="63D9BD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Canadian Medical Association Journal</w:t>
            </w:r>
          </w:p>
        </w:tc>
        <w:tc>
          <w:tcPr>
            <w:tcW w:w="709" w:type="dxa"/>
          </w:tcPr>
          <w:p w14:paraId="334362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185 (9)</w:t>
            </w:r>
          </w:p>
        </w:tc>
        <w:tc>
          <w:tcPr>
            <w:tcW w:w="851" w:type="dxa"/>
          </w:tcPr>
          <w:p w14:paraId="3B33D7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E409-16</w:t>
            </w:r>
          </w:p>
        </w:tc>
        <w:tc>
          <w:tcPr>
            <w:tcW w:w="1559" w:type="dxa"/>
          </w:tcPr>
          <w:p w14:paraId="4ED2C9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79AE2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FB6C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0EF19CF" w14:textId="77777777" w:rsidTr="00924B3D">
        <w:trPr>
          <w:trHeight w:val="300"/>
        </w:trPr>
        <w:tc>
          <w:tcPr>
            <w:tcW w:w="1009" w:type="dxa"/>
            <w:shd w:val="clear" w:color="auto" w:fill="auto"/>
            <w:noWrap/>
            <w:hideMark/>
          </w:tcPr>
          <w:p w14:paraId="1D70A9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6128C01" w14:textId="77777777" w:rsidR="008F3151" w:rsidRPr="00D518FF" w:rsidRDefault="008F3151" w:rsidP="00924B3D">
            <w:pPr>
              <w:rPr>
                <w:rFonts w:ascii="Aptos" w:hAnsi="Aptos" w:cs="Calibri"/>
                <w:sz w:val="16"/>
                <w:szCs w:val="16"/>
              </w:rPr>
            </w:pPr>
            <w:r w:rsidRPr="00D518FF">
              <w:rPr>
                <w:rFonts w:ascii="Aptos" w:hAnsi="Aptos" w:cs="Calibri"/>
                <w:sz w:val="16"/>
                <w:szCs w:val="16"/>
              </w:rPr>
              <w:t>Seely D</w:t>
            </w:r>
            <w:r w:rsidRPr="00D518FF">
              <w:rPr>
                <w:rFonts w:ascii="Aptos" w:hAnsi="Aptos" w:cs="Calibri"/>
                <w:color w:val="000000"/>
                <w:sz w:val="16"/>
                <w:szCs w:val="16"/>
              </w:rPr>
              <w:t>, </w:t>
            </w:r>
            <w:r w:rsidRPr="00D518FF">
              <w:rPr>
                <w:rFonts w:ascii="Aptos" w:hAnsi="Aptos" w:cs="Calibri"/>
                <w:sz w:val="16"/>
                <w:szCs w:val="16"/>
              </w:rPr>
              <w:t>Szczurko O</w:t>
            </w:r>
            <w:r w:rsidRPr="00D518FF">
              <w:rPr>
                <w:rFonts w:ascii="Aptos" w:hAnsi="Aptos" w:cs="Calibri"/>
                <w:color w:val="000000"/>
                <w:sz w:val="16"/>
                <w:szCs w:val="16"/>
              </w:rPr>
              <w:t>, </w:t>
            </w:r>
            <w:r w:rsidRPr="00D518FF">
              <w:rPr>
                <w:rFonts w:ascii="Aptos" w:hAnsi="Aptos" w:cs="Calibri"/>
                <w:sz w:val="16"/>
                <w:szCs w:val="16"/>
              </w:rPr>
              <w:t>Cooley K</w:t>
            </w:r>
            <w:r w:rsidRPr="00D518FF">
              <w:rPr>
                <w:rFonts w:ascii="Aptos" w:hAnsi="Aptos" w:cs="Calibri"/>
                <w:color w:val="000000"/>
                <w:sz w:val="16"/>
                <w:szCs w:val="16"/>
              </w:rPr>
              <w:t>, </w:t>
            </w:r>
            <w:r w:rsidRPr="00D518FF">
              <w:rPr>
                <w:rFonts w:ascii="Aptos" w:hAnsi="Aptos" w:cs="Calibri"/>
                <w:sz w:val="16"/>
                <w:szCs w:val="16"/>
              </w:rPr>
              <w:t>Fritz H</w:t>
            </w:r>
            <w:r w:rsidRPr="00D518FF">
              <w:rPr>
                <w:rFonts w:ascii="Aptos" w:hAnsi="Aptos" w:cs="Calibri"/>
                <w:color w:val="000000"/>
                <w:sz w:val="16"/>
                <w:szCs w:val="16"/>
              </w:rPr>
              <w:t>, </w:t>
            </w:r>
            <w:r w:rsidRPr="00D518FF">
              <w:rPr>
                <w:rFonts w:ascii="Aptos" w:hAnsi="Aptos" w:cs="Calibri"/>
                <w:sz w:val="16"/>
                <w:szCs w:val="16"/>
              </w:rPr>
              <w:t>Aberdour S</w:t>
            </w:r>
            <w:r w:rsidRPr="00D518FF">
              <w:rPr>
                <w:rFonts w:ascii="Aptos" w:hAnsi="Aptos" w:cs="Calibri"/>
                <w:color w:val="000000"/>
                <w:sz w:val="16"/>
                <w:szCs w:val="16"/>
              </w:rPr>
              <w:t>, </w:t>
            </w:r>
            <w:r w:rsidRPr="00D518FF">
              <w:rPr>
                <w:rFonts w:ascii="Aptos" w:hAnsi="Aptos" w:cs="Calibri"/>
                <w:sz w:val="16"/>
                <w:szCs w:val="16"/>
              </w:rPr>
              <w:t>Herrington C</w:t>
            </w:r>
            <w:r w:rsidRPr="00D518FF">
              <w:rPr>
                <w:rFonts w:ascii="Aptos" w:hAnsi="Aptos" w:cs="Calibri"/>
                <w:color w:val="000000"/>
                <w:sz w:val="16"/>
                <w:szCs w:val="16"/>
              </w:rPr>
              <w:t>, </w:t>
            </w:r>
            <w:r w:rsidRPr="00D518FF">
              <w:rPr>
                <w:rFonts w:ascii="Aptos" w:hAnsi="Aptos" w:cs="Calibri"/>
                <w:sz w:val="16"/>
                <w:szCs w:val="16"/>
              </w:rPr>
              <w:t>Herman P</w:t>
            </w:r>
            <w:r w:rsidRPr="00D518FF">
              <w:rPr>
                <w:rFonts w:ascii="Aptos" w:hAnsi="Aptos" w:cs="Calibri"/>
                <w:color w:val="000000"/>
                <w:sz w:val="16"/>
                <w:szCs w:val="16"/>
              </w:rPr>
              <w:t>, </w:t>
            </w:r>
            <w:r w:rsidRPr="00D518FF">
              <w:rPr>
                <w:rFonts w:ascii="Aptos" w:hAnsi="Aptos" w:cs="Calibri"/>
                <w:sz w:val="16"/>
                <w:szCs w:val="16"/>
              </w:rPr>
              <w:t>Rouchotas P</w:t>
            </w:r>
            <w:r w:rsidRPr="00D518FF">
              <w:rPr>
                <w:rFonts w:ascii="Aptos" w:hAnsi="Aptos" w:cs="Calibri"/>
                <w:color w:val="000000"/>
                <w:sz w:val="16"/>
                <w:szCs w:val="16"/>
              </w:rPr>
              <w:t>, </w:t>
            </w:r>
            <w:r w:rsidRPr="00D518FF">
              <w:rPr>
                <w:rFonts w:ascii="Aptos" w:hAnsi="Aptos" w:cs="Calibri"/>
                <w:sz w:val="16"/>
                <w:szCs w:val="16"/>
              </w:rPr>
              <w:t>Lescheid D</w:t>
            </w:r>
            <w:r w:rsidRPr="00D518FF">
              <w:rPr>
                <w:rFonts w:ascii="Aptos" w:hAnsi="Aptos" w:cs="Calibri"/>
                <w:color w:val="000000"/>
                <w:sz w:val="16"/>
                <w:szCs w:val="16"/>
              </w:rPr>
              <w:t>, </w:t>
            </w:r>
            <w:r w:rsidRPr="00D518FF">
              <w:rPr>
                <w:rFonts w:ascii="Aptos" w:hAnsi="Aptos" w:cs="Calibri"/>
                <w:sz w:val="16"/>
                <w:szCs w:val="16"/>
              </w:rPr>
              <w:t>Bradley R</w:t>
            </w:r>
            <w:r w:rsidRPr="00D518FF">
              <w:rPr>
                <w:rFonts w:ascii="Aptos" w:hAnsi="Aptos" w:cs="Calibri"/>
                <w:color w:val="000000"/>
                <w:sz w:val="16"/>
                <w:szCs w:val="16"/>
              </w:rPr>
              <w:t>, </w:t>
            </w:r>
            <w:r w:rsidRPr="00D518FF">
              <w:rPr>
                <w:rFonts w:ascii="Aptos" w:hAnsi="Aptos" w:cs="Calibri"/>
                <w:sz w:val="16"/>
                <w:szCs w:val="16"/>
              </w:rPr>
              <w:t>Gignac T</w:t>
            </w:r>
            <w:r w:rsidRPr="00D518FF">
              <w:rPr>
                <w:rFonts w:ascii="Aptos" w:hAnsi="Aptos" w:cs="Calibri"/>
                <w:color w:val="000000"/>
                <w:sz w:val="16"/>
                <w:szCs w:val="16"/>
              </w:rPr>
              <w:t>, </w:t>
            </w:r>
            <w:r w:rsidRPr="00D518FF">
              <w:rPr>
                <w:rFonts w:ascii="Aptos" w:hAnsi="Aptos" w:cs="Calibri"/>
                <w:sz w:val="16"/>
                <w:szCs w:val="16"/>
              </w:rPr>
              <w:t>Bernhardt B</w:t>
            </w:r>
            <w:r w:rsidRPr="00D518FF">
              <w:rPr>
                <w:rFonts w:ascii="Aptos" w:hAnsi="Aptos" w:cs="Calibri"/>
                <w:color w:val="000000"/>
                <w:sz w:val="16"/>
                <w:szCs w:val="16"/>
              </w:rPr>
              <w:t>, </w:t>
            </w:r>
            <w:r w:rsidRPr="00D518FF">
              <w:rPr>
                <w:rFonts w:ascii="Aptos" w:hAnsi="Aptos" w:cs="Calibri"/>
                <w:sz w:val="16"/>
                <w:szCs w:val="16"/>
              </w:rPr>
              <w:t>Zhou Q</w:t>
            </w:r>
            <w:r w:rsidRPr="00D518FF">
              <w:rPr>
                <w:rFonts w:ascii="Aptos" w:hAnsi="Aptos" w:cs="Calibri"/>
                <w:color w:val="000000"/>
                <w:sz w:val="16"/>
                <w:szCs w:val="16"/>
              </w:rPr>
              <w:t>, </w:t>
            </w:r>
            <w:r w:rsidRPr="00D518FF">
              <w:rPr>
                <w:rFonts w:ascii="Aptos" w:hAnsi="Aptos" w:cs="Calibri"/>
                <w:sz w:val="16"/>
                <w:szCs w:val="16"/>
              </w:rPr>
              <w:t>Guyatt G</w:t>
            </w:r>
            <w:r w:rsidRPr="00D518FF">
              <w:rPr>
                <w:rFonts w:ascii="Aptos" w:hAnsi="Aptos" w:cs="Calibri"/>
                <w:color w:val="000000"/>
                <w:sz w:val="16"/>
                <w:szCs w:val="16"/>
              </w:rPr>
              <w:t>.</w:t>
            </w:r>
          </w:p>
        </w:tc>
        <w:tc>
          <w:tcPr>
            <w:tcW w:w="709" w:type="dxa"/>
            <w:shd w:val="clear" w:color="auto" w:fill="auto"/>
            <w:noWrap/>
            <w:hideMark/>
          </w:tcPr>
          <w:p w14:paraId="1091B6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412208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medicine for the prevention of cardiovascular disease: a randomized clinical trial</w:t>
            </w:r>
          </w:p>
        </w:tc>
        <w:tc>
          <w:tcPr>
            <w:tcW w:w="1417" w:type="dxa"/>
          </w:tcPr>
          <w:p w14:paraId="51BED8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Canadian Medical Association Journal </w:t>
            </w:r>
          </w:p>
        </w:tc>
        <w:tc>
          <w:tcPr>
            <w:tcW w:w="709" w:type="dxa"/>
          </w:tcPr>
          <w:p w14:paraId="217723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185(9)</w:t>
            </w:r>
          </w:p>
        </w:tc>
        <w:tc>
          <w:tcPr>
            <w:tcW w:w="851" w:type="dxa"/>
          </w:tcPr>
          <w:p w14:paraId="729F0B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409-416</w:t>
            </w:r>
          </w:p>
        </w:tc>
        <w:tc>
          <w:tcPr>
            <w:tcW w:w="1559" w:type="dxa"/>
          </w:tcPr>
          <w:p w14:paraId="5A84D9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10.1503/cmaj.120567</w:t>
            </w:r>
          </w:p>
        </w:tc>
        <w:tc>
          <w:tcPr>
            <w:tcW w:w="850" w:type="dxa"/>
            <w:shd w:val="clear" w:color="auto" w:fill="auto"/>
            <w:noWrap/>
            <w:hideMark/>
          </w:tcPr>
          <w:p w14:paraId="35A1FC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25CE5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68ACA0C" w14:textId="77777777" w:rsidTr="00924B3D">
        <w:trPr>
          <w:trHeight w:val="300"/>
        </w:trPr>
        <w:tc>
          <w:tcPr>
            <w:tcW w:w="1009" w:type="dxa"/>
            <w:shd w:val="clear" w:color="auto" w:fill="auto"/>
            <w:noWrap/>
            <w:hideMark/>
          </w:tcPr>
          <w:p w14:paraId="4FBDF5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4578D3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Seely D, Szczurko O, Kieran C, Fritz H, Herman P, Bradley R, Aberdour S, Herrington C, Rouchotas P, Lescheid D, Gignac T, Bernhardt B, Zhou Q, Guyatt G</w:t>
            </w:r>
          </w:p>
        </w:tc>
        <w:tc>
          <w:tcPr>
            <w:tcW w:w="709" w:type="dxa"/>
            <w:shd w:val="clear" w:color="auto" w:fill="auto"/>
            <w:noWrap/>
            <w:hideMark/>
          </w:tcPr>
          <w:p w14:paraId="474792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1FDA23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medicine for the prevention of cardiovascular disease: a pragmatic randomized clinical trial</w:t>
            </w:r>
          </w:p>
        </w:tc>
        <w:tc>
          <w:tcPr>
            <w:tcW w:w="1417" w:type="dxa"/>
          </w:tcPr>
          <w:p w14:paraId="0E86DE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6704AB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w:t>
            </w:r>
          </w:p>
        </w:tc>
        <w:tc>
          <w:tcPr>
            <w:tcW w:w="851" w:type="dxa"/>
          </w:tcPr>
          <w:p w14:paraId="393ABF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1DDEC3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60EF1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64B01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1FB8AB2" w14:textId="77777777" w:rsidTr="00924B3D">
        <w:trPr>
          <w:trHeight w:val="300"/>
        </w:trPr>
        <w:tc>
          <w:tcPr>
            <w:tcW w:w="1009" w:type="dxa"/>
            <w:shd w:val="clear" w:color="auto" w:fill="auto"/>
            <w:noWrap/>
            <w:hideMark/>
          </w:tcPr>
          <w:p w14:paraId="1575DD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5B368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Selvakumar G, Shathirapathiy G, Jainraj R, et al.</w:t>
            </w:r>
          </w:p>
        </w:tc>
        <w:tc>
          <w:tcPr>
            <w:tcW w:w="709" w:type="dxa"/>
            <w:shd w:val="clear" w:color="auto" w:fill="auto"/>
            <w:noWrap/>
            <w:hideMark/>
          </w:tcPr>
          <w:p w14:paraId="2EBA36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8D068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Immediate effect of bitter gourd, ash gourd, Knol-khol juices on blood sugar levels of patients with type 2 diabetes mellitus: a pilot study</w:t>
            </w:r>
          </w:p>
        </w:tc>
        <w:tc>
          <w:tcPr>
            <w:tcW w:w="1417" w:type="dxa"/>
          </w:tcPr>
          <w:p w14:paraId="2E3A9F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Traditional and Complementary Medicine</w:t>
            </w:r>
          </w:p>
        </w:tc>
        <w:tc>
          <w:tcPr>
            <w:tcW w:w="709" w:type="dxa"/>
          </w:tcPr>
          <w:p w14:paraId="1A06FB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7(4)</w:t>
            </w:r>
          </w:p>
        </w:tc>
        <w:tc>
          <w:tcPr>
            <w:tcW w:w="851" w:type="dxa"/>
          </w:tcPr>
          <w:p w14:paraId="18FB6C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526-31</w:t>
            </w:r>
          </w:p>
        </w:tc>
        <w:tc>
          <w:tcPr>
            <w:tcW w:w="1559" w:type="dxa"/>
          </w:tcPr>
          <w:p w14:paraId="0080DC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AA0B4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23B24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4BAE50E" w14:textId="77777777" w:rsidTr="00924B3D">
        <w:trPr>
          <w:trHeight w:val="300"/>
        </w:trPr>
        <w:tc>
          <w:tcPr>
            <w:tcW w:w="1009" w:type="dxa"/>
            <w:shd w:val="clear" w:color="auto" w:fill="auto"/>
            <w:noWrap/>
            <w:hideMark/>
          </w:tcPr>
          <w:p w14:paraId="4A0493D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CA7D2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Senftleber N, Nielsen S, Andersen J, Bliddal H, Tarp S, Lauritzen L, Furst D, Suarez-Almazor M, Lyddiatt A, Christensen R.</w:t>
            </w:r>
          </w:p>
        </w:tc>
        <w:tc>
          <w:tcPr>
            <w:tcW w:w="709" w:type="dxa"/>
            <w:shd w:val="clear" w:color="auto" w:fill="auto"/>
            <w:noWrap/>
            <w:hideMark/>
          </w:tcPr>
          <w:p w14:paraId="3D38ED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BF5D6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Marine oil supplements for arthritis pain: a systematic review and meta-analysis of randomized trials.</w:t>
            </w:r>
          </w:p>
        </w:tc>
        <w:tc>
          <w:tcPr>
            <w:tcW w:w="1417" w:type="dxa"/>
          </w:tcPr>
          <w:p w14:paraId="312595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09D88E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9(1)</w:t>
            </w:r>
          </w:p>
        </w:tc>
        <w:tc>
          <w:tcPr>
            <w:tcW w:w="851" w:type="dxa"/>
          </w:tcPr>
          <w:p w14:paraId="53D622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w:t>
            </w:r>
          </w:p>
        </w:tc>
        <w:tc>
          <w:tcPr>
            <w:tcW w:w="1559" w:type="dxa"/>
          </w:tcPr>
          <w:p w14:paraId="58EB60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8D6D5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C3C073" w14:textId="09D9EFFD"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3BBC1D06" w14:textId="77777777" w:rsidTr="00924B3D">
        <w:trPr>
          <w:trHeight w:val="300"/>
        </w:trPr>
        <w:tc>
          <w:tcPr>
            <w:tcW w:w="1009" w:type="dxa"/>
            <w:shd w:val="clear" w:color="auto" w:fill="auto"/>
            <w:noWrap/>
            <w:hideMark/>
          </w:tcPr>
          <w:p w14:paraId="30F205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FC721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Shetty P, Mooventhan A, Nagendra HR</w:t>
            </w:r>
          </w:p>
        </w:tc>
        <w:tc>
          <w:tcPr>
            <w:tcW w:w="709" w:type="dxa"/>
            <w:shd w:val="clear" w:color="auto" w:fill="auto"/>
            <w:noWrap/>
            <w:hideMark/>
          </w:tcPr>
          <w:p w14:paraId="255961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70FC94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Does short-term lemon honey juice fasting have effect on lipid profile and body composition in healthy individuals?</w:t>
            </w:r>
          </w:p>
        </w:tc>
        <w:tc>
          <w:tcPr>
            <w:tcW w:w="1417" w:type="dxa"/>
          </w:tcPr>
          <w:p w14:paraId="24E197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Ayurveda and Integrative Medicine</w:t>
            </w:r>
          </w:p>
        </w:tc>
        <w:tc>
          <w:tcPr>
            <w:tcW w:w="709" w:type="dxa"/>
          </w:tcPr>
          <w:p w14:paraId="7D6AE4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7(1)</w:t>
            </w:r>
          </w:p>
        </w:tc>
        <w:tc>
          <w:tcPr>
            <w:tcW w:w="851" w:type="dxa"/>
          </w:tcPr>
          <w:p w14:paraId="08CC9B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11-Mar</w:t>
            </w:r>
          </w:p>
        </w:tc>
        <w:tc>
          <w:tcPr>
            <w:tcW w:w="1559" w:type="dxa"/>
          </w:tcPr>
          <w:p w14:paraId="2C7757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95CBC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5B855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478367A3" w14:textId="77777777" w:rsidTr="00924B3D">
        <w:trPr>
          <w:trHeight w:val="300"/>
        </w:trPr>
        <w:tc>
          <w:tcPr>
            <w:tcW w:w="1009" w:type="dxa"/>
            <w:shd w:val="clear" w:color="auto" w:fill="auto"/>
            <w:noWrap/>
            <w:hideMark/>
          </w:tcPr>
          <w:p w14:paraId="3AB252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606C6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Shetty S, Subramanya P, Moorthy VK.</w:t>
            </w:r>
          </w:p>
        </w:tc>
        <w:tc>
          <w:tcPr>
            <w:tcW w:w="709" w:type="dxa"/>
            <w:shd w:val="clear" w:color="auto" w:fill="auto"/>
            <w:noWrap/>
            <w:hideMark/>
          </w:tcPr>
          <w:p w14:paraId="2D0209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4231C9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yoga on flexibility and psychomotor performance in college-going healthy individuals.</w:t>
            </w:r>
          </w:p>
        </w:tc>
        <w:tc>
          <w:tcPr>
            <w:tcW w:w="1417" w:type="dxa"/>
          </w:tcPr>
          <w:p w14:paraId="0B0991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Yoga-Philosophy, Psychology and Parapsychology</w:t>
            </w:r>
          </w:p>
        </w:tc>
        <w:tc>
          <w:tcPr>
            <w:tcW w:w="709" w:type="dxa"/>
          </w:tcPr>
          <w:p w14:paraId="092B1D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w:t>
            </w:r>
          </w:p>
        </w:tc>
        <w:tc>
          <w:tcPr>
            <w:tcW w:w="851" w:type="dxa"/>
          </w:tcPr>
          <w:p w14:paraId="560CCC9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51</w:t>
            </w:r>
          </w:p>
        </w:tc>
        <w:tc>
          <w:tcPr>
            <w:tcW w:w="1559" w:type="dxa"/>
          </w:tcPr>
          <w:p w14:paraId="44111E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FC96B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3D66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15F02C4" w14:textId="77777777" w:rsidTr="00924B3D">
        <w:trPr>
          <w:trHeight w:val="300"/>
        </w:trPr>
        <w:tc>
          <w:tcPr>
            <w:tcW w:w="1009" w:type="dxa"/>
            <w:shd w:val="clear" w:color="auto" w:fill="auto"/>
            <w:noWrap/>
            <w:hideMark/>
          </w:tcPr>
          <w:p w14:paraId="172BB0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229B6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Shi Z, Richardson JM, Aycinena AC, et al.</w:t>
            </w:r>
          </w:p>
        </w:tc>
        <w:tc>
          <w:tcPr>
            <w:tcW w:w="709" w:type="dxa"/>
            <w:shd w:val="clear" w:color="auto" w:fill="auto"/>
            <w:noWrap/>
            <w:hideMark/>
          </w:tcPr>
          <w:p w14:paraId="155CA7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E9B52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Psychosocial mediators of dietary change among Hispanic/Latina breast cancer survivors in a culturally</w:t>
            </w:r>
            <w:r w:rsidRPr="00D518FF">
              <w:rPr>
                <w:rFonts w:ascii="Cambria Math" w:hAnsi="Cambria Math" w:cs="Cambria Math"/>
                <w:color w:val="000000"/>
                <w:sz w:val="16"/>
                <w:szCs w:val="16"/>
              </w:rPr>
              <w:t>‐</w:t>
            </w:r>
            <w:r w:rsidRPr="00D518FF">
              <w:rPr>
                <w:rFonts w:ascii="Aptos" w:hAnsi="Aptos" w:cs="Calibri"/>
                <w:color w:val="000000"/>
                <w:sz w:val="16"/>
                <w:szCs w:val="16"/>
              </w:rPr>
              <w:t>tailored dietary intervention</w:t>
            </w:r>
          </w:p>
        </w:tc>
        <w:tc>
          <w:tcPr>
            <w:tcW w:w="1417" w:type="dxa"/>
          </w:tcPr>
          <w:p w14:paraId="47B617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Psycho-oncology</w:t>
            </w:r>
          </w:p>
        </w:tc>
        <w:tc>
          <w:tcPr>
            <w:tcW w:w="709" w:type="dxa"/>
          </w:tcPr>
          <w:p w14:paraId="2FBE1A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27(9)</w:t>
            </w:r>
          </w:p>
        </w:tc>
        <w:tc>
          <w:tcPr>
            <w:tcW w:w="851" w:type="dxa"/>
          </w:tcPr>
          <w:p w14:paraId="2B1905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2220-8</w:t>
            </w:r>
          </w:p>
        </w:tc>
        <w:tc>
          <w:tcPr>
            <w:tcW w:w="1559" w:type="dxa"/>
          </w:tcPr>
          <w:p w14:paraId="79F1CD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C5692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0503D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6D0A81D" w14:textId="77777777" w:rsidTr="00924B3D">
        <w:trPr>
          <w:trHeight w:val="300"/>
        </w:trPr>
        <w:tc>
          <w:tcPr>
            <w:tcW w:w="1009" w:type="dxa"/>
            <w:shd w:val="clear" w:color="auto" w:fill="auto"/>
            <w:noWrap/>
            <w:hideMark/>
          </w:tcPr>
          <w:p w14:paraId="04F9DC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083E5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Shim, Bongseok &amp; Jeong, Hyewon &amp; Lee, Sara &amp; Hwang, Sehee &amp; Moon, Byeongseok &amp; Storni, Charlotte</w:t>
            </w:r>
          </w:p>
        </w:tc>
        <w:tc>
          <w:tcPr>
            <w:tcW w:w="709" w:type="dxa"/>
            <w:shd w:val="clear" w:color="auto" w:fill="auto"/>
            <w:noWrap/>
            <w:hideMark/>
          </w:tcPr>
          <w:p w14:paraId="5F1AC0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206155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randomized double-blind placebo-controlled clinical trial of a product containing pumpkin seed extract and soy germ extract to improve overactive bladder-related voiding dysfunction and quality of life</w:t>
            </w:r>
          </w:p>
        </w:tc>
        <w:tc>
          <w:tcPr>
            <w:tcW w:w="1417" w:type="dxa"/>
          </w:tcPr>
          <w:p w14:paraId="510D72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Functional Foods</w:t>
            </w:r>
          </w:p>
        </w:tc>
        <w:tc>
          <w:tcPr>
            <w:tcW w:w="709" w:type="dxa"/>
          </w:tcPr>
          <w:p w14:paraId="0C0062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 (1)</w:t>
            </w:r>
          </w:p>
        </w:tc>
        <w:tc>
          <w:tcPr>
            <w:tcW w:w="851" w:type="dxa"/>
          </w:tcPr>
          <w:p w14:paraId="05DCCE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111-117</w:t>
            </w:r>
          </w:p>
        </w:tc>
        <w:tc>
          <w:tcPr>
            <w:tcW w:w="1559" w:type="dxa"/>
          </w:tcPr>
          <w:p w14:paraId="02F018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10.1016/j.jff.2014.03.010.</w:t>
            </w:r>
          </w:p>
        </w:tc>
        <w:tc>
          <w:tcPr>
            <w:tcW w:w="850" w:type="dxa"/>
            <w:shd w:val="clear" w:color="auto" w:fill="auto"/>
            <w:noWrap/>
            <w:hideMark/>
          </w:tcPr>
          <w:p w14:paraId="4FF0BB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14CB5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8467ED9" w14:textId="77777777" w:rsidTr="00924B3D">
        <w:trPr>
          <w:trHeight w:val="300"/>
        </w:trPr>
        <w:tc>
          <w:tcPr>
            <w:tcW w:w="1009" w:type="dxa"/>
            <w:shd w:val="clear" w:color="auto" w:fill="auto"/>
            <w:noWrap/>
            <w:hideMark/>
          </w:tcPr>
          <w:p w14:paraId="1DCE56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FC6F6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Shinto L, Calabrese C, Morris C, et al</w:t>
            </w:r>
          </w:p>
        </w:tc>
        <w:tc>
          <w:tcPr>
            <w:tcW w:w="709" w:type="dxa"/>
            <w:shd w:val="clear" w:color="auto" w:fill="auto"/>
            <w:noWrap/>
            <w:hideMark/>
          </w:tcPr>
          <w:p w14:paraId="5EF7E3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66EEFA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randomized pilot study of naturopathic medicine in multiple sclerosis</w:t>
            </w:r>
          </w:p>
        </w:tc>
        <w:tc>
          <w:tcPr>
            <w:tcW w:w="1417" w:type="dxa"/>
          </w:tcPr>
          <w:p w14:paraId="790506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50CCF0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14(5)</w:t>
            </w:r>
          </w:p>
        </w:tc>
        <w:tc>
          <w:tcPr>
            <w:tcW w:w="851" w:type="dxa"/>
          </w:tcPr>
          <w:p w14:paraId="612DB4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489-96</w:t>
            </w:r>
          </w:p>
        </w:tc>
        <w:tc>
          <w:tcPr>
            <w:tcW w:w="1559" w:type="dxa"/>
          </w:tcPr>
          <w:p w14:paraId="3179B7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58C201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BB7E1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208D581" w14:textId="77777777" w:rsidTr="00924B3D">
        <w:trPr>
          <w:trHeight w:val="300"/>
        </w:trPr>
        <w:tc>
          <w:tcPr>
            <w:tcW w:w="1009" w:type="dxa"/>
            <w:shd w:val="clear" w:color="auto" w:fill="auto"/>
            <w:noWrap/>
            <w:hideMark/>
          </w:tcPr>
          <w:p w14:paraId="337D1C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1AFDA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Shinto L, Marracci G, Baldauf-Wagner S, et al</w:t>
            </w:r>
          </w:p>
        </w:tc>
        <w:tc>
          <w:tcPr>
            <w:tcW w:w="709" w:type="dxa"/>
            <w:shd w:val="clear" w:color="auto" w:fill="auto"/>
            <w:noWrap/>
            <w:hideMark/>
          </w:tcPr>
          <w:p w14:paraId="326896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7159EC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Omega-3 fatty acid supplementation decreases matrix metalloproteinase-9 production in relapsing-remitting multiple sclerosis.</w:t>
            </w:r>
          </w:p>
        </w:tc>
        <w:tc>
          <w:tcPr>
            <w:tcW w:w="1417" w:type="dxa"/>
          </w:tcPr>
          <w:p w14:paraId="21C162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Prostaglandins, Leukotrienes and Essential Fatty Acids</w:t>
            </w:r>
          </w:p>
        </w:tc>
        <w:tc>
          <w:tcPr>
            <w:tcW w:w="709" w:type="dxa"/>
          </w:tcPr>
          <w:p w14:paraId="12E9AF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80(2-3)</w:t>
            </w:r>
          </w:p>
        </w:tc>
        <w:tc>
          <w:tcPr>
            <w:tcW w:w="851" w:type="dxa"/>
          </w:tcPr>
          <w:p w14:paraId="2A104B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131-6</w:t>
            </w:r>
          </w:p>
        </w:tc>
        <w:tc>
          <w:tcPr>
            <w:tcW w:w="1559" w:type="dxa"/>
          </w:tcPr>
          <w:p w14:paraId="4E26C2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01325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99FC9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7746401" w14:textId="77777777" w:rsidTr="00924B3D">
        <w:trPr>
          <w:trHeight w:val="300"/>
        </w:trPr>
        <w:tc>
          <w:tcPr>
            <w:tcW w:w="1009" w:type="dxa"/>
            <w:shd w:val="clear" w:color="auto" w:fill="auto"/>
            <w:noWrap/>
            <w:hideMark/>
          </w:tcPr>
          <w:p w14:paraId="67F37F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37599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Shinto L, Quinn J, Montine T, et al</w:t>
            </w:r>
          </w:p>
        </w:tc>
        <w:tc>
          <w:tcPr>
            <w:tcW w:w="709" w:type="dxa"/>
            <w:shd w:val="clear" w:color="auto" w:fill="auto"/>
            <w:noWrap/>
            <w:hideMark/>
          </w:tcPr>
          <w:p w14:paraId="5197C0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45C49E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randomized placebo-controlled pilot trial of omega-3 fatty acids and alpha lipoic acid in Alzheimer's disease</w:t>
            </w:r>
          </w:p>
        </w:tc>
        <w:tc>
          <w:tcPr>
            <w:tcW w:w="1417" w:type="dxa"/>
          </w:tcPr>
          <w:p w14:paraId="230A03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Alzheimer's Disease</w:t>
            </w:r>
          </w:p>
        </w:tc>
        <w:tc>
          <w:tcPr>
            <w:tcW w:w="709" w:type="dxa"/>
          </w:tcPr>
          <w:p w14:paraId="523C40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38(1)</w:t>
            </w:r>
          </w:p>
        </w:tc>
        <w:tc>
          <w:tcPr>
            <w:tcW w:w="851" w:type="dxa"/>
          </w:tcPr>
          <w:p w14:paraId="6C89AF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111-20</w:t>
            </w:r>
          </w:p>
        </w:tc>
        <w:tc>
          <w:tcPr>
            <w:tcW w:w="1559" w:type="dxa"/>
          </w:tcPr>
          <w:p w14:paraId="7928F5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363EC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B6331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FC63DD3" w14:textId="77777777" w:rsidTr="00924B3D">
        <w:trPr>
          <w:trHeight w:val="300"/>
        </w:trPr>
        <w:tc>
          <w:tcPr>
            <w:tcW w:w="1009" w:type="dxa"/>
            <w:shd w:val="clear" w:color="auto" w:fill="auto"/>
            <w:noWrap/>
            <w:hideMark/>
          </w:tcPr>
          <w:p w14:paraId="572D44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7EB3FB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Showell, M. G., R. Mackenzie</w:t>
            </w:r>
            <w:r w:rsidRPr="00D518FF">
              <w:rPr>
                <w:rFonts w:ascii="Cambria Math" w:hAnsi="Cambria Math" w:cs="Cambria Math"/>
                <w:color w:val="000000"/>
                <w:sz w:val="16"/>
                <w:szCs w:val="16"/>
              </w:rPr>
              <w:t>‐</w:t>
            </w:r>
            <w:r w:rsidRPr="00D518FF">
              <w:rPr>
                <w:rFonts w:ascii="Aptos" w:hAnsi="Aptos" w:cs="Calibri"/>
                <w:color w:val="000000"/>
                <w:sz w:val="16"/>
                <w:szCs w:val="16"/>
              </w:rPr>
              <w:t>Proctor, V. Jordan and R. J. Hart</w:t>
            </w:r>
          </w:p>
        </w:tc>
        <w:tc>
          <w:tcPr>
            <w:tcW w:w="709" w:type="dxa"/>
            <w:shd w:val="clear" w:color="auto" w:fill="auto"/>
            <w:noWrap/>
            <w:hideMark/>
          </w:tcPr>
          <w:p w14:paraId="59B8D8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234BF6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Antioxidants for female subfertility. </w:t>
            </w:r>
          </w:p>
        </w:tc>
        <w:tc>
          <w:tcPr>
            <w:tcW w:w="1417" w:type="dxa"/>
          </w:tcPr>
          <w:p w14:paraId="344C8B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Cochrane Database of Systematic Reviews</w:t>
            </w:r>
          </w:p>
        </w:tc>
        <w:tc>
          <w:tcPr>
            <w:tcW w:w="709" w:type="dxa"/>
          </w:tcPr>
          <w:p w14:paraId="777DAC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w:t>
            </w:r>
          </w:p>
        </w:tc>
        <w:tc>
          <w:tcPr>
            <w:tcW w:w="851" w:type="dxa"/>
          </w:tcPr>
          <w:p w14:paraId="2B4831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Database Cochrane Collaboration</w:t>
            </w:r>
          </w:p>
        </w:tc>
        <w:tc>
          <w:tcPr>
            <w:tcW w:w="1559" w:type="dxa"/>
          </w:tcPr>
          <w:p w14:paraId="0BA7D2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1465-1858</w:t>
            </w:r>
          </w:p>
        </w:tc>
        <w:tc>
          <w:tcPr>
            <w:tcW w:w="850" w:type="dxa"/>
            <w:shd w:val="clear" w:color="auto" w:fill="auto"/>
            <w:noWrap/>
            <w:hideMark/>
          </w:tcPr>
          <w:p w14:paraId="4051F1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2B188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461B0831" w14:textId="77777777" w:rsidTr="00924B3D">
        <w:trPr>
          <w:trHeight w:val="300"/>
        </w:trPr>
        <w:tc>
          <w:tcPr>
            <w:tcW w:w="1009" w:type="dxa"/>
            <w:shd w:val="clear" w:color="auto" w:fill="auto"/>
            <w:noWrap/>
            <w:hideMark/>
          </w:tcPr>
          <w:p w14:paraId="433E91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2594C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Shuai Ben, Mulong Du, Gaoxiang Ma, Jianhua Qu, Liyang Zhu, Haiyan Chu, et al.</w:t>
            </w:r>
          </w:p>
        </w:tc>
        <w:tc>
          <w:tcPr>
            <w:tcW w:w="709" w:type="dxa"/>
            <w:shd w:val="clear" w:color="auto" w:fill="auto"/>
            <w:noWrap/>
            <w:hideMark/>
          </w:tcPr>
          <w:p w14:paraId="46D406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4F0727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Vitamin B2 intake reduces the risk for colorectal cancer: a dose-response analysis. </w:t>
            </w:r>
          </w:p>
        </w:tc>
        <w:tc>
          <w:tcPr>
            <w:tcW w:w="1417" w:type="dxa"/>
          </w:tcPr>
          <w:p w14:paraId="607A20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European Journal of Nutrition</w:t>
            </w:r>
          </w:p>
        </w:tc>
        <w:tc>
          <w:tcPr>
            <w:tcW w:w="709" w:type="dxa"/>
          </w:tcPr>
          <w:p w14:paraId="484B8A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58(4)</w:t>
            </w:r>
          </w:p>
        </w:tc>
        <w:tc>
          <w:tcPr>
            <w:tcW w:w="851" w:type="dxa"/>
          </w:tcPr>
          <w:p w14:paraId="151B0C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1591–1602</w:t>
            </w:r>
          </w:p>
        </w:tc>
        <w:tc>
          <w:tcPr>
            <w:tcW w:w="1559" w:type="dxa"/>
          </w:tcPr>
          <w:p w14:paraId="49AF67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91CC0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F0B78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5F47C6A8" w14:textId="77777777" w:rsidTr="00924B3D">
        <w:trPr>
          <w:trHeight w:val="300"/>
        </w:trPr>
        <w:tc>
          <w:tcPr>
            <w:tcW w:w="1009" w:type="dxa"/>
            <w:shd w:val="clear" w:color="auto" w:fill="auto"/>
            <w:noWrap/>
            <w:hideMark/>
          </w:tcPr>
          <w:p w14:paraId="161608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63EF8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Siegel AB, Narayan R, Rodriguez R, et al</w:t>
            </w:r>
          </w:p>
        </w:tc>
        <w:tc>
          <w:tcPr>
            <w:tcW w:w="709" w:type="dxa"/>
            <w:shd w:val="clear" w:color="auto" w:fill="auto"/>
            <w:noWrap/>
            <w:hideMark/>
          </w:tcPr>
          <w:p w14:paraId="18D58E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53C23C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phase I dose-finding study of silybin phosphatidylcholine (milk thistle) in patients with advanced hepatocellular carcinoma</w:t>
            </w:r>
          </w:p>
        </w:tc>
        <w:tc>
          <w:tcPr>
            <w:tcW w:w="1417" w:type="dxa"/>
          </w:tcPr>
          <w:p w14:paraId="5D8A85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Integrative Cancer Therapies</w:t>
            </w:r>
          </w:p>
        </w:tc>
        <w:tc>
          <w:tcPr>
            <w:tcW w:w="709" w:type="dxa"/>
          </w:tcPr>
          <w:p w14:paraId="263EB6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13(1)</w:t>
            </w:r>
          </w:p>
        </w:tc>
        <w:tc>
          <w:tcPr>
            <w:tcW w:w="851" w:type="dxa"/>
          </w:tcPr>
          <w:p w14:paraId="4EF864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46-53</w:t>
            </w:r>
          </w:p>
        </w:tc>
        <w:tc>
          <w:tcPr>
            <w:tcW w:w="1559" w:type="dxa"/>
          </w:tcPr>
          <w:p w14:paraId="2A4626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05052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46986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5EF362A" w14:textId="77777777" w:rsidTr="00924B3D">
        <w:trPr>
          <w:trHeight w:val="300"/>
        </w:trPr>
        <w:tc>
          <w:tcPr>
            <w:tcW w:w="1009" w:type="dxa"/>
            <w:shd w:val="clear" w:color="auto" w:fill="auto"/>
            <w:noWrap/>
            <w:hideMark/>
          </w:tcPr>
          <w:p w14:paraId="5F9D0E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741F4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Skvarc DR, Dean OM, Byrne LK, Gray L, Lane S, Lewis M, Fernandes BS, Berk M, Marriott A.</w:t>
            </w:r>
          </w:p>
        </w:tc>
        <w:tc>
          <w:tcPr>
            <w:tcW w:w="709" w:type="dxa"/>
            <w:shd w:val="clear" w:color="auto" w:fill="auto"/>
            <w:noWrap/>
            <w:hideMark/>
          </w:tcPr>
          <w:p w14:paraId="284BE9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34C61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 of N-acetylcysteine (NAC) on human cognition–A systematic review. </w:t>
            </w:r>
          </w:p>
        </w:tc>
        <w:tc>
          <w:tcPr>
            <w:tcW w:w="1417" w:type="dxa"/>
          </w:tcPr>
          <w:p w14:paraId="243DA9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Neuroscience &amp; Biobehavioral Reviews</w:t>
            </w:r>
          </w:p>
        </w:tc>
        <w:tc>
          <w:tcPr>
            <w:tcW w:w="709" w:type="dxa"/>
          </w:tcPr>
          <w:p w14:paraId="6CADCD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78</w:t>
            </w:r>
          </w:p>
        </w:tc>
        <w:tc>
          <w:tcPr>
            <w:tcW w:w="851" w:type="dxa"/>
          </w:tcPr>
          <w:p w14:paraId="62AFED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44-56</w:t>
            </w:r>
          </w:p>
        </w:tc>
        <w:tc>
          <w:tcPr>
            <w:tcW w:w="1559" w:type="dxa"/>
          </w:tcPr>
          <w:p w14:paraId="124490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B75A7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BAF7A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9577467" w14:textId="77777777" w:rsidTr="00924B3D">
        <w:trPr>
          <w:trHeight w:val="300"/>
        </w:trPr>
        <w:tc>
          <w:tcPr>
            <w:tcW w:w="1009" w:type="dxa"/>
            <w:shd w:val="clear" w:color="auto" w:fill="auto"/>
            <w:noWrap/>
            <w:hideMark/>
          </w:tcPr>
          <w:p w14:paraId="34FDC1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60749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Smith DJ, Sarris J, Dowling N, et al</w:t>
            </w:r>
          </w:p>
        </w:tc>
        <w:tc>
          <w:tcPr>
            <w:tcW w:w="709" w:type="dxa"/>
            <w:shd w:val="clear" w:color="auto" w:fill="auto"/>
            <w:noWrap/>
            <w:hideMark/>
          </w:tcPr>
          <w:p w14:paraId="60A2FC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7AFE0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Adjunctive low-dose docosahexaenoic acid (DHA) for major depression: an open-label pilot trial.</w:t>
            </w:r>
          </w:p>
        </w:tc>
        <w:tc>
          <w:tcPr>
            <w:tcW w:w="1417" w:type="dxa"/>
          </w:tcPr>
          <w:p w14:paraId="613306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Nutritional Neuroscience</w:t>
            </w:r>
          </w:p>
        </w:tc>
        <w:tc>
          <w:tcPr>
            <w:tcW w:w="709" w:type="dxa"/>
          </w:tcPr>
          <w:p w14:paraId="7D9003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21(3)</w:t>
            </w:r>
          </w:p>
        </w:tc>
        <w:tc>
          <w:tcPr>
            <w:tcW w:w="851" w:type="dxa"/>
          </w:tcPr>
          <w:p w14:paraId="18E523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224-8</w:t>
            </w:r>
          </w:p>
        </w:tc>
        <w:tc>
          <w:tcPr>
            <w:tcW w:w="1559" w:type="dxa"/>
          </w:tcPr>
          <w:p w14:paraId="298AC3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B84D7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25C48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8569309" w14:textId="77777777" w:rsidTr="00924B3D">
        <w:trPr>
          <w:trHeight w:val="300"/>
        </w:trPr>
        <w:tc>
          <w:tcPr>
            <w:tcW w:w="1009" w:type="dxa"/>
            <w:shd w:val="clear" w:color="auto" w:fill="auto"/>
            <w:noWrap/>
            <w:hideMark/>
          </w:tcPr>
          <w:p w14:paraId="5B197B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BB4B5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Smits, R. M., R. Mackenzie</w:t>
            </w:r>
            <w:r w:rsidRPr="00D518FF">
              <w:rPr>
                <w:rFonts w:ascii="Cambria Math" w:hAnsi="Cambria Math" w:cs="Cambria Math"/>
                <w:color w:val="000000"/>
                <w:sz w:val="16"/>
                <w:szCs w:val="16"/>
              </w:rPr>
              <w:t>‐</w:t>
            </w:r>
            <w:r w:rsidRPr="00D518FF">
              <w:rPr>
                <w:rFonts w:ascii="Aptos" w:hAnsi="Aptos" w:cs="Calibri"/>
                <w:color w:val="000000"/>
                <w:sz w:val="16"/>
                <w:szCs w:val="16"/>
              </w:rPr>
              <w:t>Proctor, A. Yazdani, M. T. Stankiewicz, V. Jordan and M. G. Showell</w:t>
            </w:r>
          </w:p>
        </w:tc>
        <w:tc>
          <w:tcPr>
            <w:tcW w:w="709" w:type="dxa"/>
            <w:shd w:val="clear" w:color="auto" w:fill="auto"/>
            <w:noWrap/>
            <w:hideMark/>
          </w:tcPr>
          <w:p w14:paraId="5E9C22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26DB55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Antioxidants for male subfertility.</w:t>
            </w:r>
          </w:p>
        </w:tc>
        <w:tc>
          <w:tcPr>
            <w:tcW w:w="1417" w:type="dxa"/>
          </w:tcPr>
          <w:p w14:paraId="4773D3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Cochrane Database of Systematic Reviews</w:t>
            </w:r>
          </w:p>
        </w:tc>
        <w:tc>
          <w:tcPr>
            <w:tcW w:w="709" w:type="dxa"/>
          </w:tcPr>
          <w:p w14:paraId="419036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w:t>
            </w:r>
          </w:p>
        </w:tc>
        <w:tc>
          <w:tcPr>
            <w:tcW w:w="851" w:type="dxa"/>
          </w:tcPr>
          <w:p w14:paraId="548DC2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Database Cochrane collaboration</w:t>
            </w:r>
          </w:p>
        </w:tc>
        <w:tc>
          <w:tcPr>
            <w:tcW w:w="1559" w:type="dxa"/>
          </w:tcPr>
          <w:p w14:paraId="5D5EBE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1465-1858</w:t>
            </w:r>
          </w:p>
        </w:tc>
        <w:tc>
          <w:tcPr>
            <w:tcW w:w="850" w:type="dxa"/>
            <w:shd w:val="clear" w:color="auto" w:fill="auto"/>
            <w:noWrap/>
            <w:hideMark/>
          </w:tcPr>
          <w:p w14:paraId="16B05E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71B2B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12BA0528" w14:textId="77777777" w:rsidTr="00924B3D">
        <w:trPr>
          <w:trHeight w:val="300"/>
        </w:trPr>
        <w:tc>
          <w:tcPr>
            <w:tcW w:w="1009" w:type="dxa"/>
            <w:shd w:val="clear" w:color="auto" w:fill="auto"/>
            <w:noWrap/>
            <w:hideMark/>
          </w:tcPr>
          <w:p w14:paraId="6C538B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C29CE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Sowmya M, Rao R, Sowjanya M, et al</w:t>
            </w:r>
          </w:p>
        </w:tc>
        <w:tc>
          <w:tcPr>
            <w:tcW w:w="709" w:type="dxa"/>
            <w:shd w:val="clear" w:color="auto" w:fill="auto"/>
            <w:noWrap/>
            <w:hideMark/>
          </w:tcPr>
          <w:p w14:paraId="4AE0A1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6A597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comparative study on effect of lemon juice with lemon seeds vs. lemon juice alone on high sensitivity C-reactive protein in subjects with obesity undergoing calorie restriction--a pilot study</w:t>
            </w:r>
          </w:p>
        </w:tc>
        <w:tc>
          <w:tcPr>
            <w:tcW w:w="1417" w:type="dxa"/>
          </w:tcPr>
          <w:p w14:paraId="39B68B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Evolution of Medical and Dental Sciences</w:t>
            </w:r>
          </w:p>
        </w:tc>
        <w:tc>
          <w:tcPr>
            <w:tcW w:w="709" w:type="dxa"/>
          </w:tcPr>
          <w:p w14:paraId="2B1088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7(16)</w:t>
            </w:r>
          </w:p>
        </w:tc>
        <w:tc>
          <w:tcPr>
            <w:tcW w:w="851" w:type="dxa"/>
          </w:tcPr>
          <w:p w14:paraId="345937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5DB81E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B6FC2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98372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E87ACFB" w14:textId="77777777" w:rsidTr="00924B3D">
        <w:trPr>
          <w:trHeight w:val="300"/>
        </w:trPr>
        <w:tc>
          <w:tcPr>
            <w:tcW w:w="1009" w:type="dxa"/>
            <w:shd w:val="clear" w:color="auto" w:fill="auto"/>
            <w:noWrap/>
            <w:hideMark/>
          </w:tcPr>
          <w:p w14:paraId="056493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E6CB9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Spence JD, Yi Q, Hankey GJ.</w:t>
            </w:r>
          </w:p>
        </w:tc>
        <w:tc>
          <w:tcPr>
            <w:tcW w:w="709" w:type="dxa"/>
            <w:shd w:val="clear" w:color="auto" w:fill="auto"/>
            <w:noWrap/>
            <w:hideMark/>
          </w:tcPr>
          <w:p w14:paraId="2C18D1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F3AB6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 vitamins in stroke prevention: time to reconsider.</w:t>
            </w:r>
          </w:p>
        </w:tc>
        <w:tc>
          <w:tcPr>
            <w:tcW w:w="1417" w:type="dxa"/>
          </w:tcPr>
          <w:p w14:paraId="1A6DF1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Lancet Neurology</w:t>
            </w:r>
          </w:p>
        </w:tc>
        <w:tc>
          <w:tcPr>
            <w:tcW w:w="709" w:type="dxa"/>
          </w:tcPr>
          <w:p w14:paraId="06DCE6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 (9)</w:t>
            </w:r>
          </w:p>
        </w:tc>
        <w:tc>
          <w:tcPr>
            <w:tcW w:w="851" w:type="dxa"/>
          </w:tcPr>
          <w:p w14:paraId="638CD4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750-760</w:t>
            </w:r>
          </w:p>
        </w:tc>
        <w:tc>
          <w:tcPr>
            <w:tcW w:w="1559" w:type="dxa"/>
          </w:tcPr>
          <w:p w14:paraId="2CC6C5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081D7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02A36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11FB4AB" w14:textId="77777777" w:rsidTr="00924B3D">
        <w:trPr>
          <w:trHeight w:val="300"/>
        </w:trPr>
        <w:tc>
          <w:tcPr>
            <w:tcW w:w="1009" w:type="dxa"/>
            <w:shd w:val="clear" w:color="auto" w:fill="auto"/>
            <w:noWrap/>
            <w:hideMark/>
          </w:tcPr>
          <w:p w14:paraId="5603D3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BE334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Steel, A, Foley, H et al</w:t>
            </w:r>
          </w:p>
        </w:tc>
        <w:tc>
          <w:tcPr>
            <w:tcW w:w="709" w:type="dxa"/>
            <w:shd w:val="clear" w:color="auto" w:fill="auto"/>
            <w:noWrap/>
            <w:hideMark/>
          </w:tcPr>
          <w:p w14:paraId="0667B8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2020</w:t>
            </w:r>
          </w:p>
        </w:tc>
        <w:tc>
          <w:tcPr>
            <w:tcW w:w="3544" w:type="dxa"/>
            <w:shd w:val="clear" w:color="auto" w:fill="auto"/>
            <w:noWrap/>
            <w:hideMark/>
          </w:tcPr>
          <w:p w14:paraId="540D56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Overview of international naturopathic practice and patient characteristics: results from a cross-sectional study in 14 countries</w:t>
            </w:r>
          </w:p>
        </w:tc>
        <w:tc>
          <w:tcPr>
            <w:tcW w:w="1417" w:type="dxa"/>
          </w:tcPr>
          <w:p w14:paraId="1EBA06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Biomed Central Journal</w:t>
            </w:r>
          </w:p>
        </w:tc>
        <w:tc>
          <w:tcPr>
            <w:tcW w:w="709" w:type="dxa"/>
          </w:tcPr>
          <w:p w14:paraId="61AA0A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20(59)</w:t>
            </w:r>
          </w:p>
        </w:tc>
        <w:tc>
          <w:tcPr>
            <w:tcW w:w="851" w:type="dxa"/>
          </w:tcPr>
          <w:p w14:paraId="535CB3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2669CE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https://doi.org/10.1186/s12906-020-2851-7</w:t>
            </w:r>
          </w:p>
        </w:tc>
        <w:tc>
          <w:tcPr>
            <w:tcW w:w="850" w:type="dxa"/>
            <w:shd w:val="clear" w:color="auto" w:fill="auto"/>
            <w:noWrap/>
            <w:hideMark/>
          </w:tcPr>
          <w:p w14:paraId="441A823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80208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132AF22" w14:textId="77777777" w:rsidTr="00924B3D">
        <w:trPr>
          <w:trHeight w:val="300"/>
        </w:trPr>
        <w:tc>
          <w:tcPr>
            <w:tcW w:w="1009" w:type="dxa"/>
            <w:shd w:val="clear" w:color="auto" w:fill="auto"/>
            <w:noWrap/>
            <w:hideMark/>
          </w:tcPr>
          <w:p w14:paraId="0862C7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07A5F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Steel, A, Foley, H, Bradley, R. et al</w:t>
            </w:r>
          </w:p>
        </w:tc>
        <w:tc>
          <w:tcPr>
            <w:tcW w:w="709" w:type="dxa"/>
            <w:shd w:val="clear" w:color="auto" w:fill="auto"/>
            <w:noWrap/>
            <w:hideMark/>
          </w:tcPr>
          <w:p w14:paraId="01B2DE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2020</w:t>
            </w:r>
          </w:p>
        </w:tc>
        <w:tc>
          <w:tcPr>
            <w:tcW w:w="3544" w:type="dxa"/>
            <w:shd w:val="clear" w:color="auto" w:fill="auto"/>
            <w:noWrap/>
            <w:hideMark/>
          </w:tcPr>
          <w:p w14:paraId="460DE3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Overview of international naturopathic practice and patient characteristics: results from a cross-sectional study in 14 countries</w:t>
            </w:r>
          </w:p>
        </w:tc>
        <w:tc>
          <w:tcPr>
            <w:tcW w:w="1417" w:type="dxa"/>
          </w:tcPr>
          <w:p w14:paraId="1DD80F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BMC Complementary Medicine and Therapies </w:t>
            </w:r>
          </w:p>
        </w:tc>
        <w:tc>
          <w:tcPr>
            <w:tcW w:w="709" w:type="dxa"/>
          </w:tcPr>
          <w:p w14:paraId="04DC37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20(59)</w:t>
            </w:r>
          </w:p>
        </w:tc>
        <w:tc>
          <w:tcPr>
            <w:tcW w:w="851" w:type="dxa"/>
          </w:tcPr>
          <w:p w14:paraId="0F455E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n/a</w:t>
            </w:r>
          </w:p>
        </w:tc>
        <w:tc>
          <w:tcPr>
            <w:tcW w:w="1559" w:type="dxa"/>
          </w:tcPr>
          <w:p w14:paraId="733F96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https://doi.org/10.1186/s12906-020-2851-7</w:t>
            </w:r>
          </w:p>
        </w:tc>
        <w:tc>
          <w:tcPr>
            <w:tcW w:w="850" w:type="dxa"/>
            <w:shd w:val="clear" w:color="auto" w:fill="auto"/>
            <w:noWrap/>
            <w:hideMark/>
          </w:tcPr>
          <w:p w14:paraId="697F6C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868A2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1D7F9D1" w14:textId="77777777" w:rsidTr="00924B3D">
        <w:trPr>
          <w:trHeight w:val="300"/>
        </w:trPr>
        <w:tc>
          <w:tcPr>
            <w:tcW w:w="1009" w:type="dxa"/>
            <w:shd w:val="clear" w:color="auto" w:fill="auto"/>
            <w:noWrap/>
            <w:hideMark/>
          </w:tcPr>
          <w:p w14:paraId="507586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7ABB8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Steel, A, Foley, H, Bradley, R. et al</w:t>
            </w:r>
          </w:p>
        </w:tc>
        <w:tc>
          <w:tcPr>
            <w:tcW w:w="709" w:type="dxa"/>
            <w:shd w:val="clear" w:color="auto" w:fill="auto"/>
            <w:noWrap/>
            <w:hideMark/>
          </w:tcPr>
          <w:p w14:paraId="21D817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2020</w:t>
            </w:r>
          </w:p>
        </w:tc>
        <w:tc>
          <w:tcPr>
            <w:tcW w:w="3544" w:type="dxa"/>
            <w:shd w:val="clear" w:color="auto" w:fill="auto"/>
            <w:noWrap/>
            <w:hideMark/>
          </w:tcPr>
          <w:p w14:paraId="7A1680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Overview of international naturopathic practice and patient characteristics: results from a cross-sectional study in 14 countries</w:t>
            </w:r>
          </w:p>
        </w:tc>
        <w:tc>
          <w:tcPr>
            <w:tcW w:w="1417" w:type="dxa"/>
          </w:tcPr>
          <w:p w14:paraId="4C4889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BMC Complementary Medicine and Therapies </w:t>
            </w:r>
          </w:p>
        </w:tc>
        <w:tc>
          <w:tcPr>
            <w:tcW w:w="709" w:type="dxa"/>
          </w:tcPr>
          <w:p w14:paraId="15DDE8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20(59)</w:t>
            </w:r>
          </w:p>
        </w:tc>
        <w:tc>
          <w:tcPr>
            <w:tcW w:w="851" w:type="dxa"/>
          </w:tcPr>
          <w:p w14:paraId="7D1F3C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n/a</w:t>
            </w:r>
          </w:p>
        </w:tc>
        <w:tc>
          <w:tcPr>
            <w:tcW w:w="1559" w:type="dxa"/>
          </w:tcPr>
          <w:p w14:paraId="325018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https://doi.org/10.1186/s12906-020-2851-7</w:t>
            </w:r>
          </w:p>
        </w:tc>
        <w:tc>
          <w:tcPr>
            <w:tcW w:w="850" w:type="dxa"/>
            <w:shd w:val="clear" w:color="auto" w:fill="auto"/>
            <w:noWrap/>
            <w:hideMark/>
          </w:tcPr>
          <w:p w14:paraId="45BEC1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2195B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3789100" w14:textId="77777777" w:rsidTr="00924B3D">
        <w:trPr>
          <w:trHeight w:val="300"/>
        </w:trPr>
        <w:tc>
          <w:tcPr>
            <w:tcW w:w="1009" w:type="dxa"/>
            <w:shd w:val="clear" w:color="auto" w:fill="auto"/>
            <w:noWrap/>
            <w:hideMark/>
          </w:tcPr>
          <w:p w14:paraId="3597A9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64422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Steel, A, Foley, H, Bradley, R. et al</w:t>
            </w:r>
          </w:p>
        </w:tc>
        <w:tc>
          <w:tcPr>
            <w:tcW w:w="709" w:type="dxa"/>
            <w:shd w:val="clear" w:color="auto" w:fill="auto"/>
            <w:noWrap/>
            <w:hideMark/>
          </w:tcPr>
          <w:p w14:paraId="4EE338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2020</w:t>
            </w:r>
          </w:p>
        </w:tc>
        <w:tc>
          <w:tcPr>
            <w:tcW w:w="3544" w:type="dxa"/>
            <w:shd w:val="clear" w:color="auto" w:fill="auto"/>
            <w:noWrap/>
            <w:hideMark/>
          </w:tcPr>
          <w:p w14:paraId="7DF7E6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Overview of international naturopathic practice and patient characteristics: results from a cross-sectional study in 14 countries</w:t>
            </w:r>
          </w:p>
        </w:tc>
        <w:tc>
          <w:tcPr>
            <w:tcW w:w="1417" w:type="dxa"/>
          </w:tcPr>
          <w:p w14:paraId="2A4C7B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BMC Complementary Medicine and Therapies </w:t>
            </w:r>
          </w:p>
        </w:tc>
        <w:tc>
          <w:tcPr>
            <w:tcW w:w="709" w:type="dxa"/>
          </w:tcPr>
          <w:p w14:paraId="532742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20(59)</w:t>
            </w:r>
          </w:p>
        </w:tc>
        <w:tc>
          <w:tcPr>
            <w:tcW w:w="851" w:type="dxa"/>
          </w:tcPr>
          <w:p w14:paraId="243DCC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n/a</w:t>
            </w:r>
          </w:p>
        </w:tc>
        <w:tc>
          <w:tcPr>
            <w:tcW w:w="1559" w:type="dxa"/>
          </w:tcPr>
          <w:p w14:paraId="71E82D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https://doi.org/10.1186/s12906-020-2851-7</w:t>
            </w:r>
          </w:p>
        </w:tc>
        <w:tc>
          <w:tcPr>
            <w:tcW w:w="850" w:type="dxa"/>
            <w:shd w:val="clear" w:color="auto" w:fill="auto"/>
            <w:noWrap/>
            <w:hideMark/>
          </w:tcPr>
          <w:p w14:paraId="7331AE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40D76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E98119B" w14:textId="77777777" w:rsidTr="00924B3D">
        <w:trPr>
          <w:trHeight w:val="300"/>
        </w:trPr>
        <w:tc>
          <w:tcPr>
            <w:tcW w:w="1009" w:type="dxa"/>
            <w:shd w:val="clear" w:color="auto" w:fill="auto"/>
            <w:noWrap/>
            <w:hideMark/>
          </w:tcPr>
          <w:p w14:paraId="635F60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5D021A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Steel, A. Bradley, R. Wardle, J.</w:t>
            </w:r>
          </w:p>
        </w:tc>
        <w:tc>
          <w:tcPr>
            <w:tcW w:w="709" w:type="dxa"/>
            <w:shd w:val="clear" w:color="auto" w:fill="auto"/>
            <w:noWrap/>
            <w:hideMark/>
          </w:tcPr>
          <w:p w14:paraId="34B0F4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03AB1D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Research:</w:t>
            </w:r>
            <w:r w:rsidRPr="00D518FF">
              <w:rPr>
                <w:rFonts w:ascii="Aptos" w:hAnsi="Aptos" w:cs="Calibri"/>
                <w:color w:val="000000"/>
                <w:sz w:val="16"/>
                <w:szCs w:val="16"/>
              </w:rPr>
              <w:br/>
              <w:t>Prevalent, Relevant, But Largely Hidden in Plain Sight</w:t>
            </w:r>
          </w:p>
        </w:tc>
        <w:tc>
          <w:tcPr>
            <w:tcW w:w="1417" w:type="dxa"/>
          </w:tcPr>
          <w:p w14:paraId="56A250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Alternative Health and Complementary Medicine</w:t>
            </w:r>
          </w:p>
        </w:tc>
        <w:tc>
          <w:tcPr>
            <w:tcW w:w="709" w:type="dxa"/>
          </w:tcPr>
          <w:p w14:paraId="2C079B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3AD3D4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123-124</w:t>
            </w:r>
          </w:p>
        </w:tc>
        <w:tc>
          <w:tcPr>
            <w:tcW w:w="1559" w:type="dxa"/>
          </w:tcPr>
          <w:p w14:paraId="6B7910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10.1089/acm.2019.29065.ast</w:t>
            </w:r>
          </w:p>
        </w:tc>
        <w:tc>
          <w:tcPr>
            <w:tcW w:w="850" w:type="dxa"/>
            <w:shd w:val="clear" w:color="auto" w:fill="auto"/>
            <w:noWrap/>
            <w:hideMark/>
          </w:tcPr>
          <w:p w14:paraId="1E7A7B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DB13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00455B4" w14:textId="77777777" w:rsidTr="00924B3D">
        <w:trPr>
          <w:trHeight w:val="300"/>
        </w:trPr>
        <w:tc>
          <w:tcPr>
            <w:tcW w:w="1009" w:type="dxa"/>
            <w:shd w:val="clear" w:color="auto" w:fill="auto"/>
            <w:noWrap/>
            <w:hideMark/>
          </w:tcPr>
          <w:p w14:paraId="2AE875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2EE86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Steels E, Steele M, Harold M, et al.</w:t>
            </w:r>
          </w:p>
        </w:tc>
        <w:tc>
          <w:tcPr>
            <w:tcW w:w="709" w:type="dxa"/>
            <w:shd w:val="clear" w:color="auto" w:fill="auto"/>
            <w:noWrap/>
            <w:hideMark/>
          </w:tcPr>
          <w:p w14:paraId="03A259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64748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of a proprietary Trigonella foenum</w:t>
            </w:r>
            <w:r w:rsidRPr="00D518FF">
              <w:rPr>
                <w:rFonts w:ascii="Cambria Math" w:hAnsi="Cambria Math" w:cs="Cambria Math"/>
                <w:color w:val="000000"/>
                <w:sz w:val="16"/>
                <w:szCs w:val="16"/>
              </w:rPr>
              <w:t>‐</w:t>
            </w:r>
            <w:r w:rsidRPr="00D518FF">
              <w:rPr>
                <w:rFonts w:ascii="Aptos" w:hAnsi="Aptos" w:cs="Calibri"/>
                <w:color w:val="000000"/>
                <w:sz w:val="16"/>
                <w:szCs w:val="16"/>
              </w:rPr>
              <w:t>graecum L. de</w:t>
            </w:r>
            <w:r w:rsidRPr="00D518FF">
              <w:rPr>
                <w:rFonts w:ascii="Cambria Math" w:hAnsi="Cambria Math" w:cs="Cambria Math"/>
                <w:color w:val="000000"/>
                <w:sz w:val="16"/>
                <w:szCs w:val="16"/>
              </w:rPr>
              <w:t>‐</w:t>
            </w:r>
            <w:r w:rsidRPr="00D518FF">
              <w:rPr>
                <w:rFonts w:ascii="Aptos" w:hAnsi="Aptos" w:cs="Calibri"/>
                <w:color w:val="000000"/>
                <w:sz w:val="16"/>
                <w:szCs w:val="16"/>
              </w:rPr>
              <w:t>husked seed extract in reducing menopausal symptoms in otherwise healthy women: a double</w:t>
            </w:r>
            <w:r w:rsidRPr="00D518FF">
              <w:rPr>
                <w:rFonts w:ascii="Cambria Math" w:hAnsi="Cambria Math" w:cs="Cambria Math"/>
                <w:color w:val="000000"/>
                <w:sz w:val="16"/>
                <w:szCs w:val="16"/>
              </w:rPr>
              <w:t>‐</w:t>
            </w:r>
            <w:r w:rsidRPr="00D518FF">
              <w:rPr>
                <w:rFonts w:ascii="Aptos" w:hAnsi="Aptos" w:cs="Calibri"/>
                <w:color w:val="000000"/>
                <w:sz w:val="16"/>
                <w:szCs w:val="16"/>
              </w:rPr>
              <w:t>blind, randomized, placebo</w:t>
            </w:r>
            <w:r w:rsidRPr="00D518FF">
              <w:rPr>
                <w:rFonts w:ascii="Cambria Math" w:hAnsi="Cambria Math" w:cs="Cambria Math"/>
                <w:color w:val="000000"/>
                <w:sz w:val="16"/>
                <w:szCs w:val="16"/>
              </w:rPr>
              <w:t>‐</w:t>
            </w:r>
            <w:r w:rsidRPr="00D518FF">
              <w:rPr>
                <w:rFonts w:ascii="Aptos" w:hAnsi="Aptos" w:cs="Calibri"/>
                <w:color w:val="000000"/>
                <w:sz w:val="16"/>
                <w:szCs w:val="16"/>
              </w:rPr>
              <w:t>controlled study</w:t>
            </w:r>
          </w:p>
        </w:tc>
        <w:tc>
          <w:tcPr>
            <w:tcW w:w="1417" w:type="dxa"/>
          </w:tcPr>
          <w:p w14:paraId="77BF50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Phytotherapy Research</w:t>
            </w:r>
          </w:p>
        </w:tc>
        <w:tc>
          <w:tcPr>
            <w:tcW w:w="709" w:type="dxa"/>
          </w:tcPr>
          <w:p w14:paraId="017F71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31(9)</w:t>
            </w:r>
          </w:p>
        </w:tc>
        <w:tc>
          <w:tcPr>
            <w:tcW w:w="851" w:type="dxa"/>
          </w:tcPr>
          <w:p w14:paraId="112873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1316-22</w:t>
            </w:r>
          </w:p>
        </w:tc>
        <w:tc>
          <w:tcPr>
            <w:tcW w:w="1559" w:type="dxa"/>
          </w:tcPr>
          <w:p w14:paraId="57ED5B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7EA7E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A04AA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49DC839" w14:textId="77777777" w:rsidTr="00924B3D">
        <w:trPr>
          <w:trHeight w:val="300"/>
        </w:trPr>
        <w:tc>
          <w:tcPr>
            <w:tcW w:w="1009" w:type="dxa"/>
            <w:shd w:val="clear" w:color="auto" w:fill="auto"/>
            <w:noWrap/>
            <w:hideMark/>
          </w:tcPr>
          <w:p w14:paraId="7158CF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714BE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Stephen P. Myers and Vanessa Vigar</w:t>
            </w:r>
          </w:p>
        </w:tc>
        <w:tc>
          <w:tcPr>
            <w:tcW w:w="709" w:type="dxa"/>
            <w:shd w:val="clear" w:color="auto" w:fill="auto"/>
            <w:noWrap/>
            <w:hideMark/>
          </w:tcPr>
          <w:p w14:paraId="71D9F0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0F7D1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State of the Evidence for WholeSystem, Multi-Modality Naturopathic Medicine: A Systematic Scoping Review.</w:t>
            </w:r>
          </w:p>
        </w:tc>
        <w:tc>
          <w:tcPr>
            <w:tcW w:w="1417" w:type="dxa"/>
          </w:tcPr>
          <w:p w14:paraId="4E3C2D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Altern Complement Med.</w:t>
            </w:r>
          </w:p>
        </w:tc>
        <w:tc>
          <w:tcPr>
            <w:tcW w:w="709" w:type="dxa"/>
          </w:tcPr>
          <w:p w14:paraId="75BA16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 Feb;25(2)</w:t>
            </w:r>
          </w:p>
        </w:tc>
        <w:tc>
          <w:tcPr>
            <w:tcW w:w="851" w:type="dxa"/>
          </w:tcPr>
          <w:p w14:paraId="7F0A1B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141-168</w:t>
            </w:r>
          </w:p>
        </w:tc>
        <w:tc>
          <w:tcPr>
            <w:tcW w:w="1559" w:type="dxa"/>
          </w:tcPr>
          <w:p w14:paraId="41C36F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doi: 10.1089/acm.2018.0340</w:t>
            </w:r>
          </w:p>
        </w:tc>
        <w:tc>
          <w:tcPr>
            <w:tcW w:w="850" w:type="dxa"/>
            <w:shd w:val="clear" w:color="auto" w:fill="auto"/>
            <w:noWrap/>
            <w:hideMark/>
          </w:tcPr>
          <w:p w14:paraId="0187AC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01AEDA" w14:textId="036BA2C3"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44245356" w14:textId="77777777" w:rsidTr="00924B3D">
        <w:trPr>
          <w:trHeight w:val="300"/>
        </w:trPr>
        <w:tc>
          <w:tcPr>
            <w:tcW w:w="1009" w:type="dxa"/>
            <w:shd w:val="clear" w:color="auto" w:fill="auto"/>
            <w:noWrap/>
            <w:hideMark/>
          </w:tcPr>
          <w:p w14:paraId="44170E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399A4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Stothers, L.</w:t>
            </w:r>
          </w:p>
        </w:tc>
        <w:tc>
          <w:tcPr>
            <w:tcW w:w="709" w:type="dxa"/>
            <w:shd w:val="clear" w:color="auto" w:fill="auto"/>
            <w:noWrap/>
            <w:hideMark/>
          </w:tcPr>
          <w:p w14:paraId="785857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2002</w:t>
            </w:r>
          </w:p>
        </w:tc>
        <w:tc>
          <w:tcPr>
            <w:tcW w:w="3544" w:type="dxa"/>
            <w:shd w:val="clear" w:color="auto" w:fill="auto"/>
            <w:noWrap/>
            <w:hideMark/>
          </w:tcPr>
          <w:p w14:paraId="702AA0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randomized trial to evaluate effectiveness and cost effectiveness of naturopathic cranberry products as prophylaxis against urinary tract infection in women</w:t>
            </w:r>
          </w:p>
        </w:tc>
        <w:tc>
          <w:tcPr>
            <w:tcW w:w="1417" w:type="dxa"/>
          </w:tcPr>
          <w:p w14:paraId="2E496F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Canadian Journal of Urology</w:t>
            </w:r>
          </w:p>
        </w:tc>
        <w:tc>
          <w:tcPr>
            <w:tcW w:w="709" w:type="dxa"/>
          </w:tcPr>
          <w:p w14:paraId="5240B4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w:t>
            </w:r>
          </w:p>
        </w:tc>
        <w:tc>
          <w:tcPr>
            <w:tcW w:w="851" w:type="dxa"/>
          </w:tcPr>
          <w:p w14:paraId="1748E6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1558-1562</w:t>
            </w:r>
          </w:p>
        </w:tc>
        <w:tc>
          <w:tcPr>
            <w:tcW w:w="1559" w:type="dxa"/>
          </w:tcPr>
          <w:p w14:paraId="62B0BC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ISSN: 1195-9479</w:t>
            </w:r>
          </w:p>
        </w:tc>
        <w:tc>
          <w:tcPr>
            <w:tcW w:w="850" w:type="dxa"/>
            <w:shd w:val="clear" w:color="auto" w:fill="auto"/>
            <w:noWrap/>
            <w:hideMark/>
          </w:tcPr>
          <w:p w14:paraId="31413B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E81C9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13B6927" w14:textId="77777777" w:rsidTr="00924B3D">
        <w:trPr>
          <w:trHeight w:val="300"/>
        </w:trPr>
        <w:tc>
          <w:tcPr>
            <w:tcW w:w="1009" w:type="dxa"/>
            <w:shd w:val="clear" w:color="auto" w:fill="auto"/>
            <w:noWrap/>
            <w:hideMark/>
          </w:tcPr>
          <w:p w14:paraId="409DEC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58B7C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Sun Q, Wang B, Li Y, Sun F, Li P, Xia W, et al.</w:t>
            </w:r>
          </w:p>
        </w:tc>
        <w:tc>
          <w:tcPr>
            <w:tcW w:w="709" w:type="dxa"/>
            <w:shd w:val="clear" w:color="auto" w:fill="auto"/>
            <w:noWrap/>
            <w:hideMark/>
          </w:tcPr>
          <w:p w14:paraId="533649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64BDCF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Taurine Supplementation Lowers Blood Pressure and Improves Vascular Function in Prehypertension: Randomized, Double-Blind, Placebo-Controlled Study. </w:t>
            </w:r>
          </w:p>
        </w:tc>
        <w:tc>
          <w:tcPr>
            <w:tcW w:w="1417" w:type="dxa"/>
          </w:tcPr>
          <w:p w14:paraId="60BFDE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Hypertension</w:t>
            </w:r>
          </w:p>
        </w:tc>
        <w:tc>
          <w:tcPr>
            <w:tcW w:w="709" w:type="dxa"/>
          </w:tcPr>
          <w:p w14:paraId="3BD753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67(3)</w:t>
            </w:r>
          </w:p>
        </w:tc>
        <w:tc>
          <w:tcPr>
            <w:tcW w:w="851" w:type="dxa"/>
          </w:tcPr>
          <w:p w14:paraId="4EB5EF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541-549</w:t>
            </w:r>
          </w:p>
        </w:tc>
        <w:tc>
          <w:tcPr>
            <w:tcW w:w="1559" w:type="dxa"/>
          </w:tcPr>
          <w:p w14:paraId="34C15F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10.1161/HYPERTENSIONAHA.115.06624</w:t>
            </w:r>
          </w:p>
        </w:tc>
        <w:tc>
          <w:tcPr>
            <w:tcW w:w="850" w:type="dxa"/>
            <w:shd w:val="clear" w:color="auto" w:fill="auto"/>
            <w:noWrap/>
            <w:hideMark/>
          </w:tcPr>
          <w:p w14:paraId="797442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C2B39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69002BA" w14:textId="77777777" w:rsidTr="00924B3D">
        <w:trPr>
          <w:trHeight w:val="300"/>
        </w:trPr>
        <w:tc>
          <w:tcPr>
            <w:tcW w:w="1009" w:type="dxa"/>
            <w:shd w:val="clear" w:color="auto" w:fill="auto"/>
            <w:noWrap/>
            <w:hideMark/>
          </w:tcPr>
          <w:p w14:paraId="7F3DBF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EED61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Suskind DL, Wahbeh G, Burpee T, et al.</w:t>
            </w:r>
          </w:p>
        </w:tc>
        <w:tc>
          <w:tcPr>
            <w:tcW w:w="709" w:type="dxa"/>
            <w:shd w:val="clear" w:color="auto" w:fill="auto"/>
            <w:noWrap/>
            <w:hideMark/>
          </w:tcPr>
          <w:p w14:paraId="73CBC9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6C05FF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Tolerability of curcumin in pediatric inflammatory bowel disease: a forced dose titration study.</w:t>
            </w:r>
          </w:p>
        </w:tc>
        <w:tc>
          <w:tcPr>
            <w:tcW w:w="1417" w:type="dxa"/>
          </w:tcPr>
          <w:p w14:paraId="3D1BDD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56(3)</w:t>
            </w:r>
          </w:p>
        </w:tc>
        <w:tc>
          <w:tcPr>
            <w:tcW w:w="709" w:type="dxa"/>
          </w:tcPr>
          <w:p w14:paraId="711DD9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277</w:t>
            </w:r>
          </w:p>
        </w:tc>
        <w:tc>
          <w:tcPr>
            <w:tcW w:w="851" w:type="dxa"/>
          </w:tcPr>
          <w:p w14:paraId="2125BF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1559" w:type="dxa"/>
          </w:tcPr>
          <w:p w14:paraId="4041C5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65546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07654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0690880" w14:textId="77777777" w:rsidTr="00924B3D">
        <w:trPr>
          <w:trHeight w:val="300"/>
        </w:trPr>
        <w:tc>
          <w:tcPr>
            <w:tcW w:w="1009" w:type="dxa"/>
            <w:shd w:val="clear" w:color="auto" w:fill="auto"/>
            <w:noWrap/>
            <w:hideMark/>
          </w:tcPr>
          <w:p w14:paraId="6DC56C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9D56C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Szczurko O, Cooley K, Bernhardt B, et al.</w:t>
            </w:r>
          </w:p>
        </w:tc>
        <w:tc>
          <w:tcPr>
            <w:tcW w:w="709" w:type="dxa"/>
            <w:shd w:val="clear" w:color="auto" w:fill="auto"/>
            <w:noWrap/>
            <w:hideMark/>
          </w:tcPr>
          <w:p w14:paraId="1BB7C6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74379A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Determining the impact of naturopathic treatment on Canadian postal workers with low back pain, a randomised controlled parallel group study</w:t>
            </w:r>
          </w:p>
        </w:tc>
        <w:tc>
          <w:tcPr>
            <w:tcW w:w="1417" w:type="dxa"/>
          </w:tcPr>
          <w:p w14:paraId="14285B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Focus on Alternative and Complementary Therapies</w:t>
            </w:r>
          </w:p>
        </w:tc>
        <w:tc>
          <w:tcPr>
            <w:tcW w:w="709" w:type="dxa"/>
          </w:tcPr>
          <w:p w14:paraId="6B5AD9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11(Suppl 1)</w:t>
            </w:r>
          </w:p>
        </w:tc>
        <w:tc>
          <w:tcPr>
            <w:tcW w:w="851" w:type="dxa"/>
          </w:tcPr>
          <w:p w14:paraId="176742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46</w:t>
            </w:r>
          </w:p>
        </w:tc>
        <w:tc>
          <w:tcPr>
            <w:tcW w:w="1559" w:type="dxa"/>
          </w:tcPr>
          <w:p w14:paraId="6F72B7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F032E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81A34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63FF2FF" w14:textId="77777777" w:rsidTr="00924B3D">
        <w:trPr>
          <w:trHeight w:val="300"/>
        </w:trPr>
        <w:tc>
          <w:tcPr>
            <w:tcW w:w="1009" w:type="dxa"/>
            <w:shd w:val="clear" w:color="auto" w:fill="auto"/>
            <w:noWrap/>
            <w:hideMark/>
          </w:tcPr>
          <w:p w14:paraId="5877D0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78382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Szczurko O, Cooley K, Busse JW, et al.</w:t>
            </w:r>
          </w:p>
        </w:tc>
        <w:tc>
          <w:tcPr>
            <w:tcW w:w="709" w:type="dxa"/>
            <w:shd w:val="clear" w:color="auto" w:fill="auto"/>
            <w:noWrap/>
            <w:hideMark/>
          </w:tcPr>
          <w:p w14:paraId="5B2D55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752856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care for chronic low back pain: a randomized trial</w:t>
            </w:r>
          </w:p>
        </w:tc>
        <w:tc>
          <w:tcPr>
            <w:tcW w:w="1417" w:type="dxa"/>
          </w:tcPr>
          <w:p w14:paraId="277B8E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PLoS One</w:t>
            </w:r>
          </w:p>
        </w:tc>
        <w:tc>
          <w:tcPr>
            <w:tcW w:w="709" w:type="dxa"/>
          </w:tcPr>
          <w:p w14:paraId="4A182A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 (9)_</w:t>
            </w:r>
          </w:p>
        </w:tc>
        <w:tc>
          <w:tcPr>
            <w:tcW w:w="851" w:type="dxa"/>
          </w:tcPr>
          <w:p w14:paraId="1C1FD5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E919</w:t>
            </w:r>
          </w:p>
        </w:tc>
        <w:tc>
          <w:tcPr>
            <w:tcW w:w="1559" w:type="dxa"/>
          </w:tcPr>
          <w:p w14:paraId="0C5494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3C75B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1FF9D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9BA46A5" w14:textId="77777777" w:rsidTr="00924B3D">
        <w:trPr>
          <w:trHeight w:val="300"/>
        </w:trPr>
        <w:tc>
          <w:tcPr>
            <w:tcW w:w="1009" w:type="dxa"/>
            <w:shd w:val="clear" w:color="auto" w:fill="auto"/>
            <w:noWrap/>
            <w:hideMark/>
          </w:tcPr>
          <w:p w14:paraId="4E59DF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8D49B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Szczurko O, Cooley K, Mills EJ, et al</w:t>
            </w:r>
          </w:p>
        </w:tc>
        <w:tc>
          <w:tcPr>
            <w:tcW w:w="709" w:type="dxa"/>
            <w:shd w:val="clear" w:color="auto" w:fill="auto"/>
            <w:noWrap/>
            <w:hideMark/>
          </w:tcPr>
          <w:p w14:paraId="3F4DB8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23AA66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treatment of rotator cuff tendinitis among Canadian postal workers: a randomized controlled trial</w:t>
            </w:r>
          </w:p>
        </w:tc>
        <w:tc>
          <w:tcPr>
            <w:tcW w:w="1417" w:type="dxa"/>
          </w:tcPr>
          <w:p w14:paraId="5B1EA7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Arthritis Care &amp; Research</w:t>
            </w:r>
          </w:p>
        </w:tc>
        <w:tc>
          <w:tcPr>
            <w:tcW w:w="709" w:type="dxa"/>
          </w:tcPr>
          <w:p w14:paraId="421F4E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61(8)</w:t>
            </w:r>
          </w:p>
        </w:tc>
        <w:tc>
          <w:tcPr>
            <w:tcW w:w="851" w:type="dxa"/>
          </w:tcPr>
          <w:p w14:paraId="460065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1037-45</w:t>
            </w:r>
          </w:p>
        </w:tc>
        <w:tc>
          <w:tcPr>
            <w:tcW w:w="1559" w:type="dxa"/>
          </w:tcPr>
          <w:p w14:paraId="18537F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64B7CB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8FD55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979ACCB" w14:textId="77777777" w:rsidTr="00924B3D">
        <w:trPr>
          <w:trHeight w:val="300"/>
        </w:trPr>
        <w:tc>
          <w:tcPr>
            <w:tcW w:w="1009" w:type="dxa"/>
            <w:shd w:val="clear" w:color="auto" w:fill="auto"/>
            <w:noWrap/>
            <w:hideMark/>
          </w:tcPr>
          <w:p w14:paraId="1A34D5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7EF53C2" w14:textId="77777777" w:rsidR="008F3151" w:rsidRPr="00D518FF" w:rsidRDefault="008F3151" w:rsidP="00924B3D">
            <w:pPr>
              <w:rPr>
                <w:rFonts w:ascii="Aptos" w:hAnsi="Aptos" w:cs="Calibri"/>
                <w:sz w:val="16"/>
                <w:szCs w:val="16"/>
              </w:rPr>
            </w:pPr>
            <w:r w:rsidRPr="00D518FF">
              <w:rPr>
                <w:rFonts w:ascii="Aptos" w:hAnsi="Aptos" w:cs="Calibri"/>
                <w:sz w:val="16"/>
                <w:szCs w:val="16"/>
              </w:rPr>
              <w:t>Szczurko O</w:t>
            </w:r>
            <w:r w:rsidRPr="00D518FF">
              <w:rPr>
                <w:rFonts w:ascii="Aptos" w:hAnsi="Aptos" w:cs="Calibri"/>
                <w:color w:val="000000"/>
                <w:sz w:val="16"/>
                <w:szCs w:val="16"/>
              </w:rPr>
              <w:t>, </w:t>
            </w:r>
            <w:r w:rsidRPr="00D518FF">
              <w:rPr>
                <w:rFonts w:ascii="Aptos" w:hAnsi="Aptos" w:cs="Calibri"/>
                <w:sz w:val="16"/>
                <w:szCs w:val="16"/>
              </w:rPr>
              <w:t>Cooley K</w:t>
            </w:r>
            <w:r w:rsidRPr="00D518FF">
              <w:rPr>
                <w:rFonts w:ascii="Aptos" w:hAnsi="Aptos" w:cs="Calibri"/>
                <w:color w:val="000000"/>
                <w:sz w:val="16"/>
                <w:szCs w:val="16"/>
              </w:rPr>
              <w:t>, </w:t>
            </w:r>
            <w:r w:rsidRPr="00D518FF">
              <w:rPr>
                <w:rFonts w:ascii="Aptos" w:hAnsi="Aptos" w:cs="Calibri"/>
                <w:sz w:val="16"/>
                <w:szCs w:val="16"/>
              </w:rPr>
              <w:t>Mills EJ</w:t>
            </w:r>
            <w:r w:rsidRPr="00D518FF">
              <w:rPr>
                <w:rFonts w:ascii="Aptos" w:hAnsi="Aptos" w:cs="Calibri"/>
                <w:color w:val="000000"/>
                <w:sz w:val="16"/>
                <w:szCs w:val="16"/>
              </w:rPr>
              <w:t>, </w:t>
            </w:r>
            <w:r w:rsidRPr="00D518FF">
              <w:rPr>
                <w:rFonts w:ascii="Aptos" w:hAnsi="Aptos" w:cs="Calibri"/>
                <w:sz w:val="16"/>
                <w:szCs w:val="16"/>
              </w:rPr>
              <w:t>Zhou Q</w:t>
            </w:r>
            <w:r w:rsidRPr="00D518FF">
              <w:rPr>
                <w:rFonts w:ascii="Aptos" w:hAnsi="Aptos" w:cs="Calibri"/>
                <w:color w:val="000000"/>
                <w:sz w:val="16"/>
                <w:szCs w:val="16"/>
              </w:rPr>
              <w:t>, </w:t>
            </w:r>
            <w:r w:rsidRPr="00D518FF">
              <w:rPr>
                <w:rFonts w:ascii="Aptos" w:hAnsi="Aptos" w:cs="Calibri"/>
                <w:sz w:val="16"/>
                <w:szCs w:val="16"/>
              </w:rPr>
              <w:t>Perri D</w:t>
            </w:r>
            <w:r w:rsidRPr="00D518FF">
              <w:rPr>
                <w:rFonts w:ascii="Aptos" w:hAnsi="Aptos" w:cs="Calibri"/>
                <w:color w:val="000000"/>
                <w:sz w:val="16"/>
                <w:szCs w:val="16"/>
              </w:rPr>
              <w:t>, </w:t>
            </w:r>
            <w:r w:rsidRPr="00D518FF">
              <w:rPr>
                <w:rFonts w:ascii="Aptos" w:hAnsi="Aptos" w:cs="Calibri"/>
                <w:sz w:val="16"/>
                <w:szCs w:val="16"/>
              </w:rPr>
              <w:t>Seely D</w:t>
            </w:r>
            <w:r w:rsidRPr="00D518FF">
              <w:rPr>
                <w:rFonts w:ascii="Aptos" w:hAnsi="Aptos" w:cs="Calibri"/>
                <w:color w:val="000000"/>
                <w:sz w:val="16"/>
                <w:szCs w:val="16"/>
              </w:rPr>
              <w:t>.</w:t>
            </w:r>
          </w:p>
        </w:tc>
        <w:tc>
          <w:tcPr>
            <w:tcW w:w="709" w:type="dxa"/>
            <w:shd w:val="clear" w:color="auto" w:fill="auto"/>
            <w:noWrap/>
            <w:hideMark/>
          </w:tcPr>
          <w:p w14:paraId="336D25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7D455C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Naturopathic treatment of rotator cuff tendinitis among Canadian postal workers: a randomized controlled trial</w:t>
            </w:r>
          </w:p>
        </w:tc>
        <w:tc>
          <w:tcPr>
            <w:tcW w:w="1417" w:type="dxa"/>
          </w:tcPr>
          <w:p w14:paraId="6906C7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Arthritis and Rheumatism</w:t>
            </w:r>
          </w:p>
        </w:tc>
        <w:tc>
          <w:tcPr>
            <w:tcW w:w="709" w:type="dxa"/>
          </w:tcPr>
          <w:p w14:paraId="4425D9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61(8)</w:t>
            </w:r>
          </w:p>
        </w:tc>
        <w:tc>
          <w:tcPr>
            <w:tcW w:w="851" w:type="dxa"/>
          </w:tcPr>
          <w:p w14:paraId="7B1179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1037-1045</w:t>
            </w:r>
          </w:p>
        </w:tc>
        <w:tc>
          <w:tcPr>
            <w:tcW w:w="1559" w:type="dxa"/>
          </w:tcPr>
          <w:p w14:paraId="687457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10.1002/art.24675</w:t>
            </w:r>
          </w:p>
        </w:tc>
        <w:tc>
          <w:tcPr>
            <w:tcW w:w="850" w:type="dxa"/>
            <w:shd w:val="clear" w:color="auto" w:fill="auto"/>
            <w:noWrap/>
            <w:hideMark/>
          </w:tcPr>
          <w:p w14:paraId="525846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FA7F5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6961C18" w14:textId="77777777" w:rsidTr="00924B3D">
        <w:trPr>
          <w:trHeight w:val="300"/>
        </w:trPr>
        <w:tc>
          <w:tcPr>
            <w:tcW w:w="1009" w:type="dxa"/>
            <w:shd w:val="clear" w:color="auto" w:fill="auto"/>
            <w:noWrap/>
            <w:hideMark/>
          </w:tcPr>
          <w:p w14:paraId="1BE68E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70360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Szczurko O, Shear N, Taddio A, et al.</w:t>
            </w:r>
          </w:p>
        </w:tc>
        <w:tc>
          <w:tcPr>
            <w:tcW w:w="709" w:type="dxa"/>
            <w:shd w:val="clear" w:color="auto" w:fill="auto"/>
            <w:noWrap/>
            <w:hideMark/>
          </w:tcPr>
          <w:p w14:paraId="57A241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06BE1A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Ginkgo biloba for the treatment of Vitilgo vulgaris: an open label pilot clinical trial.</w:t>
            </w:r>
          </w:p>
        </w:tc>
        <w:tc>
          <w:tcPr>
            <w:tcW w:w="1417" w:type="dxa"/>
          </w:tcPr>
          <w:p w14:paraId="460227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5BAC65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11(1)</w:t>
            </w:r>
          </w:p>
        </w:tc>
        <w:tc>
          <w:tcPr>
            <w:tcW w:w="851" w:type="dxa"/>
          </w:tcPr>
          <w:p w14:paraId="7FB3A7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w:t>
            </w:r>
          </w:p>
        </w:tc>
        <w:tc>
          <w:tcPr>
            <w:tcW w:w="1559" w:type="dxa"/>
          </w:tcPr>
          <w:p w14:paraId="2A270B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6FB5E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46D0C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A211EB0" w14:textId="77777777" w:rsidTr="00924B3D">
        <w:trPr>
          <w:trHeight w:val="300"/>
        </w:trPr>
        <w:tc>
          <w:tcPr>
            <w:tcW w:w="1009" w:type="dxa"/>
            <w:shd w:val="clear" w:color="auto" w:fill="auto"/>
            <w:noWrap/>
            <w:hideMark/>
          </w:tcPr>
          <w:p w14:paraId="07C094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20B97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Tabrizi R, Ostadmohammadi V, Lankarani KB, Peymani P, Akbari M, Kolahdooz F et al.</w:t>
            </w:r>
          </w:p>
        </w:tc>
        <w:tc>
          <w:tcPr>
            <w:tcW w:w="709" w:type="dxa"/>
            <w:shd w:val="clear" w:color="auto" w:fill="auto"/>
            <w:noWrap/>
            <w:hideMark/>
          </w:tcPr>
          <w:p w14:paraId="11AFC6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F6EC1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effects of inositol supplementation on lipid profiles among patients with metabolic diseases: a systematic review and meta-analysis of randomized controlled trials.</w:t>
            </w:r>
          </w:p>
        </w:tc>
        <w:tc>
          <w:tcPr>
            <w:tcW w:w="1417" w:type="dxa"/>
          </w:tcPr>
          <w:p w14:paraId="76EFCE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Lipids Health Dis</w:t>
            </w:r>
          </w:p>
        </w:tc>
        <w:tc>
          <w:tcPr>
            <w:tcW w:w="709" w:type="dxa"/>
          </w:tcPr>
          <w:p w14:paraId="68D6F3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17(1)</w:t>
            </w:r>
          </w:p>
        </w:tc>
        <w:tc>
          <w:tcPr>
            <w:tcW w:w="851" w:type="dxa"/>
          </w:tcPr>
          <w:p w14:paraId="19415B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123</w:t>
            </w:r>
          </w:p>
        </w:tc>
        <w:tc>
          <w:tcPr>
            <w:tcW w:w="1559" w:type="dxa"/>
          </w:tcPr>
          <w:p w14:paraId="7B710D8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10.1186/s12944-018-0779-4</w:t>
            </w:r>
          </w:p>
        </w:tc>
        <w:tc>
          <w:tcPr>
            <w:tcW w:w="850" w:type="dxa"/>
            <w:shd w:val="clear" w:color="auto" w:fill="auto"/>
            <w:noWrap/>
            <w:hideMark/>
          </w:tcPr>
          <w:p w14:paraId="3B200F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807B1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241AC40C" w14:textId="77777777" w:rsidTr="00924B3D">
        <w:trPr>
          <w:trHeight w:val="300"/>
        </w:trPr>
        <w:tc>
          <w:tcPr>
            <w:tcW w:w="1009" w:type="dxa"/>
            <w:shd w:val="clear" w:color="auto" w:fill="auto"/>
            <w:noWrap/>
            <w:hideMark/>
          </w:tcPr>
          <w:p w14:paraId="23A318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42E773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Talukdar R, Murthy HV, Reddy DN.</w:t>
            </w:r>
          </w:p>
        </w:tc>
        <w:tc>
          <w:tcPr>
            <w:tcW w:w="709" w:type="dxa"/>
            <w:shd w:val="clear" w:color="auto" w:fill="auto"/>
            <w:noWrap/>
            <w:hideMark/>
          </w:tcPr>
          <w:p w14:paraId="44560E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3465FE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Role of methionine containing antioxidant combination in the management of pain in chronic pancreatitis: a systematic review and meta-analysis. </w:t>
            </w:r>
          </w:p>
        </w:tc>
        <w:tc>
          <w:tcPr>
            <w:tcW w:w="1417" w:type="dxa"/>
          </w:tcPr>
          <w:p w14:paraId="47D630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Pancreatology</w:t>
            </w:r>
          </w:p>
        </w:tc>
        <w:tc>
          <w:tcPr>
            <w:tcW w:w="709" w:type="dxa"/>
          </w:tcPr>
          <w:p w14:paraId="7F06619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15(2)</w:t>
            </w:r>
          </w:p>
        </w:tc>
        <w:tc>
          <w:tcPr>
            <w:tcW w:w="851" w:type="dxa"/>
          </w:tcPr>
          <w:p w14:paraId="32DAC3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136-144</w:t>
            </w:r>
          </w:p>
        </w:tc>
        <w:tc>
          <w:tcPr>
            <w:tcW w:w="1559" w:type="dxa"/>
          </w:tcPr>
          <w:p w14:paraId="0D80A5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B59C4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DDA8B31" w14:textId="1E384FC9"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434C356D" w14:textId="77777777" w:rsidTr="00924B3D">
        <w:trPr>
          <w:trHeight w:val="300"/>
        </w:trPr>
        <w:tc>
          <w:tcPr>
            <w:tcW w:w="1009" w:type="dxa"/>
            <w:shd w:val="clear" w:color="auto" w:fill="auto"/>
            <w:noWrap/>
            <w:hideMark/>
          </w:tcPr>
          <w:p w14:paraId="31DFD3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2CB73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Taylor JA, Weber W, Standish L, et al</w:t>
            </w:r>
          </w:p>
        </w:tc>
        <w:tc>
          <w:tcPr>
            <w:tcW w:w="709" w:type="dxa"/>
            <w:shd w:val="clear" w:color="auto" w:fill="auto"/>
            <w:noWrap/>
            <w:hideMark/>
          </w:tcPr>
          <w:p w14:paraId="0213F3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2003</w:t>
            </w:r>
          </w:p>
        </w:tc>
        <w:tc>
          <w:tcPr>
            <w:tcW w:w="3544" w:type="dxa"/>
            <w:shd w:val="clear" w:color="auto" w:fill="auto"/>
            <w:noWrap/>
            <w:hideMark/>
          </w:tcPr>
          <w:p w14:paraId="526A65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Efficacy and safety of echinacea in treating upper respiratory tract infections in children: a randomized controlled trial</w:t>
            </w:r>
          </w:p>
        </w:tc>
        <w:tc>
          <w:tcPr>
            <w:tcW w:w="1417" w:type="dxa"/>
          </w:tcPr>
          <w:p w14:paraId="56BA7D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JAMA</w:t>
            </w:r>
          </w:p>
        </w:tc>
        <w:tc>
          <w:tcPr>
            <w:tcW w:w="709" w:type="dxa"/>
          </w:tcPr>
          <w:p w14:paraId="4B6C71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290(21)</w:t>
            </w:r>
          </w:p>
        </w:tc>
        <w:tc>
          <w:tcPr>
            <w:tcW w:w="851" w:type="dxa"/>
          </w:tcPr>
          <w:p w14:paraId="1A3E02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2824-30</w:t>
            </w:r>
          </w:p>
        </w:tc>
        <w:tc>
          <w:tcPr>
            <w:tcW w:w="1559" w:type="dxa"/>
          </w:tcPr>
          <w:p w14:paraId="57F08D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25E450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58B7D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8717C88" w14:textId="77777777" w:rsidTr="00924B3D">
        <w:trPr>
          <w:trHeight w:val="300"/>
        </w:trPr>
        <w:tc>
          <w:tcPr>
            <w:tcW w:w="1009" w:type="dxa"/>
            <w:shd w:val="clear" w:color="auto" w:fill="auto"/>
            <w:noWrap/>
            <w:hideMark/>
          </w:tcPr>
          <w:p w14:paraId="5DAA79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009DA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Telles S, Narendran S, Raghuraj P, et al.</w:t>
            </w:r>
          </w:p>
        </w:tc>
        <w:tc>
          <w:tcPr>
            <w:tcW w:w="709" w:type="dxa"/>
            <w:shd w:val="clear" w:color="auto" w:fill="auto"/>
            <w:noWrap/>
            <w:hideMark/>
          </w:tcPr>
          <w:p w14:paraId="450E65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1997</w:t>
            </w:r>
          </w:p>
        </w:tc>
        <w:tc>
          <w:tcPr>
            <w:tcW w:w="3544" w:type="dxa"/>
            <w:shd w:val="clear" w:color="auto" w:fill="auto"/>
            <w:noWrap/>
            <w:hideMark/>
          </w:tcPr>
          <w:p w14:paraId="545376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Comparison of changes in autonomic and respiratory parameters of girls after yoga and games at a community home</w:t>
            </w:r>
          </w:p>
        </w:tc>
        <w:tc>
          <w:tcPr>
            <w:tcW w:w="1417" w:type="dxa"/>
          </w:tcPr>
          <w:p w14:paraId="20FEA48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Perceptual and Motor Skills</w:t>
            </w:r>
          </w:p>
        </w:tc>
        <w:tc>
          <w:tcPr>
            <w:tcW w:w="709" w:type="dxa"/>
          </w:tcPr>
          <w:p w14:paraId="63FA72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84(1)</w:t>
            </w:r>
          </w:p>
        </w:tc>
        <w:tc>
          <w:tcPr>
            <w:tcW w:w="851" w:type="dxa"/>
          </w:tcPr>
          <w:p w14:paraId="19FB56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251-7</w:t>
            </w:r>
          </w:p>
        </w:tc>
        <w:tc>
          <w:tcPr>
            <w:tcW w:w="1559" w:type="dxa"/>
          </w:tcPr>
          <w:p w14:paraId="5A260C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0AC64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084F9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2FF0FB2" w14:textId="77777777" w:rsidTr="00924B3D">
        <w:trPr>
          <w:trHeight w:val="300"/>
        </w:trPr>
        <w:tc>
          <w:tcPr>
            <w:tcW w:w="1009" w:type="dxa"/>
            <w:shd w:val="clear" w:color="auto" w:fill="auto"/>
            <w:noWrap/>
            <w:hideMark/>
          </w:tcPr>
          <w:p w14:paraId="74C3411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1A558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Telles S, Naveen K, Dash M, et al</w:t>
            </w:r>
          </w:p>
        </w:tc>
        <w:tc>
          <w:tcPr>
            <w:tcW w:w="709" w:type="dxa"/>
            <w:shd w:val="clear" w:color="auto" w:fill="auto"/>
            <w:noWrap/>
            <w:hideMark/>
          </w:tcPr>
          <w:p w14:paraId="3F3415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2006</w:t>
            </w:r>
          </w:p>
        </w:tc>
        <w:tc>
          <w:tcPr>
            <w:tcW w:w="3544" w:type="dxa"/>
            <w:shd w:val="clear" w:color="auto" w:fill="auto"/>
            <w:noWrap/>
            <w:hideMark/>
          </w:tcPr>
          <w:p w14:paraId="4C2227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yoga on self-rated visual discomfort in computer users</w:t>
            </w:r>
          </w:p>
        </w:tc>
        <w:tc>
          <w:tcPr>
            <w:tcW w:w="1417" w:type="dxa"/>
          </w:tcPr>
          <w:p w14:paraId="5546E1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Head &amp; Face Medicine</w:t>
            </w:r>
          </w:p>
        </w:tc>
        <w:tc>
          <w:tcPr>
            <w:tcW w:w="709" w:type="dxa"/>
          </w:tcPr>
          <w:p w14:paraId="1B3F8C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w:t>
            </w:r>
          </w:p>
        </w:tc>
        <w:tc>
          <w:tcPr>
            <w:tcW w:w="851" w:type="dxa"/>
          </w:tcPr>
          <w:p w14:paraId="6FF2EA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46</w:t>
            </w:r>
          </w:p>
        </w:tc>
        <w:tc>
          <w:tcPr>
            <w:tcW w:w="1559" w:type="dxa"/>
          </w:tcPr>
          <w:p w14:paraId="550801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F3DD7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273E4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D5C29C9" w14:textId="77777777" w:rsidTr="00924B3D">
        <w:trPr>
          <w:trHeight w:val="300"/>
        </w:trPr>
        <w:tc>
          <w:tcPr>
            <w:tcW w:w="1009" w:type="dxa"/>
            <w:shd w:val="clear" w:color="auto" w:fill="auto"/>
            <w:noWrap/>
            <w:hideMark/>
          </w:tcPr>
          <w:p w14:paraId="6E09F9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FC6DA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Telles S, Naveen VK, Balkrishna A, et al.</w:t>
            </w:r>
          </w:p>
        </w:tc>
        <w:tc>
          <w:tcPr>
            <w:tcW w:w="709" w:type="dxa"/>
            <w:shd w:val="clear" w:color="auto" w:fill="auto"/>
            <w:noWrap/>
            <w:hideMark/>
          </w:tcPr>
          <w:p w14:paraId="5AC32B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0C68C4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Short term health impact of a yoga and diet change program on obesity</w:t>
            </w:r>
          </w:p>
        </w:tc>
        <w:tc>
          <w:tcPr>
            <w:tcW w:w="1417" w:type="dxa"/>
          </w:tcPr>
          <w:p w14:paraId="2A40F4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Medical Science Monitor</w:t>
            </w:r>
          </w:p>
        </w:tc>
        <w:tc>
          <w:tcPr>
            <w:tcW w:w="709" w:type="dxa"/>
          </w:tcPr>
          <w:p w14:paraId="18E63E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16(1)</w:t>
            </w:r>
          </w:p>
        </w:tc>
        <w:tc>
          <w:tcPr>
            <w:tcW w:w="851" w:type="dxa"/>
          </w:tcPr>
          <w:p w14:paraId="5406B6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CR35-40</w:t>
            </w:r>
          </w:p>
        </w:tc>
        <w:tc>
          <w:tcPr>
            <w:tcW w:w="1559" w:type="dxa"/>
          </w:tcPr>
          <w:p w14:paraId="209E81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BDBE9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E938B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9FC9594" w14:textId="77777777" w:rsidTr="00924B3D">
        <w:trPr>
          <w:trHeight w:val="300"/>
        </w:trPr>
        <w:tc>
          <w:tcPr>
            <w:tcW w:w="1009" w:type="dxa"/>
            <w:shd w:val="clear" w:color="auto" w:fill="auto"/>
            <w:noWrap/>
            <w:hideMark/>
          </w:tcPr>
          <w:p w14:paraId="13BBCD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6D6CE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Thakker D, Raval A, Patel I, Walia R.</w:t>
            </w:r>
          </w:p>
        </w:tc>
        <w:tc>
          <w:tcPr>
            <w:tcW w:w="709" w:type="dxa"/>
            <w:shd w:val="clear" w:color="auto" w:fill="auto"/>
            <w:noWrap/>
            <w:hideMark/>
          </w:tcPr>
          <w:p w14:paraId="19AF0F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6C01B5B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N-acetylcysteine for polycystic ovary syndrome: a systematic review and meta-analysis of randomized controlled clinical trials. 2015.</w:t>
            </w:r>
          </w:p>
        </w:tc>
        <w:tc>
          <w:tcPr>
            <w:tcW w:w="1417" w:type="dxa"/>
          </w:tcPr>
          <w:p w14:paraId="18A4C1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Obstetrics and gynecology international</w:t>
            </w:r>
          </w:p>
        </w:tc>
        <w:tc>
          <w:tcPr>
            <w:tcW w:w="709" w:type="dxa"/>
          </w:tcPr>
          <w:p w14:paraId="03A83E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1" w:type="dxa"/>
          </w:tcPr>
          <w:p w14:paraId="687C51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1559" w:type="dxa"/>
          </w:tcPr>
          <w:p w14:paraId="045237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12C594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D68D6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46B80965" w14:textId="77777777" w:rsidTr="00924B3D">
        <w:trPr>
          <w:trHeight w:val="300"/>
        </w:trPr>
        <w:tc>
          <w:tcPr>
            <w:tcW w:w="1009" w:type="dxa"/>
            <w:shd w:val="clear" w:color="auto" w:fill="auto"/>
            <w:noWrap/>
            <w:hideMark/>
          </w:tcPr>
          <w:p w14:paraId="2A0310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28ABE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Thompson DF, Saluja HS.</w:t>
            </w:r>
          </w:p>
        </w:tc>
        <w:tc>
          <w:tcPr>
            <w:tcW w:w="709" w:type="dxa"/>
            <w:shd w:val="clear" w:color="auto" w:fill="auto"/>
            <w:noWrap/>
            <w:hideMark/>
          </w:tcPr>
          <w:p w14:paraId="2FB731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21F05C1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Prophylaxis of migraine headaches with riboflavin: a systematic review. </w:t>
            </w:r>
          </w:p>
        </w:tc>
        <w:tc>
          <w:tcPr>
            <w:tcW w:w="1417" w:type="dxa"/>
          </w:tcPr>
          <w:p w14:paraId="1D0AE1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 Clin Pharm Ther</w:t>
            </w:r>
          </w:p>
        </w:tc>
        <w:tc>
          <w:tcPr>
            <w:tcW w:w="709" w:type="dxa"/>
          </w:tcPr>
          <w:p w14:paraId="456EA7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42(4)</w:t>
            </w:r>
          </w:p>
        </w:tc>
        <w:tc>
          <w:tcPr>
            <w:tcW w:w="851" w:type="dxa"/>
          </w:tcPr>
          <w:p w14:paraId="4110BC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394–403</w:t>
            </w:r>
          </w:p>
        </w:tc>
        <w:tc>
          <w:tcPr>
            <w:tcW w:w="1559" w:type="dxa"/>
          </w:tcPr>
          <w:p w14:paraId="3A24C8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10.1111/jcpt.12548</w:t>
            </w:r>
          </w:p>
        </w:tc>
        <w:tc>
          <w:tcPr>
            <w:tcW w:w="850" w:type="dxa"/>
            <w:shd w:val="clear" w:color="auto" w:fill="auto"/>
            <w:noWrap/>
            <w:hideMark/>
          </w:tcPr>
          <w:p w14:paraId="3026A83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61034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835E206" w14:textId="77777777" w:rsidTr="00924B3D">
        <w:trPr>
          <w:trHeight w:val="300"/>
        </w:trPr>
        <w:tc>
          <w:tcPr>
            <w:tcW w:w="1009" w:type="dxa"/>
            <w:shd w:val="clear" w:color="auto" w:fill="auto"/>
            <w:noWrap/>
            <w:hideMark/>
          </w:tcPr>
          <w:p w14:paraId="1D4D52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A6A12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Tian T, Yang KQ, Cui JG, Zhou LL, Zhou XL.</w:t>
            </w:r>
          </w:p>
        </w:tc>
        <w:tc>
          <w:tcPr>
            <w:tcW w:w="709" w:type="dxa"/>
            <w:shd w:val="clear" w:color="auto" w:fill="auto"/>
            <w:noWrap/>
            <w:hideMark/>
          </w:tcPr>
          <w:p w14:paraId="125321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1A3D81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Folic acid supplementation for stroke prevention in patients with cardiovascular disease</w:t>
            </w:r>
          </w:p>
        </w:tc>
        <w:tc>
          <w:tcPr>
            <w:tcW w:w="1417" w:type="dxa"/>
          </w:tcPr>
          <w:p w14:paraId="44A52E3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American journal of the medical sciences.</w:t>
            </w:r>
          </w:p>
        </w:tc>
        <w:tc>
          <w:tcPr>
            <w:tcW w:w="709" w:type="dxa"/>
          </w:tcPr>
          <w:p w14:paraId="0FEB597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354(4)</w:t>
            </w:r>
          </w:p>
        </w:tc>
        <w:tc>
          <w:tcPr>
            <w:tcW w:w="851" w:type="dxa"/>
          </w:tcPr>
          <w:p w14:paraId="52D4D1E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379-387</w:t>
            </w:r>
          </w:p>
        </w:tc>
        <w:tc>
          <w:tcPr>
            <w:tcW w:w="1559" w:type="dxa"/>
          </w:tcPr>
          <w:p w14:paraId="498534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64D4A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E35FC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969AC2B" w14:textId="77777777" w:rsidTr="00924B3D">
        <w:trPr>
          <w:trHeight w:val="300"/>
        </w:trPr>
        <w:tc>
          <w:tcPr>
            <w:tcW w:w="1009" w:type="dxa"/>
            <w:shd w:val="clear" w:color="auto" w:fill="auto"/>
            <w:noWrap/>
            <w:hideMark/>
          </w:tcPr>
          <w:p w14:paraId="762CE1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2D9F6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Tippens KM, Erlandsen A, Hanes DA, et al.</w:t>
            </w:r>
          </w:p>
        </w:tc>
        <w:tc>
          <w:tcPr>
            <w:tcW w:w="709" w:type="dxa"/>
            <w:shd w:val="clear" w:color="auto" w:fill="auto"/>
            <w:noWrap/>
            <w:hideMark/>
          </w:tcPr>
          <w:p w14:paraId="6ECA9C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DE85A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Impact of a short-term naturopathic whole-foods-based nutrition education intervention on dietary behavior and diabetes risk markers: a pilot study</w:t>
            </w:r>
          </w:p>
        </w:tc>
        <w:tc>
          <w:tcPr>
            <w:tcW w:w="1417" w:type="dxa"/>
          </w:tcPr>
          <w:p w14:paraId="05E01F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0227DF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4EC5A6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234-40</w:t>
            </w:r>
          </w:p>
        </w:tc>
        <w:tc>
          <w:tcPr>
            <w:tcW w:w="1559" w:type="dxa"/>
          </w:tcPr>
          <w:p w14:paraId="0F838B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482BE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6E20F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4378F51" w14:textId="77777777" w:rsidTr="00924B3D">
        <w:trPr>
          <w:trHeight w:val="300"/>
        </w:trPr>
        <w:tc>
          <w:tcPr>
            <w:tcW w:w="1009" w:type="dxa"/>
            <w:shd w:val="clear" w:color="auto" w:fill="auto"/>
            <w:noWrap/>
            <w:hideMark/>
          </w:tcPr>
          <w:p w14:paraId="35FE93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27484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Tippens KM, Erlandsen A, Hanes DA, et al.</w:t>
            </w:r>
          </w:p>
        </w:tc>
        <w:tc>
          <w:tcPr>
            <w:tcW w:w="709" w:type="dxa"/>
            <w:shd w:val="clear" w:color="auto" w:fill="auto"/>
            <w:noWrap/>
            <w:hideMark/>
          </w:tcPr>
          <w:p w14:paraId="4B1B74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740D4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Impact of a short-term naturopathic whole-foods-based nutrition education intervention on dietary behavior and diabetes risk markers: a pilot study</w:t>
            </w:r>
          </w:p>
        </w:tc>
        <w:tc>
          <w:tcPr>
            <w:tcW w:w="1417" w:type="dxa"/>
          </w:tcPr>
          <w:p w14:paraId="0D3063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145525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218394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234-240</w:t>
            </w:r>
          </w:p>
        </w:tc>
        <w:tc>
          <w:tcPr>
            <w:tcW w:w="1559" w:type="dxa"/>
          </w:tcPr>
          <w:p w14:paraId="4FDECA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10615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17FF0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A87A845" w14:textId="77777777" w:rsidTr="00924B3D">
        <w:trPr>
          <w:trHeight w:val="300"/>
        </w:trPr>
        <w:tc>
          <w:tcPr>
            <w:tcW w:w="1009" w:type="dxa"/>
            <w:shd w:val="clear" w:color="auto" w:fill="auto"/>
            <w:noWrap/>
            <w:hideMark/>
          </w:tcPr>
          <w:p w14:paraId="5281EA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D167B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Tippens, K, Erlandsen, A, Hanes, D, Graybill, R, Jackson, C, Briley, J, Zwickey, H</w:t>
            </w:r>
          </w:p>
        </w:tc>
        <w:tc>
          <w:tcPr>
            <w:tcW w:w="709" w:type="dxa"/>
            <w:shd w:val="clear" w:color="auto" w:fill="auto"/>
            <w:noWrap/>
            <w:hideMark/>
          </w:tcPr>
          <w:p w14:paraId="429DCA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3A68DD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Impact of a Short-Term Naturopathic Whole-Foods-Based Nutrition Education Intervention on Dietary Behavior and Diabetes Risk Markers: A Pilot Study</w:t>
            </w:r>
          </w:p>
        </w:tc>
        <w:tc>
          <w:tcPr>
            <w:tcW w:w="1417" w:type="dxa"/>
          </w:tcPr>
          <w:p w14:paraId="641690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50C1FC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3D0F33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234–240</w:t>
            </w:r>
          </w:p>
        </w:tc>
        <w:tc>
          <w:tcPr>
            <w:tcW w:w="1559" w:type="dxa"/>
          </w:tcPr>
          <w:p w14:paraId="0B35E2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10.1089/acm.2018.0025</w:t>
            </w:r>
          </w:p>
        </w:tc>
        <w:tc>
          <w:tcPr>
            <w:tcW w:w="850" w:type="dxa"/>
            <w:shd w:val="clear" w:color="auto" w:fill="auto"/>
            <w:noWrap/>
            <w:hideMark/>
          </w:tcPr>
          <w:p w14:paraId="2D45D2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A9BEA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20D588B" w14:textId="77777777" w:rsidTr="00924B3D">
        <w:trPr>
          <w:trHeight w:val="300"/>
        </w:trPr>
        <w:tc>
          <w:tcPr>
            <w:tcW w:w="1009" w:type="dxa"/>
            <w:shd w:val="clear" w:color="auto" w:fill="auto"/>
            <w:noWrap/>
            <w:hideMark/>
          </w:tcPr>
          <w:p w14:paraId="414F57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BE458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Tippens, K, Erlandsen, A, Hanes, D, Graybill, R, Jackson, C, Briley, J, Zwickey, H</w:t>
            </w:r>
          </w:p>
        </w:tc>
        <w:tc>
          <w:tcPr>
            <w:tcW w:w="709" w:type="dxa"/>
            <w:shd w:val="clear" w:color="auto" w:fill="auto"/>
            <w:noWrap/>
            <w:hideMark/>
          </w:tcPr>
          <w:p w14:paraId="223543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0782F3F" w14:textId="77777777" w:rsidR="008F3151" w:rsidRPr="00D518FF" w:rsidRDefault="008F3151" w:rsidP="00924B3D">
            <w:pPr>
              <w:rPr>
                <w:rFonts w:ascii="Aptos" w:hAnsi="Aptos" w:cs="Calibri"/>
                <w:sz w:val="16"/>
                <w:szCs w:val="16"/>
              </w:rPr>
            </w:pPr>
            <w:r w:rsidRPr="00D518FF">
              <w:rPr>
                <w:rFonts w:ascii="Aptos" w:hAnsi="Aptos" w:cs="Calibri"/>
                <w:sz w:val="16"/>
                <w:szCs w:val="16"/>
              </w:rPr>
              <w:t>Impact of a Short-Term Naturopathic Whole-Foods-Based Nutrition Education Intervention on Dietary Behavior and Diabetes Risk Markers: A Pilot Study</w:t>
            </w:r>
          </w:p>
        </w:tc>
        <w:tc>
          <w:tcPr>
            <w:tcW w:w="1417" w:type="dxa"/>
          </w:tcPr>
          <w:p w14:paraId="4DB981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and Complementary Medicine</w:t>
            </w:r>
          </w:p>
        </w:tc>
        <w:tc>
          <w:tcPr>
            <w:tcW w:w="709" w:type="dxa"/>
          </w:tcPr>
          <w:p w14:paraId="609D1D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25(2)</w:t>
            </w:r>
          </w:p>
        </w:tc>
        <w:tc>
          <w:tcPr>
            <w:tcW w:w="851" w:type="dxa"/>
          </w:tcPr>
          <w:p w14:paraId="06711C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234–240</w:t>
            </w:r>
          </w:p>
        </w:tc>
        <w:tc>
          <w:tcPr>
            <w:tcW w:w="1559" w:type="dxa"/>
          </w:tcPr>
          <w:p w14:paraId="3C5390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10.1089/acm.2018.0025</w:t>
            </w:r>
          </w:p>
        </w:tc>
        <w:tc>
          <w:tcPr>
            <w:tcW w:w="850" w:type="dxa"/>
            <w:shd w:val="clear" w:color="auto" w:fill="auto"/>
            <w:noWrap/>
            <w:hideMark/>
          </w:tcPr>
          <w:p w14:paraId="6CCD97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629F0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62410EF" w14:textId="77777777" w:rsidTr="00924B3D">
        <w:trPr>
          <w:trHeight w:val="300"/>
        </w:trPr>
        <w:tc>
          <w:tcPr>
            <w:tcW w:w="1009" w:type="dxa"/>
            <w:shd w:val="clear" w:color="auto" w:fill="auto"/>
            <w:noWrap/>
            <w:hideMark/>
          </w:tcPr>
          <w:p w14:paraId="450AA4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448A6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Torkelson CJ, Sweet E, Martzen MR, et al</w:t>
            </w:r>
          </w:p>
        </w:tc>
        <w:tc>
          <w:tcPr>
            <w:tcW w:w="709" w:type="dxa"/>
            <w:shd w:val="clear" w:color="auto" w:fill="auto"/>
            <w:noWrap/>
            <w:hideMark/>
          </w:tcPr>
          <w:p w14:paraId="322EA5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3544" w:type="dxa"/>
            <w:shd w:val="clear" w:color="auto" w:fill="auto"/>
            <w:noWrap/>
            <w:hideMark/>
          </w:tcPr>
          <w:p w14:paraId="429295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Phase 1 clinical trial of Trametes versicolor in women with breast cancer</w:t>
            </w:r>
          </w:p>
        </w:tc>
        <w:tc>
          <w:tcPr>
            <w:tcW w:w="1417" w:type="dxa"/>
          </w:tcPr>
          <w:p w14:paraId="0C7A4F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ISRN Oncology</w:t>
            </w:r>
          </w:p>
        </w:tc>
        <w:tc>
          <w:tcPr>
            <w:tcW w:w="709" w:type="dxa"/>
          </w:tcPr>
          <w:p w14:paraId="4B3D86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2012</w:t>
            </w:r>
          </w:p>
        </w:tc>
        <w:tc>
          <w:tcPr>
            <w:tcW w:w="851" w:type="dxa"/>
          </w:tcPr>
          <w:p w14:paraId="125762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1-Jul</w:t>
            </w:r>
          </w:p>
        </w:tc>
        <w:tc>
          <w:tcPr>
            <w:tcW w:w="1559" w:type="dxa"/>
          </w:tcPr>
          <w:p w14:paraId="3D5DC5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175E85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36072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1333A05" w14:textId="77777777" w:rsidTr="00924B3D">
        <w:trPr>
          <w:trHeight w:val="300"/>
        </w:trPr>
        <w:tc>
          <w:tcPr>
            <w:tcW w:w="1009" w:type="dxa"/>
            <w:shd w:val="clear" w:color="auto" w:fill="auto"/>
            <w:noWrap/>
            <w:hideMark/>
          </w:tcPr>
          <w:p w14:paraId="00AA69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4A13A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Traub ML, Finnell JS, Bhandiwad A, et al</w:t>
            </w:r>
          </w:p>
        </w:tc>
        <w:tc>
          <w:tcPr>
            <w:tcW w:w="709" w:type="dxa"/>
            <w:shd w:val="clear" w:color="auto" w:fill="auto"/>
            <w:noWrap/>
            <w:hideMark/>
          </w:tcPr>
          <w:p w14:paraId="585E0F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2B7D0E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Impact of vitamin D3 dietary supplement matrix on clinical response</w:t>
            </w:r>
          </w:p>
        </w:tc>
        <w:tc>
          <w:tcPr>
            <w:tcW w:w="1417" w:type="dxa"/>
          </w:tcPr>
          <w:p w14:paraId="7796457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Journal of Clinical </w:t>
            </w:r>
            <w:r w:rsidRPr="00D518FF">
              <w:rPr>
                <w:rFonts w:ascii="Aptos" w:hAnsi="Aptos" w:cs="Calibri"/>
                <w:color w:val="000000"/>
                <w:sz w:val="16"/>
                <w:szCs w:val="16"/>
              </w:rPr>
              <w:lastRenderedPageBreak/>
              <w:t>Endocrinology &amp; Metabolism</w:t>
            </w:r>
          </w:p>
        </w:tc>
        <w:tc>
          <w:tcPr>
            <w:tcW w:w="709" w:type="dxa"/>
          </w:tcPr>
          <w:p w14:paraId="5AF3D40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99(8)</w:t>
            </w:r>
          </w:p>
        </w:tc>
        <w:tc>
          <w:tcPr>
            <w:tcW w:w="851" w:type="dxa"/>
          </w:tcPr>
          <w:p w14:paraId="5718E1E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2720-8</w:t>
            </w:r>
          </w:p>
        </w:tc>
        <w:tc>
          <w:tcPr>
            <w:tcW w:w="1559" w:type="dxa"/>
          </w:tcPr>
          <w:p w14:paraId="709E8B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D65CB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54773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7EAD6E0" w14:textId="77777777" w:rsidTr="00924B3D">
        <w:trPr>
          <w:trHeight w:val="300"/>
        </w:trPr>
        <w:tc>
          <w:tcPr>
            <w:tcW w:w="1009" w:type="dxa"/>
            <w:shd w:val="clear" w:color="auto" w:fill="auto"/>
            <w:noWrap/>
            <w:hideMark/>
          </w:tcPr>
          <w:p w14:paraId="5545BFE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FDF3A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Unfer V, Facchinetti F, Orrù B, Giordani B, Nestler J.</w:t>
            </w:r>
          </w:p>
        </w:tc>
        <w:tc>
          <w:tcPr>
            <w:tcW w:w="709" w:type="dxa"/>
            <w:shd w:val="clear" w:color="auto" w:fill="auto"/>
            <w:noWrap/>
            <w:hideMark/>
          </w:tcPr>
          <w:p w14:paraId="61E1EA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2DFD6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Myo-inositol effects in women with PCOS: a meta-analysis of randomized controlled trials. </w:t>
            </w:r>
          </w:p>
        </w:tc>
        <w:tc>
          <w:tcPr>
            <w:tcW w:w="1417" w:type="dxa"/>
          </w:tcPr>
          <w:p w14:paraId="503580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Endocrine connections</w:t>
            </w:r>
          </w:p>
        </w:tc>
        <w:tc>
          <w:tcPr>
            <w:tcW w:w="709" w:type="dxa"/>
          </w:tcPr>
          <w:p w14:paraId="2F96A7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6(8)</w:t>
            </w:r>
          </w:p>
        </w:tc>
        <w:tc>
          <w:tcPr>
            <w:tcW w:w="851" w:type="dxa"/>
          </w:tcPr>
          <w:p w14:paraId="41AA38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647-658</w:t>
            </w:r>
          </w:p>
        </w:tc>
        <w:tc>
          <w:tcPr>
            <w:tcW w:w="1559" w:type="dxa"/>
          </w:tcPr>
          <w:p w14:paraId="3A3D3B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A2383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F7573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1BF6864" w14:textId="77777777" w:rsidTr="00924B3D">
        <w:trPr>
          <w:trHeight w:val="300"/>
        </w:trPr>
        <w:tc>
          <w:tcPr>
            <w:tcW w:w="1009" w:type="dxa"/>
            <w:shd w:val="clear" w:color="auto" w:fill="auto"/>
            <w:noWrap/>
            <w:hideMark/>
          </w:tcPr>
          <w:p w14:paraId="074237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2505C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Usher C, Thompson A, Griebeler M, et al.</w:t>
            </w:r>
          </w:p>
        </w:tc>
        <w:tc>
          <w:tcPr>
            <w:tcW w:w="709" w:type="dxa"/>
            <w:shd w:val="clear" w:color="auto" w:fill="auto"/>
            <w:noWrap/>
            <w:hideMark/>
          </w:tcPr>
          <w:p w14:paraId="2FF627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115151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Meals, mindfulness, &amp; moving forward: a feasibility study to a multi</w:t>
            </w:r>
            <w:r w:rsidRPr="00D518FF">
              <w:rPr>
                <w:rFonts w:ascii="Cambria Math" w:hAnsi="Cambria Math" w:cs="Cambria Math"/>
                <w:color w:val="000000"/>
                <w:sz w:val="16"/>
                <w:szCs w:val="16"/>
              </w:rPr>
              <w:t>‐</w:t>
            </w:r>
            <w:r w:rsidRPr="00D518FF">
              <w:rPr>
                <w:rFonts w:ascii="Aptos" w:hAnsi="Aptos" w:cs="Calibri"/>
                <w:color w:val="000000"/>
                <w:sz w:val="16"/>
                <w:szCs w:val="16"/>
              </w:rPr>
              <w:t>modal lifestyle approach in early psychosis</w:t>
            </w:r>
          </w:p>
        </w:tc>
        <w:tc>
          <w:tcPr>
            <w:tcW w:w="1417" w:type="dxa"/>
          </w:tcPr>
          <w:p w14:paraId="77B78F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Early Intervention in Psychiatry</w:t>
            </w:r>
          </w:p>
        </w:tc>
        <w:tc>
          <w:tcPr>
            <w:tcW w:w="709" w:type="dxa"/>
          </w:tcPr>
          <w:p w14:paraId="57FC7A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13(1)</w:t>
            </w:r>
          </w:p>
        </w:tc>
        <w:tc>
          <w:tcPr>
            <w:tcW w:w="851" w:type="dxa"/>
          </w:tcPr>
          <w:p w14:paraId="0BFC1E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147-50</w:t>
            </w:r>
          </w:p>
        </w:tc>
        <w:tc>
          <w:tcPr>
            <w:tcW w:w="1559" w:type="dxa"/>
          </w:tcPr>
          <w:p w14:paraId="623025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C1AF0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0957B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A061B88" w14:textId="77777777" w:rsidTr="00924B3D">
        <w:trPr>
          <w:trHeight w:val="300"/>
        </w:trPr>
        <w:tc>
          <w:tcPr>
            <w:tcW w:w="1009" w:type="dxa"/>
            <w:shd w:val="clear" w:color="auto" w:fill="auto"/>
            <w:noWrap/>
            <w:hideMark/>
          </w:tcPr>
          <w:p w14:paraId="0714C0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2378D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Vadiraja H, Rao MR, Nagarathna R, et al.</w:t>
            </w:r>
          </w:p>
        </w:tc>
        <w:tc>
          <w:tcPr>
            <w:tcW w:w="709" w:type="dxa"/>
            <w:shd w:val="clear" w:color="auto" w:fill="auto"/>
            <w:noWrap/>
            <w:hideMark/>
          </w:tcPr>
          <w:p w14:paraId="6838FF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6D9BF8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yoga program on quality of life and affect in early breast cancer patients undergoing adjuvant radiotherapy: a randomized controlled trial</w:t>
            </w:r>
          </w:p>
        </w:tc>
        <w:tc>
          <w:tcPr>
            <w:tcW w:w="1417" w:type="dxa"/>
          </w:tcPr>
          <w:p w14:paraId="139240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6CC6F8A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17(5)</w:t>
            </w:r>
          </w:p>
        </w:tc>
        <w:tc>
          <w:tcPr>
            <w:tcW w:w="851" w:type="dxa"/>
          </w:tcPr>
          <w:p w14:paraId="283DB1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274-80</w:t>
            </w:r>
          </w:p>
        </w:tc>
        <w:tc>
          <w:tcPr>
            <w:tcW w:w="1559" w:type="dxa"/>
          </w:tcPr>
          <w:p w14:paraId="61D6FF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00B82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4876A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1B5FEB0" w14:textId="77777777" w:rsidTr="00924B3D">
        <w:trPr>
          <w:trHeight w:val="300"/>
        </w:trPr>
        <w:tc>
          <w:tcPr>
            <w:tcW w:w="1009" w:type="dxa"/>
            <w:shd w:val="clear" w:color="auto" w:fill="auto"/>
            <w:noWrap/>
            <w:hideMark/>
          </w:tcPr>
          <w:p w14:paraId="575B318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08720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Vadiraja H, Rao RM, Nagarathna R, et al</w:t>
            </w:r>
          </w:p>
        </w:tc>
        <w:tc>
          <w:tcPr>
            <w:tcW w:w="709" w:type="dxa"/>
            <w:shd w:val="clear" w:color="auto" w:fill="auto"/>
            <w:noWrap/>
            <w:hideMark/>
          </w:tcPr>
          <w:p w14:paraId="3B04B9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F5D3A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yoga in managing fatigue in breast cancer patients: a randomized controlled trial</w:t>
            </w:r>
          </w:p>
        </w:tc>
        <w:tc>
          <w:tcPr>
            <w:tcW w:w="1417" w:type="dxa"/>
          </w:tcPr>
          <w:p w14:paraId="76AC2A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Palliative Care</w:t>
            </w:r>
          </w:p>
        </w:tc>
        <w:tc>
          <w:tcPr>
            <w:tcW w:w="709" w:type="dxa"/>
          </w:tcPr>
          <w:p w14:paraId="45EE7F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23(3)</w:t>
            </w:r>
          </w:p>
        </w:tc>
        <w:tc>
          <w:tcPr>
            <w:tcW w:w="851" w:type="dxa"/>
          </w:tcPr>
          <w:p w14:paraId="69A4CC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247</w:t>
            </w:r>
          </w:p>
        </w:tc>
        <w:tc>
          <w:tcPr>
            <w:tcW w:w="1559" w:type="dxa"/>
          </w:tcPr>
          <w:p w14:paraId="723F09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754D2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C2C7C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D433D05" w14:textId="77777777" w:rsidTr="00924B3D">
        <w:trPr>
          <w:trHeight w:val="300"/>
        </w:trPr>
        <w:tc>
          <w:tcPr>
            <w:tcW w:w="1009" w:type="dxa"/>
            <w:shd w:val="clear" w:color="auto" w:fill="auto"/>
            <w:noWrap/>
            <w:hideMark/>
          </w:tcPr>
          <w:p w14:paraId="5DF863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D0957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Vadiraja SH, Rao MR, Nagendra RH, et al.</w:t>
            </w:r>
          </w:p>
        </w:tc>
        <w:tc>
          <w:tcPr>
            <w:tcW w:w="709" w:type="dxa"/>
            <w:shd w:val="clear" w:color="auto" w:fill="auto"/>
            <w:noWrap/>
            <w:hideMark/>
          </w:tcPr>
          <w:p w14:paraId="0A81069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12E575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yoga on symptom management in breast cancer patients: a randomized controlled trial</w:t>
            </w:r>
          </w:p>
        </w:tc>
        <w:tc>
          <w:tcPr>
            <w:tcW w:w="1417" w:type="dxa"/>
          </w:tcPr>
          <w:p w14:paraId="07DED8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International Journal of Yoga</w:t>
            </w:r>
          </w:p>
        </w:tc>
        <w:tc>
          <w:tcPr>
            <w:tcW w:w="709" w:type="dxa"/>
          </w:tcPr>
          <w:p w14:paraId="0B1D56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w:t>
            </w:r>
          </w:p>
        </w:tc>
        <w:tc>
          <w:tcPr>
            <w:tcW w:w="851" w:type="dxa"/>
          </w:tcPr>
          <w:p w14:paraId="7F93B82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73</w:t>
            </w:r>
          </w:p>
        </w:tc>
        <w:tc>
          <w:tcPr>
            <w:tcW w:w="1559" w:type="dxa"/>
          </w:tcPr>
          <w:p w14:paraId="610C0F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6C9D3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7BB08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FC2C4F7" w14:textId="77777777" w:rsidTr="00924B3D">
        <w:trPr>
          <w:trHeight w:val="300"/>
        </w:trPr>
        <w:tc>
          <w:tcPr>
            <w:tcW w:w="1009" w:type="dxa"/>
            <w:shd w:val="clear" w:color="auto" w:fill="auto"/>
            <w:noWrap/>
            <w:hideMark/>
          </w:tcPr>
          <w:p w14:paraId="2788CD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63006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van de Rest O, Bloemendaal M, de Heus R, Aarts E.</w:t>
            </w:r>
          </w:p>
        </w:tc>
        <w:tc>
          <w:tcPr>
            <w:tcW w:w="709" w:type="dxa"/>
            <w:shd w:val="clear" w:color="auto" w:fill="auto"/>
            <w:noWrap/>
            <w:hideMark/>
          </w:tcPr>
          <w:p w14:paraId="3B7EE9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0ED3D5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Dose-dependent effects of oral tyrosine administration on plasma tyrosine levels and cognition in aging. </w:t>
            </w:r>
          </w:p>
        </w:tc>
        <w:tc>
          <w:tcPr>
            <w:tcW w:w="1417" w:type="dxa"/>
          </w:tcPr>
          <w:p w14:paraId="6FA1C2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2BA1DE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9(12)</w:t>
            </w:r>
          </w:p>
        </w:tc>
        <w:tc>
          <w:tcPr>
            <w:tcW w:w="851" w:type="dxa"/>
          </w:tcPr>
          <w:p w14:paraId="7BE2E0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E1279</w:t>
            </w:r>
          </w:p>
        </w:tc>
        <w:tc>
          <w:tcPr>
            <w:tcW w:w="1559" w:type="dxa"/>
          </w:tcPr>
          <w:p w14:paraId="49BFC1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C6A1FD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E5576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F49E880" w14:textId="77777777" w:rsidTr="00924B3D">
        <w:trPr>
          <w:trHeight w:val="300"/>
        </w:trPr>
        <w:tc>
          <w:tcPr>
            <w:tcW w:w="1009" w:type="dxa"/>
            <w:shd w:val="clear" w:color="auto" w:fill="auto"/>
            <w:noWrap/>
            <w:hideMark/>
          </w:tcPr>
          <w:p w14:paraId="4E0B17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A9995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Venugopal V, Rathi A, Raghuram N</w:t>
            </w:r>
          </w:p>
        </w:tc>
        <w:tc>
          <w:tcPr>
            <w:tcW w:w="709" w:type="dxa"/>
            <w:shd w:val="clear" w:color="auto" w:fill="auto"/>
            <w:noWrap/>
            <w:hideMark/>
          </w:tcPr>
          <w:p w14:paraId="10FA0D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3E654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short-term yoga-based lifestyle intervention on plasma glucose levels in individuals with diabetes and pre-diabetes in the community</w:t>
            </w:r>
          </w:p>
        </w:tc>
        <w:tc>
          <w:tcPr>
            <w:tcW w:w="1417" w:type="dxa"/>
          </w:tcPr>
          <w:p w14:paraId="163461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Diabetes Metab Syndr</w:t>
            </w:r>
          </w:p>
        </w:tc>
        <w:tc>
          <w:tcPr>
            <w:tcW w:w="709" w:type="dxa"/>
          </w:tcPr>
          <w:p w14:paraId="727FDF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11(Suppl2)</w:t>
            </w:r>
          </w:p>
        </w:tc>
        <w:tc>
          <w:tcPr>
            <w:tcW w:w="851" w:type="dxa"/>
          </w:tcPr>
          <w:p w14:paraId="2EADEC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S597-9</w:t>
            </w:r>
          </w:p>
        </w:tc>
        <w:tc>
          <w:tcPr>
            <w:tcW w:w="1559" w:type="dxa"/>
          </w:tcPr>
          <w:p w14:paraId="614A10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15A7C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76881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36E9D52" w14:textId="77777777" w:rsidTr="00924B3D">
        <w:trPr>
          <w:trHeight w:val="300"/>
        </w:trPr>
        <w:tc>
          <w:tcPr>
            <w:tcW w:w="1009" w:type="dxa"/>
            <w:shd w:val="clear" w:color="auto" w:fill="auto"/>
            <w:noWrap/>
            <w:hideMark/>
          </w:tcPr>
          <w:p w14:paraId="116956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13040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Veselinovic M, Vasiljevic D, Vucic V, Arsic A, Petrovic S, Tomic-Lucic A, Savic M, Zivanovic S, Stojic V, Jakovljevic V.</w:t>
            </w:r>
          </w:p>
        </w:tc>
        <w:tc>
          <w:tcPr>
            <w:tcW w:w="709" w:type="dxa"/>
            <w:shd w:val="clear" w:color="auto" w:fill="auto"/>
            <w:noWrap/>
            <w:hideMark/>
          </w:tcPr>
          <w:p w14:paraId="031F04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80B66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Clinical benefits of n-3 PUFA and </w:t>
            </w:r>
            <w:r w:rsidRPr="00D518FF">
              <w:rPr>
                <w:rFonts w:ascii="Arial" w:hAnsi="Arial" w:cs="Arial"/>
                <w:color w:val="000000"/>
                <w:sz w:val="16"/>
                <w:szCs w:val="16"/>
              </w:rPr>
              <w:t>ɤ</w:t>
            </w:r>
            <w:r w:rsidRPr="00D518FF">
              <w:rPr>
                <w:rFonts w:ascii="Aptos" w:hAnsi="Aptos" w:cs="Calibri"/>
                <w:color w:val="000000"/>
                <w:sz w:val="16"/>
                <w:szCs w:val="16"/>
              </w:rPr>
              <w:t xml:space="preserve">-linolenic acid in patients with rheumatoid arthritis. </w:t>
            </w:r>
          </w:p>
        </w:tc>
        <w:tc>
          <w:tcPr>
            <w:tcW w:w="1417" w:type="dxa"/>
          </w:tcPr>
          <w:p w14:paraId="486969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0EF1879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9(4)</w:t>
            </w:r>
          </w:p>
        </w:tc>
        <w:tc>
          <w:tcPr>
            <w:tcW w:w="851" w:type="dxa"/>
          </w:tcPr>
          <w:p w14:paraId="62EBD6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325</w:t>
            </w:r>
          </w:p>
        </w:tc>
        <w:tc>
          <w:tcPr>
            <w:tcW w:w="1559" w:type="dxa"/>
          </w:tcPr>
          <w:p w14:paraId="0C8404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FAB2E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51861D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AECD430" w14:textId="77777777" w:rsidTr="00924B3D">
        <w:trPr>
          <w:trHeight w:val="300"/>
        </w:trPr>
        <w:tc>
          <w:tcPr>
            <w:tcW w:w="1009" w:type="dxa"/>
            <w:shd w:val="clear" w:color="auto" w:fill="auto"/>
            <w:noWrap/>
            <w:hideMark/>
          </w:tcPr>
          <w:p w14:paraId="3596245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BFBDC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Vinutha H, Raghavendra B, Manjunath N.</w:t>
            </w:r>
          </w:p>
        </w:tc>
        <w:tc>
          <w:tcPr>
            <w:tcW w:w="709" w:type="dxa"/>
            <w:shd w:val="clear" w:color="auto" w:fill="auto"/>
            <w:noWrap/>
            <w:hideMark/>
          </w:tcPr>
          <w:p w14:paraId="68478A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1B961C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 of integrated approach of yoga therapy on autonomic functions in patients with type 2 diabetes</w:t>
            </w:r>
          </w:p>
        </w:tc>
        <w:tc>
          <w:tcPr>
            <w:tcW w:w="1417" w:type="dxa"/>
          </w:tcPr>
          <w:p w14:paraId="68C623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Indian Journal of Endocrinology and Metabolism</w:t>
            </w:r>
          </w:p>
        </w:tc>
        <w:tc>
          <w:tcPr>
            <w:tcW w:w="709" w:type="dxa"/>
          </w:tcPr>
          <w:p w14:paraId="14407F7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19(5)</w:t>
            </w:r>
          </w:p>
        </w:tc>
        <w:tc>
          <w:tcPr>
            <w:tcW w:w="851" w:type="dxa"/>
          </w:tcPr>
          <w:p w14:paraId="0965E2D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653</w:t>
            </w:r>
          </w:p>
        </w:tc>
        <w:tc>
          <w:tcPr>
            <w:tcW w:w="1559" w:type="dxa"/>
          </w:tcPr>
          <w:p w14:paraId="24BB8B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9D60A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34F0E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EF8DD8E" w14:textId="77777777" w:rsidTr="00924B3D">
        <w:trPr>
          <w:trHeight w:val="300"/>
        </w:trPr>
        <w:tc>
          <w:tcPr>
            <w:tcW w:w="1009" w:type="dxa"/>
            <w:shd w:val="clear" w:color="auto" w:fill="auto"/>
            <w:noWrap/>
            <w:hideMark/>
          </w:tcPr>
          <w:p w14:paraId="6A9527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7157E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Vishal AA, Mishra A, Raychaudhuri SP.</w:t>
            </w:r>
          </w:p>
        </w:tc>
        <w:tc>
          <w:tcPr>
            <w:tcW w:w="709" w:type="dxa"/>
            <w:shd w:val="clear" w:color="auto" w:fill="auto"/>
            <w:noWrap/>
            <w:hideMark/>
          </w:tcPr>
          <w:p w14:paraId="0EB207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5ECE4B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double blind, randomized, placebo controlled clinical study evaluates the early efficacy of aflapin in subjects with osteoarthritis of knee. </w:t>
            </w:r>
          </w:p>
        </w:tc>
        <w:tc>
          <w:tcPr>
            <w:tcW w:w="1417" w:type="dxa"/>
          </w:tcPr>
          <w:p w14:paraId="2B268D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 J Med Sci</w:t>
            </w:r>
          </w:p>
        </w:tc>
        <w:tc>
          <w:tcPr>
            <w:tcW w:w="709" w:type="dxa"/>
          </w:tcPr>
          <w:p w14:paraId="01163C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w:t>
            </w:r>
          </w:p>
        </w:tc>
        <w:tc>
          <w:tcPr>
            <w:tcW w:w="851" w:type="dxa"/>
          </w:tcPr>
          <w:p w14:paraId="4D2E2A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615–622</w:t>
            </w:r>
          </w:p>
        </w:tc>
        <w:tc>
          <w:tcPr>
            <w:tcW w:w="1559" w:type="dxa"/>
          </w:tcPr>
          <w:p w14:paraId="7F2D98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3450B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AD1D5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D7F7D03" w14:textId="77777777" w:rsidTr="00924B3D">
        <w:trPr>
          <w:trHeight w:val="300"/>
        </w:trPr>
        <w:tc>
          <w:tcPr>
            <w:tcW w:w="1009" w:type="dxa"/>
            <w:shd w:val="clear" w:color="auto" w:fill="auto"/>
            <w:noWrap/>
            <w:hideMark/>
          </w:tcPr>
          <w:p w14:paraId="6C5857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429099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Vitagliano A, Saccone G, Cosmi E, Visentin S, Dessole F, Ambrosini G, et al.</w:t>
            </w:r>
          </w:p>
        </w:tc>
        <w:tc>
          <w:tcPr>
            <w:tcW w:w="709" w:type="dxa"/>
            <w:shd w:val="clear" w:color="auto" w:fill="auto"/>
            <w:noWrap/>
            <w:hideMark/>
          </w:tcPr>
          <w:p w14:paraId="05622C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225D250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Inositol for the prevention of gestational diabetes: a systematic review and meta-analysis of randomized controlled trials. </w:t>
            </w:r>
          </w:p>
        </w:tc>
        <w:tc>
          <w:tcPr>
            <w:tcW w:w="1417" w:type="dxa"/>
          </w:tcPr>
          <w:p w14:paraId="6A62BA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Arch Gynecol Obstet</w:t>
            </w:r>
          </w:p>
        </w:tc>
        <w:tc>
          <w:tcPr>
            <w:tcW w:w="709" w:type="dxa"/>
          </w:tcPr>
          <w:p w14:paraId="689731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299(1)</w:t>
            </w:r>
          </w:p>
        </w:tc>
        <w:tc>
          <w:tcPr>
            <w:tcW w:w="851" w:type="dxa"/>
          </w:tcPr>
          <w:p w14:paraId="0B4B56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55-68</w:t>
            </w:r>
          </w:p>
        </w:tc>
        <w:tc>
          <w:tcPr>
            <w:tcW w:w="1559" w:type="dxa"/>
          </w:tcPr>
          <w:p w14:paraId="6439AC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10.1007/s00404-018-5005-0</w:t>
            </w:r>
          </w:p>
        </w:tc>
        <w:tc>
          <w:tcPr>
            <w:tcW w:w="850" w:type="dxa"/>
            <w:shd w:val="clear" w:color="auto" w:fill="auto"/>
            <w:noWrap/>
            <w:hideMark/>
          </w:tcPr>
          <w:p w14:paraId="139E41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94455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079CA986" w14:textId="77777777" w:rsidTr="00924B3D">
        <w:trPr>
          <w:trHeight w:val="300"/>
        </w:trPr>
        <w:tc>
          <w:tcPr>
            <w:tcW w:w="1009" w:type="dxa"/>
            <w:shd w:val="clear" w:color="auto" w:fill="auto"/>
            <w:noWrap/>
            <w:hideMark/>
          </w:tcPr>
          <w:p w14:paraId="6EEB92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E6B19C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Vitetta L, Coulson S, Beck SL, et al.</w:t>
            </w:r>
          </w:p>
        </w:tc>
        <w:tc>
          <w:tcPr>
            <w:tcW w:w="709" w:type="dxa"/>
            <w:shd w:val="clear" w:color="auto" w:fill="auto"/>
            <w:noWrap/>
            <w:hideMark/>
          </w:tcPr>
          <w:p w14:paraId="4DC91C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2013</w:t>
            </w:r>
          </w:p>
        </w:tc>
        <w:tc>
          <w:tcPr>
            <w:tcW w:w="3544" w:type="dxa"/>
            <w:shd w:val="clear" w:color="auto" w:fill="auto"/>
            <w:noWrap/>
            <w:hideMark/>
          </w:tcPr>
          <w:p w14:paraId="3747AA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clinical efficacy of a bovine lactoferrin/whey protein Ig-rich fraction (Lf/IgF) for the common cold: a double blind randomized study</w:t>
            </w:r>
          </w:p>
        </w:tc>
        <w:tc>
          <w:tcPr>
            <w:tcW w:w="1417" w:type="dxa"/>
          </w:tcPr>
          <w:p w14:paraId="535271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1CE5E7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7(4)</w:t>
            </w:r>
          </w:p>
        </w:tc>
        <w:tc>
          <w:tcPr>
            <w:tcW w:w="851" w:type="dxa"/>
          </w:tcPr>
          <w:p w14:paraId="3AEBFB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526-31</w:t>
            </w:r>
          </w:p>
        </w:tc>
        <w:tc>
          <w:tcPr>
            <w:tcW w:w="1559" w:type="dxa"/>
          </w:tcPr>
          <w:p w14:paraId="0A1901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7C6AC0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6578B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EF4CC65" w14:textId="77777777" w:rsidTr="00924B3D">
        <w:trPr>
          <w:trHeight w:val="300"/>
        </w:trPr>
        <w:tc>
          <w:tcPr>
            <w:tcW w:w="1009" w:type="dxa"/>
            <w:shd w:val="clear" w:color="auto" w:fill="auto"/>
            <w:noWrap/>
            <w:hideMark/>
          </w:tcPr>
          <w:p w14:paraId="20203B2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F8AB1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Vohra S, Johnston B, Laycock K, et al.</w:t>
            </w:r>
          </w:p>
        </w:tc>
        <w:tc>
          <w:tcPr>
            <w:tcW w:w="709" w:type="dxa"/>
            <w:shd w:val="clear" w:color="auto" w:fill="auto"/>
            <w:noWrap/>
            <w:hideMark/>
          </w:tcPr>
          <w:p w14:paraId="56B5E2D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2007</w:t>
            </w:r>
          </w:p>
        </w:tc>
        <w:tc>
          <w:tcPr>
            <w:tcW w:w="3544" w:type="dxa"/>
            <w:shd w:val="clear" w:color="auto" w:fill="auto"/>
            <w:noWrap/>
            <w:hideMark/>
          </w:tcPr>
          <w:p w14:paraId="1ACBF3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Safety and tolerability of North American ginseng extract in the treatment of paediatric upper </w:t>
            </w:r>
            <w:r w:rsidRPr="00D518FF">
              <w:rPr>
                <w:rFonts w:ascii="Aptos" w:hAnsi="Aptos" w:cs="Calibri"/>
                <w:color w:val="000000"/>
                <w:sz w:val="16"/>
                <w:szCs w:val="16"/>
              </w:rPr>
              <w:lastRenderedPageBreak/>
              <w:t>respiratory tract infection: a phase II randomised controlled trial of two dosing schedules.</w:t>
            </w:r>
          </w:p>
        </w:tc>
        <w:tc>
          <w:tcPr>
            <w:tcW w:w="1417" w:type="dxa"/>
          </w:tcPr>
          <w:p w14:paraId="1D4196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 xml:space="preserve">Focus on Alternative and </w:t>
            </w:r>
            <w:r w:rsidRPr="00D518FF">
              <w:rPr>
                <w:rFonts w:ascii="Aptos" w:hAnsi="Aptos" w:cs="Calibri"/>
                <w:color w:val="000000"/>
                <w:sz w:val="16"/>
                <w:szCs w:val="16"/>
              </w:rPr>
              <w:lastRenderedPageBreak/>
              <w:t>Complementary Therapies</w:t>
            </w:r>
          </w:p>
        </w:tc>
        <w:tc>
          <w:tcPr>
            <w:tcW w:w="709" w:type="dxa"/>
          </w:tcPr>
          <w:p w14:paraId="783202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12(Suppl 1)</w:t>
            </w:r>
          </w:p>
        </w:tc>
        <w:tc>
          <w:tcPr>
            <w:tcW w:w="851" w:type="dxa"/>
          </w:tcPr>
          <w:p w14:paraId="31984E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52</w:t>
            </w:r>
          </w:p>
        </w:tc>
        <w:tc>
          <w:tcPr>
            <w:tcW w:w="1559" w:type="dxa"/>
          </w:tcPr>
          <w:p w14:paraId="3AF68A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F24C6C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0EA7E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12C50CA" w14:textId="77777777" w:rsidTr="00924B3D">
        <w:trPr>
          <w:trHeight w:val="300"/>
        </w:trPr>
        <w:tc>
          <w:tcPr>
            <w:tcW w:w="1009" w:type="dxa"/>
            <w:shd w:val="clear" w:color="auto" w:fill="auto"/>
            <w:noWrap/>
            <w:hideMark/>
          </w:tcPr>
          <w:p w14:paraId="3051F87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3B5A26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Waldron M, Patterson SD, Tallent J, Jeffries O.</w:t>
            </w:r>
          </w:p>
        </w:tc>
        <w:tc>
          <w:tcPr>
            <w:tcW w:w="709" w:type="dxa"/>
            <w:shd w:val="clear" w:color="auto" w:fill="auto"/>
            <w:noWrap/>
            <w:hideMark/>
          </w:tcPr>
          <w:p w14:paraId="7A252E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7F73DF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effects of oral taurine on resting blood pressure in humans: a meta-analysis. </w:t>
            </w:r>
          </w:p>
        </w:tc>
        <w:tc>
          <w:tcPr>
            <w:tcW w:w="1417" w:type="dxa"/>
          </w:tcPr>
          <w:p w14:paraId="1B50FB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Curr Hypertens Rep</w:t>
            </w:r>
          </w:p>
        </w:tc>
        <w:tc>
          <w:tcPr>
            <w:tcW w:w="709" w:type="dxa"/>
          </w:tcPr>
          <w:p w14:paraId="0CD8AF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20(9)</w:t>
            </w:r>
          </w:p>
        </w:tc>
        <w:tc>
          <w:tcPr>
            <w:tcW w:w="851" w:type="dxa"/>
          </w:tcPr>
          <w:p w14:paraId="6FBF8B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81</w:t>
            </w:r>
          </w:p>
        </w:tc>
        <w:tc>
          <w:tcPr>
            <w:tcW w:w="1559" w:type="dxa"/>
          </w:tcPr>
          <w:p w14:paraId="224F77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10.1007/s11906-018-0881-z</w:t>
            </w:r>
          </w:p>
        </w:tc>
        <w:tc>
          <w:tcPr>
            <w:tcW w:w="850" w:type="dxa"/>
            <w:shd w:val="clear" w:color="auto" w:fill="auto"/>
            <w:noWrap/>
            <w:hideMark/>
          </w:tcPr>
          <w:p w14:paraId="5DA310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3C6EA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707F5EBF" w14:textId="77777777" w:rsidTr="00924B3D">
        <w:trPr>
          <w:trHeight w:val="300"/>
        </w:trPr>
        <w:tc>
          <w:tcPr>
            <w:tcW w:w="1009" w:type="dxa"/>
            <w:shd w:val="clear" w:color="auto" w:fill="auto"/>
            <w:noWrap/>
            <w:hideMark/>
          </w:tcPr>
          <w:p w14:paraId="6C2413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F0FBF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Wang JY, Wu YH, Liu SJ, Lin YS, Lu PH.</w:t>
            </w:r>
          </w:p>
        </w:tc>
        <w:tc>
          <w:tcPr>
            <w:tcW w:w="709" w:type="dxa"/>
            <w:shd w:val="clear" w:color="auto" w:fill="auto"/>
            <w:noWrap/>
            <w:hideMark/>
          </w:tcPr>
          <w:p w14:paraId="5A2314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EC4F4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Vitamin B12 for herpetic neuralgia: A meta-analysis of randomised controlled trials.</w:t>
            </w:r>
          </w:p>
        </w:tc>
        <w:tc>
          <w:tcPr>
            <w:tcW w:w="1417" w:type="dxa"/>
          </w:tcPr>
          <w:p w14:paraId="34EEC5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472D68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w:t>
            </w:r>
          </w:p>
        </w:tc>
        <w:tc>
          <w:tcPr>
            <w:tcW w:w="851" w:type="dxa"/>
          </w:tcPr>
          <w:p w14:paraId="340ED3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277-282</w:t>
            </w:r>
          </w:p>
        </w:tc>
        <w:tc>
          <w:tcPr>
            <w:tcW w:w="1559" w:type="dxa"/>
          </w:tcPr>
          <w:p w14:paraId="37C8A6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7A314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6442D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42CCAF8A" w14:textId="77777777" w:rsidTr="00924B3D">
        <w:trPr>
          <w:trHeight w:val="300"/>
        </w:trPr>
        <w:tc>
          <w:tcPr>
            <w:tcW w:w="1009" w:type="dxa"/>
            <w:shd w:val="clear" w:color="auto" w:fill="auto"/>
            <w:noWrap/>
            <w:hideMark/>
          </w:tcPr>
          <w:p w14:paraId="6162A7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0D396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Wang WW, Wang XS, Zhang ZR, He JC, Xie CL.</w:t>
            </w:r>
          </w:p>
        </w:tc>
        <w:tc>
          <w:tcPr>
            <w:tcW w:w="709" w:type="dxa"/>
            <w:shd w:val="clear" w:color="auto" w:fill="auto"/>
            <w:noWrap/>
            <w:hideMark/>
          </w:tcPr>
          <w:p w14:paraId="7045C8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02E4F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A meta-analysis of folic acid in combination with anti-hypertension drugs in patients with hypertension and hyperhomocysteinemia. </w:t>
            </w:r>
          </w:p>
        </w:tc>
        <w:tc>
          <w:tcPr>
            <w:tcW w:w="1417" w:type="dxa"/>
          </w:tcPr>
          <w:p w14:paraId="4BAB11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Frontiers in pharmacology</w:t>
            </w:r>
          </w:p>
        </w:tc>
        <w:tc>
          <w:tcPr>
            <w:tcW w:w="709" w:type="dxa"/>
          </w:tcPr>
          <w:p w14:paraId="7CC369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w:t>
            </w:r>
          </w:p>
        </w:tc>
        <w:tc>
          <w:tcPr>
            <w:tcW w:w="851" w:type="dxa"/>
          </w:tcPr>
          <w:p w14:paraId="6FB7F0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585</w:t>
            </w:r>
          </w:p>
        </w:tc>
        <w:tc>
          <w:tcPr>
            <w:tcW w:w="1559" w:type="dxa"/>
          </w:tcPr>
          <w:p w14:paraId="7EA07B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6DAC958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F284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EE923FB" w14:textId="77777777" w:rsidTr="00924B3D">
        <w:trPr>
          <w:trHeight w:val="300"/>
        </w:trPr>
        <w:tc>
          <w:tcPr>
            <w:tcW w:w="1009" w:type="dxa"/>
            <w:shd w:val="clear" w:color="auto" w:fill="auto"/>
            <w:noWrap/>
            <w:hideMark/>
          </w:tcPr>
          <w:p w14:paraId="41770D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F3ECC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Wardle, J</w:t>
            </w:r>
          </w:p>
        </w:tc>
        <w:tc>
          <w:tcPr>
            <w:tcW w:w="709" w:type="dxa"/>
            <w:shd w:val="clear" w:color="auto" w:fill="auto"/>
            <w:noWrap/>
            <w:hideMark/>
          </w:tcPr>
          <w:p w14:paraId="7727099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2FA854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Australian government review of natural therapies for private health insurance rebates: What does it say and what does it mean?</w:t>
            </w:r>
          </w:p>
        </w:tc>
        <w:tc>
          <w:tcPr>
            <w:tcW w:w="1417" w:type="dxa"/>
          </w:tcPr>
          <w:p w14:paraId="67CFDF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Advances in Integrative Medicine</w:t>
            </w:r>
          </w:p>
        </w:tc>
        <w:tc>
          <w:tcPr>
            <w:tcW w:w="709" w:type="dxa"/>
          </w:tcPr>
          <w:p w14:paraId="2CC94F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w:t>
            </w:r>
          </w:p>
        </w:tc>
        <w:tc>
          <w:tcPr>
            <w:tcW w:w="851" w:type="dxa"/>
          </w:tcPr>
          <w:p w14:paraId="420387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44107</w:t>
            </w:r>
          </w:p>
        </w:tc>
        <w:tc>
          <w:tcPr>
            <w:tcW w:w="1559" w:type="dxa"/>
          </w:tcPr>
          <w:p w14:paraId="1C80944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10.1016/j.aimed.2016.07.004</w:t>
            </w:r>
          </w:p>
        </w:tc>
        <w:tc>
          <w:tcPr>
            <w:tcW w:w="850" w:type="dxa"/>
            <w:shd w:val="clear" w:color="auto" w:fill="auto"/>
            <w:noWrap/>
            <w:hideMark/>
          </w:tcPr>
          <w:p w14:paraId="0BC499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04CD7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5117E652" w14:textId="77777777" w:rsidTr="00924B3D">
        <w:trPr>
          <w:trHeight w:val="300"/>
        </w:trPr>
        <w:tc>
          <w:tcPr>
            <w:tcW w:w="1009" w:type="dxa"/>
            <w:shd w:val="clear" w:color="auto" w:fill="auto"/>
            <w:noWrap/>
            <w:hideMark/>
          </w:tcPr>
          <w:p w14:paraId="01164D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FAA976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Wardle, J</w:t>
            </w:r>
          </w:p>
        </w:tc>
        <w:tc>
          <w:tcPr>
            <w:tcW w:w="709" w:type="dxa"/>
            <w:shd w:val="clear" w:color="auto" w:fill="auto"/>
            <w:noWrap/>
            <w:hideMark/>
          </w:tcPr>
          <w:p w14:paraId="5E7F41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5302C28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Australian government review of natural therapies for private health insurance rebates: What does it say and what does it mean?</w:t>
            </w:r>
          </w:p>
        </w:tc>
        <w:tc>
          <w:tcPr>
            <w:tcW w:w="1417" w:type="dxa"/>
          </w:tcPr>
          <w:p w14:paraId="2BEE46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Advances in Integrative Medicine</w:t>
            </w:r>
          </w:p>
        </w:tc>
        <w:tc>
          <w:tcPr>
            <w:tcW w:w="709" w:type="dxa"/>
          </w:tcPr>
          <w:p w14:paraId="6F06497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w:t>
            </w:r>
          </w:p>
        </w:tc>
        <w:tc>
          <w:tcPr>
            <w:tcW w:w="851" w:type="dxa"/>
          </w:tcPr>
          <w:p w14:paraId="5F3C56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3-Oct</w:t>
            </w:r>
          </w:p>
        </w:tc>
        <w:tc>
          <w:tcPr>
            <w:tcW w:w="1559" w:type="dxa"/>
          </w:tcPr>
          <w:p w14:paraId="28DDE6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10.1016/j.aimed.2016.07.004</w:t>
            </w:r>
          </w:p>
        </w:tc>
        <w:tc>
          <w:tcPr>
            <w:tcW w:w="850" w:type="dxa"/>
            <w:shd w:val="clear" w:color="auto" w:fill="auto"/>
            <w:noWrap/>
            <w:hideMark/>
          </w:tcPr>
          <w:p w14:paraId="63CF8B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C2CE3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12EA27AA" w14:textId="77777777" w:rsidTr="00924B3D">
        <w:trPr>
          <w:trHeight w:val="300"/>
        </w:trPr>
        <w:tc>
          <w:tcPr>
            <w:tcW w:w="1009" w:type="dxa"/>
            <w:shd w:val="clear" w:color="auto" w:fill="auto"/>
            <w:noWrap/>
            <w:hideMark/>
          </w:tcPr>
          <w:p w14:paraId="1CEBB53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99438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Wardle, J </w:t>
            </w:r>
          </w:p>
        </w:tc>
        <w:tc>
          <w:tcPr>
            <w:tcW w:w="709" w:type="dxa"/>
            <w:shd w:val="clear" w:color="auto" w:fill="auto"/>
            <w:noWrap/>
            <w:hideMark/>
          </w:tcPr>
          <w:p w14:paraId="6659BC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1B8F85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Australian government review of natural therapies for private health insurance rebates: What does it say and what does it mean?</w:t>
            </w:r>
          </w:p>
        </w:tc>
        <w:tc>
          <w:tcPr>
            <w:tcW w:w="1417" w:type="dxa"/>
          </w:tcPr>
          <w:p w14:paraId="6C007B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Advances in Integrative Medicine</w:t>
            </w:r>
          </w:p>
        </w:tc>
        <w:tc>
          <w:tcPr>
            <w:tcW w:w="709" w:type="dxa"/>
          </w:tcPr>
          <w:p w14:paraId="27B3388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w:t>
            </w:r>
          </w:p>
        </w:tc>
        <w:tc>
          <w:tcPr>
            <w:tcW w:w="851" w:type="dxa"/>
          </w:tcPr>
          <w:p w14:paraId="218C9A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3-Oct</w:t>
            </w:r>
          </w:p>
        </w:tc>
        <w:tc>
          <w:tcPr>
            <w:tcW w:w="1559" w:type="dxa"/>
          </w:tcPr>
          <w:p w14:paraId="2A163C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10.1016/j.aimed.2016.07.004</w:t>
            </w:r>
          </w:p>
        </w:tc>
        <w:tc>
          <w:tcPr>
            <w:tcW w:w="850" w:type="dxa"/>
            <w:shd w:val="clear" w:color="auto" w:fill="auto"/>
            <w:noWrap/>
            <w:hideMark/>
          </w:tcPr>
          <w:p w14:paraId="32259F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86557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50F4DBD4" w14:textId="77777777" w:rsidTr="00924B3D">
        <w:trPr>
          <w:trHeight w:val="300"/>
        </w:trPr>
        <w:tc>
          <w:tcPr>
            <w:tcW w:w="1009" w:type="dxa"/>
            <w:shd w:val="clear" w:color="auto" w:fill="auto"/>
            <w:noWrap/>
            <w:hideMark/>
          </w:tcPr>
          <w:p w14:paraId="3C006A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6F1E8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Wardle, J, Steel, A, Casteleijn, D, Bowman, D</w:t>
            </w:r>
          </w:p>
        </w:tc>
        <w:tc>
          <w:tcPr>
            <w:tcW w:w="709" w:type="dxa"/>
            <w:shd w:val="clear" w:color="auto" w:fill="auto"/>
            <w:noWrap/>
            <w:hideMark/>
          </w:tcPr>
          <w:p w14:paraId="397891F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6184651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evidence-based overview of naturopathic practice in Australia</w:t>
            </w:r>
          </w:p>
        </w:tc>
        <w:tc>
          <w:tcPr>
            <w:tcW w:w="1417" w:type="dxa"/>
          </w:tcPr>
          <w:p w14:paraId="2F27956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Herbal &amp; Naturopathic Medicine</w:t>
            </w:r>
          </w:p>
        </w:tc>
        <w:tc>
          <w:tcPr>
            <w:tcW w:w="709" w:type="dxa"/>
          </w:tcPr>
          <w:p w14:paraId="1C9A52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31(1)</w:t>
            </w:r>
          </w:p>
        </w:tc>
        <w:tc>
          <w:tcPr>
            <w:tcW w:w="851" w:type="dxa"/>
          </w:tcPr>
          <w:p w14:paraId="674F5B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41518</w:t>
            </w:r>
          </w:p>
        </w:tc>
        <w:tc>
          <w:tcPr>
            <w:tcW w:w="1559" w:type="dxa"/>
          </w:tcPr>
          <w:p w14:paraId="6A6589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10.33235/ajhnm.31.1.9-13</w:t>
            </w:r>
          </w:p>
        </w:tc>
        <w:tc>
          <w:tcPr>
            <w:tcW w:w="850" w:type="dxa"/>
            <w:shd w:val="clear" w:color="auto" w:fill="auto"/>
            <w:noWrap/>
            <w:hideMark/>
          </w:tcPr>
          <w:p w14:paraId="5454C8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3ADE3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study design - included SRs searched for eligibility</w:t>
            </w:r>
          </w:p>
        </w:tc>
      </w:tr>
      <w:tr w:rsidR="008F3151" w:rsidRPr="00D518FF" w14:paraId="312ADF7D" w14:textId="77777777" w:rsidTr="00924B3D">
        <w:trPr>
          <w:trHeight w:val="300"/>
        </w:trPr>
        <w:tc>
          <w:tcPr>
            <w:tcW w:w="1009" w:type="dxa"/>
            <w:shd w:val="clear" w:color="auto" w:fill="auto"/>
            <w:noWrap/>
            <w:hideMark/>
          </w:tcPr>
          <w:p w14:paraId="5CA247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89750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Wardle, J, Steel, A, Casteleijn, D, Bowman, D</w:t>
            </w:r>
          </w:p>
        </w:tc>
        <w:tc>
          <w:tcPr>
            <w:tcW w:w="709" w:type="dxa"/>
            <w:shd w:val="clear" w:color="auto" w:fill="auto"/>
            <w:noWrap/>
            <w:hideMark/>
          </w:tcPr>
          <w:p w14:paraId="3FEEDF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4A06BD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evidence-based overview of naturopathic practice in Australia</w:t>
            </w:r>
          </w:p>
        </w:tc>
        <w:tc>
          <w:tcPr>
            <w:tcW w:w="1417" w:type="dxa"/>
          </w:tcPr>
          <w:p w14:paraId="7FACE4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Herbal &amp; Naturopathic Medicine</w:t>
            </w:r>
          </w:p>
        </w:tc>
        <w:tc>
          <w:tcPr>
            <w:tcW w:w="709" w:type="dxa"/>
          </w:tcPr>
          <w:p w14:paraId="26D818F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31(1)</w:t>
            </w:r>
          </w:p>
        </w:tc>
        <w:tc>
          <w:tcPr>
            <w:tcW w:w="851" w:type="dxa"/>
          </w:tcPr>
          <w:p w14:paraId="4B41A7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41518</w:t>
            </w:r>
          </w:p>
        </w:tc>
        <w:tc>
          <w:tcPr>
            <w:tcW w:w="1559" w:type="dxa"/>
          </w:tcPr>
          <w:p w14:paraId="30BBEE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10.33235/ajhnm.31.1.9-13</w:t>
            </w:r>
          </w:p>
        </w:tc>
        <w:tc>
          <w:tcPr>
            <w:tcW w:w="850" w:type="dxa"/>
            <w:shd w:val="clear" w:color="auto" w:fill="auto"/>
            <w:noWrap/>
            <w:hideMark/>
          </w:tcPr>
          <w:p w14:paraId="34CB6A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AB5F2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study design - included SRs searched for eligibility</w:t>
            </w:r>
          </w:p>
        </w:tc>
      </w:tr>
      <w:tr w:rsidR="008F3151" w:rsidRPr="00D518FF" w14:paraId="6AE5BF07" w14:textId="77777777" w:rsidTr="00924B3D">
        <w:trPr>
          <w:trHeight w:val="300"/>
        </w:trPr>
        <w:tc>
          <w:tcPr>
            <w:tcW w:w="1009" w:type="dxa"/>
            <w:shd w:val="clear" w:color="auto" w:fill="auto"/>
            <w:noWrap/>
            <w:hideMark/>
          </w:tcPr>
          <w:p w14:paraId="54CC8A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5F4383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Wardle, J, Steel, A, Casteleijn, D, Bowman, D</w:t>
            </w:r>
          </w:p>
        </w:tc>
        <w:tc>
          <w:tcPr>
            <w:tcW w:w="709" w:type="dxa"/>
            <w:shd w:val="clear" w:color="auto" w:fill="auto"/>
            <w:noWrap/>
            <w:hideMark/>
          </w:tcPr>
          <w:p w14:paraId="451CE2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0035D0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evidence-based overview of naturopathic practice in Australia</w:t>
            </w:r>
          </w:p>
        </w:tc>
        <w:tc>
          <w:tcPr>
            <w:tcW w:w="1417" w:type="dxa"/>
          </w:tcPr>
          <w:p w14:paraId="2B86EC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Herbal &amp; Naturopathic Medicine</w:t>
            </w:r>
          </w:p>
        </w:tc>
        <w:tc>
          <w:tcPr>
            <w:tcW w:w="709" w:type="dxa"/>
          </w:tcPr>
          <w:p w14:paraId="722CDD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31(1)</w:t>
            </w:r>
          </w:p>
        </w:tc>
        <w:tc>
          <w:tcPr>
            <w:tcW w:w="851" w:type="dxa"/>
          </w:tcPr>
          <w:p w14:paraId="3E2AD91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Sep-13</w:t>
            </w:r>
          </w:p>
        </w:tc>
        <w:tc>
          <w:tcPr>
            <w:tcW w:w="1559" w:type="dxa"/>
          </w:tcPr>
          <w:p w14:paraId="0CD6BB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10.33235/ajhnm.31.1.9-13</w:t>
            </w:r>
          </w:p>
        </w:tc>
        <w:tc>
          <w:tcPr>
            <w:tcW w:w="850" w:type="dxa"/>
            <w:shd w:val="clear" w:color="auto" w:fill="auto"/>
            <w:noWrap/>
            <w:hideMark/>
          </w:tcPr>
          <w:p w14:paraId="24ED3B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C21772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study design - included SRs searched for eligibility</w:t>
            </w:r>
          </w:p>
        </w:tc>
      </w:tr>
      <w:tr w:rsidR="008F3151" w:rsidRPr="00D518FF" w14:paraId="12AB4CB1" w14:textId="77777777" w:rsidTr="00924B3D">
        <w:trPr>
          <w:trHeight w:val="300"/>
        </w:trPr>
        <w:tc>
          <w:tcPr>
            <w:tcW w:w="1009" w:type="dxa"/>
            <w:shd w:val="clear" w:color="auto" w:fill="auto"/>
            <w:noWrap/>
            <w:hideMark/>
          </w:tcPr>
          <w:p w14:paraId="0ADE6C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20489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Wardle, J, Steel, A, Casteleijn, D, Bowman, D</w:t>
            </w:r>
          </w:p>
        </w:tc>
        <w:tc>
          <w:tcPr>
            <w:tcW w:w="709" w:type="dxa"/>
            <w:shd w:val="clear" w:color="auto" w:fill="auto"/>
            <w:noWrap/>
            <w:hideMark/>
          </w:tcPr>
          <w:p w14:paraId="530A74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332248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 evidence-based overview of naturopathic practice in Australia</w:t>
            </w:r>
          </w:p>
        </w:tc>
        <w:tc>
          <w:tcPr>
            <w:tcW w:w="1417" w:type="dxa"/>
          </w:tcPr>
          <w:p w14:paraId="45AFBAD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Australian Journal of Herbal &amp; Naturopathic Medicine</w:t>
            </w:r>
          </w:p>
        </w:tc>
        <w:tc>
          <w:tcPr>
            <w:tcW w:w="709" w:type="dxa"/>
          </w:tcPr>
          <w:p w14:paraId="019E95C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31(1)</w:t>
            </w:r>
          </w:p>
        </w:tc>
        <w:tc>
          <w:tcPr>
            <w:tcW w:w="851" w:type="dxa"/>
          </w:tcPr>
          <w:p w14:paraId="3BE3DE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Sep-13</w:t>
            </w:r>
          </w:p>
        </w:tc>
        <w:tc>
          <w:tcPr>
            <w:tcW w:w="1559" w:type="dxa"/>
          </w:tcPr>
          <w:p w14:paraId="2FEC5E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10.33235/ajhnm.31.1.9-13</w:t>
            </w:r>
          </w:p>
        </w:tc>
        <w:tc>
          <w:tcPr>
            <w:tcW w:w="850" w:type="dxa"/>
            <w:shd w:val="clear" w:color="auto" w:fill="auto"/>
            <w:noWrap/>
            <w:hideMark/>
          </w:tcPr>
          <w:p w14:paraId="19E4CF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9FDA4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study design - included SRs searched for eligibility</w:t>
            </w:r>
          </w:p>
        </w:tc>
      </w:tr>
      <w:tr w:rsidR="008F3151" w:rsidRPr="00D518FF" w14:paraId="45B726D2" w14:textId="77777777" w:rsidTr="00924B3D">
        <w:trPr>
          <w:trHeight w:val="300"/>
        </w:trPr>
        <w:tc>
          <w:tcPr>
            <w:tcW w:w="1009" w:type="dxa"/>
            <w:shd w:val="clear" w:color="auto" w:fill="auto"/>
            <w:noWrap/>
            <w:hideMark/>
          </w:tcPr>
          <w:p w14:paraId="50A9ED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1F61CE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Watson CJ, Grando D, Fairley CK, et al.</w:t>
            </w:r>
          </w:p>
        </w:tc>
        <w:tc>
          <w:tcPr>
            <w:tcW w:w="709" w:type="dxa"/>
            <w:shd w:val="clear" w:color="auto" w:fill="auto"/>
            <w:noWrap/>
            <w:hideMark/>
          </w:tcPr>
          <w:p w14:paraId="79BE8B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1DEFFF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effects of oral garlic on vaginal candida colony counts: a randomised placebo controlled double</w:t>
            </w:r>
            <w:r w:rsidRPr="00D518FF">
              <w:rPr>
                <w:rFonts w:ascii="Cambria Math" w:hAnsi="Cambria Math" w:cs="Cambria Math"/>
                <w:color w:val="000000"/>
                <w:sz w:val="16"/>
                <w:szCs w:val="16"/>
              </w:rPr>
              <w:t>‐</w:t>
            </w:r>
            <w:r w:rsidRPr="00D518FF">
              <w:rPr>
                <w:rFonts w:ascii="Aptos" w:hAnsi="Aptos" w:cs="Calibri"/>
                <w:color w:val="000000"/>
                <w:sz w:val="16"/>
                <w:szCs w:val="16"/>
              </w:rPr>
              <w:t>blind trial</w:t>
            </w:r>
          </w:p>
        </w:tc>
        <w:tc>
          <w:tcPr>
            <w:tcW w:w="1417" w:type="dxa"/>
          </w:tcPr>
          <w:p w14:paraId="1B23B3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BJOG: An International Journal of Obstetrics &amp; Gynaecology</w:t>
            </w:r>
          </w:p>
        </w:tc>
        <w:tc>
          <w:tcPr>
            <w:tcW w:w="709" w:type="dxa"/>
          </w:tcPr>
          <w:p w14:paraId="43B1C6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121(4)</w:t>
            </w:r>
          </w:p>
        </w:tc>
        <w:tc>
          <w:tcPr>
            <w:tcW w:w="851" w:type="dxa"/>
          </w:tcPr>
          <w:p w14:paraId="162B1C5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498-506</w:t>
            </w:r>
          </w:p>
        </w:tc>
        <w:tc>
          <w:tcPr>
            <w:tcW w:w="1559" w:type="dxa"/>
          </w:tcPr>
          <w:p w14:paraId="0EEB264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E2912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8BD000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C15725D" w14:textId="77777777" w:rsidTr="00924B3D">
        <w:trPr>
          <w:trHeight w:val="300"/>
        </w:trPr>
        <w:tc>
          <w:tcPr>
            <w:tcW w:w="1009" w:type="dxa"/>
            <w:shd w:val="clear" w:color="auto" w:fill="auto"/>
            <w:noWrap/>
            <w:hideMark/>
          </w:tcPr>
          <w:p w14:paraId="1E59200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C2F83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Weber W, Taylor JA, Stoep AV, et al</w:t>
            </w:r>
          </w:p>
        </w:tc>
        <w:tc>
          <w:tcPr>
            <w:tcW w:w="709" w:type="dxa"/>
            <w:shd w:val="clear" w:color="auto" w:fill="auto"/>
            <w:noWrap/>
            <w:hideMark/>
          </w:tcPr>
          <w:p w14:paraId="25DFB9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2005</w:t>
            </w:r>
          </w:p>
        </w:tc>
        <w:tc>
          <w:tcPr>
            <w:tcW w:w="3544" w:type="dxa"/>
            <w:shd w:val="clear" w:color="auto" w:fill="auto"/>
            <w:noWrap/>
            <w:hideMark/>
          </w:tcPr>
          <w:p w14:paraId="12EB540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Echinacea purpurea for prevention of upper respiratory tract infections in children</w:t>
            </w:r>
          </w:p>
        </w:tc>
        <w:tc>
          <w:tcPr>
            <w:tcW w:w="1417" w:type="dxa"/>
          </w:tcPr>
          <w:p w14:paraId="6903F94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Journal of Alternative &amp; </w:t>
            </w:r>
            <w:r w:rsidRPr="00D518FF">
              <w:rPr>
                <w:rFonts w:ascii="Aptos" w:hAnsi="Aptos" w:cs="Calibri"/>
                <w:color w:val="000000"/>
                <w:sz w:val="16"/>
                <w:szCs w:val="16"/>
              </w:rPr>
              <w:lastRenderedPageBreak/>
              <w:t>Complementary Medicine</w:t>
            </w:r>
          </w:p>
        </w:tc>
        <w:tc>
          <w:tcPr>
            <w:tcW w:w="709" w:type="dxa"/>
          </w:tcPr>
          <w:p w14:paraId="587EAC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11(6)</w:t>
            </w:r>
          </w:p>
        </w:tc>
        <w:tc>
          <w:tcPr>
            <w:tcW w:w="851" w:type="dxa"/>
          </w:tcPr>
          <w:p w14:paraId="0EB23B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1021-6</w:t>
            </w:r>
          </w:p>
        </w:tc>
        <w:tc>
          <w:tcPr>
            <w:tcW w:w="1559" w:type="dxa"/>
          </w:tcPr>
          <w:p w14:paraId="669A52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94FEB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A05D0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9AD0DD5" w14:textId="77777777" w:rsidTr="00924B3D">
        <w:trPr>
          <w:trHeight w:val="300"/>
        </w:trPr>
        <w:tc>
          <w:tcPr>
            <w:tcW w:w="1009" w:type="dxa"/>
            <w:shd w:val="clear" w:color="auto" w:fill="auto"/>
            <w:noWrap/>
            <w:hideMark/>
          </w:tcPr>
          <w:p w14:paraId="0DD149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1092C9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Weber W, Vander Stoep A, McCarty RL, et al</w:t>
            </w:r>
          </w:p>
        </w:tc>
        <w:tc>
          <w:tcPr>
            <w:tcW w:w="709" w:type="dxa"/>
            <w:shd w:val="clear" w:color="auto" w:fill="auto"/>
            <w:noWrap/>
            <w:hideMark/>
          </w:tcPr>
          <w:p w14:paraId="480085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56FB63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Hypericum perforatum (St John's wort) for attention-deficit/hyperactivity disorder in children and adolescents: a randomized controlled trial</w:t>
            </w:r>
          </w:p>
        </w:tc>
        <w:tc>
          <w:tcPr>
            <w:tcW w:w="1417" w:type="dxa"/>
          </w:tcPr>
          <w:p w14:paraId="052A29C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JAMA</w:t>
            </w:r>
          </w:p>
        </w:tc>
        <w:tc>
          <w:tcPr>
            <w:tcW w:w="709" w:type="dxa"/>
          </w:tcPr>
          <w:p w14:paraId="3D9073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299(22)</w:t>
            </w:r>
          </w:p>
        </w:tc>
        <w:tc>
          <w:tcPr>
            <w:tcW w:w="851" w:type="dxa"/>
          </w:tcPr>
          <w:p w14:paraId="69B783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2633-41</w:t>
            </w:r>
          </w:p>
        </w:tc>
        <w:tc>
          <w:tcPr>
            <w:tcW w:w="1559" w:type="dxa"/>
          </w:tcPr>
          <w:p w14:paraId="403C7A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B449D2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24CDC5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FD389F7" w14:textId="77777777" w:rsidTr="00924B3D">
        <w:trPr>
          <w:trHeight w:val="300"/>
        </w:trPr>
        <w:tc>
          <w:tcPr>
            <w:tcW w:w="1009" w:type="dxa"/>
            <w:shd w:val="clear" w:color="auto" w:fill="auto"/>
            <w:noWrap/>
            <w:hideMark/>
          </w:tcPr>
          <w:p w14:paraId="1EF868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AC4C1E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Westphal, L. M., M. L. Polan, A. S. Trant and S. Mooney</w:t>
            </w:r>
          </w:p>
        </w:tc>
        <w:tc>
          <w:tcPr>
            <w:tcW w:w="709" w:type="dxa"/>
            <w:shd w:val="clear" w:color="auto" w:fill="auto"/>
            <w:noWrap/>
            <w:hideMark/>
          </w:tcPr>
          <w:p w14:paraId="294FCC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2004</w:t>
            </w:r>
          </w:p>
        </w:tc>
        <w:tc>
          <w:tcPr>
            <w:tcW w:w="3544" w:type="dxa"/>
            <w:shd w:val="clear" w:color="auto" w:fill="auto"/>
            <w:noWrap/>
            <w:hideMark/>
          </w:tcPr>
          <w:p w14:paraId="7573A7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nutritional supplement for improving fertility in women.</w:t>
            </w:r>
          </w:p>
        </w:tc>
        <w:tc>
          <w:tcPr>
            <w:tcW w:w="1417" w:type="dxa"/>
          </w:tcPr>
          <w:p w14:paraId="70E5634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Reproductive Medicine</w:t>
            </w:r>
          </w:p>
        </w:tc>
        <w:tc>
          <w:tcPr>
            <w:tcW w:w="709" w:type="dxa"/>
          </w:tcPr>
          <w:p w14:paraId="2B1F5B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49(4)</w:t>
            </w:r>
          </w:p>
        </w:tc>
        <w:tc>
          <w:tcPr>
            <w:tcW w:w="851" w:type="dxa"/>
          </w:tcPr>
          <w:p w14:paraId="6D02AE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289-293</w:t>
            </w:r>
          </w:p>
        </w:tc>
        <w:tc>
          <w:tcPr>
            <w:tcW w:w="1559" w:type="dxa"/>
          </w:tcPr>
          <w:p w14:paraId="1AE499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ED56D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CCFED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735B252" w14:textId="77777777" w:rsidTr="00924B3D">
        <w:trPr>
          <w:trHeight w:val="300"/>
        </w:trPr>
        <w:tc>
          <w:tcPr>
            <w:tcW w:w="1009" w:type="dxa"/>
            <w:shd w:val="clear" w:color="auto" w:fill="auto"/>
            <w:noWrap/>
            <w:hideMark/>
          </w:tcPr>
          <w:p w14:paraId="7160CB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95F86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Withee ED, Tippens KM, Dehen R, et al</w:t>
            </w:r>
          </w:p>
        </w:tc>
        <w:tc>
          <w:tcPr>
            <w:tcW w:w="709" w:type="dxa"/>
            <w:shd w:val="clear" w:color="auto" w:fill="auto"/>
            <w:noWrap/>
            <w:hideMark/>
          </w:tcPr>
          <w:p w14:paraId="50BF0C3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4C4390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Methylsulfonylmethane (MSM) on exercise-induced oxidative stress, muscle damage, and pain following a half-marathon: a double-blind, randomized, placebo-controlled trial</w:t>
            </w:r>
          </w:p>
        </w:tc>
        <w:tc>
          <w:tcPr>
            <w:tcW w:w="1417" w:type="dxa"/>
          </w:tcPr>
          <w:p w14:paraId="56FC79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the International Society of Sports Nutrition</w:t>
            </w:r>
          </w:p>
        </w:tc>
        <w:tc>
          <w:tcPr>
            <w:tcW w:w="709" w:type="dxa"/>
          </w:tcPr>
          <w:p w14:paraId="2EE07D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14(1)</w:t>
            </w:r>
          </w:p>
        </w:tc>
        <w:tc>
          <w:tcPr>
            <w:tcW w:w="851" w:type="dxa"/>
          </w:tcPr>
          <w:p w14:paraId="752976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w:t>
            </w:r>
          </w:p>
        </w:tc>
        <w:tc>
          <w:tcPr>
            <w:tcW w:w="1559" w:type="dxa"/>
          </w:tcPr>
          <w:p w14:paraId="52B3B0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29125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561E2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05CF7090" w14:textId="77777777" w:rsidTr="00924B3D">
        <w:trPr>
          <w:trHeight w:val="300"/>
        </w:trPr>
        <w:tc>
          <w:tcPr>
            <w:tcW w:w="1009" w:type="dxa"/>
            <w:shd w:val="clear" w:color="auto" w:fill="auto"/>
            <w:noWrap/>
            <w:hideMark/>
          </w:tcPr>
          <w:p w14:paraId="2206D7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B9539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Withee ED, Tippens KM, Dehen R, et al</w:t>
            </w:r>
          </w:p>
        </w:tc>
        <w:tc>
          <w:tcPr>
            <w:tcW w:w="709" w:type="dxa"/>
            <w:shd w:val="clear" w:color="auto" w:fill="auto"/>
            <w:noWrap/>
            <w:hideMark/>
          </w:tcPr>
          <w:p w14:paraId="26C9884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1C7EF3A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Effects of MSM on exercise-induced muscle and joint pain: a pilot study</w:t>
            </w:r>
          </w:p>
        </w:tc>
        <w:tc>
          <w:tcPr>
            <w:tcW w:w="1417" w:type="dxa"/>
          </w:tcPr>
          <w:p w14:paraId="4D56F7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the International Society of Sports Nutrition</w:t>
            </w:r>
          </w:p>
        </w:tc>
        <w:tc>
          <w:tcPr>
            <w:tcW w:w="709" w:type="dxa"/>
          </w:tcPr>
          <w:p w14:paraId="1C5F310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12(Suppl 1)</w:t>
            </w:r>
          </w:p>
        </w:tc>
        <w:tc>
          <w:tcPr>
            <w:tcW w:w="851" w:type="dxa"/>
          </w:tcPr>
          <w:p w14:paraId="0AE8628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w:t>
            </w:r>
          </w:p>
        </w:tc>
        <w:tc>
          <w:tcPr>
            <w:tcW w:w="1559" w:type="dxa"/>
          </w:tcPr>
          <w:p w14:paraId="1018F3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84E6E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3FD41B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4D58C663" w14:textId="77777777" w:rsidTr="00924B3D">
        <w:trPr>
          <w:trHeight w:val="300"/>
        </w:trPr>
        <w:tc>
          <w:tcPr>
            <w:tcW w:w="1009" w:type="dxa"/>
            <w:shd w:val="clear" w:color="auto" w:fill="auto"/>
            <w:noWrap/>
            <w:hideMark/>
          </w:tcPr>
          <w:p w14:paraId="021DFE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3C046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Withee ED, Tippens KM, Dehen R, et al.</w:t>
            </w:r>
          </w:p>
        </w:tc>
        <w:tc>
          <w:tcPr>
            <w:tcW w:w="709" w:type="dxa"/>
            <w:shd w:val="clear" w:color="auto" w:fill="auto"/>
            <w:noWrap/>
            <w:hideMark/>
          </w:tcPr>
          <w:p w14:paraId="12504A6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2D43CC3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Methylsulfonylmethane supplementation as a nonpharmacological option for exercise-induced pain: a pilot study</w:t>
            </w:r>
          </w:p>
        </w:tc>
        <w:tc>
          <w:tcPr>
            <w:tcW w:w="1417" w:type="dxa"/>
          </w:tcPr>
          <w:p w14:paraId="1CFDBE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Integrative Medicine</w:t>
            </w:r>
          </w:p>
        </w:tc>
        <w:tc>
          <w:tcPr>
            <w:tcW w:w="709" w:type="dxa"/>
          </w:tcPr>
          <w:p w14:paraId="4D8FBA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25(1)</w:t>
            </w:r>
          </w:p>
        </w:tc>
        <w:tc>
          <w:tcPr>
            <w:tcW w:w="851" w:type="dxa"/>
          </w:tcPr>
          <w:p w14:paraId="1DFF97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44</w:t>
            </w:r>
          </w:p>
        </w:tc>
        <w:tc>
          <w:tcPr>
            <w:tcW w:w="1559" w:type="dxa"/>
          </w:tcPr>
          <w:p w14:paraId="7161422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B34DC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5EE2D9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609211B4" w14:textId="77777777" w:rsidTr="00924B3D">
        <w:trPr>
          <w:trHeight w:val="300"/>
        </w:trPr>
        <w:tc>
          <w:tcPr>
            <w:tcW w:w="1009" w:type="dxa"/>
            <w:shd w:val="clear" w:color="auto" w:fill="auto"/>
            <w:noWrap/>
            <w:hideMark/>
          </w:tcPr>
          <w:p w14:paraId="61BFA2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FCDB1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Witte AV, Kerti L, Hermannstädter HM, Fiebach JB, Schreiber SJ, Schuchardt JP, et al.</w:t>
            </w:r>
          </w:p>
        </w:tc>
        <w:tc>
          <w:tcPr>
            <w:tcW w:w="709" w:type="dxa"/>
            <w:shd w:val="clear" w:color="auto" w:fill="auto"/>
            <w:noWrap/>
            <w:hideMark/>
          </w:tcPr>
          <w:p w14:paraId="6115029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2014</w:t>
            </w:r>
          </w:p>
        </w:tc>
        <w:tc>
          <w:tcPr>
            <w:tcW w:w="3544" w:type="dxa"/>
            <w:shd w:val="clear" w:color="auto" w:fill="auto"/>
            <w:noWrap/>
            <w:hideMark/>
          </w:tcPr>
          <w:p w14:paraId="7E124D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Long-chain omega-3 fatty acids improve brain function and structure in older adults. </w:t>
            </w:r>
          </w:p>
        </w:tc>
        <w:tc>
          <w:tcPr>
            <w:tcW w:w="1417" w:type="dxa"/>
          </w:tcPr>
          <w:p w14:paraId="1F37DD7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Cereb Cortex</w:t>
            </w:r>
          </w:p>
        </w:tc>
        <w:tc>
          <w:tcPr>
            <w:tcW w:w="709" w:type="dxa"/>
          </w:tcPr>
          <w:p w14:paraId="3D390E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24(11)</w:t>
            </w:r>
          </w:p>
        </w:tc>
        <w:tc>
          <w:tcPr>
            <w:tcW w:w="851" w:type="dxa"/>
          </w:tcPr>
          <w:p w14:paraId="50F9BB1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3059-3068</w:t>
            </w:r>
          </w:p>
        </w:tc>
        <w:tc>
          <w:tcPr>
            <w:tcW w:w="1559" w:type="dxa"/>
          </w:tcPr>
          <w:p w14:paraId="178C564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10.1093/cercor/bht163</w:t>
            </w:r>
          </w:p>
        </w:tc>
        <w:tc>
          <w:tcPr>
            <w:tcW w:w="850" w:type="dxa"/>
            <w:shd w:val="clear" w:color="auto" w:fill="auto"/>
            <w:noWrap/>
            <w:hideMark/>
          </w:tcPr>
          <w:p w14:paraId="7DD696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C4EA8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86B6F0E" w14:textId="77777777" w:rsidTr="00924B3D">
        <w:trPr>
          <w:trHeight w:val="300"/>
        </w:trPr>
        <w:tc>
          <w:tcPr>
            <w:tcW w:w="1009" w:type="dxa"/>
            <w:shd w:val="clear" w:color="auto" w:fill="auto"/>
            <w:noWrap/>
            <w:hideMark/>
          </w:tcPr>
          <w:p w14:paraId="5EBE007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A2448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World </w:t>
            </w:r>
            <w:r w:rsidR="00BD188B" w:rsidRPr="00D518FF">
              <w:rPr>
                <w:rFonts w:ascii="Aptos" w:hAnsi="Aptos" w:cs="Calibri"/>
                <w:color w:val="000000"/>
                <w:sz w:val="16"/>
                <w:szCs w:val="16"/>
              </w:rPr>
              <w:t>Naturopathic</w:t>
            </w:r>
            <w:r w:rsidRPr="00D518FF">
              <w:rPr>
                <w:rFonts w:ascii="Aptos" w:hAnsi="Aptos" w:cs="Calibri"/>
                <w:color w:val="000000"/>
                <w:sz w:val="16"/>
                <w:szCs w:val="16"/>
              </w:rPr>
              <w:t xml:space="preserve"> </w:t>
            </w:r>
            <w:r w:rsidR="00BD188B">
              <w:rPr>
                <w:rFonts w:ascii="Aptos" w:hAnsi="Aptos" w:cs="Calibri"/>
                <w:color w:val="000000"/>
                <w:sz w:val="16"/>
                <w:szCs w:val="16"/>
              </w:rPr>
              <w:t>F</w:t>
            </w:r>
            <w:r w:rsidRPr="00D518FF">
              <w:rPr>
                <w:rFonts w:ascii="Aptos" w:hAnsi="Aptos" w:cs="Calibri"/>
                <w:color w:val="000000"/>
                <w:sz w:val="16"/>
                <w:szCs w:val="16"/>
              </w:rPr>
              <w:t>ederation</w:t>
            </w:r>
          </w:p>
        </w:tc>
        <w:tc>
          <w:tcPr>
            <w:tcW w:w="709" w:type="dxa"/>
            <w:shd w:val="clear" w:color="auto" w:fill="auto"/>
            <w:noWrap/>
            <w:hideMark/>
          </w:tcPr>
          <w:p w14:paraId="1D0687D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1E97455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Research Written by Naturopaths /Naturopathic Doctors</w:t>
            </w:r>
          </w:p>
        </w:tc>
        <w:tc>
          <w:tcPr>
            <w:tcW w:w="1417" w:type="dxa"/>
          </w:tcPr>
          <w:p w14:paraId="2C4CC1F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http://worldnaturopathicfederation.org/wp-content/uploads/2019/04/WNF_Research-Written-by-Naturopaths-Naturopathic-Doctors.pdf</w:t>
            </w:r>
          </w:p>
        </w:tc>
        <w:tc>
          <w:tcPr>
            <w:tcW w:w="709" w:type="dxa"/>
          </w:tcPr>
          <w:p w14:paraId="17BA485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w:t>
            </w:r>
          </w:p>
        </w:tc>
        <w:tc>
          <w:tcPr>
            <w:tcW w:w="851" w:type="dxa"/>
          </w:tcPr>
          <w:p w14:paraId="60763E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1-50</w:t>
            </w:r>
          </w:p>
        </w:tc>
        <w:tc>
          <w:tcPr>
            <w:tcW w:w="1559" w:type="dxa"/>
          </w:tcPr>
          <w:p w14:paraId="33476E0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 n/a</w:t>
            </w:r>
          </w:p>
        </w:tc>
        <w:tc>
          <w:tcPr>
            <w:tcW w:w="850" w:type="dxa"/>
            <w:shd w:val="clear" w:color="auto" w:fill="auto"/>
            <w:noWrap/>
            <w:hideMark/>
          </w:tcPr>
          <w:p w14:paraId="565462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E63DEE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BD188B" w:rsidRPr="00D518FF" w14:paraId="1C4462A2" w14:textId="77777777" w:rsidTr="00924B3D">
        <w:trPr>
          <w:trHeight w:val="300"/>
        </w:trPr>
        <w:tc>
          <w:tcPr>
            <w:tcW w:w="1009" w:type="dxa"/>
            <w:shd w:val="clear" w:color="auto" w:fill="auto"/>
            <w:noWrap/>
            <w:hideMark/>
          </w:tcPr>
          <w:p w14:paraId="2C9040D5"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513EF91"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World Naturopathic </w:t>
            </w:r>
            <w:r>
              <w:rPr>
                <w:rFonts w:ascii="Aptos" w:hAnsi="Aptos" w:cs="Calibri"/>
                <w:color w:val="000000"/>
                <w:sz w:val="16"/>
                <w:szCs w:val="16"/>
              </w:rPr>
              <w:t>F</w:t>
            </w:r>
            <w:r w:rsidRPr="00D518FF">
              <w:rPr>
                <w:rFonts w:ascii="Aptos" w:hAnsi="Aptos" w:cs="Calibri"/>
                <w:color w:val="000000"/>
                <w:sz w:val="16"/>
                <w:szCs w:val="16"/>
              </w:rPr>
              <w:t>ederation</w:t>
            </w:r>
          </w:p>
        </w:tc>
        <w:tc>
          <w:tcPr>
            <w:tcW w:w="709" w:type="dxa"/>
            <w:shd w:val="clear" w:color="auto" w:fill="auto"/>
            <w:noWrap/>
            <w:hideMark/>
          </w:tcPr>
          <w:p w14:paraId="58DA4C64"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49B17371"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Research Written by Naturopaths /Naturopathic Doctors</w:t>
            </w:r>
          </w:p>
        </w:tc>
        <w:tc>
          <w:tcPr>
            <w:tcW w:w="1417" w:type="dxa"/>
          </w:tcPr>
          <w:p w14:paraId="37A68B18"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http://worldnaturopathicfederation.org/wp-content/uploads/2019/04/WNF_Research-Written-by-Naturopaths-Naturopathic-Doctors.pdf</w:t>
            </w:r>
          </w:p>
        </w:tc>
        <w:tc>
          <w:tcPr>
            <w:tcW w:w="709" w:type="dxa"/>
          </w:tcPr>
          <w:p w14:paraId="0B32F7C8"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w:t>
            </w:r>
          </w:p>
        </w:tc>
        <w:tc>
          <w:tcPr>
            <w:tcW w:w="851" w:type="dxa"/>
          </w:tcPr>
          <w:p w14:paraId="3D5861E3"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1-50</w:t>
            </w:r>
          </w:p>
        </w:tc>
        <w:tc>
          <w:tcPr>
            <w:tcW w:w="1559" w:type="dxa"/>
          </w:tcPr>
          <w:p w14:paraId="02B01E15"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n/a</w:t>
            </w:r>
          </w:p>
        </w:tc>
        <w:tc>
          <w:tcPr>
            <w:tcW w:w="850" w:type="dxa"/>
            <w:shd w:val="clear" w:color="auto" w:fill="auto"/>
            <w:noWrap/>
            <w:hideMark/>
          </w:tcPr>
          <w:p w14:paraId="397EAC39"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BA1E113"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BD188B" w:rsidRPr="00D518FF" w14:paraId="5A958C07" w14:textId="77777777" w:rsidTr="00924B3D">
        <w:trPr>
          <w:trHeight w:val="300"/>
        </w:trPr>
        <w:tc>
          <w:tcPr>
            <w:tcW w:w="1009" w:type="dxa"/>
            <w:shd w:val="clear" w:color="auto" w:fill="auto"/>
            <w:noWrap/>
            <w:hideMark/>
          </w:tcPr>
          <w:p w14:paraId="06889455"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lastRenderedPageBreak/>
              <w:t> -</w:t>
            </w:r>
          </w:p>
        </w:tc>
        <w:tc>
          <w:tcPr>
            <w:tcW w:w="2388" w:type="dxa"/>
            <w:shd w:val="clear" w:color="auto" w:fill="auto"/>
            <w:noWrap/>
            <w:hideMark/>
          </w:tcPr>
          <w:p w14:paraId="40AF2C30"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World Naturopathic </w:t>
            </w:r>
            <w:r>
              <w:rPr>
                <w:rFonts w:ascii="Aptos" w:hAnsi="Aptos" w:cs="Calibri"/>
                <w:color w:val="000000"/>
                <w:sz w:val="16"/>
                <w:szCs w:val="16"/>
              </w:rPr>
              <w:t>F</w:t>
            </w:r>
            <w:r w:rsidRPr="00D518FF">
              <w:rPr>
                <w:rFonts w:ascii="Aptos" w:hAnsi="Aptos" w:cs="Calibri"/>
                <w:color w:val="000000"/>
                <w:sz w:val="16"/>
                <w:szCs w:val="16"/>
              </w:rPr>
              <w:t>ederation</w:t>
            </w:r>
          </w:p>
        </w:tc>
        <w:tc>
          <w:tcPr>
            <w:tcW w:w="709" w:type="dxa"/>
            <w:shd w:val="clear" w:color="auto" w:fill="auto"/>
            <w:noWrap/>
            <w:hideMark/>
          </w:tcPr>
          <w:p w14:paraId="1B3F06D4"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5BF5C13D"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A comprehensive listing of books, Written by Naturopaths /Naturopathic Doctors</w:t>
            </w:r>
          </w:p>
        </w:tc>
        <w:tc>
          <w:tcPr>
            <w:tcW w:w="1417" w:type="dxa"/>
          </w:tcPr>
          <w:p w14:paraId="7E033346"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http://worldnaturopathicfederation.org/wp-content/uploads/2019/04/Book-Project.pdf</w:t>
            </w:r>
          </w:p>
        </w:tc>
        <w:tc>
          <w:tcPr>
            <w:tcW w:w="709" w:type="dxa"/>
          </w:tcPr>
          <w:p w14:paraId="5BD2F6C5"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w:t>
            </w:r>
          </w:p>
        </w:tc>
        <w:tc>
          <w:tcPr>
            <w:tcW w:w="851" w:type="dxa"/>
          </w:tcPr>
          <w:p w14:paraId="4751C499"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1-62</w:t>
            </w:r>
          </w:p>
        </w:tc>
        <w:tc>
          <w:tcPr>
            <w:tcW w:w="1559" w:type="dxa"/>
          </w:tcPr>
          <w:p w14:paraId="26F0040A"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n/a</w:t>
            </w:r>
          </w:p>
        </w:tc>
        <w:tc>
          <w:tcPr>
            <w:tcW w:w="850" w:type="dxa"/>
            <w:shd w:val="clear" w:color="auto" w:fill="auto"/>
            <w:noWrap/>
            <w:hideMark/>
          </w:tcPr>
          <w:p w14:paraId="60D7C108"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0154219"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BD188B" w:rsidRPr="00D518FF" w14:paraId="235E5A6E" w14:textId="77777777" w:rsidTr="00924B3D">
        <w:trPr>
          <w:trHeight w:val="300"/>
        </w:trPr>
        <w:tc>
          <w:tcPr>
            <w:tcW w:w="1009" w:type="dxa"/>
            <w:shd w:val="clear" w:color="auto" w:fill="auto"/>
            <w:noWrap/>
            <w:hideMark/>
          </w:tcPr>
          <w:p w14:paraId="3629C54E"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B83163A"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World Naturopathic </w:t>
            </w:r>
            <w:r>
              <w:rPr>
                <w:rFonts w:ascii="Aptos" w:hAnsi="Aptos" w:cs="Calibri"/>
                <w:color w:val="000000"/>
                <w:sz w:val="16"/>
                <w:szCs w:val="16"/>
              </w:rPr>
              <w:t>F</w:t>
            </w:r>
            <w:r w:rsidRPr="00D518FF">
              <w:rPr>
                <w:rFonts w:ascii="Aptos" w:hAnsi="Aptos" w:cs="Calibri"/>
                <w:color w:val="000000"/>
                <w:sz w:val="16"/>
                <w:szCs w:val="16"/>
              </w:rPr>
              <w:t>ederation</w:t>
            </w:r>
          </w:p>
        </w:tc>
        <w:tc>
          <w:tcPr>
            <w:tcW w:w="709" w:type="dxa"/>
            <w:shd w:val="clear" w:color="auto" w:fill="auto"/>
            <w:noWrap/>
            <w:hideMark/>
          </w:tcPr>
          <w:p w14:paraId="6EF8A78D"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5440CF6C"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Research Written by Naturopaths /Naturopathic Doctors</w:t>
            </w:r>
          </w:p>
        </w:tc>
        <w:tc>
          <w:tcPr>
            <w:tcW w:w="1417" w:type="dxa"/>
          </w:tcPr>
          <w:p w14:paraId="55623E2C"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http://worldnaturopathicfederation.org/wp-content/uploads/2019/04/WNF_Research-Written-by-Naturopaths-Naturopathic-Doctors.pdf</w:t>
            </w:r>
          </w:p>
        </w:tc>
        <w:tc>
          <w:tcPr>
            <w:tcW w:w="709" w:type="dxa"/>
          </w:tcPr>
          <w:p w14:paraId="34F7F2F4"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w:t>
            </w:r>
          </w:p>
        </w:tc>
        <w:tc>
          <w:tcPr>
            <w:tcW w:w="851" w:type="dxa"/>
          </w:tcPr>
          <w:p w14:paraId="273053BB"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1-50</w:t>
            </w:r>
          </w:p>
        </w:tc>
        <w:tc>
          <w:tcPr>
            <w:tcW w:w="1559" w:type="dxa"/>
          </w:tcPr>
          <w:p w14:paraId="040905A7"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xml:space="preserve"> n/a</w:t>
            </w:r>
          </w:p>
        </w:tc>
        <w:tc>
          <w:tcPr>
            <w:tcW w:w="850" w:type="dxa"/>
            <w:shd w:val="clear" w:color="auto" w:fill="auto"/>
            <w:noWrap/>
            <w:hideMark/>
          </w:tcPr>
          <w:p w14:paraId="692A8D8A"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084D7FA"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BD188B" w:rsidRPr="00D518FF" w14:paraId="159CE3A7" w14:textId="77777777" w:rsidTr="00924B3D">
        <w:trPr>
          <w:trHeight w:val="300"/>
        </w:trPr>
        <w:tc>
          <w:tcPr>
            <w:tcW w:w="1009" w:type="dxa"/>
            <w:shd w:val="clear" w:color="auto" w:fill="auto"/>
            <w:noWrap/>
            <w:hideMark/>
          </w:tcPr>
          <w:p w14:paraId="75BFE1CF"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D46B6B6" w14:textId="77777777" w:rsidR="00BD188B" w:rsidRPr="00D518FF" w:rsidRDefault="00BD188B" w:rsidP="00924B3D">
            <w:pPr>
              <w:rPr>
                <w:rFonts w:ascii="Aptos" w:hAnsi="Aptos" w:cs="Calibri"/>
                <w:color w:val="000000"/>
                <w:sz w:val="16"/>
                <w:szCs w:val="16"/>
              </w:rPr>
            </w:pPr>
            <w:r w:rsidRPr="00D518FF" w:rsidDel="003B487F">
              <w:rPr>
                <w:rFonts w:ascii="Aptos" w:hAnsi="Aptos" w:cs="Calibri"/>
                <w:color w:val="000000"/>
                <w:sz w:val="16"/>
                <w:szCs w:val="16"/>
              </w:rPr>
              <w:t>World Naturopathic Federation</w:t>
            </w:r>
          </w:p>
        </w:tc>
        <w:tc>
          <w:tcPr>
            <w:tcW w:w="709" w:type="dxa"/>
            <w:shd w:val="clear" w:color="auto" w:fill="auto"/>
            <w:noWrap/>
            <w:hideMark/>
          </w:tcPr>
          <w:p w14:paraId="7CDC4F56"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2ADC93AC"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Research written by Naturopaths/Naturopathic Doctors</w:t>
            </w:r>
          </w:p>
        </w:tc>
        <w:tc>
          <w:tcPr>
            <w:tcW w:w="1417" w:type="dxa"/>
          </w:tcPr>
          <w:p w14:paraId="6B1A0A05"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http://worldnaturopathicfederation.org/wp-content/uploads/2019/04/WNF_Research-Written-by-Naturopaths-Naturopathic-Doctors.pdf</w:t>
            </w:r>
          </w:p>
        </w:tc>
        <w:tc>
          <w:tcPr>
            <w:tcW w:w="709" w:type="dxa"/>
          </w:tcPr>
          <w:p w14:paraId="60FF482B"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n/a</w:t>
            </w:r>
          </w:p>
        </w:tc>
        <w:tc>
          <w:tcPr>
            <w:tcW w:w="851" w:type="dxa"/>
          </w:tcPr>
          <w:p w14:paraId="3C807842"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Jan-50</w:t>
            </w:r>
          </w:p>
        </w:tc>
        <w:tc>
          <w:tcPr>
            <w:tcW w:w="1559" w:type="dxa"/>
          </w:tcPr>
          <w:p w14:paraId="27923F44"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091CB87"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439B9E1"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BD188B" w:rsidRPr="00D518FF" w14:paraId="402F81D7" w14:textId="77777777" w:rsidTr="00924B3D">
        <w:trPr>
          <w:trHeight w:val="300"/>
        </w:trPr>
        <w:tc>
          <w:tcPr>
            <w:tcW w:w="1009" w:type="dxa"/>
            <w:shd w:val="clear" w:color="auto" w:fill="auto"/>
            <w:noWrap/>
            <w:hideMark/>
          </w:tcPr>
          <w:p w14:paraId="3ED63B42"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BAC38A8" w14:textId="77777777" w:rsidR="00BD188B" w:rsidRPr="00D518FF" w:rsidRDefault="00BD188B" w:rsidP="00924B3D">
            <w:pPr>
              <w:rPr>
                <w:rFonts w:ascii="Aptos" w:hAnsi="Aptos" w:cs="Calibri"/>
                <w:color w:val="000000"/>
                <w:sz w:val="16"/>
                <w:szCs w:val="16"/>
              </w:rPr>
            </w:pPr>
            <w:r w:rsidRPr="00D518FF" w:rsidDel="003B487F">
              <w:rPr>
                <w:rFonts w:ascii="Aptos" w:hAnsi="Aptos" w:cs="Calibri"/>
                <w:color w:val="000000"/>
                <w:sz w:val="16"/>
                <w:szCs w:val="16"/>
              </w:rPr>
              <w:t>World Naturopathic Federation</w:t>
            </w:r>
          </w:p>
        </w:tc>
        <w:tc>
          <w:tcPr>
            <w:tcW w:w="709" w:type="dxa"/>
            <w:shd w:val="clear" w:color="auto" w:fill="auto"/>
            <w:noWrap/>
            <w:hideMark/>
          </w:tcPr>
          <w:p w14:paraId="59064B2A"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617E64B2"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WNF White Paper: Naturopathic Philosophies, Principals and Theories</w:t>
            </w:r>
          </w:p>
        </w:tc>
        <w:tc>
          <w:tcPr>
            <w:tcW w:w="1417" w:type="dxa"/>
          </w:tcPr>
          <w:p w14:paraId="48E9E3B8"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http://worldnaturopathicfederation.org/wp-content/uploads/2019/11/WNF_White_Paper_June-2017.pdf</w:t>
            </w:r>
          </w:p>
        </w:tc>
        <w:tc>
          <w:tcPr>
            <w:tcW w:w="709" w:type="dxa"/>
          </w:tcPr>
          <w:p w14:paraId="4FD1E8A1"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n/a</w:t>
            </w:r>
          </w:p>
        </w:tc>
        <w:tc>
          <w:tcPr>
            <w:tcW w:w="851" w:type="dxa"/>
          </w:tcPr>
          <w:p w14:paraId="42D639B6"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n/a</w:t>
            </w:r>
          </w:p>
        </w:tc>
        <w:tc>
          <w:tcPr>
            <w:tcW w:w="1559" w:type="dxa"/>
          </w:tcPr>
          <w:p w14:paraId="2F70D110"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16111367"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8221FED" w14:textId="77777777" w:rsidR="00BD188B" w:rsidRPr="00D518FF" w:rsidRDefault="00BD188B" w:rsidP="00924B3D">
            <w:pPr>
              <w:rPr>
                <w:rFonts w:ascii="Aptos" w:hAnsi="Aptos" w:cs="Calibri"/>
                <w:color w:val="000000"/>
                <w:sz w:val="16"/>
                <w:szCs w:val="16"/>
              </w:rPr>
            </w:pPr>
            <w:r w:rsidRPr="00D518FF">
              <w:rPr>
                <w:rFonts w:ascii="Aptos" w:hAnsi="Aptos" w:cs="Calibri"/>
                <w:color w:val="000000"/>
                <w:sz w:val="16"/>
                <w:szCs w:val="16"/>
              </w:rPr>
              <w:t>Wrong outcomes</w:t>
            </w:r>
          </w:p>
        </w:tc>
      </w:tr>
      <w:tr w:rsidR="008F3151" w:rsidRPr="00D518FF" w14:paraId="04F76F2D" w14:textId="77777777" w:rsidTr="00924B3D">
        <w:trPr>
          <w:trHeight w:val="300"/>
        </w:trPr>
        <w:tc>
          <w:tcPr>
            <w:tcW w:w="1009" w:type="dxa"/>
            <w:shd w:val="clear" w:color="auto" w:fill="auto"/>
            <w:noWrap/>
            <w:hideMark/>
          </w:tcPr>
          <w:p w14:paraId="7994FE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3F570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Xin Fang, Hedong Han, Mei Li, Chun Liang, Zhongjie Fan, Aaseth Jan, Jia He, Montgomery Scott, Yang Cao.</w:t>
            </w:r>
          </w:p>
        </w:tc>
        <w:tc>
          <w:tcPr>
            <w:tcW w:w="709" w:type="dxa"/>
            <w:shd w:val="clear" w:color="auto" w:fill="auto"/>
            <w:noWrap/>
            <w:hideMark/>
          </w:tcPr>
          <w:p w14:paraId="59F0DC4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2016</w:t>
            </w:r>
          </w:p>
        </w:tc>
        <w:tc>
          <w:tcPr>
            <w:tcW w:w="3544" w:type="dxa"/>
            <w:shd w:val="clear" w:color="auto" w:fill="auto"/>
            <w:noWrap/>
            <w:hideMark/>
          </w:tcPr>
          <w:p w14:paraId="083FE0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Dose-Response Relationship between Dietary Magnesium Intake and Risk of Type 2 Diabetes Mellitus: A Systematic Review and Meta Regression Analysis of Prospective Cohort Studies</w:t>
            </w:r>
          </w:p>
        </w:tc>
        <w:tc>
          <w:tcPr>
            <w:tcW w:w="1417" w:type="dxa"/>
          </w:tcPr>
          <w:p w14:paraId="158A90C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Nutrients</w:t>
            </w:r>
          </w:p>
        </w:tc>
        <w:tc>
          <w:tcPr>
            <w:tcW w:w="709" w:type="dxa"/>
          </w:tcPr>
          <w:p w14:paraId="7FE1DF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8(11)</w:t>
            </w:r>
          </w:p>
        </w:tc>
        <w:tc>
          <w:tcPr>
            <w:tcW w:w="851" w:type="dxa"/>
          </w:tcPr>
          <w:p w14:paraId="175ACCB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739</w:t>
            </w:r>
          </w:p>
        </w:tc>
        <w:tc>
          <w:tcPr>
            <w:tcW w:w="1559" w:type="dxa"/>
          </w:tcPr>
          <w:p w14:paraId="116D7B2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01A50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7C9897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581377F5" w14:textId="77777777" w:rsidTr="00924B3D">
        <w:trPr>
          <w:trHeight w:val="300"/>
        </w:trPr>
        <w:tc>
          <w:tcPr>
            <w:tcW w:w="1009" w:type="dxa"/>
            <w:shd w:val="clear" w:color="auto" w:fill="auto"/>
            <w:noWrap/>
            <w:hideMark/>
          </w:tcPr>
          <w:p w14:paraId="2370B4A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5CEC0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Yadav V, Marracci G, Lovera J, et al</w:t>
            </w:r>
          </w:p>
        </w:tc>
        <w:tc>
          <w:tcPr>
            <w:tcW w:w="709" w:type="dxa"/>
            <w:shd w:val="clear" w:color="auto" w:fill="auto"/>
            <w:noWrap/>
            <w:hideMark/>
          </w:tcPr>
          <w:p w14:paraId="57B285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2005</w:t>
            </w:r>
          </w:p>
        </w:tc>
        <w:tc>
          <w:tcPr>
            <w:tcW w:w="3544" w:type="dxa"/>
            <w:shd w:val="clear" w:color="auto" w:fill="auto"/>
            <w:noWrap/>
            <w:hideMark/>
          </w:tcPr>
          <w:p w14:paraId="76AB3FE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Lipoic acid in multiple sclerosis: a pilot study</w:t>
            </w:r>
          </w:p>
        </w:tc>
        <w:tc>
          <w:tcPr>
            <w:tcW w:w="1417" w:type="dxa"/>
          </w:tcPr>
          <w:p w14:paraId="22C02C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Multiple Sclerosis Journal</w:t>
            </w:r>
          </w:p>
        </w:tc>
        <w:tc>
          <w:tcPr>
            <w:tcW w:w="709" w:type="dxa"/>
          </w:tcPr>
          <w:p w14:paraId="416EACA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11(2)</w:t>
            </w:r>
          </w:p>
        </w:tc>
        <w:tc>
          <w:tcPr>
            <w:tcW w:w="851" w:type="dxa"/>
          </w:tcPr>
          <w:p w14:paraId="4DE16F5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159-65</w:t>
            </w:r>
          </w:p>
        </w:tc>
        <w:tc>
          <w:tcPr>
            <w:tcW w:w="1559" w:type="dxa"/>
          </w:tcPr>
          <w:p w14:paraId="5C79F2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D4E00F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48908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A7CEE48" w14:textId="77777777" w:rsidTr="00924B3D">
        <w:trPr>
          <w:trHeight w:val="300"/>
        </w:trPr>
        <w:tc>
          <w:tcPr>
            <w:tcW w:w="1009" w:type="dxa"/>
            <w:shd w:val="clear" w:color="auto" w:fill="auto"/>
            <w:noWrap/>
            <w:hideMark/>
          </w:tcPr>
          <w:p w14:paraId="7DEDE2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A1608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Yadav V, Marracci GH, Munar MY, et al.</w:t>
            </w:r>
          </w:p>
        </w:tc>
        <w:tc>
          <w:tcPr>
            <w:tcW w:w="709" w:type="dxa"/>
            <w:shd w:val="clear" w:color="auto" w:fill="auto"/>
            <w:noWrap/>
            <w:hideMark/>
          </w:tcPr>
          <w:p w14:paraId="2A40FC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1A21940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Pharmacokinetic study of lipoic acid in multiple sclerosis: comparing mice and human pharmacokinetic parameters</w:t>
            </w:r>
          </w:p>
        </w:tc>
        <w:tc>
          <w:tcPr>
            <w:tcW w:w="1417" w:type="dxa"/>
          </w:tcPr>
          <w:p w14:paraId="1539B37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Mult Scler</w:t>
            </w:r>
          </w:p>
        </w:tc>
        <w:tc>
          <w:tcPr>
            <w:tcW w:w="709" w:type="dxa"/>
          </w:tcPr>
          <w:p w14:paraId="61A739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16(4)</w:t>
            </w:r>
          </w:p>
        </w:tc>
        <w:tc>
          <w:tcPr>
            <w:tcW w:w="851" w:type="dxa"/>
          </w:tcPr>
          <w:p w14:paraId="675E1EF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387-97</w:t>
            </w:r>
          </w:p>
        </w:tc>
        <w:tc>
          <w:tcPr>
            <w:tcW w:w="1559" w:type="dxa"/>
          </w:tcPr>
          <w:p w14:paraId="20D78CE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08454E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5D654B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2577F7E" w14:textId="77777777" w:rsidTr="00924B3D">
        <w:trPr>
          <w:trHeight w:val="300"/>
        </w:trPr>
        <w:tc>
          <w:tcPr>
            <w:tcW w:w="1009" w:type="dxa"/>
            <w:shd w:val="clear" w:color="auto" w:fill="auto"/>
            <w:noWrap/>
            <w:hideMark/>
          </w:tcPr>
          <w:p w14:paraId="55CE3F6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64627CC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Yan JH, Guan BJ, Gao HY, Peng XE.</w:t>
            </w:r>
          </w:p>
        </w:tc>
        <w:tc>
          <w:tcPr>
            <w:tcW w:w="709" w:type="dxa"/>
            <w:shd w:val="clear" w:color="auto" w:fill="auto"/>
            <w:noWrap/>
            <w:hideMark/>
          </w:tcPr>
          <w:p w14:paraId="3159A08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56704A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Omega-3 polyunsaturated fatty acid supplementation and non-alcoholic fatty liver </w:t>
            </w:r>
            <w:r w:rsidRPr="00D518FF">
              <w:rPr>
                <w:rFonts w:ascii="Aptos" w:hAnsi="Aptos" w:cs="Calibri"/>
                <w:color w:val="000000"/>
                <w:sz w:val="16"/>
                <w:szCs w:val="16"/>
              </w:rPr>
              <w:lastRenderedPageBreak/>
              <w:t>disease A meta-analysis of randomized controlled trials.</w:t>
            </w:r>
          </w:p>
        </w:tc>
        <w:tc>
          <w:tcPr>
            <w:tcW w:w="1417" w:type="dxa"/>
          </w:tcPr>
          <w:p w14:paraId="2CF0EE0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Medicine</w:t>
            </w:r>
          </w:p>
        </w:tc>
        <w:tc>
          <w:tcPr>
            <w:tcW w:w="709" w:type="dxa"/>
          </w:tcPr>
          <w:p w14:paraId="31E7B46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97</w:t>
            </w:r>
          </w:p>
        </w:tc>
        <w:tc>
          <w:tcPr>
            <w:tcW w:w="851" w:type="dxa"/>
          </w:tcPr>
          <w:p w14:paraId="21004F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37</w:t>
            </w:r>
          </w:p>
        </w:tc>
        <w:tc>
          <w:tcPr>
            <w:tcW w:w="1559" w:type="dxa"/>
          </w:tcPr>
          <w:p w14:paraId="23EC10F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325332E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CD4FF6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068B61FF" w14:textId="77777777" w:rsidTr="00924B3D">
        <w:trPr>
          <w:trHeight w:val="300"/>
        </w:trPr>
        <w:tc>
          <w:tcPr>
            <w:tcW w:w="1009" w:type="dxa"/>
            <w:shd w:val="clear" w:color="auto" w:fill="auto"/>
            <w:noWrap/>
            <w:hideMark/>
          </w:tcPr>
          <w:p w14:paraId="01C2D38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A3991D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Yang J, Li JH, Deng BH, Wang QZ.</w:t>
            </w:r>
          </w:p>
        </w:tc>
        <w:tc>
          <w:tcPr>
            <w:tcW w:w="709" w:type="dxa"/>
            <w:shd w:val="clear" w:color="auto" w:fill="auto"/>
            <w:noWrap/>
            <w:hideMark/>
          </w:tcPr>
          <w:p w14:paraId="7D9D07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0C2EF5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Association of One-Carbon Metabolism-Related Vitamins (Folate, B6, B12), homocysteine and methionine with the risk of lung cancer: systematic review and meta-analysis</w:t>
            </w:r>
          </w:p>
        </w:tc>
        <w:tc>
          <w:tcPr>
            <w:tcW w:w="1417" w:type="dxa"/>
          </w:tcPr>
          <w:p w14:paraId="00932D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Frontiers in oncology</w:t>
            </w:r>
          </w:p>
        </w:tc>
        <w:tc>
          <w:tcPr>
            <w:tcW w:w="709" w:type="dxa"/>
          </w:tcPr>
          <w:p w14:paraId="294A868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8</w:t>
            </w:r>
          </w:p>
        </w:tc>
        <w:tc>
          <w:tcPr>
            <w:tcW w:w="851" w:type="dxa"/>
          </w:tcPr>
          <w:p w14:paraId="2B16D6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493</w:t>
            </w:r>
          </w:p>
        </w:tc>
        <w:tc>
          <w:tcPr>
            <w:tcW w:w="1559" w:type="dxa"/>
          </w:tcPr>
          <w:p w14:paraId="263D8CA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249B2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060398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04E6CD0D" w14:textId="77777777" w:rsidTr="00924B3D">
        <w:trPr>
          <w:trHeight w:val="300"/>
        </w:trPr>
        <w:tc>
          <w:tcPr>
            <w:tcW w:w="1009" w:type="dxa"/>
            <w:shd w:val="clear" w:color="auto" w:fill="auto"/>
            <w:noWrap/>
            <w:hideMark/>
          </w:tcPr>
          <w:p w14:paraId="2C3B381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6E3764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Yang K, Zeng L, Bao T, Ge J.</w:t>
            </w:r>
          </w:p>
        </w:tc>
        <w:tc>
          <w:tcPr>
            <w:tcW w:w="709" w:type="dxa"/>
            <w:shd w:val="clear" w:color="auto" w:fill="auto"/>
            <w:noWrap/>
            <w:hideMark/>
          </w:tcPr>
          <w:p w14:paraId="0F3DB9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4DF1A66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Effectiveness of Omega-3 fatty acid for polycystic ovary syndrome: a systematic review and meta-analysis.  </w:t>
            </w:r>
          </w:p>
        </w:tc>
        <w:tc>
          <w:tcPr>
            <w:tcW w:w="1417" w:type="dxa"/>
          </w:tcPr>
          <w:p w14:paraId="4A89A67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Reproductive Biology and Endocrinology</w:t>
            </w:r>
          </w:p>
        </w:tc>
        <w:tc>
          <w:tcPr>
            <w:tcW w:w="709" w:type="dxa"/>
          </w:tcPr>
          <w:p w14:paraId="1DC416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16(1)</w:t>
            </w:r>
          </w:p>
        </w:tc>
        <w:tc>
          <w:tcPr>
            <w:tcW w:w="851" w:type="dxa"/>
          </w:tcPr>
          <w:p w14:paraId="069C018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27</w:t>
            </w:r>
          </w:p>
        </w:tc>
        <w:tc>
          <w:tcPr>
            <w:tcW w:w="1559" w:type="dxa"/>
          </w:tcPr>
          <w:p w14:paraId="29F259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514F217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3C4831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019C8D84" w14:textId="77777777" w:rsidTr="00924B3D">
        <w:trPr>
          <w:trHeight w:val="300"/>
        </w:trPr>
        <w:tc>
          <w:tcPr>
            <w:tcW w:w="1009" w:type="dxa"/>
            <w:shd w:val="clear" w:color="auto" w:fill="auto"/>
            <w:noWrap/>
            <w:hideMark/>
          </w:tcPr>
          <w:p w14:paraId="255513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BCECD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Yazaki Y, Faridi Z, Ma Y, et al</w:t>
            </w:r>
          </w:p>
        </w:tc>
        <w:tc>
          <w:tcPr>
            <w:tcW w:w="709" w:type="dxa"/>
            <w:shd w:val="clear" w:color="auto" w:fill="auto"/>
            <w:noWrap/>
            <w:hideMark/>
          </w:tcPr>
          <w:p w14:paraId="57BD84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2010</w:t>
            </w:r>
          </w:p>
        </w:tc>
        <w:tc>
          <w:tcPr>
            <w:tcW w:w="3544" w:type="dxa"/>
            <w:shd w:val="clear" w:color="auto" w:fill="auto"/>
            <w:noWrap/>
            <w:hideMark/>
          </w:tcPr>
          <w:p w14:paraId="1C8D8F2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 pilot study of chromium picolinate for weight loss</w:t>
            </w:r>
          </w:p>
        </w:tc>
        <w:tc>
          <w:tcPr>
            <w:tcW w:w="1417" w:type="dxa"/>
          </w:tcPr>
          <w:p w14:paraId="7DB9B14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Journal of Alternative &amp; Complementary Medicine</w:t>
            </w:r>
          </w:p>
        </w:tc>
        <w:tc>
          <w:tcPr>
            <w:tcW w:w="709" w:type="dxa"/>
          </w:tcPr>
          <w:p w14:paraId="57D37A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16(3)</w:t>
            </w:r>
          </w:p>
        </w:tc>
        <w:tc>
          <w:tcPr>
            <w:tcW w:w="851" w:type="dxa"/>
          </w:tcPr>
          <w:p w14:paraId="67036BA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291-9</w:t>
            </w:r>
          </w:p>
        </w:tc>
        <w:tc>
          <w:tcPr>
            <w:tcW w:w="1559" w:type="dxa"/>
          </w:tcPr>
          <w:p w14:paraId="094625A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31E9FA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8DEAC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8044616" w14:textId="77777777" w:rsidTr="00924B3D">
        <w:trPr>
          <w:trHeight w:val="300"/>
        </w:trPr>
        <w:tc>
          <w:tcPr>
            <w:tcW w:w="1009" w:type="dxa"/>
            <w:shd w:val="clear" w:color="auto" w:fill="auto"/>
            <w:noWrap/>
            <w:hideMark/>
          </w:tcPr>
          <w:p w14:paraId="6DEDA1C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063F1D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Yu L, Yuan M, Wang L.</w:t>
            </w:r>
          </w:p>
        </w:tc>
        <w:tc>
          <w:tcPr>
            <w:tcW w:w="709" w:type="dxa"/>
            <w:shd w:val="clear" w:color="auto" w:fill="auto"/>
            <w:noWrap/>
            <w:hideMark/>
          </w:tcPr>
          <w:p w14:paraId="25417A1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5BF53B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 of omega-3 unsaturated fatty acids on non-alcoholic fatty liver disease: A systematic review and meta-analysis of RCTs. </w:t>
            </w:r>
          </w:p>
        </w:tc>
        <w:tc>
          <w:tcPr>
            <w:tcW w:w="1417" w:type="dxa"/>
          </w:tcPr>
          <w:p w14:paraId="69ED80A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Pakistan journal of medical sciences</w:t>
            </w:r>
          </w:p>
        </w:tc>
        <w:tc>
          <w:tcPr>
            <w:tcW w:w="709" w:type="dxa"/>
          </w:tcPr>
          <w:p w14:paraId="576E429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33(4)</w:t>
            </w:r>
          </w:p>
        </w:tc>
        <w:tc>
          <w:tcPr>
            <w:tcW w:w="851" w:type="dxa"/>
          </w:tcPr>
          <w:p w14:paraId="3BFC86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1022-1028</w:t>
            </w:r>
          </w:p>
        </w:tc>
        <w:tc>
          <w:tcPr>
            <w:tcW w:w="1559" w:type="dxa"/>
          </w:tcPr>
          <w:p w14:paraId="61C93D1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0038E1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13E8F1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patient population</w:t>
            </w:r>
          </w:p>
        </w:tc>
      </w:tr>
      <w:tr w:rsidR="008F3151" w:rsidRPr="00D518FF" w14:paraId="53D9E2A2" w14:textId="77777777" w:rsidTr="00924B3D">
        <w:trPr>
          <w:trHeight w:val="300"/>
        </w:trPr>
        <w:tc>
          <w:tcPr>
            <w:tcW w:w="1009" w:type="dxa"/>
            <w:shd w:val="clear" w:color="auto" w:fill="auto"/>
            <w:noWrap/>
            <w:hideMark/>
          </w:tcPr>
          <w:p w14:paraId="5701B55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7960A6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Yu Y, Zick S, Li X, et al.</w:t>
            </w:r>
          </w:p>
        </w:tc>
        <w:tc>
          <w:tcPr>
            <w:tcW w:w="709" w:type="dxa"/>
            <w:shd w:val="clear" w:color="auto" w:fill="auto"/>
            <w:noWrap/>
            <w:hideMark/>
          </w:tcPr>
          <w:p w14:paraId="521984F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380F65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Examination of the pharmacokinetics of active ingredients of ginger in humans</w:t>
            </w:r>
          </w:p>
        </w:tc>
        <w:tc>
          <w:tcPr>
            <w:tcW w:w="1417" w:type="dxa"/>
          </w:tcPr>
          <w:p w14:paraId="41AF20A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AAPS J</w:t>
            </w:r>
          </w:p>
        </w:tc>
        <w:tc>
          <w:tcPr>
            <w:tcW w:w="709" w:type="dxa"/>
          </w:tcPr>
          <w:p w14:paraId="768592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13(3)</w:t>
            </w:r>
          </w:p>
        </w:tc>
        <w:tc>
          <w:tcPr>
            <w:tcW w:w="851" w:type="dxa"/>
          </w:tcPr>
          <w:p w14:paraId="7D6133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417</w:t>
            </w:r>
          </w:p>
        </w:tc>
        <w:tc>
          <w:tcPr>
            <w:tcW w:w="1559" w:type="dxa"/>
          </w:tcPr>
          <w:p w14:paraId="14FA288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BF294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4412FF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7CFBC80" w14:textId="77777777" w:rsidTr="00924B3D">
        <w:trPr>
          <w:trHeight w:val="300"/>
        </w:trPr>
        <w:tc>
          <w:tcPr>
            <w:tcW w:w="1009" w:type="dxa"/>
            <w:shd w:val="clear" w:color="auto" w:fill="auto"/>
            <w:noWrap/>
            <w:hideMark/>
          </w:tcPr>
          <w:p w14:paraId="68D83A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A5349D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Zhang H, Lv Y, Li Z, Sun L, Guo W.</w:t>
            </w:r>
          </w:p>
        </w:tc>
        <w:tc>
          <w:tcPr>
            <w:tcW w:w="709" w:type="dxa"/>
            <w:shd w:val="clear" w:color="auto" w:fill="auto"/>
            <w:noWrap/>
            <w:hideMark/>
          </w:tcPr>
          <w:p w14:paraId="7844B8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F6FF94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efficacy of myo-inositol supplementation to prevent gestational diabetes onset: a meta-analysis of randomized controlled trials. </w:t>
            </w:r>
          </w:p>
        </w:tc>
        <w:tc>
          <w:tcPr>
            <w:tcW w:w="1417" w:type="dxa"/>
          </w:tcPr>
          <w:p w14:paraId="05BA47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Maternal-Fetal &amp; Neonatal Medicine: The Official Journal Of The European Association Of Perinatal Medicine</w:t>
            </w:r>
          </w:p>
        </w:tc>
        <w:tc>
          <w:tcPr>
            <w:tcW w:w="709" w:type="dxa"/>
          </w:tcPr>
          <w:p w14:paraId="565B69B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32(13)</w:t>
            </w:r>
          </w:p>
        </w:tc>
        <w:tc>
          <w:tcPr>
            <w:tcW w:w="851" w:type="dxa"/>
          </w:tcPr>
          <w:p w14:paraId="0BF39D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2249-2255</w:t>
            </w:r>
          </w:p>
        </w:tc>
        <w:tc>
          <w:tcPr>
            <w:tcW w:w="1559" w:type="dxa"/>
          </w:tcPr>
          <w:p w14:paraId="1BEC03F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86013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28C9FB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1AB1881" w14:textId="77777777" w:rsidTr="00924B3D">
        <w:trPr>
          <w:trHeight w:val="300"/>
        </w:trPr>
        <w:tc>
          <w:tcPr>
            <w:tcW w:w="1009" w:type="dxa"/>
            <w:shd w:val="clear" w:color="auto" w:fill="auto"/>
            <w:noWrap/>
            <w:hideMark/>
          </w:tcPr>
          <w:p w14:paraId="277F605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5C9F4A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Zhang YY, Liu W, Zhao TY, Tian HM.</w:t>
            </w:r>
          </w:p>
        </w:tc>
        <w:tc>
          <w:tcPr>
            <w:tcW w:w="709" w:type="dxa"/>
            <w:shd w:val="clear" w:color="auto" w:fill="auto"/>
            <w:noWrap/>
            <w:hideMark/>
          </w:tcPr>
          <w:p w14:paraId="65FD2E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3CF4F9B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Efficacy of omega-3 polyunsaturated fatty acids supplementation in managing overweight and obesity: a meta-analysis of randomized clinical trials. </w:t>
            </w:r>
          </w:p>
        </w:tc>
        <w:tc>
          <w:tcPr>
            <w:tcW w:w="1417" w:type="dxa"/>
          </w:tcPr>
          <w:p w14:paraId="1D1DC5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journal of nutrition, health &amp; aging</w:t>
            </w:r>
          </w:p>
        </w:tc>
        <w:tc>
          <w:tcPr>
            <w:tcW w:w="709" w:type="dxa"/>
          </w:tcPr>
          <w:p w14:paraId="1A38BE9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21(2)</w:t>
            </w:r>
          </w:p>
        </w:tc>
        <w:tc>
          <w:tcPr>
            <w:tcW w:w="851" w:type="dxa"/>
          </w:tcPr>
          <w:p w14:paraId="0DF40D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187-192</w:t>
            </w:r>
          </w:p>
        </w:tc>
        <w:tc>
          <w:tcPr>
            <w:tcW w:w="1559" w:type="dxa"/>
          </w:tcPr>
          <w:p w14:paraId="66B5053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4996D6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3ABAF73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7A2141A8" w14:textId="77777777" w:rsidTr="00924B3D">
        <w:trPr>
          <w:trHeight w:val="300"/>
        </w:trPr>
        <w:tc>
          <w:tcPr>
            <w:tcW w:w="1009" w:type="dxa"/>
            <w:shd w:val="clear" w:color="auto" w:fill="auto"/>
            <w:noWrap/>
            <w:hideMark/>
          </w:tcPr>
          <w:p w14:paraId="0BD7DB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313CC1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Zhao JV, Schooling CM, Zhao JX.</w:t>
            </w:r>
          </w:p>
        </w:tc>
        <w:tc>
          <w:tcPr>
            <w:tcW w:w="709" w:type="dxa"/>
            <w:shd w:val="clear" w:color="auto" w:fill="auto"/>
            <w:noWrap/>
            <w:hideMark/>
          </w:tcPr>
          <w:p w14:paraId="5988C64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6F2B4F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effects of folate supplementation on glucose metabolism and risk of type 2 diabetes: a systematic review and meta-analysis of randomized controlled trials. </w:t>
            </w:r>
          </w:p>
        </w:tc>
        <w:tc>
          <w:tcPr>
            <w:tcW w:w="1417" w:type="dxa"/>
          </w:tcPr>
          <w:p w14:paraId="6B94282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Ann Epidemiol</w:t>
            </w:r>
          </w:p>
        </w:tc>
        <w:tc>
          <w:tcPr>
            <w:tcW w:w="709" w:type="dxa"/>
          </w:tcPr>
          <w:p w14:paraId="2DD522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28(4)</w:t>
            </w:r>
          </w:p>
        </w:tc>
        <w:tc>
          <w:tcPr>
            <w:tcW w:w="851" w:type="dxa"/>
          </w:tcPr>
          <w:p w14:paraId="6492D95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249-257</w:t>
            </w:r>
          </w:p>
        </w:tc>
        <w:tc>
          <w:tcPr>
            <w:tcW w:w="1559" w:type="dxa"/>
          </w:tcPr>
          <w:p w14:paraId="70A8BC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10.1016/j.annepidem.2018.02.001</w:t>
            </w:r>
          </w:p>
        </w:tc>
        <w:tc>
          <w:tcPr>
            <w:tcW w:w="850" w:type="dxa"/>
            <w:shd w:val="clear" w:color="auto" w:fill="auto"/>
            <w:noWrap/>
            <w:hideMark/>
          </w:tcPr>
          <w:p w14:paraId="1462577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BC1F00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6F847643" w14:textId="77777777" w:rsidTr="00924B3D">
        <w:trPr>
          <w:trHeight w:val="300"/>
        </w:trPr>
        <w:tc>
          <w:tcPr>
            <w:tcW w:w="1009" w:type="dxa"/>
            <w:shd w:val="clear" w:color="auto" w:fill="auto"/>
            <w:noWrap/>
            <w:hideMark/>
          </w:tcPr>
          <w:p w14:paraId="68E0CE6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35C2A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Zheng W, Zhang QE, Cai DB, Yang XH, Qiu Y, Ungvari GS.</w:t>
            </w:r>
          </w:p>
        </w:tc>
        <w:tc>
          <w:tcPr>
            <w:tcW w:w="709" w:type="dxa"/>
            <w:shd w:val="clear" w:color="auto" w:fill="auto"/>
            <w:noWrap/>
            <w:hideMark/>
          </w:tcPr>
          <w:p w14:paraId="51CFAB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2018</w:t>
            </w:r>
          </w:p>
        </w:tc>
        <w:tc>
          <w:tcPr>
            <w:tcW w:w="3544" w:type="dxa"/>
            <w:shd w:val="clear" w:color="auto" w:fill="auto"/>
            <w:noWrap/>
            <w:hideMark/>
          </w:tcPr>
          <w:p w14:paraId="26FC040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N-acetylcysteine for major mental disorders: a systematic review and meta-analysis of randomized controlled trials.  </w:t>
            </w:r>
          </w:p>
        </w:tc>
        <w:tc>
          <w:tcPr>
            <w:tcW w:w="1417" w:type="dxa"/>
          </w:tcPr>
          <w:p w14:paraId="2D32FA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Acta Psychiatr Scand</w:t>
            </w:r>
          </w:p>
        </w:tc>
        <w:tc>
          <w:tcPr>
            <w:tcW w:w="709" w:type="dxa"/>
          </w:tcPr>
          <w:p w14:paraId="17C2B8A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137(5)</w:t>
            </w:r>
          </w:p>
        </w:tc>
        <w:tc>
          <w:tcPr>
            <w:tcW w:w="851" w:type="dxa"/>
          </w:tcPr>
          <w:p w14:paraId="2433D3A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391-400</w:t>
            </w:r>
          </w:p>
        </w:tc>
        <w:tc>
          <w:tcPr>
            <w:tcW w:w="1559" w:type="dxa"/>
          </w:tcPr>
          <w:p w14:paraId="734BDC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10.1111/acps.12862</w:t>
            </w:r>
          </w:p>
        </w:tc>
        <w:tc>
          <w:tcPr>
            <w:tcW w:w="850" w:type="dxa"/>
            <w:shd w:val="clear" w:color="auto" w:fill="auto"/>
            <w:noWrap/>
            <w:hideMark/>
          </w:tcPr>
          <w:p w14:paraId="404A85C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5FA546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Wrong intervention</w:t>
            </w:r>
          </w:p>
        </w:tc>
      </w:tr>
      <w:tr w:rsidR="008F3151" w:rsidRPr="00D518FF" w14:paraId="3BC88CD4" w14:textId="77777777" w:rsidTr="00924B3D">
        <w:trPr>
          <w:trHeight w:val="300"/>
        </w:trPr>
        <w:tc>
          <w:tcPr>
            <w:tcW w:w="1009" w:type="dxa"/>
            <w:shd w:val="clear" w:color="auto" w:fill="auto"/>
            <w:noWrap/>
            <w:hideMark/>
          </w:tcPr>
          <w:p w14:paraId="47B9E4C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18B34B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Zhong N, Wang J.</w:t>
            </w:r>
          </w:p>
        </w:tc>
        <w:tc>
          <w:tcPr>
            <w:tcW w:w="709" w:type="dxa"/>
            <w:shd w:val="clear" w:color="auto" w:fill="auto"/>
            <w:noWrap/>
            <w:hideMark/>
          </w:tcPr>
          <w:p w14:paraId="1471F25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726B1E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The efficacy of omega-3 fatty acid for gestational diabetes: a meta-analysis of randomized controlled trials. </w:t>
            </w:r>
          </w:p>
        </w:tc>
        <w:tc>
          <w:tcPr>
            <w:tcW w:w="1417" w:type="dxa"/>
          </w:tcPr>
          <w:p w14:paraId="126D54E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Gynecological Endocrinology: The Official Journal Of The International Society Of </w:t>
            </w:r>
            <w:r w:rsidRPr="00D518FF">
              <w:rPr>
                <w:rFonts w:ascii="Aptos" w:hAnsi="Aptos" w:cs="Calibri"/>
                <w:color w:val="000000"/>
                <w:sz w:val="16"/>
                <w:szCs w:val="16"/>
              </w:rPr>
              <w:lastRenderedPageBreak/>
              <w:t>Gynecological Endocrinology.</w:t>
            </w:r>
          </w:p>
        </w:tc>
        <w:tc>
          <w:tcPr>
            <w:tcW w:w="709" w:type="dxa"/>
          </w:tcPr>
          <w:p w14:paraId="076017E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lastRenderedPageBreak/>
              <w:t>35(1)</w:t>
            </w:r>
          </w:p>
        </w:tc>
        <w:tc>
          <w:tcPr>
            <w:tcW w:w="851" w:type="dxa"/>
          </w:tcPr>
          <w:p w14:paraId="0C8128C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4–9</w:t>
            </w:r>
          </w:p>
        </w:tc>
        <w:tc>
          <w:tcPr>
            <w:tcW w:w="1559" w:type="dxa"/>
          </w:tcPr>
          <w:p w14:paraId="5204F3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N/A</w:t>
            </w:r>
          </w:p>
        </w:tc>
        <w:tc>
          <w:tcPr>
            <w:tcW w:w="850" w:type="dxa"/>
            <w:shd w:val="clear" w:color="auto" w:fill="auto"/>
            <w:noWrap/>
            <w:hideMark/>
          </w:tcPr>
          <w:p w14:paraId="2301B74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3E10D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Not a priority </w:t>
            </w:r>
            <w:r w:rsidRPr="00D518FF" w:rsidDel="008B625F">
              <w:rPr>
                <w:rFonts w:ascii="Aptos" w:hAnsi="Aptos" w:cs="Calibri"/>
                <w:color w:val="000000"/>
                <w:sz w:val="16"/>
                <w:szCs w:val="16"/>
              </w:rPr>
              <w:t>population-</w:t>
            </w:r>
            <w:r w:rsidR="008B625F">
              <w:rPr>
                <w:rFonts w:ascii="Aptos" w:hAnsi="Aptos" w:cs="Calibri"/>
                <w:color w:val="000000"/>
                <w:sz w:val="16"/>
                <w:szCs w:val="16"/>
              </w:rPr>
              <w:t>supplement pair</w:t>
            </w:r>
          </w:p>
        </w:tc>
      </w:tr>
      <w:tr w:rsidR="008F3151" w:rsidRPr="00D518FF" w14:paraId="36490EBB" w14:textId="77777777" w:rsidTr="00924B3D">
        <w:trPr>
          <w:trHeight w:val="300"/>
        </w:trPr>
        <w:tc>
          <w:tcPr>
            <w:tcW w:w="1009" w:type="dxa"/>
            <w:shd w:val="clear" w:color="auto" w:fill="auto"/>
            <w:noWrap/>
            <w:hideMark/>
          </w:tcPr>
          <w:p w14:paraId="17CF87E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F9D1EB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Zhou Q, Verne ML, Fields JZ, Lefante JJ, Basra S, Salameh H, et al.</w:t>
            </w:r>
          </w:p>
        </w:tc>
        <w:tc>
          <w:tcPr>
            <w:tcW w:w="709" w:type="dxa"/>
            <w:shd w:val="clear" w:color="auto" w:fill="auto"/>
            <w:noWrap/>
            <w:hideMark/>
          </w:tcPr>
          <w:p w14:paraId="19B0AAC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2019</w:t>
            </w:r>
          </w:p>
        </w:tc>
        <w:tc>
          <w:tcPr>
            <w:tcW w:w="3544" w:type="dxa"/>
            <w:shd w:val="clear" w:color="auto" w:fill="auto"/>
            <w:noWrap/>
            <w:hideMark/>
          </w:tcPr>
          <w:p w14:paraId="29953D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xml:space="preserve">Randomised placebo-controlled trial of dietary glutamine supplements for postinfectious irritable bowel syndrome. </w:t>
            </w:r>
          </w:p>
        </w:tc>
        <w:tc>
          <w:tcPr>
            <w:tcW w:w="1417" w:type="dxa"/>
          </w:tcPr>
          <w:p w14:paraId="5D581AB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Gut</w:t>
            </w:r>
          </w:p>
        </w:tc>
        <w:tc>
          <w:tcPr>
            <w:tcW w:w="709" w:type="dxa"/>
          </w:tcPr>
          <w:p w14:paraId="1804FF7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68(6)</w:t>
            </w:r>
          </w:p>
        </w:tc>
        <w:tc>
          <w:tcPr>
            <w:tcW w:w="851" w:type="dxa"/>
          </w:tcPr>
          <w:p w14:paraId="12C992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996-1002</w:t>
            </w:r>
          </w:p>
        </w:tc>
        <w:tc>
          <w:tcPr>
            <w:tcW w:w="1559" w:type="dxa"/>
          </w:tcPr>
          <w:p w14:paraId="5A065E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10.1136/gutjnl-2017-315136</w:t>
            </w:r>
          </w:p>
        </w:tc>
        <w:tc>
          <w:tcPr>
            <w:tcW w:w="850" w:type="dxa"/>
            <w:shd w:val="clear" w:color="auto" w:fill="auto"/>
            <w:noWrap/>
            <w:hideMark/>
          </w:tcPr>
          <w:p w14:paraId="417700F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D6D545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6BE2CC2" w14:textId="77777777" w:rsidTr="00924B3D">
        <w:trPr>
          <w:trHeight w:val="300"/>
        </w:trPr>
        <w:tc>
          <w:tcPr>
            <w:tcW w:w="1009" w:type="dxa"/>
            <w:shd w:val="clear" w:color="auto" w:fill="auto"/>
            <w:noWrap/>
            <w:hideMark/>
          </w:tcPr>
          <w:p w14:paraId="2BC6EB3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93A30D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Blume A, Normolle D, et al</w:t>
            </w:r>
          </w:p>
        </w:tc>
        <w:tc>
          <w:tcPr>
            <w:tcW w:w="709" w:type="dxa"/>
            <w:shd w:val="clear" w:color="auto" w:fill="auto"/>
            <w:noWrap/>
            <w:hideMark/>
          </w:tcPr>
          <w:p w14:paraId="187060C1" w14:textId="77777777" w:rsidR="008F3151" w:rsidRPr="00D518FF" w:rsidRDefault="008F3151" w:rsidP="00924B3D">
            <w:pPr>
              <w:rPr>
                <w:rFonts w:ascii="Aptos" w:hAnsi="Aptos" w:cs="Calibri"/>
                <w:color w:val="000000"/>
                <w:sz w:val="16"/>
                <w:szCs w:val="16"/>
              </w:rPr>
            </w:pPr>
          </w:p>
        </w:tc>
        <w:tc>
          <w:tcPr>
            <w:tcW w:w="3544" w:type="dxa"/>
            <w:shd w:val="clear" w:color="auto" w:fill="auto"/>
            <w:noWrap/>
            <w:hideMark/>
          </w:tcPr>
          <w:p w14:paraId="2A3C8B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Challenges in herbal research: a randomized clinical trial to assess blinding with ginger</w:t>
            </w:r>
          </w:p>
        </w:tc>
        <w:tc>
          <w:tcPr>
            <w:tcW w:w="1417" w:type="dxa"/>
          </w:tcPr>
          <w:p w14:paraId="6FCF005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Complementary Therapies in Medicine</w:t>
            </w:r>
          </w:p>
        </w:tc>
        <w:tc>
          <w:tcPr>
            <w:tcW w:w="709" w:type="dxa"/>
          </w:tcPr>
          <w:p w14:paraId="734C0B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13(2)</w:t>
            </w:r>
          </w:p>
        </w:tc>
        <w:tc>
          <w:tcPr>
            <w:tcW w:w="851" w:type="dxa"/>
          </w:tcPr>
          <w:p w14:paraId="476212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101-6</w:t>
            </w:r>
          </w:p>
        </w:tc>
        <w:tc>
          <w:tcPr>
            <w:tcW w:w="1559" w:type="dxa"/>
          </w:tcPr>
          <w:p w14:paraId="187B127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447F1E3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5BB7016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1098DD98" w14:textId="77777777" w:rsidTr="00924B3D">
        <w:trPr>
          <w:trHeight w:val="300"/>
        </w:trPr>
        <w:tc>
          <w:tcPr>
            <w:tcW w:w="1009" w:type="dxa"/>
            <w:shd w:val="clear" w:color="auto" w:fill="auto"/>
            <w:noWrap/>
            <w:hideMark/>
          </w:tcPr>
          <w:p w14:paraId="18C7BB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1714A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Colacino J, Cornellier M, et al.</w:t>
            </w:r>
          </w:p>
        </w:tc>
        <w:tc>
          <w:tcPr>
            <w:tcW w:w="709" w:type="dxa"/>
            <w:shd w:val="clear" w:color="auto" w:fill="auto"/>
            <w:noWrap/>
            <w:hideMark/>
          </w:tcPr>
          <w:p w14:paraId="324166D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2017</w:t>
            </w:r>
          </w:p>
        </w:tc>
        <w:tc>
          <w:tcPr>
            <w:tcW w:w="3544" w:type="dxa"/>
            <w:shd w:val="clear" w:color="auto" w:fill="auto"/>
            <w:noWrap/>
            <w:hideMark/>
          </w:tcPr>
          <w:p w14:paraId="1213B3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Fatigue reduction diet in breast cancer survivors: a pilot randomized clinical trial.</w:t>
            </w:r>
          </w:p>
        </w:tc>
        <w:tc>
          <w:tcPr>
            <w:tcW w:w="1417" w:type="dxa"/>
          </w:tcPr>
          <w:p w14:paraId="18EA792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Breast Cancer Research and Treatment</w:t>
            </w:r>
          </w:p>
        </w:tc>
        <w:tc>
          <w:tcPr>
            <w:tcW w:w="709" w:type="dxa"/>
          </w:tcPr>
          <w:p w14:paraId="763739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16(2)</w:t>
            </w:r>
          </w:p>
        </w:tc>
        <w:tc>
          <w:tcPr>
            <w:tcW w:w="851" w:type="dxa"/>
          </w:tcPr>
          <w:p w14:paraId="3FB6ABC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299-310</w:t>
            </w:r>
          </w:p>
        </w:tc>
        <w:tc>
          <w:tcPr>
            <w:tcW w:w="1559" w:type="dxa"/>
          </w:tcPr>
          <w:p w14:paraId="5DE94B1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9F34C2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65BCA1D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D618BFC" w14:textId="77777777" w:rsidTr="00924B3D">
        <w:trPr>
          <w:trHeight w:val="300"/>
        </w:trPr>
        <w:tc>
          <w:tcPr>
            <w:tcW w:w="1009" w:type="dxa"/>
            <w:shd w:val="clear" w:color="auto" w:fill="auto"/>
            <w:noWrap/>
            <w:hideMark/>
          </w:tcPr>
          <w:p w14:paraId="5379BDB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006F5FB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Djuric Z, Ruffin MT, et al.</w:t>
            </w:r>
          </w:p>
        </w:tc>
        <w:tc>
          <w:tcPr>
            <w:tcW w:w="709" w:type="dxa"/>
            <w:shd w:val="clear" w:color="auto" w:fill="auto"/>
            <w:noWrap/>
            <w:hideMark/>
          </w:tcPr>
          <w:p w14:paraId="4BB6866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344E0DD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Pharmacokinetics of 6-gingerol, 8-gingerol, 10-gingerol, and 6-shogaol and conjugate metabolites in healthy human subjects</w:t>
            </w:r>
          </w:p>
        </w:tc>
        <w:tc>
          <w:tcPr>
            <w:tcW w:w="1417" w:type="dxa"/>
          </w:tcPr>
          <w:p w14:paraId="31766EF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Epidemiology, Biomarkers &amp; Prevention</w:t>
            </w:r>
          </w:p>
        </w:tc>
        <w:tc>
          <w:tcPr>
            <w:tcW w:w="709" w:type="dxa"/>
          </w:tcPr>
          <w:p w14:paraId="278BBC7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17(8)</w:t>
            </w:r>
          </w:p>
        </w:tc>
        <w:tc>
          <w:tcPr>
            <w:tcW w:w="851" w:type="dxa"/>
          </w:tcPr>
          <w:p w14:paraId="36CB018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1930-6</w:t>
            </w:r>
          </w:p>
        </w:tc>
        <w:tc>
          <w:tcPr>
            <w:tcW w:w="1559" w:type="dxa"/>
          </w:tcPr>
          <w:p w14:paraId="25070E2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AB7EF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D58A93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5A006F5F" w14:textId="77777777" w:rsidTr="00924B3D">
        <w:trPr>
          <w:trHeight w:val="300"/>
        </w:trPr>
        <w:tc>
          <w:tcPr>
            <w:tcW w:w="1009" w:type="dxa"/>
            <w:shd w:val="clear" w:color="auto" w:fill="auto"/>
            <w:noWrap/>
            <w:hideMark/>
          </w:tcPr>
          <w:p w14:paraId="524421E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AD68A2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Gillespie B, Aaronson KD</w:t>
            </w:r>
          </w:p>
        </w:tc>
        <w:tc>
          <w:tcPr>
            <w:tcW w:w="709" w:type="dxa"/>
            <w:shd w:val="clear" w:color="auto" w:fill="auto"/>
            <w:noWrap/>
            <w:hideMark/>
          </w:tcPr>
          <w:p w14:paraId="337E696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2008</w:t>
            </w:r>
          </w:p>
        </w:tc>
        <w:tc>
          <w:tcPr>
            <w:tcW w:w="3544" w:type="dxa"/>
            <w:shd w:val="clear" w:color="auto" w:fill="auto"/>
            <w:noWrap/>
            <w:hideMark/>
          </w:tcPr>
          <w:p w14:paraId="139DBA6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The effect of Crataegus oxycantha special extract WS 1442 on clinical progression in patients with mild to moderate symptoms of heart failure</w:t>
            </w:r>
          </w:p>
        </w:tc>
        <w:tc>
          <w:tcPr>
            <w:tcW w:w="1417" w:type="dxa"/>
          </w:tcPr>
          <w:p w14:paraId="2505E2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European Journal of Heart Failure</w:t>
            </w:r>
          </w:p>
        </w:tc>
        <w:tc>
          <w:tcPr>
            <w:tcW w:w="709" w:type="dxa"/>
          </w:tcPr>
          <w:p w14:paraId="6DBD1F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10(6)</w:t>
            </w:r>
          </w:p>
        </w:tc>
        <w:tc>
          <w:tcPr>
            <w:tcW w:w="851" w:type="dxa"/>
          </w:tcPr>
          <w:p w14:paraId="0B5F0C4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587-93</w:t>
            </w:r>
          </w:p>
        </w:tc>
        <w:tc>
          <w:tcPr>
            <w:tcW w:w="1559" w:type="dxa"/>
          </w:tcPr>
          <w:p w14:paraId="5865CAF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542940A6"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4DA1F9F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AA01763" w14:textId="77777777" w:rsidTr="00924B3D">
        <w:trPr>
          <w:trHeight w:val="300"/>
        </w:trPr>
        <w:tc>
          <w:tcPr>
            <w:tcW w:w="1009" w:type="dxa"/>
            <w:shd w:val="clear" w:color="auto" w:fill="auto"/>
            <w:noWrap/>
            <w:hideMark/>
          </w:tcPr>
          <w:p w14:paraId="5DBD712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47AA65E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Ruffin MT, Lee J, et al</w:t>
            </w:r>
          </w:p>
        </w:tc>
        <w:tc>
          <w:tcPr>
            <w:tcW w:w="709" w:type="dxa"/>
            <w:shd w:val="clear" w:color="auto" w:fill="auto"/>
            <w:noWrap/>
            <w:hideMark/>
          </w:tcPr>
          <w:p w14:paraId="6F14BB2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095D2F7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Phase II trial of encapsulated ginger as a treatment for chemotherapy-induced nausea and vomiting</w:t>
            </w:r>
          </w:p>
        </w:tc>
        <w:tc>
          <w:tcPr>
            <w:tcW w:w="1417" w:type="dxa"/>
          </w:tcPr>
          <w:p w14:paraId="56F2058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Supportive Care in Cancer</w:t>
            </w:r>
          </w:p>
        </w:tc>
        <w:tc>
          <w:tcPr>
            <w:tcW w:w="709" w:type="dxa"/>
          </w:tcPr>
          <w:p w14:paraId="1DCBC39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17(5)</w:t>
            </w:r>
          </w:p>
        </w:tc>
        <w:tc>
          <w:tcPr>
            <w:tcW w:w="851" w:type="dxa"/>
          </w:tcPr>
          <w:p w14:paraId="2D1B82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563-72</w:t>
            </w:r>
          </w:p>
        </w:tc>
        <w:tc>
          <w:tcPr>
            <w:tcW w:w="1559" w:type="dxa"/>
          </w:tcPr>
          <w:p w14:paraId="135AD7C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1F15510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FD1471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6C9572D3" w14:textId="77777777" w:rsidTr="00924B3D">
        <w:trPr>
          <w:trHeight w:val="300"/>
        </w:trPr>
        <w:tc>
          <w:tcPr>
            <w:tcW w:w="1009" w:type="dxa"/>
            <w:shd w:val="clear" w:color="auto" w:fill="auto"/>
            <w:noWrap/>
            <w:hideMark/>
          </w:tcPr>
          <w:p w14:paraId="1AAE24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25B5866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Turgeon DK, Ren J, et al.</w:t>
            </w:r>
          </w:p>
        </w:tc>
        <w:tc>
          <w:tcPr>
            <w:tcW w:w="709" w:type="dxa"/>
            <w:shd w:val="clear" w:color="auto" w:fill="auto"/>
            <w:noWrap/>
            <w:hideMark/>
          </w:tcPr>
          <w:p w14:paraId="3FF22B5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2015</w:t>
            </w:r>
          </w:p>
        </w:tc>
        <w:tc>
          <w:tcPr>
            <w:tcW w:w="3544" w:type="dxa"/>
            <w:shd w:val="clear" w:color="auto" w:fill="auto"/>
            <w:noWrap/>
            <w:hideMark/>
          </w:tcPr>
          <w:p w14:paraId="487536C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Pilot clinical study of the effects of ginger root extract on eicosanoids in colonic mucosa of subjects at increased risk for colorectal cancer</w:t>
            </w:r>
          </w:p>
        </w:tc>
        <w:tc>
          <w:tcPr>
            <w:tcW w:w="1417" w:type="dxa"/>
          </w:tcPr>
          <w:p w14:paraId="53C2E3B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Molecular Carcinogenesis</w:t>
            </w:r>
          </w:p>
        </w:tc>
        <w:tc>
          <w:tcPr>
            <w:tcW w:w="709" w:type="dxa"/>
          </w:tcPr>
          <w:p w14:paraId="76A65CC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54(9)</w:t>
            </w:r>
          </w:p>
        </w:tc>
        <w:tc>
          <w:tcPr>
            <w:tcW w:w="851" w:type="dxa"/>
          </w:tcPr>
          <w:p w14:paraId="67436B0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908-15</w:t>
            </w:r>
          </w:p>
        </w:tc>
        <w:tc>
          <w:tcPr>
            <w:tcW w:w="1559" w:type="dxa"/>
          </w:tcPr>
          <w:p w14:paraId="206DF93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5FF38C8"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B321D2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2F61B2E3" w14:textId="77777777" w:rsidTr="00924B3D">
        <w:trPr>
          <w:trHeight w:val="300"/>
        </w:trPr>
        <w:tc>
          <w:tcPr>
            <w:tcW w:w="1009" w:type="dxa"/>
            <w:shd w:val="clear" w:color="auto" w:fill="auto"/>
            <w:noWrap/>
            <w:hideMark/>
          </w:tcPr>
          <w:p w14:paraId="3C630D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3EF8841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Turgeon DK, Vareed SK, et al.</w:t>
            </w:r>
          </w:p>
        </w:tc>
        <w:tc>
          <w:tcPr>
            <w:tcW w:w="709" w:type="dxa"/>
            <w:shd w:val="clear" w:color="auto" w:fill="auto"/>
            <w:noWrap/>
            <w:hideMark/>
          </w:tcPr>
          <w:p w14:paraId="5EEF399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1A80752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Phase II study of the effects of ginger root extract on eicosanoids in colon mucosa in people at normal risk for colorectal cancer</w:t>
            </w:r>
          </w:p>
        </w:tc>
        <w:tc>
          <w:tcPr>
            <w:tcW w:w="1417" w:type="dxa"/>
          </w:tcPr>
          <w:p w14:paraId="4D1A135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Cancer Prevention Research</w:t>
            </w:r>
          </w:p>
        </w:tc>
        <w:tc>
          <w:tcPr>
            <w:tcW w:w="709" w:type="dxa"/>
          </w:tcPr>
          <w:p w14:paraId="7C6575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4(11)</w:t>
            </w:r>
          </w:p>
        </w:tc>
        <w:tc>
          <w:tcPr>
            <w:tcW w:w="851" w:type="dxa"/>
          </w:tcPr>
          <w:p w14:paraId="5B68213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1929-37</w:t>
            </w:r>
          </w:p>
        </w:tc>
        <w:tc>
          <w:tcPr>
            <w:tcW w:w="1559" w:type="dxa"/>
          </w:tcPr>
          <w:p w14:paraId="44CE105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3056CF8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D6323D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75832BF1" w14:textId="77777777" w:rsidTr="00924B3D">
        <w:trPr>
          <w:trHeight w:val="300"/>
        </w:trPr>
        <w:tc>
          <w:tcPr>
            <w:tcW w:w="1009" w:type="dxa"/>
            <w:shd w:val="clear" w:color="auto" w:fill="auto"/>
            <w:noWrap/>
            <w:hideMark/>
          </w:tcPr>
          <w:p w14:paraId="52187D8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1093FCA2"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Vautaw BM, Gillespie B, et al</w:t>
            </w:r>
          </w:p>
        </w:tc>
        <w:tc>
          <w:tcPr>
            <w:tcW w:w="709" w:type="dxa"/>
            <w:shd w:val="clear" w:color="auto" w:fill="auto"/>
            <w:noWrap/>
            <w:hideMark/>
          </w:tcPr>
          <w:p w14:paraId="184F97D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2009</w:t>
            </w:r>
          </w:p>
        </w:tc>
        <w:tc>
          <w:tcPr>
            <w:tcW w:w="3544" w:type="dxa"/>
            <w:shd w:val="clear" w:color="auto" w:fill="auto"/>
            <w:noWrap/>
            <w:hideMark/>
          </w:tcPr>
          <w:p w14:paraId="4081B7E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Hawthorn extract randomized blinded chronic heart failure (HERB CHF) trial</w:t>
            </w:r>
          </w:p>
        </w:tc>
        <w:tc>
          <w:tcPr>
            <w:tcW w:w="1417" w:type="dxa"/>
          </w:tcPr>
          <w:p w14:paraId="4B79D33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European Journal of Heart Failure</w:t>
            </w:r>
          </w:p>
        </w:tc>
        <w:tc>
          <w:tcPr>
            <w:tcW w:w="709" w:type="dxa"/>
          </w:tcPr>
          <w:p w14:paraId="1BA9CAB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11(1)</w:t>
            </w:r>
          </w:p>
        </w:tc>
        <w:tc>
          <w:tcPr>
            <w:tcW w:w="851" w:type="dxa"/>
          </w:tcPr>
          <w:p w14:paraId="5BD1A19F"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78</w:t>
            </w:r>
          </w:p>
        </w:tc>
        <w:tc>
          <w:tcPr>
            <w:tcW w:w="1559" w:type="dxa"/>
          </w:tcPr>
          <w:p w14:paraId="143228E1"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63570A97"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1D3E2E4E"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r w:rsidR="008F3151" w:rsidRPr="00D518FF" w14:paraId="36EDB70A" w14:textId="77777777" w:rsidTr="00924B3D">
        <w:trPr>
          <w:trHeight w:val="300"/>
        </w:trPr>
        <w:tc>
          <w:tcPr>
            <w:tcW w:w="1009" w:type="dxa"/>
            <w:shd w:val="clear" w:color="auto" w:fill="auto"/>
            <w:noWrap/>
            <w:hideMark/>
          </w:tcPr>
          <w:p w14:paraId="4439B2F0"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2388" w:type="dxa"/>
            <w:shd w:val="clear" w:color="auto" w:fill="auto"/>
            <w:noWrap/>
            <w:hideMark/>
          </w:tcPr>
          <w:p w14:paraId="74927A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Zick SM, Wright BD, Sen A, et al.</w:t>
            </w:r>
          </w:p>
        </w:tc>
        <w:tc>
          <w:tcPr>
            <w:tcW w:w="709" w:type="dxa"/>
            <w:shd w:val="clear" w:color="auto" w:fill="auto"/>
            <w:noWrap/>
            <w:hideMark/>
          </w:tcPr>
          <w:p w14:paraId="327B0DBC"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2011</w:t>
            </w:r>
          </w:p>
        </w:tc>
        <w:tc>
          <w:tcPr>
            <w:tcW w:w="3544" w:type="dxa"/>
            <w:shd w:val="clear" w:color="auto" w:fill="auto"/>
            <w:noWrap/>
            <w:hideMark/>
          </w:tcPr>
          <w:p w14:paraId="35CAA8F5"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Preliminary examination of the efficacy and safety of a standardized chamomile extract for chronic primary insomnia: a randomized placebo-controlled pilot study</w:t>
            </w:r>
          </w:p>
        </w:tc>
        <w:tc>
          <w:tcPr>
            <w:tcW w:w="1417" w:type="dxa"/>
          </w:tcPr>
          <w:p w14:paraId="3AC099AB"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BMC Complementary and Alternative Medicine</w:t>
            </w:r>
          </w:p>
        </w:tc>
        <w:tc>
          <w:tcPr>
            <w:tcW w:w="709" w:type="dxa"/>
          </w:tcPr>
          <w:p w14:paraId="09D406B9"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11(1)</w:t>
            </w:r>
          </w:p>
        </w:tc>
        <w:tc>
          <w:tcPr>
            <w:tcW w:w="851" w:type="dxa"/>
          </w:tcPr>
          <w:p w14:paraId="26129344"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78</w:t>
            </w:r>
          </w:p>
        </w:tc>
        <w:tc>
          <w:tcPr>
            <w:tcW w:w="1559" w:type="dxa"/>
          </w:tcPr>
          <w:p w14:paraId="31A86A0D"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 </w:t>
            </w:r>
          </w:p>
        </w:tc>
        <w:tc>
          <w:tcPr>
            <w:tcW w:w="850" w:type="dxa"/>
            <w:shd w:val="clear" w:color="auto" w:fill="auto"/>
            <w:noWrap/>
            <w:hideMark/>
          </w:tcPr>
          <w:p w14:paraId="24F9401A"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Excluded</w:t>
            </w:r>
          </w:p>
        </w:tc>
        <w:tc>
          <w:tcPr>
            <w:tcW w:w="1276" w:type="dxa"/>
            <w:shd w:val="clear" w:color="auto" w:fill="auto"/>
            <w:noWrap/>
            <w:hideMark/>
          </w:tcPr>
          <w:p w14:paraId="091CF4F3" w14:textId="77777777" w:rsidR="008F3151" w:rsidRPr="00D518FF" w:rsidRDefault="008F3151" w:rsidP="00924B3D">
            <w:pPr>
              <w:rPr>
                <w:rFonts w:ascii="Aptos" w:hAnsi="Aptos" w:cs="Calibri"/>
                <w:color w:val="000000"/>
                <w:sz w:val="16"/>
                <w:szCs w:val="16"/>
              </w:rPr>
            </w:pPr>
            <w:r w:rsidRPr="00D518FF">
              <w:rPr>
                <w:rFonts w:ascii="Aptos" w:hAnsi="Aptos" w:cs="Calibri"/>
                <w:color w:val="000000"/>
                <w:sz w:val="16"/>
                <w:szCs w:val="16"/>
              </w:rPr>
              <w:t>Not a systematic review</w:t>
            </w:r>
          </w:p>
        </w:tc>
      </w:tr>
    </w:tbl>
    <w:p w14:paraId="496D1759" w14:textId="77777777" w:rsidR="008F3151" w:rsidRPr="00A740A6" w:rsidRDefault="008F3151" w:rsidP="00A740A6">
      <w:pPr>
        <w:pStyle w:val="heading2numbers"/>
        <w:rPr>
          <w:rStyle w:val="Heading1Char"/>
          <w:rFonts w:ascii="Aptos" w:eastAsia="Calibri" w:hAnsi="Aptos"/>
          <w:bCs w:val="0"/>
          <w:color w:val="C00000"/>
          <w:sz w:val="28"/>
          <w:szCs w:val="26"/>
        </w:rPr>
      </w:pPr>
      <w:bookmarkStart w:id="131" w:name="_Toc185254640"/>
      <w:r w:rsidRPr="00A740A6">
        <w:rPr>
          <w:rStyle w:val="Heading1Char"/>
          <w:rFonts w:ascii="Aptos" w:eastAsia="Calibri" w:hAnsi="Aptos"/>
          <w:bCs w:val="0"/>
          <w:color w:val="C00000"/>
          <w:sz w:val="28"/>
          <w:szCs w:val="26"/>
        </w:rPr>
        <w:t>Citation details of reviews awaiting classification and reports not retrieved</w:t>
      </w:r>
      <w:bookmarkEnd w:id="131"/>
      <w:r w:rsidRPr="00A740A6">
        <w:rPr>
          <w:rStyle w:val="Heading1Char"/>
          <w:rFonts w:ascii="Aptos" w:eastAsia="Calibri" w:hAnsi="Aptos"/>
          <w:bCs w:val="0"/>
          <w:color w:val="C00000"/>
          <w:sz w:val="28"/>
          <w:szCs w:val="26"/>
        </w:rPr>
        <w:t xml:space="preserve"> </w:t>
      </w:r>
    </w:p>
    <w:p w14:paraId="2E565FCF" w14:textId="41BE45BA" w:rsidR="008F3151" w:rsidRPr="00D518FF" w:rsidRDefault="008F3151" w:rsidP="008F3151">
      <w:pPr>
        <w:spacing w:before="180" w:after="180"/>
        <w:rPr>
          <w:rFonts w:ascii="Aptos" w:hAnsi="Aptos"/>
          <w:sz w:val="22"/>
          <w:szCs w:val="22"/>
        </w:rPr>
      </w:pPr>
      <w:r w:rsidRPr="00D518FF">
        <w:rPr>
          <w:rFonts w:ascii="Aptos" w:hAnsi="Aptos"/>
          <w:sz w:val="22"/>
          <w:szCs w:val="22"/>
        </w:rPr>
        <w:t>Completed reviews identified as potentially eligible for inclusion that could not be translated are listed below.</w:t>
      </w:r>
      <w:r w:rsidR="000256D8">
        <w:rPr>
          <w:rFonts w:ascii="Aptos" w:hAnsi="Aptos"/>
          <w:sz w:val="22"/>
          <w:szCs w:val="22"/>
        </w:rPr>
        <w:t xml:space="preserve"> </w:t>
      </w:r>
      <w:r w:rsidR="000256D8" w:rsidRPr="000256D8">
        <w:rPr>
          <w:rFonts w:ascii="Aptos" w:hAnsi="Aptos"/>
          <w:sz w:val="22"/>
          <w:szCs w:val="22"/>
          <w:lang w:val="en-GB"/>
        </w:rPr>
        <w:t xml:space="preserve">No other report types were </w:t>
      </w:r>
      <w:r w:rsidR="000256D8">
        <w:rPr>
          <w:rFonts w:ascii="Aptos" w:hAnsi="Aptos"/>
          <w:sz w:val="22"/>
          <w:szCs w:val="22"/>
          <w:lang w:val="en-GB"/>
        </w:rPr>
        <w:t>assessed</w:t>
      </w:r>
      <w:r w:rsidR="000256D8" w:rsidRPr="000256D8">
        <w:rPr>
          <w:rFonts w:ascii="Aptos" w:hAnsi="Aptos"/>
          <w:sz w:val="22"/>
          <w:szCs w:val="22"/>
          <w:lang w:val="en-GB"/>
        </w:rPr>
        <w:t xml:space="preserve"> as awaiting classification</w:t>
      </w:r>
      <w:r w:rsidR="000256D8">
        <w:rPr>
          <w:rFonts w:ascii="Aptos" w:hAnsi="Aptos"/>
          <w:sz w:val="22"/>
          <w:szCs w:val="22"/>
          <w:lang w:val="en-GB"/>
        </w:rPr>
        <w:t>.</w:t>
      </w:r>
    </w:p>
    <w:p w14:paraId="284841C3" w14:textId="335D2428" w:rsidR="00591DCB" w:rsidRPr="004C6AA1" w:rsidRDefault="00591DCB" w:rsidP="004C6AA1">
      <w:pPr>
        <w:pStyle w:val="Caption"/>
        <w:spacing w:before="240"/>
        <w:rPr>
          <w:rFonts w:ascii="Aptos" w:hAnsi="Aptos"/>
        </w:rPr>
      </w:pPr>
      <w:bookmarkStart w:id="132" w:name="_Toc185254544"/>
      <w:r w:rsidRPr="004C6AA1">
        <w:rPr>
          <w:rFonts w:ascii="Aptos" w:hAnsi="Aptos"/>
        </w:rPr>
        <w:lastRenderedPageBreak/>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17</w:t>
      </w:r>
      <w:r w:rsidR="00DC4767" w:rsidRPr="004C6AA1">
        <w:rPr>
          <w:rFonts w:ascii="Aptos" w:hAnsi="Aptos"/>
        </w:rPr>
        <w:fldChar w:fldCharType="end"/>
      </w:r>
      <w:r w:rsidRPr="004C6AA1">
        <w:rPr>
          <w:rFonts w:ascii="Aptos" w:hAnsi="Aptos"/>
        </w:rPr>
        <w:t xml:space="preserve">. </w:t>
      </w:r>
      <w:r w:rsidRPr="00D518FF">
        <w:rPr>
          <w:rFonts w:ascii="Aptos" w:hAnsi="Aptos"/>
        </w:rPr>
        <w:t xml:space="preserve">Citation details of </w:t>
      </w:r>
      <w:r w:rsidR="00296875">
        <w:rPr>
          <w:rFonts w:ascii="Aptos" w:hAnsi="Aptos"/>
        </w:rPr>
        <w:t>r</w:t>
      </w:r>
      <w:r w:rsidRPr="00D518FF">
        <w:rPr>
          <w:rFonts w:ascii="Aptos" w:hAnsi="Aptos"/>
        </w:rPr>
        <w:t xml:space="preserve">eviews </w:t>
      </w:r>
      <w:r w:rsidR="00296875">
        <w:rPr>
          <w:rFonts w:ascii="Aptos" w:hAnsi="Aptos"/>
        </w:rPr>
        <w:t>a</w:t>
      </w:r>
      <w:r w:rsidRPr="00D518FF">
        <w:rPr>
          <w:rFonts w:ascii="Aptos" w:hAnsi="Aptos"/>
        </w:rPr>
        <w:t xml:space="preserve">waiting </w:t>
      </w:r>
      <w:r w:rsidR="00296875">
        <w:rPr>
          <w:rFonts w:ascii="Aptos" w:hAnsi="Aptos"/>
        </w:rPr>
        <w:t>c</w:t>
      </w:r>
      <w:r w:rsidRPr="00D518FF">
        <w:rPr>
          <w:rFonts w:ascii="Aptos" w:hAnsi="Aptos"/>
        </w:rPr>
        <w:t>lassification – reviews not published in English</w:t>
      </w:r>
      <w:r>
        <w:rPr>
          <w:rFonts w:ascii="Aptos" w:hAnsi="Aptos"/>
        </w:rPr>
        <w:t>.</w:t>
      </w:r>
      <w:bookmarkEnd w:id="132"/>
    </w:p>
    <w:tbl>
      <w:tblPr>
        <w:tblStyle w:val="TableGrid"/>
        <w:tblW w:w="14175" w:type="dxa"/>
        <w:tblInd w:w="-5" w:type="dxa"/>
        <w:tblLayout w:type="fixed"/>
        <w:tblCellMar>
          <w:top w:w="28" w:type="dxa"/>
          <w:left w:w="57" w:type="dxa"/>
          <w:bottom w:w="28" w:type="dxa"/>
          <w:right w:w="28" w:type="dxa"/>
        </w:tblCellMar>
        <w:tblLook w:val="04A0" w:firstRow="1" w:lastRow="0" w:firstColumn="1" w:lastColumn="0" w:noHBand="0" w:noVBand="1"/>
      </w:tblPr>
      <w:tblGrid>
        <w:gridCol w:w="1701"/>
        <w:gridCol w:w="3402"/>
        <w:gridCol w:w="3119"/>
        <w:gridCol w:w="709"/>
        <w:gridCol w:w="2976"/>
        <w:gridCol w:w="851"/>
        <w:gridCol w:w="567"/>
        <w:gridCol w:w="850"/>
      </w:tblGrid>
      <w:tr w:rsidR="00BD188B" w:rsidRPr="00D518FF" w14:paraId="6F28456B" w14:textId="77777777" w:rsidTr="00E77295">
        <w:trPr>
          <w:trHeight w:val="76"/>
          <w:tblHeader/>
        </w:trPr>
        <w:tc>
          <w:tcPr>
            <w:tcW w:w="1701" w:type="dxa"/>
            <w:shd w:val="clear" w:color="auto" w:fill="D9D9D9" w:themeFill="background1" w:themeFillShade="D9"/>
            <w:noWrap/>
          </w:tcPr>
          <w:p w14:paraId="7F8E1F08" w14:textId="77777777" w:rsidR="008F3151" w:rsidRPr="00D518FF" w:rsidRDefault="008F3151">
            <w:pPr>
              <w:rPr>
                <w:rFonts w:ascii="Aptos" w:hAnsi="Aptos"/>
                <w:b/>
                <w:bCs/>
                <w:sz w:val="16"/>
                <w:szCs w:val="16"/>
              </w:rPr>
            </w:pPr>
            <w:r w:rsidRPr="00D518FF">
              <w:rPr>
                <w:rFonts w:ascii="Aptos" w:hAnsi="Aptos"/>
                <w:b/>
                <w:bCs/>
                <w:color w:val="000000"/>
                <w:sz w:val="16"/>
                <w:szCs w:val="16"/>
              </w:rPr>
              <w:t>Priority intervention-population</w:t>
            </w:r>
          </w:p>
        </w:tc>
        <w:tc>
          <w:tcPr>
            <w:tcW w:w="3402" w:type="dxa"/>
            <w:shd w:val="clear" w:color="auto" w:fill="D9D9D9" w:themeFill="background1" w:themeFillShade="D9"/>
            <w:noWrap/>
          </w:tcPr>
          <w:p w14:paraId="0A497477" w14:textId="77777777" w:rsidR="008F3151" w:rsidRPr="00D518FF" w:rsidRDefault="008F3151">
            <w:pPr>
              <w:rPr>
                <w:rFonts w:ascii="Aptos" w:hAnsi="Aptos"/>
                <w:b/>
                <w:bCs/>
                <w:sz w:val="16"/>
                <w:szCs w:val="16"/>
              </w:rPr>
            </w:pPr>
            <w:r w:rsidRPr="00D518FF">
              <w:rPr>
                <w:rFonts w:ascii="Aptos" w:hAnsi="Aptos"/>
                <w:b/>
                <w:bCs/>
                <w:sz w:val="16"/>
                <w:szCs w:val="16"/>
              </w:rPr>
              <w:t>Title</w:t>
            </w:r>
          </w:p>
        </w:tc>
        <w:tc>
          <w:tcPr>
            <w:tcW w:w="3119" w:type="dxa"/>
            <w:shd w:val="clear" w:color="auto" w:fill="D9D9D9" w:themeFill="background1" w:themeFillShade="D9"/>
            <w:noWrap/>
          </w:tcPr>
          <w:p w14:paraId="3F05A4C4" w14:textId="77777777" w:rsidR="008F3151" w:rsidRPr="00D518FF" w:rsidRDefault="008F3151">
            <w:pPr>
              <w:rPr>
                <w:rFonts w:ascii="Aptos" w:hAnsi="Aptos"/>
                <w:b/>
                <w:bCs/>
                <w:sz w:val="16"/>
                <w:szCs w:val="16"/>
              </w:rPr>
            </w:pPr>
            <w:r w:rsidRPr="00D518FF">
              <w:rPr>
                <w:rFonts w:ascii="Aptos" w:hAnsi="Aptos"/>
                <w:b/>
                <w:bCs/>
                <w:sz w:val="16"/>
                <w:szCs w:val="16"/>
              </w:rPr>
              <w:t>Authors</w:t>
            </w:r>
          </w:p>
        </w:tc>
        <w:tc>
          <w:tcPr>
            <w:tcW w:w="709" w:type="dxa"/>
            <w:shd w:val="clear" w:color="auto" w:fill="D9D9D9" w:themeFill="background1" w:themeFillShade="D9"/>
            <w:noWrap/>
          </w:tcPr>
          <w:p w14:paraId="568EBB22" w14:textId="77777777" w:rsidR="008F3151" w:rsidRPr="00D518FF" w:rsidRDefault="008F3151">
            <w:pPr>
              <w:rPr>
                <w:rFonts w:ascii="Aptos" w:hAnsi="Aptos"/>
                <w:b/>
                <w:bCs/>
                <w:sz w:val="16"/>
                <w:szCs w:val="16"/>
              </w:rPr>
            </w:pPr>
            <w:r w:rsidRPr="00D518FF">
              <w:rPr>
                <w:rFonts w:ascii="Aptos" w:hAnsi="Aptos"/>
                <w:b/>
                <w:bCs/>
                <w:sz w:val="16"/>
                <w:szCs w:val="16"/>
              </w:rPr>
              <w:t>Year</w:t>
            </w:r>
          </w:p>
        </w:tc>
        <w:tc>
          <w:tcPr>
            <w:tcW w:w="2976" w:type="dxa"/>
            <w:shd w:val="clear" w:color="auto" w:fill="D9D9D9" w:themeFill="background1" w:themeFillShade="D9"/>
            <w:noWrap/>
          </w:tcPr>
          <w:p w14:paraId="3CADEF94" w14:textId="77777777" w:rsidR="008F3151" w:rsidRPr="00D518FF" w:rsidRDefault="008F3151">
            <w:pPr>
              <w:rPr>
                <w:rFonts w:ascii="Aptos" w:hAnsi="Aptos"/>
                <w:b/>
                <w:bCs/>
                <w:sz w:val="16"/>
                <w:szCs w:val="16"/>
              </w:rPr>
            </w:pPr>
            <w:r w:rsidRPr="00D518FF">
              <w:rPr>
                <w:rFonts w:ascii="Aptos" w:hAnsi="Aptos"/>
                <w:b/>
                <w:bCs/>
                <w:sz w:val="16"/>
                <w:szCs w:val="16"/>
              </w:rPr>
              <w:t>Journal</w:t>
            </w:r>
          </w:p>
        </w:tc>
        <w:tc>
          <w:tcPr>
            <w:tcW w:w="851" w:type="dxa"/>
            <w:shd w:val="clear" w:color="auto" w:fill="D9D9D9" w:themeFill="background1" w:themeFillShade="D9"/>
            <w:noWrap/>
          </w:tcPr>
          <w:p w14:paraId="77CCCDA4" w14:textId="77777777" w:rsidR="008F3151" w:rsidRPr="00D518FF" w:rsidRDefault="008F3151">
            <w:pPr>
              <w:rPr>
                <w:rFonts w:ascii="Aptos" w:hAnsi="Aptos"/>
                <w:b/>
                <w:bCs/>
                <w:sz w:val="16"/>
                <w:szCs w:val="16"/>
              </w:rPr>
            </w:pPr>
            <w:r w:rsidRPr="00D518FF">
              <w:rPr>
                <w:rFonts w:ascii="Aptos" w:hAnsi="Aptos"/>
                <w:b/>
                <w:bCs/>
                <w:sz w:val="16"/>
                <w:szCs w:val="16"/>
              </w:rPr>
              <w:t>Volume</w:t>
            </w:r>
          </w:p>
        </w:tc>
        <w:tc>
          <w:tcPr>
            <w:tcW w:w="567" w:type="dxa"/>
            <w:shd w:val="clear" w:color="auto" w:fill="D9D9D9" w:themeFill="background1" w:themeFillShade="D9"/>
            <w:noWrap/>
          </w:tcPr>
          <w:p w14:paraId="06F9F45C" w14:textId="77777777" w:rsidR="008F3151" w:rsidRPr="00D518FF" w:rsidRDefault="008F3151">
            <w:pPr>
              <w:rPr>
                <w:rFonts w:ascii="Aptos" w:hAnsi="Aptos"/>
                <w:b/>
                <w:bCs/>
                <w:sz w:val="16"/>
                <w:szCs w:val="16"/>
              </w:rPr>
            </w:pPr>
            <w:r w:rsidRPr="00D518FF">
              <w:rPr>
                <w:rFonts w:ascii="Aptos" w:hAnsi="Aptos"/>
                <w:b/>
                <w:bCs/>
                <w:sz w:val="16"/>
                <w:szCs w:val="16"/>
              </w:rPr>
              <w:t>Issue</w:t>
            </w:r>
          </w:p>
        </w:tc>
        <w:tc>
          <w:tcPr>
            <w:tcW w:w="850" w:type="dxa"/>
            <w:shd w:val="clear" w:color="auto" w:fill="D9D9D9" w:themeFill="background1" w:themeFillShade="D9"/>
            <w:noWrap/>
            <w:hideMark/>
          </w:tcPr>
          <w:p w14:paraId="3E201090" w14:textId="77777777" w:rsidR="008F3151" w:rsidRPr="00D518FF" w:rsidRDefault="008F3151">
            <w:pPr>
              <w:rPr>
                <w:rFonts w:ascii="Aptos" w:hAnsi="Aptos"/>
                <w:b/>
                <w:bCs/>
                <w:sz w:val="16"/>
                <w:szCs w:val="16"/>
              </w:rPr>
            </w:pPr>
            <w:r w:rsidRPr="00D518FF">
              <w:rPr>
                <w:rFonts w:ascii="Aptos" w:hAnsi="Aptos"/>
                <w:b/>
                <w:bCs/>
                <w:sz w:val="16"/>
                <w:szCs w:val="16"/>
              </w:rPr>
              <w:t>Pages</w:t>
            </w:r>
          </w:p>
        </w:tc>
      </w:tr>
      <w:tr w:rsidR="00BD188B" w:rsidRPr="00D518FF" w14:paraId="6C76B96B" w14:textId="77777777" w:rsidTr="00E77295">
        <w:trPr>
          <w:trHeight w:val="62"/>
        </w:trPr>
        <w:tc>
          <w:tcPr>
            <w:tcW w:w="1701" w:type="dxa"/>
          </w:tcPr>
          <w:p w14:paraId="76FC034B"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IBS, probiotics</w:t>
            </w:r>
          </w:p>
        </w:tc>
        <w:tc>
          <w:tcPr>
            <w:tcW w:w="3402" w:type="dxa"/>
          </w:tcPr>
          <w:p w14:paraId="3D1743F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A meta-analysis of probiotics for the treatment of irritable bowel syndrome</w:t>
            </w:r>
          </w:p>
        </w:tc>
        <w:tc>
          <w:tcPr>
            <w:tcW w:w="3119" w:type="dxa"/>
          </w:tcPr>
          <w:p w14:paraId="40972DFA"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Hu, Y.; Tao, L.; Lyu, B.</w:t>
            </w:r>
          </w:p>
        </w:tc>
        <w:tc>
          <w:tcPr>
            <w:tcW w:w="709" w:type="dxa"/>
          </w:tcPr>
          <w:p w14:paraId="02CBA218"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2015</w:t>
            </w:r>
          </w:p>
        </w:tc>
        <w:tc>
          <w:tcPr>
            <w:tcW w:w="2976" w:type="dxa"/>
          </w:tcPr>
          <w:p w14:paraId="59163721"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Zhonghua nei ke za zhi</w:t>
            </w:r>
          </w:p>
        </w:tc>
        <w:tc>
          <w:tcPr>
            <w:tcW w:w="851" w:type="dxa"/>
          </w:tcPr>
          <w:p w14:paraId="444DC09C"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54</w:t>
            </w:r>
          </w:p>
        </w:tc>
        <w:tc>
          <w:tcPr>
            <w:tcW w:w="567" w:type="dxa"/>
          </w:tcPr>
          <w:p w14:paraId="75E3066C"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5</w:t>
            </w:r>
          </w:p>
        </w:tc>
        <w:tc>
          <w:tcPr>
            <w:tcW w:w="850" w:type="dxa"/>
          </w:tcPr>
          <w:p w14:paraId="217A50B3"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445-51</w:t>
            </w:r>
          </w:p>
        </w:tc>
      </w:tr>
      <w:tr w:rsidR="00BD188B" w:rsidRPr="00D518FF" w14:paraId="59337D9C" w14:textId="77777777" w:rsidTr="00E77295">
        <w:trPr>
          <w:trHeight w:val="110"/>
        </w:trPr>
        <w:tc>
          <w:tcPr>
            <w:tcW w:w="1701" w:type="dxa"/>
          </w:tcPr>
          <w:p w14:paraId="21B42845"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IBS, probiotics</w:t>
            </w:r>
          </w:p>
        </w:tc>
        <w:tc>
          <w:tcPr>
            <w:tcW w:w="3402" w:type="dxa"/>
          </w:tcPr>
          <w:p w14:paraId="1779B63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Probiotic agents for the treatment of irritable bowel syndrome in China: a meta-analysis</w:t>
            </w:r>
          </w:p>
        </w:tc>
        <w:tc>
          <w:tcPr>
            <w:tcW w:w="3119" w:type="dxa"/>
          </w:tcPr>
          <w:p w14:paraId="334FF29C"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Yao, Li; Fu, Ling; Zhao, Sheng-Jun</w:t>
            </w:r>
          </w:p>
          <w:p w14:paraId="1D1B1EF8" w14:textId="77777777" w:rsidR="008F3151" w:rsidRPr="00D518FF" w:rsidRDefault="008F3151">
            <w:pPr>
              <w:shd w:val="clear" w:color="auto" w:fill="FFFFFF"/>
              <w:rPr>
                <w:rFonts w:ascii="Aptos" w:hAnsi="Aptos" w:cs="Arial"/>
                <w:sz w:val="16"/>
                <w:szCs w:val="16"/>
                <w:lang w:eastAsia="en-AU"/>
              </w:rPr>
            </w:pPr>
          </w:p>
        </w:tc>
        <w:tc>
          <w:tcPr>
            <w:tcW w:w="709" w:type="dxa"/>
          </w:tcPr>
          <w:p w14:paraId="347FD0D5"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2012</w:t>
            </w:r>
          </w:p>
        </w:tc>
        <w:tc>
          <w:tcPr>
            <w:tcW w:w="2976" w:type="dxa"/>
          </w:tcPr>
          <w:p w14:paraId="267B52D2" w14:textId="77777777" w:rsidR="008F3151" w:rsidRPr="00D518FF" w:rsidRDefault="008F3151">
            <w:pPr>
              <w:shd w:val="clear" w:color="auto" w:fill="FFFFFF"/>
              <w:rPr>
                <w:rFonts w:ascii="Aptos" w:hAnsi="Aptos" w:cs="Arial"/>
                <w:sz w:val="16"/>
                <w:szCs w:val="16"/>
                <w:lang w:eastAsia="en-AU"/>
              </w:rPr>
            </w:pPr>
            <w:r w:rsidRPr="00D518FF">
              <w:rPr>
                <w:rFonts w:ascii="Aptos" w:eastAsia="MS Gothic" w:hAnsi="Aptos" w:cs="MS Gothic"/>
                <w:sz w:val="16"/>
                <w:szCs w:val="16"/>
                <w:lang w:eastAsia="en-AU"/>
              </w:rPr>
              <w:t>中国循</w:t>
            </w:r>
            <w:r w:rsidRPr="00D518FF">
              <w:rPr>
                <w:rFonts w:ascii="Aptos" w:eastAsia="Microsoft JhengHei" w:hAnsi="Aptos" w:cs="Microsoft JhengHei"/>
                <w:sz w:val="16"/>
                <w:szCs w:val="16"/>
                <w:lang w:eastAsia="en-AU"/>
              </w:rPr>
              <w:t>证</w:t>
            </w:r>
            <w:r w:rsidRPr="00D518FF">
              <w:rPr>
                <w:rFonts w:ascii="Aptos" w:eastAsia="MS Gothic" w:hAnsi="Aptos" w:cs="MS Gothic"/>
                <w:sz w:val="16"/>
                <w:szCs w:val="16"/>
                <w:lang w:eastAsia="en-AU"/>
              </w:rPr>
              <w:t>医学</w:t>
            </w:r>
            <w:r w:rsidRPr="00D518FF">
              <w:rPr>
                <w:rFonts w:ascii="Aptos" w:eastAsia="Microsoft JhengHei" w:hAnsi="Aptos" w:cs="Microsoft JhengHei"/>
                <w:sz w:val="16"/>
                <w:szCs w:val="16"/>
                <w:lang w:eastAsia="en-AU"/>
              </w:rPr>
              <w:t>杂</w:t>
            </w:r>
            <w:r w:rsidRPr="00D518FF">
              <w:rPr>
                <w:rFonts w:ascii="Aptos" w:eastAsia="MS Gothic" w:hAnsi="Aptos" w:cs="MS Gothic"/>
                <w:sz w:val="16"/>
                <w:szCs w:val="16"/>
                <w:lang w:eastAsia="en-AU"/>
              </w:rPr>
              <w:t>志</w:t>
            </w:r>
            <w:r w:rsidRPr="00D518FF">
              <w:rPr>
                <w:rFonts w:ascii="Aptos" w:hAnsi="Aptos" w:cs="Arial"/>
                <w:sz w:val="16"/>
                <w:szCs w:val="16"/>
                <w:lang w:eastAsia="en-AU"/>
              </w:rPr>
              <w:t xml:space="preserve"> (Chinese Journal of Evidence-Based Medicine)</w:t>
            </w:r>
          </w:p>
        </w:tc>
        <w:tc>
          <w:tcPr>
            <w:tcW w:w="851" w:type="dxa"/>
          </w:tcPr>
          <w:p w14:paraId="64251B27"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12</w:t>
            </w:r>
          </w:p>
        </w:tc>
        <w:tc>
          <w:tcPr>
            <w:tcW w:w="567" w:type="dxa"/>
          </w:tcPr>
          <w:p w14:paraId="7E8F915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5</w:t>
            </w:r>
          </w:p>
        </w:tc>
        <w:tc>
          <w:tcPr>
            <w:tcW w:w="850" w:type="dxa"/>
          </w:tcPr>
          <w:p w14:paraId="64C79F34"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602-607</w:t>
            </w:r>
          </w:p>
        </w:tc>
      </w:tr>
      <w:tr w:rsidR="00BD188B" w:rsidRPr="00D518FF" w14:paraId="38CBBD33" w14:textId="77777777" w:rsidTr="00E77295">
        <w:trPr>
          <w:trHeight w:val="110"/>
        </w:trPr>
        <w:tc>
          <w:tcPr>
            <w:tcW w:w="1701" w:type="dxa"/>
          </w:tcPr>
          <w:p w14:paraId="27669CD8"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Depression, Omega 3</w:t>
            </w:r>
          </w:p>
        </w:tc>
        <w:tc>
          <w:tcPr>
            <w:tcW w:w="3402" w:type="dxa"/>
          </w:tcPr>
          <w:p w14:paraId="4364D576" w14:textId="1928FD2C"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Omega 3 fatty acid and schizophrenia treatment: [review]</w:t>
            </w:r>
          </w:p>
        </w:tc>
        <w:tc>
          <w:tcPr>
            <w:tcW w:w="3119" w:type="dxa"/>
          </w:tcPr>
          <w:p w14:paraId="0E5DE31E"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Zemdegs, Juliane Costa Silva; Pimentel, Gustavo Duarte; Priel, Margareth Rose</w:t>
            </w:r>
          </w:p>
        </w:tc>
        <w:tc>
          <w:tcPr>
            <w:tcW w:w="709" w:type="dxa"/>
          </w:tcPr>
          <w:p w14:paraId="42DEA1CE"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2010</w:t>
            </w:r>
          </w:p>
        </w:tc>
        <w:tc>
          <w:tcPr>
            <w:tcW w:w="2976" w:type="dxa"/>
          </w:tcPr>
          <w:p w14:paraId="71F2469B"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Rev. psiquiatr. clín. (São Paulo)</w:t>
            </w:r>
          </w:p>
        </w:tc>
        <w:tc>
          <w:tcPr>
            <w:tcW w:w="851" w:type="dxa"/>
          </w:tcPr>
          <w:p w14:paraId="768BA24A"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37</w:t>
            </w:r>
          </w:p>
        </w:tc>
        <w:tc>
          <w:tcPr>
            <w:tcW w:w="567" w:type="dxa"/>
          </w:tcPr>
          <w:p w14:paraId="65DDE5FE"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5</w:t>
            </w:r>
          </w:p>
        </w:tc>
        <w:tc>
          <w:tcPr>
            <w:tcW w:w="850" w:type="dxa"/>
          </w:tcPr>
          <w:p w14:paraId="0CCD3DE2"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223-227</w:t>
            </w:r>
          </w:p>
        </w:tc>
      </w:tr>
      <w:tr w:rsidR="00BD188B" w:rsidRPr="00D518FF" w14:paraId="1DCA74AC" w14:textId="77777777" w:rsidTr="00E77295">
        <w:trPr>
          <w:trHeight w:val="110"/>
        </w:trPr>
        <w:tc>
          <w:tcPr>
            <w:tcW w:w="1701" w:type="dxa"/>
          </w:tcPr>
          <w:p w14:paraId="7B262CE8"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Headache and migraine, magnesium</w:t>
            </w:r>
          </w:p>
        </w:tc>
        <w:tc>
          <w:tcPr>
            <w:tcW w:w="3402" w:type="dxa"/>
          </w:tcPr>
          <w:p w14:paraId="5B369F71" w14:textId="728938F1"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Dietetics and Nutrition Influence in the Migraine</w:t>
            </w:r>
          </w:p>
        </w:tc>
        <w:tc>
          <w:tcPr>
            <w:tcW w:w="3119" w:type="dxa"/>
          </w:tcPr>
          <w:p w14:paraId="598F9CBF" w14:textId="77777777" w:rsidR="008F3151" w:rsidRPr="00D518FF" w:rsidRDefault="008F3151">
            <w:pPr>
              <w:rPr>
                <w:rFonts w:ascii="Aptos" w:hAnsi="Aptos" w:cs="Arial"/>
                <w:sz w:val="16"/>
                <w:szCs w:val="16"/>
                <w:lang w:eastAsia="en-AU"/>
              </w:rPr>
            </w:pPr>
            <w:r w:rsidRPr="00D518FF">
              <w:rPr>
                <w:rFonts w:ascii="Aptos" w:hAnsi="Aptos" w:cs="Arial"/>
                <w:sz w:val="16"/>
                <w:szCs w:val="16"/>
                <w:lang w:eastAsia="en-AU"/>
              </w:rPr>
              <w:t>Silva, Lívia Christine Santana e; Freitas, Betânia de Jesus e Silva de Almendra</w:t>
            </w:r>
          </w:p>
        </w:tc>
        <w:tc>
          <w:tcPr>
            <w:tcW w:w="709" w:type="dxa"/>
          </w:tcPr>
          <w:p w14:paraId="757D3E6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2016</w:t>
            </w:r>
          </w:p>
        </w:tc>
        <w:tc>
          <w:tcPr>
            <w:tcW w:w="2976" w:type="dxa"/>
          </w:tcPr>
          <w:p w14:paraId="60CFC849"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J. health sci. (Londrina)</w:t>
            </w:r>
          </w:p>
        </w:tc>
        <w:tc>
          <w:tcPr>
            <w:tcW w:w="851" w:type="dxa"/>
          </w:tcPr>
          <w:p w14:paraId="1E4394D4"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NR</w:t>
            </w:r>
          </w:p>
        </w:tc>
        <w:tc>
          <w:tcPr>
            <w:tcW w:w="567" w:type="dxa"/>
          </w:tcPr>
          <w:p w14:paraId="21B1499B"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NR</w:t>
            </w:r>
          </w:p>
        </w:tc>
        <w:tc>
          <w:tcPr>
            <w:tcW w:w="850" w:type="dxa"/>
          </w:tcPr>
          <w:p w14:paraId="296188D1"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NR</w:t>
            </w:r>
          </w:p>
        </w:tc>
      </w:tr>
    </w:tbl>
    <w:p w14:paraId="2EA07D39" w14:textId="77777777" w:rsidR="008F3151" w:rsidRPr="00A740A6" w:rsidRDefault="008F3151" w:rsidP="00A740A6">
      <w:pPr>
        <w:pStyle w:val="heading2numbers"/>
        <w:rPr>
          <w:rStyle w:val="Heading1Char"/>
          <w:rFonts w:ascii="Aptos" w:eastAsia="Calibri" w:hAnsi="Aptos"/>
          <w:bCs w:val="0"/>
          <w:color w:val="C00000"/>
          <w:sz w:val="28"/>
          <w:szCs w:val="26"/>
        </w:rPr>
      </w:pPr>
      <w:bookmarkStart w:id="133" w:name="_Toc172842722"/>
      <w:bookmarkStart w:id="134" w:name="_Toc185254641"/>
      <w:bookmarkEnd w:id="133"/>
      <w:r w:rsidRPr="00A740A6">
        <w:rPr>
          <w:rStyle w:val="Heading1Char"/>
          <w:rFonts w:ascii="Aptos" w:eastAsia="Calibri" w:hAnsi="Aptos"/>
          <w:bCs w:val="0"/>
          <w:color w:val="C00000"/>
          <w:sz w:val="28"/>
          <w:szCs w:val="26"/>
        </w:rPr>
        <w:t>Citation details of ongoing reviews</w:t>
      </w:r>
      <w:bookmarkEnd w:id="134"/>
    </w:p>
    <w:p w14:paraId="13ED0A5F" w14:textId="77777777" w:rsidR="002F13B9" w:rsidRDefault="00296875" w:rsidP="004C6AA1">
      <w:pPr>
        <w:pStyle w:val="Caption"/>
        <w:spacing w:before="240"/>
        <w:rPr>
          <w:rFonts w:ascii="Aptos" w:hAnsi="Aptos"/>
          <w:b w:val="0"/>
          <w:bCs w:val="0"/>
        </w:rPr>
      </w:pPr>
      <w:r w:rsidRPr="00296875">
        <w:rPr>
          <w:rFonts w:ascii="Aptos" w:hAnsi="Aptos"/>
          <w:b w:val="0"/>
          <w:bCs w:val="0"/>
        </w:rPr>
        <w:t xml:space="preserve">Citation details of </w:t>
      </w:r>
      <w:r>
        <w:rPr>
          <w:rFonts w:ascii="Aptos" w:hAnsi="Aptos"/>
          <w:b w:val="0"/>
          <w:bCs w:val="0"/>
        </w:rPr>
        <w:t xml:space="preserve">potentially relevant </w:t>
      </w:r>
      <w:r w:rsidRPr="00296875">
        <w:rPr>
          <w:rFonts w:ascii="Aptos" w:hAnsi="Aptos"/>
          <w:b w:val="0"/>
          <w:bCs w:val="0"/>
        </w:rPr>
        <w:t>ongoing reviews</w:t>
      </w:r>
      <w:r>
        <w:rPr>
          <w:rFonts w:ascii="Aptos" w:hAnsi="Aptos"/>
          <w:b w:val="0"/>
          <w:bCs w:val="0"/>
        </w:rPr>
        <w:t xml:space="preserve"> registered via PROSPERO</w:t>
      </w:r>
      <w:r w:rsidRPr="00296875">
        <w:rPr>
          <w:rFonts w:ascii="Aptos" w:hAnsi="Aptos"/>
          <w:b w:val="0"/>
          <w:bCs w:val="0"/>
        </w:rPr>
        <w:t xml:space="preserve"> identified in full-text screening are listed below.</w:t>
      </w:r>
    </w:p>
    <w:p w14:paraId="1EC76117" w14:textId="2758B847" w:rsidR="00591DCB" w:rsidRPr="004C6AA1" w:rsidRDefault="00591DCB" w:rsidP="004C6AA1">
      <w:pPr>
        <w:pStyle w:val="Caption"/>
        <w:spacing w:before="240"/>
        <w:rPr>
          <w:rFonts w:ascii="Aptos" w:hAnsi="Aptos"/>
        </w:rPr>
      </w:pPr>
      <w:bookmarkStart w:id="135" w:name="_Toc185254545"/>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C</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18</w:t>
      </w:r>
      <w:r w:rsidR="00DC4767" w:rsidRPr="004C6AA1">
        <w:rPr>
          <w:rFonts w:ascii="Aptos" w:hAnsi="Aptos"/>
        </w:rPr>
        <w:fldChar w:fldCharType="end"/>
      </w:r>
      <w:r w:rsidRPr="004C6AA1">
        <w:rPr>
          <w:rFonts w:ascii="Aptos" w:hAnsi="Aptos"/>
        </w:rPr>
        <w:t>.</w:t>
      </w:r>
      <w:r w:rsidRPr="00591DCB">
        <w:rPr>
          <w:rFonts w:ascii="Aptos" w:hAnsi="Aptos"/>
        </w:rPr>
        <w:t xml:space="preserve"> </w:t>
      </w:r>
      <w:r w:rsidRPr="00D518FF">
        <w:rPr>
          <w:rFonts w:ascii="Aptos" w:hAnsi="Aptos"/>
        </w:rPr>
        <w:t xml:space="preserve">Citation details of </w:t>
      </w:r>
      <w:r w:rsidR="00296875">
        <w:rPr>
          <w:rFonts w:ascii="Aptos" w:hAnsi="Aptos"/>
        </w:rPr>
        <w:t>reviews sought for retrieval</w:t>
      </w:r>
      <w:r w:rsidR="00296875" w:rsidRPr="00D518FF">
        <w:rPr>
          <w:rFonts w:ascii="Aptos" w:hAnsi="Aptos"/>
        </w:rPr>
        <w:t xml:space="preserve"> </w:t>
      </w:r>
      <w:r w:rsidRPr="00D518FF">
        <w:rPr>
          <w:rFonts w:ascii="Aptos" w:hAnsi="Aptos"/>
        </w:rPr>
        <w:t>– ongoing reviews</w:t>
      </w:r>
      <w:r>
        <w:rPr>
          <w:rFonts w:ascii="Aptos" w:hAnsi="Aptos"/>
        </w:rPr>
        <w:t>.</w:t>
      </w:r>
      <w:bookmarkEnd w:id="135"/>
    </w:p>
    <w:tbl>
      <w:tblPr>
        <w:tblStyle w:val="TableGrid"/>
        <w:tblW w:w="5000" w:type="pct"/>
        <w:tblLayout w:type="fixed"/>
        <w:tblCellMar>
          <w:top w:w="28" w:type="dxa"/>
          <w:left w:w="57" w:type="dxa"/>
          <w:bottom w:w="28" w:type="dxa"/>
          <w:right w:w="28" w:type="dxa"/>
        </w:tblCellMar>
        <w:tblLook w:val="04A0" w:firstRow="1" w:lastRow="0" w:firstColumn="1" w:lastColumn="0" w:noHBand="0" w:noVBand="1"/>
      </w:tblPr>
      <w:tblGrid>
        <w:gridCol w:w="1696"/>
        <w:gridCol w:w="3262"/>
        <w:gridCol w:w="2567"/>
        <w:gridCol w:w="618"/>
        <w:gridCol w:w="2342"/>
        <w:gridCol w:w="1561"/>
        <w:gridCol w:w="2199"/>
      </w:tblGrid>
      <w:tr w:rsidR="008F3151" w:rsidRPr="00D518FF" w14:paraId="77185486" w14:textId="77777777" w:rsidTr="00FC62A1">
        <w:trPr>
          <w:trHeight w:val="69"/>
          <w:tblHeader/>
        </w:trPr>
        <w:tc>
          <w:tcPr>
            <w:tcW w:w="595" w:type="pct"/>
            <w:shd w:val="clear" w:color="auto" w:fill="D9D9D9" w:themeFill="background1" w:themeFillShade="D9"/>
          </w:tcPr>
          <w:p w14:paraId="2A7F472B"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Priority intervention-population</w:t>
            </w:r>
          </w:p>
        </w:tc>
        <w:tc>
          <w:tcPr>
            <w:tcW w:w="1145" w:type="pct"/>
            <w:shd w:val="clear" w:color="auto" w:fill="D9D9D9" w:themeFill="background1" w:themeFillShade="D9"/>
            <w:noWrap/>
            <w:hideMark/>
          </w:tcPr>
          <w:p w14:paraId="6FDA0A52"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Title</w:t>
            </w:r>
          </w:p>
        </w:tc>
        <w:tc>
          <w:tcPr>
            <w:tcW w:w="901" w:type="pct"/>
            <w:shd w:val="clear" w:color="auto" w:fill="D9D9D9" w:themeFill="background1" w:themeFillShade="D9"/>
            <w:noWrap/>
            <w:hideMark/>
          </w:tcPr>
          <w:p w14:paraId="1ACAD37E"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Authors</w:t>
            </w:r>
          </w:p>
        </w:tc>
        <w:tc>
          <w:tcPr>
            <w:tcW w:w="217" w:type="pct"/>
            <w:shd w:val="clear" w:color="auto" w:fill="D9D9D9" w:themeFill="background1" w:themeFillShade="D9"/>
            <w:noWrap/>
            <w:hideMark/>
          </w:tcPr>
          <w:p w14:paraId="72204B3B"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Year</w:t>
            </w:r>
          </w:p>
        </w:tc>
        <w:tc>
          <w:tcPr>
            <w:tcW w:w="822" w:type="pct"/>
            <w:shd w:val="clear" w:color="auto" w:fill="D9D9D9" w:themeFill="background1" w:themeFillShade="D9"/>
            <w:noWrap/>
            <w:hideMark/>
          </w:tcPr>
          <w:p w14:paraId="5BF31B0E"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Retrieved from</w:t>
            </w:r>
          </w:p>
        </w:tc>
        <w:tc>
          <w:tcPr>
            <w:tcW w:w="548" w:type="pct"/>
            <w:shd w:val="clear" w:color="auto" w:fill="D9D9D9" w:themeFill="background1" w:themeFillShade="D9"/>
            <w:noWrap/>
            <w:hideMark/>
          </w:tcPr>
          <w:p w14:paraId="1861D569" w14:textId="77777777" w:rsidR="008F3151" w:rsidRPr="00D518FF" w:rsidRDefault="008F3151">
            <w:pPr>
              <w:rPr>
                <w:rFonts w:ascii="Aptos" w:hAnsi="Aptos"/>
                <w:b/>
                <w:bCs/>
                <w:color w:val="000000"/>
                <w:sz w:val="16"/>
                <w:szCs w:val="16"/>
              </w:rPr>
            </w:pPr>
            <w:r w:rsidRPr="00D518FF">
              <w:rPr>
                <w:rFonts w:ascii="Aptos" w:hAnsi="Aptos"/>
                <w:b/>
                <w:bCs/>
                <w:color w:val="000000"/>
                <w:sz w:val="16"/>
                <w:szCs w:val="16"/>
              </w:rPr>
              <w:t>Details</w:t>
            </w:r>
          </w:p>
        </w:tc>
        <w:tc>
          <w:tcPr>
            <w:tcW w:w="772" w:type="pct"/>
            <w:shd w:val="clear" w:color="auto" w:fill="D9D9D9" w:themeFill="background1" w:themeFillShade="D9"/>
            <w:noWrap/>
            <w:hideMark/>
          </w:tcPr>
          <w:p w14:paraId="7C44D124" w14:textId="6CF917A1" w:rsidR="008F3151" w:rsidRPr="00D518FF" w:rsidRDefault="008F3151">
            <w:pPr>
              <w:rPr>
                <w:rFonts w:ascii="Aptos" w:hAnsi="Aptos"/>
                <w:b/>
                <w:bCs/>
                <w:color w:val="000000"/>
                <w:sz w:val="16"/>
                <w:szCs w:val="16"/>
              </w:rPr>
            </w:pPr>
            <w:r w:rsidRPr="00D518FF">
              <w:rPr>
                <w:rFonts w:ascii="Aptos" w:hAnsi="Aptos"/>
                <w:b/>
                <w:bCs/>
                <w:color w:val="000000"/>
                <w:sz w:val="16"/>
                <w:szCs w:val="16"/>
              </w:rPr>
              <w:t xml:space="preserve">Reason for </w:t>
            </w:r>
            <w:r w:rsidR="00FC62A1">
              <w:rPr>
                <w:rFonts w:ascii="Aptos" w:hAnsi="Aptos"/>
                <w:b/>
                <w:bCs/>
                <w:color w:val="000000"/>
                <w:sz w:val="16"/>
                <w:szCs w:val="16"/>
              </w:rPr>
              <w:t>exclusion</w:t>
            </w:r>
          </w:p>
        </w:tc>
      </w:tr>
      <w:tr w:rsidR="008F3151" w:rsidRPr="00D518FF" w14:paraId="2C0A99A4" w14:textId="77777777" w:rsidTr="00FC62A1">
        <w:trPr>
          <w:trHeight w:val="49"/>
        </w:trPr>
        <w:tc>
          <w:tcPr>
            <w:tcW w:w="595" w:type="pct"/>
          </w:tcPr>
          <w:p w14:paraId="7B6FA205"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Anxiety (including post-natal), magnesium</w:t>
            </w:r>
          </w:p>
        </w:tc>
        <w:tc>
          <w:tcPr>
            <w:tcW w:w="1145" w:type="pct"/>
          </w:tcPr>
          <w:p w14:paraId="09B94A84" w14:textId="4B4DE60E" w:rsidR="008F3151" w:rsidRPr="00D518FF" w:rsidRDefault="008F3151">
            <w:pPr>
              <w:pStyle w:val="TABLE"/>
              <w:rPr>
                <w:rFonts w:ascii="Aptos" w:hAnsi="Aptos"/>
                <w:sz w:val="16"/>
                <w:szCs w:val="16"/>
                <w:lang w:eastAsia="en-AU"/>
              </w:rPr>
            </w:pPr>
            <w:r w:rsidRPr="00D518FF">
              <w:rPr>
                <w:rFonts w:ascii="Aptos" w:hAnsi="Aptos"/>
                <w:sz w:val="16"/>
                <w:szCs w:val="16"/>
                <w:lang w:eastAsia="en-AU"/>
              </w:rPr>
              <w:t>The effectiveness of dietary intervention on anxiety and depression disorders: a systematic review</w:t>
            </w:r>
          </w:p>
        </w:tc>
        <w:tc>
          <w:tcPr>
            <w:tcW w:w="901" w:type="pct"/>
          </w:tcPr>
          <w:p w14:paraId="246C6A52"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Amy Gibson, Chante Studin Kirsten Morris Venus So</w:t>
            </w:r>
          </w:p>
        </w:tc>
        <w:tc>
          <w:tcPr>
            <w:tcW w:w="217" w:type="pct"/>
          </w:tcPr>
          <w:p w14:paraId="6E378063"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2019</w:t>
            </w:r>
          </w:p>
        </w:tc>
        <w:tc>
          <w:tcPr>
            <w:tcW w:w="822" w:type="pct"/>
          </w:tcPr>
          <w:p w14:paraId="6245436F"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https://www.crd.york.ac.uk/prospero/display_record.php?ID=CRD42019128321</w:t>
            </w:r>
          </w:p>
        </w:tc>
        <w:tc>
          <w:tcPr>
            <w:tcW w:w="548" w:type="pct"/>
          </w:tcPr>
          <w:p w14:paraId="1638E1B4"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PROSPERO ID: CRD42019128321</w:t>
            </w:r>
          </w:p>
        </w:tc>
        <w:tc>
          <w:tcPr>
            <w:tcW w:w="772" w:type="pct"/>
          </w:tcPr>
          <w:p w14:paraId="1F376AD8"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 authors do not plan to publish.</w:t>
            </w:r>
          </w:p>
        </w:tc>
      </w:tr>
      <w:tr w:rsidR="008F3151" w:rsidRPr="00D518FF" w14:paraId="62C90C09" w14:textId="77777777" w:rsidTr="00FC62A1">
        <w:trPr>
          <w:trHeight w:val="439"/>
        </w:trPr>
        <w:tc>
          <w:tcPr>
            <w:tcW w:w="595" w:type="pct"/>
          </w:tcPr>
          <w:p w14:paraId="2DB4F2C2"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Anxiety (including post-natal), magnesium</w:t>
            </w:r>
          </w:p>
        </w:tc>
        <w:tc>
          <w:tcPr>
            <w:tcW w:w="1145" w:type="pct"/>
          </w:tcPr>
          <w:p w14:paraId="11D1CF93"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Intervention of Different Treatments on Type 2 Diabetes Complicated with Anxiety: A Meta-Analysis</w:t>
            </w:r>
          </w:p>
        </w:tc>
        <w:tc>
          <w:tcPr>
            <w:tcW w:w="901" w:type="pct"/>
          </w:tcPr>
          <w:p w14:paraId="3914FEBD"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YIQIAN QU, ZHAN LI.</w:t>
            </w:r>
          </w:p>
        </w:tc>
        <w:tc>
          <w:tcPr>
            <w:tcW w:w="217" w:type="pct"/>
          </w:tcPr>
          <w:p w14:paraId="757D654F"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2022</w:t>
            </w:r>
          </w:p>
        </w:tc>
        <w:tc>
          <w:tcPr>
            <w:tcW w:w="822" w:type="pct"/>
          </w:tcPr>
          <w:p w14:paraId="66A480EE"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https://www.crd.york.ac.uk/prospero/display_record.php?ID=CRD42022330580</w:t>
            </w:r>
          </w:p>
        </w:tc>
        <w:tc>
          <w:tcPr>
            <w:tcW w:w="548" w:type="pct"/>
          </w:tcPr>
          <w:p w14:paraId="4FF326C4"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PROSPERO ID: CRD42022330580</w:t>
            </w:r>
          </w:p>
        </w:tc>
        <w:tc>
          <w:tcPr>
            <w:tcW w:w="772" w:type="pct"/>
          </w:tcPr>
          <w:p w14:paraId="3E231428"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6AA2C2FB" w14:textId="77777777" w:rsidTr="00FC62A1">
        <w:trPr>
          <w:trHeight w:val="439"/>
        </w:trPr>
        <w:tc>
          <w:tcPr>
            <w:tcW w:w="595" w:type="pct"/>
          </w:tcPr>
          <w:p w14:paraId="55DF9660"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7D98CA4C"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The efficacy of probiotics supplementation on the quality of life of patients with gastrointestinal disease: a systematic review of clinical studies</w:t>
            </w:r>
          </w:p>
        </w:tc>
        <w:tc>
          <w:tcPr>
            <w:tcW w:w="901" w:type="pct"/>
          </w:tcPr>
          <w:p w14:paraId="6995B540"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Amir Saber, Jalal Moludi, Shima Moradi</w:t>
            </w:r>
          </w:p>
        </w:tc>
        <w:tc>
          <w:tcPr>
            <w:tcW w:w="217" w:type="pct"/>
          </w:tcPr>
          <w:p w14:paraId="2F574AF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2022</w:t>
            </w:r>
          </w:p>
        </w:tc>
        <w:tc>
          <w:tcPr>
            <w:tcW w:w="822" w:type="pct"/>
          </w:tcPr>
          <w:p w14:paraId="42E3C317" w14:textId="3A64A592" w:rsidR="008F3151" w:rsidRPr="00D518FF" w:rsidRDefault="008F3151">
            <w:pPr>
              <w:pStyle w:val="TABLE"/>
              <w:rPr>
                <w:rFonts w:ascii="Aptos" w:hAnsi="Aptos"/>
                <w:sz w:val="16"/>
                <w:szCs w:val="16"/>
                <w:lang w:eastAsia="en-AU"/>
              </w:rPr>
            </w:pPr>
            <w:hyperlink r:id="rId31" w:tgtFrame="_self" w:history="1">
              <w:r w:rsidRPr="00D518FF">
                <w:rPr>
                  <w:rFonts w:ascii="Aptos" w:hAnsi="Aptos"/>
                  <w:sz w:val="16"/>
                  <w:szCs w:val="16"/>
                  <w:lang w:eastAsia="en-AU"/>
                </w:rPr>
                <w:t>https://www.crd.york.ac.uk/prospero/display_record.php?ID=CRD42022382414</w:t>
              </w:r>
            </w:hyperlink>
          </w:p>
        </w:tc>
        <w:tc>
          <w:tcPr>
            <w:tcW w:w="548" w:type="pct"/>
          </w:tcPr>
          <w:p w14:paraId="36C02FA2"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CRD42022382414</w:t>
            </w:r>
          </w:p>
        </w:tc>
        <w:tc>
          <w:tcPr>
            <w:tcW w:w="772" w:type="pct"/>
          </w:tcPr>
          <w:p w14:paraId="05F0315F"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7CF01279" w14:textId="77777777" w:rsidTr="00FC62A1">
        <w:trPr>
          <w:trHeight w:val="439"/>
        </w:trPr>
        <w:tc>
          <w:tcPr>
            <w:tcW w:w="595" w:type="pct"/>
          </w:tcPr>
          <w:p w14:paraId="011EFD3D"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1CE5CFC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Efficacy of complementary and alternative medicine in adults with irritable bowel syndrome: a systematic review of randomized controlled trials.</w:t>
            </w:r>
          </w:p>
        </w:tc>
        <w:tc>
          <w:tcPr>
            <w:tcW w:w="901" w:type="pct"/>
          </w:tcPr>
          <w:p w14:paraId="3760A4C4"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Andrea Shin</w:t>
            </w:r>
          </w:p>
        </w:tc>
        <w:tc>
          <w:tcPr>
            <w:tcW w:w="217" w:type="pct"/>
          </w:tcPr>
          <w:p w14:paraId="119DBD46"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2018</w:t>
            </w:r>
          </w:p>
        </w:tc>
        <w:tc>
          <w:tcPr>
            <w:tcW w:w="822" w:type="pct"/>
          </w:tcPr>
          <w:p w14:paraId="6B72DBED" w14:textId="7BFB7F7B" w:rsidR="008F3151" w:rsidRPr="00D518FF" w:rsidRDefault="008F3151">
            <w:pPr>
              <w:pStyle w:val="TABLE"/>
              <w:rPr>
                <w:rFonts w:ascii="Aptos" w:hAnsi="Aptos"/>
                <w:sz w:val="16"/>
                <w:szCs w:val="16"/>
                <w:lang w:eastAsia="en-AU"/>
              </w:rPr>
            </w:pPr>
            <w:hyperlink r:id="rId32" w:tgtFrame="_self" w:history="1">
              <w:r w:rsidRPr="00D518FF">
                <w:rPr>
                  <w:rFonts w:ascii="Aptos" w:hAnsi="Aptos"/>
                  <w:sz w:val="16"/>
                  <w:szCs w:val="16"/>
                  <w:lang w:eastAsia="en-AU"/>
                </w:rPr>
                <w:t>https://www.crd.york.ac.uk/prospero/display_record.php?ID=CRD42018108040</w:t>
              </w:r>
            </w:hyperlink>
          </w:p>
        </w:tc>
        <w:tc>
          <w:tcPr>
            <w:tcW w:w="548" w:type="pct"/>
          </w:tcPr>
          <w:p w14:paraId="306C077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CRD42018108040</w:t>
            </w:r>
          </w:p>
        </w:tc>
        <w:tc>
          <w:tcPr>
            <w:tcW w:w="772" w:type="pct"/>
          </w:tcPr>
          <w:p w14:paraId="3B67172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64A2CDE7" w14:textId="77777777" w:rsidTr="00FC62A1">
        <w:trPr>
          <w:trHeight w:val="439"/>
        </w:trPr>
        <w:tc>
          <w:tcPr>
            <w:tcW w:w="595" w:type="pct"/>
          </w:tcPr>
          <w:p w14:paraId="2101ADF6"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587B6F89"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Functional Abdominal Pain Disorders (FAPDs) in children (4-18 years): a systematic review on the effectiveness and safety of non-pharmacological treatment options.</w:t>
            </w:r>
          </w:p>
        </w:tc>
        <w:tc>
          <w:tcPr>
            <w:tcW w:w="901" w:type="pct"/>
          </w:tcPr>
          <w:p w14:paraId="1272CB51"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Clara de Bruijn, Robyn Rexwinkel, Merit Tabbers, Marc Benninga, Morris Gordon</w:t>
            </w:r>
          </w:p>
          <w:p w14:paraId="58EE8F28" w14:textId="77777777" w:rsidR="008F3151" w:rsidRPr="00D518FF" w:rsidRDefault="008F3151">
            <w:pPr>
              <w:shd w:val="clear" w:color="auto" w:fill="FFFFFF"/>
              <w:rPr>
                <w:rFonts w:ascii="Aptos" w:hAnsi="Aptos" w:cs="Arial"/>
                <w:sz w:val="16"/>
                <w:szCs w:val="16"/>
                <w:lang w:eastAsia="en-AU"/>
              </w:rPr>
            </w:pPr>
          </w:p>
          <w:p w14:paraId="52F6DC3A" w14:textId="77777777" w:rsidR="008F3151" w:rsidRPr="00D518FF" w:rsidRDefault="008F3151">
            <w:pPr>
              <w:shd w:val="clear" w:color="auto" w:fill="FFFFFF"/>
              <w:rPr>
                <w:rFonts w:ascii="Aptos" w:hAnsi="Aptos" w:cs="Arial"/>
                <w:sz w:val="16"/>
                <w:szCs w:val="16"/>
                <w:lang w:eastAsia="en-AU"/>
              </w:rPr>
            </w:pPr>
          </w:p>
        </w:tc>
        <w:tc>
          <w:tcPr>
            <w:tcW w:w="217" w:type="pct"/>
          </w:tcPr>
          <w:p w14:paraId="636B9015"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lastRenderedPageBreak/>
              <w:t>2020</w:t>
            </w:r>
          </w:p>
        </w:tc>
        <w:tc>
          <w:tcPr>
            <w:tcW w:w="822" w:type="pct"/>
          </w:tcPr>
          <w:p w14:paraId="30836EDD" w14:textId="5CE98A64" w:rsidR="008F3151" w:rsidRPr="00D518FF" w:rsidRDefault="00A6108F">
            <w:pPr>
              <w:shd w:val="clear" w:color="auto" w:fill="FFFFFF"/>
              <w:rPr>
                <w:rFonts w:ascii="Aptos" w:hAnsi="Aptos" w:cs="Arial"/>
                <w:sz w:val="16"/>
                <w:szCs w:val="16"/>
                <w:lang w:eastAsia="en-AU"/>
              </w:rPr>
            </w:pPr>
            <w:r>
              <w:rPr>
                <w:sz w:val="24"/>
                <w:szCs w:val="24"/>
              </w:rPr>
              <w:t>-</w:t>
            </w:r>
            <w:r w:rsidR="00D15AE6">
              <w:rPr>
                <w:sz w:val="24"/>
                <w:szCs w:val="24"/>
              </w:rPr>
              <w:fldChar w:fldCharType="begin"/>
            </w:r>
            <w:r w:rsidR="00D15AE6">
              <w:instrText>HYhttps://www.crd.york.ac.uk/prospero/display_record.php?ID=CRD42020159847" \t "_self"</w:instrText>
            </w:r>
            <w:r w:rsidR="00D15AE6">
              <w:rPr>
                <w:sz w:val="24"/>
                <w:szCs w:val="24"/>
              </w:rPr>
              <w:fldChar w:fldCharType="separate"/>
            </w:r>
            <w:r w:rsidR="008F3151" w:rsidRPr="00D518FF">
              <w:rPr>
                <w:rFonts w:ascii="Aptos" w:hAnsi="Aptos"/>
                <w:sz w:val="16"/>
                <w:szCs w:val="16"/>
                <w:lang w:eastAsia="en-AU"/>
              </w:rPr>
              <w:t>https://www.crd.york.ac.uk/prospero/display_record.php?ID=CRD42020159847</w:t>
            </w:r>
            <w:r w:rsidR="00D15AE6">
              <w:rPr>
                <w:rFonts w:ascii="Aptos" w:hAnsi="Aptos"/>
                <w:sz w:val="16"/>
                <w:szCs w:val="16"/>
                <w:lang w:eastAsia="en-AU"/>
              </w:rPr>
              <w:fldChar w:fldCharType="end"/>
            </w:r>
          </w:p>
        </w:tc>
        <w:tc>
          <w:tcPr>
            <w:tcW w:w="548" w:type="pct"/>
          </w:tcPr>
          <w:p w14:paraId="3D40EA14"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CRD42020159847</w:t>
            </w:r>
          </w:p>
        </w:tc>
        <w:tc>
          <w:tcPr>
            <w:tcW w:w="772" w:type="pct"/>
          </w:tcPr>
          <w:p w14:paraId="7E60DA4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Now published (DOI: 10.1542/peds.2020-042101) Manually reviewed. Excluded at full text.</w:t>
            </w:r>
          </w:p>
        </w:tc>
      </w:tr>
      <w:tr w:rsidR="008F3151" w:rsidRPr="00D518FF" w14:paraId="67883C8D" w14:textId="77777777" w:rsidTr="00FC62A1">
        <w:trPr>
          <w:trHeight w:val="439"/>
        </w:trPr>
        <w:tc>
          <w:tcPr>
            <w:tcW w:w="595" w:type="pct"/>
          </w:tcPr>
          <w:p w14:paraId="54C1F75A"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303B08C5"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The effect of dairy on the gut microbiome and gastrointestinal health: a systematic review</w:t>
            </w:r>
          </w:p>
        </w:tc>
        <w:tc>
          <w:tcPr>
            <w:tcW w:w="901" w:type="pct"/>
          </w:tcPr>
          <w:p w14:paraId="63CC3592"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Cliona Ni Chonnachain, Eileen Gibney Clare Gollogly</w:t>
            </w:r>
          </w:p>
        </w:tc>
        <w:tc>
          <w:tcPr>
            <w:tcW w:w="217" w:type="pct"/>
          </w:tcPr>
          <w:p w14:paraId="2C30113C"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2023</w:t>
            </w:r>
          </w:p>
        </w:tc>
        <w:tc>
          <w:tcPr>
            <w:tcW w:w="822" w:type="pct"/>
          </w:tcPr>
          <w:p w14:paraId="4B11F38D" w14:textId="01A07B26" w:rsidR="008F3151" w:rsidRPr="00D518FF" w:rsidRDefault="008F3151">
            <w:pPr>
              <w:pStyle w:val="TABLE"/>
              <w:rPr>
                <w:rFonts w:ascii="Aptos" w:hAnsi="Aptos"/>
                <w:sz w:val="16"/>
                <w:szCs w:val="16"/>
                <w:lang w:eastAsia="en-AU"/>
              </w:rPr>
            </w:pPr>
            <w:hyperlink r:id="rId33" w:tgtFrame="_self" w:history="1">
              <w:r w:rsidRPr="00D518FF">
                <w:rPr>
                  <w:rFonts w:ascii="Aptos" w:hAnsi="Aptos"/>
                  <w:sz w:val="16"/>
                  <w:szCs w:val="16"/>
                  <w:lang w:eastAsia="en-AU"/>
                </w:rPr>
                <w:t>https://www.crd.york.ac.uk/prospero/display_record.php?ID=CRD42023392814</w:t>
              </w:r>
            </w:hyperlink>
          </w:p>
        </w:tc>
        <w:tc>
          <w:tcPr>
            <w:tcW w:w="548" w:type="pct"/>
          </w:tcPr>
          <w:p w14:paraId="0AB95060"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CRD42023392814</w:t>
            </w:r>
          </w:p>
        </w:tc>
        <w:tc>
          <w:tcPr>
            <w:tcW w:w="772" w:type="pct"/>
          </w:tcPr>
          <w:p w14:paraId="024D38CA"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02095144" w14:textId="77777777" w:rsidTr="00FC62A1">
        <w:trPr>
          <w:trHeight w:val="439"/>
        </w:trPr>
        <w:tc>
          <w:tcPr>
            <w:tcW w:w="595" w:type="pct"/>
          </w:tcPr>
          <w:p w14:paraId="7087DCA4"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2728743E"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Gut microbiota variations and microbiota-altering treatment on irritable bowel syndrome- a systematic review and network meta-analysis</w:t>
            </w:r>
          </w:p>
        </w:tc>
        <w:tc>
          <w:tcPr>
            <w:tcW w:w="901" w:type="pct"/>
          </w:tcPr>
          <w:p w14:paraId="56004151"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Hengxiang Su, Ke Ma</w:t>
            </w:r>
          </w:p>
          <w:p w14:paraId="62D6B59D" w14:textId="77777777" w:rsidR="008F3151" w:rsidRPr="00D518FF" w:rsidRDefault="008F3151">
            <w:pPr>
              <w:shd w:val="clear" w:color="auto" w:fill="FFFFFF"/>
              <w:rPr>
                <w:rFonts w:ascii="Aptos" w:hAnsi="Aptos" w:cs="Arial"/>
                <w:sz w:val="16"/>
                <w:szCs w:val="16"/>
                <w:lang w:eastAsia="en-AU"/>
              </w:rPr>
            </w:pPr>
          </w:p>
          <w:p w14:paraId="6202252B" w14:textId="77777777" w:rsidR="008F3151" w:rsidRPr="00D518FF" w:rsidRDefault="008F3151">
            <w:pPr>
              <w:pStyle w:val="TABLE"/>
              <w:rPr>
                <w:rFonts w:ascii="Aptos" w:hAnsi="Aptos"/>
                <w:sz w:val="16"/>
                <w:szCs w:val="16"/>
                <w:lang w:eastAsia="en-AU"/>
              </w:rPr>
            </w:pPr>
          </w:p>
        </w:tc>
        <w:tc>
          <w:tcPr>
            <w:tcW w:w="217" w:type="pct"/>
          </w:tcPr>
          <w:p w14:paraId="0758DA5C"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2022</w:t>
            </w:r>
          </w:p>
        </w:tc>
        <w:tc>
          <w:tcPr>
            <w:tcW w:w="822" w:type="pct"/>
          </w:tcPr>
          <w:p w14:paraId="76BDB8EF" w14:textId="1CD6300B" w:rsidR="008F3151" w:rsidRPr="00D518FF" w:rsidRDefault="008F3151">
            <w:pPr>
              <w:pStyle w:val="TABLE"/>
              <w:rPr>
                <w:rFonts w:ascii="Aptos" w:hAnsi="Aptos"/>
                <w:sz w:val="16"/>
                <w:szCs w:val="16"/>
                <w:lang w:eastAsia="en-AU"/>
              </w:rPr>
            </w:pPr>
            <w:hyperlink r:id="rId34" w:tgtFrame="_self" w:history="1">
              <w:r w:rsidRPr="00D518FF">
                <w:rPr>
                  <w:rFonts w:ascii="Aptos" w:hAnsi="Aptos"/>
                  <w:sz w:val="16"/>
                  <w:szCs w:val="16"/>
                  <w:lang w:eastAsia="en-AU"/>
                </w:rPr>
                <w:t>https://www.crd.york.ac.uk/prospero/display_record.php?ID=CRD42022314249</w:t>
              </w:r>
            </w:hyperlink>
          </w:p>
        </w:tc>
        <w:tc>
          <w:tcPr>
            <w:tcW w:w="548" w:type="pct"/>
          </w:tcPr>
          <w:p w14:paraId="676CADE5"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CRD42022314249</w:t>
            </w:r>
          </w:p>
        </w:tc>
        <w:tc>
          <w:tcPr>
            <w:tcW w:w="772" w:type="pct"/>
          </w:tcPr>
          <w:p w14:paraId="4F581ACF"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13C66997" w14:textId="77777777" w:rsidTr="00FC62A1">
        <w:trPr>
          <w:trHeight w:val="439"/>
        </w:trPr>
        <w:tc>
          <w:tcPr>
            <w:tcW w:w="595" w:type="pct"/>
          </w:tcPr>
          <w:p w14:paraId="3A7F5DEB"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4342CD6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Effectiveness and Safety of Probiotic fermented milk in the treatment of irritable bowel syndrome: A systematic review and meta-analysis</w:t>
            </w:r>
          </w:p>
        </w:tc>
        <w:tc>
          <w:tcPr>
            <w:tcW w:w="901" w:type="pct"/>
          </w:tcPr>
          <w:p w14:paraId="74CEA867"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Junjian Tian, Ting Li, Jingwen Sun, Jun Zhao, Da Li, Zhigang Li, Rongxing Shi</w:t>
            </w:r>
          </w:p>
        </w:tc>
        <w:tc>
          <w:tcPr>
            <w:tcW w:w="217" w:type="pct"/>
          </w:tcPr>
          <w:p w14:paraId="371F7C44"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2022</w:t>
            </w:r>
          </w:p>
        </w:tc>
        <w:tc>
          <w:tcPr>
            <w:tcW w:w="822" w:type="pct"/>
          </w:tcPr>
          <w:p w14:paraId="4DEF187D" w14:textId="295EC873" w:rsidR="008F3151" w:rsidRPr="00D518FF" w:rsidRDefault="008F3151">
            <w:pPr>
              <w:shd w:val="clear" w:color="auto" w:fill="FFFFFF"/>
              <w:rPr>
                <w:rFonts w:ascii="Aptos" w:hAnsi="Aptos" w:cs="Arial"/>
                <w:sz w:val="16"/>
                <w:szCs w:val="16"/>
                <w:lang w:eastAsia="en-AU"/>
              </w:rPr>
            </w:pPr>
            <w:hyperlink r:id="rId35" w:tgtFrame="_self" w:history="1">
              <w:r w:rsidRPr="00D518FF">
                <w:rPr>
                  <w:rFonts w:ascii="Aptos" w:hAnsi="Aptos"/>
                  <w:sz w:val="16"/>
                  <w:szCs w:val="16"/>
                  <w:lang w:eastAsia="en-AU"/>
                </w:rPr>
                <w:t>https://www.crd.york.ac.uk/prospero/display_record.php?ID=CRD42022334442</w:t>
              </w:r>
            </w:hyperlink>
          </w:p>
        </w:tc>
        <w:tc>
          <w:tcPr>
            <w:tcW w:w="548" w:type="pct"/>
          </w:tcPr>
          <w:p w14:paraId="688B60CE"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CRD42022334442</w:t>
            </w:r>
          </w:p>
        </w:tc>
        <w:tc>
          <w:tcPr>
            <w:tcW w:w="772" w:type="pct"/>
          </w:tcPr>
          <w:p w14:paraId="460DA02B"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0D7378B1" w14:textId="77777777" w:rsidTr="00FC62A1">
        <w:trPr>
          <w:trHeight w:val="439"/>
        </w:trPr>
        <w:tc>
          <w:tcPr>
            <w:tcW w:w="595" w:type="pct"/>
          </w:tcPr>
          <w:p w14:paraId="3DCD82C6"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101EB342"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Lactobacillus rhamnosus for treating irritable bowel syndrome in children – a systematic review with meta-analysis</w:t>
            </w:r>
          </w:p>
        </w:tc>
        <w:tc>
          <w:tcPr>
            <w:tcW w:w="901" w:type="pct"/>
          </w:tcPr>
          <w:p w14:paraId="04CFAFD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Marek Ruszczynski, Joanna Tarnoruda, Jakub Zolkiewicz, Luiza Sulej, Barbara Bozek, Aleksandra Hoffmann</w:t>
            </w:r>
          </w:p>
        </w:tc>
        <w:tc>
          <w:tcPr>
            <w:tcW w:w="217" w:type="pct"/>
          </w:tcPr>
          <w:p w14:paraId="2E997BCF"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2021</w:t>
            </w:r>
          </w:p>
        </w:tc>
        <w:tc>
          <w:tcPr>
            <w:tcW w:w="822" w:type="pct"/>
          </w:tcPr>
          <w:p w14:paraId="512F9096" w14:textId="4F2AEA7C" w:rsidR="008F3151" w:rsidRPr="00D518FF" w:rsidRDefault="008F3151">
            <w:pPr>
              <w:pStyle w:val="TABLE"/>
              <w:rPr>
                <w:rFonts w:ascii="Aptos" w:hAnsi="Aptos"/>
                <w:sz w:val="16"/>
                <w:szCs w:val="16"/>
                <w:lang w:eastAsia="en-AU"/>
              </w:rPr>
            </w:pPr>
            <w:hyperlink r:id="rId36" w:tgtFrame="_self" w:history="1">
              <w:r w:rsidRPr="00D518FF">
                <w:rPr>
                  <w:rFonts w:ascii="Aptos" w:hAnsi="Aptos"/>
                  <w:sz w:val="16"/>
                  <w:szCs w:val="16"/>
                  <w:lang w:eastAsia="en-AU"/>
                </w:rPr>
                <w:t>https://www.crd.york.ac.uk/prospero/display_record.php?ID=CRD42021258186</w:t>
              </w:r>
            </w:hyperlink>
          </w:p>
        </w:tc>
        <w:tc>
          <w:tcPr>
            <w:tcW w:w="548" w:type="pct"/>
          </w:tcPr>
          <w:p w14:paraId="28CAA2E9"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CRD42021258186</w:t>
            </w:r>
          </w:p>
        </w:tc>
        <w:tc>
          <w:tcPr>
            <w:tcW w:w="772" w:type="pct"/>
          </w:tcPr>
          <w:p w14:paraId="00D88503"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69B0D530" w14:textId="77777777" w:rsidTr="00FC62A1">
        <w:trPr>
          <w:trHeight w:val="439"/>
        </w:trPr>
        <w:tc>
          <w:tcPr>
            <w:tcW w:w="595" w:type="pct"/>
          </w:tcPr>
          <w:p w14:paraId="21E9E569"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2512BA9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Efficacy of probiotics in patients with irritable bowel syndrome: a systematic review and network meta-analysis</w:t>
            </w:r>
          </w:p>
        </w:tc>
        <w:tc>
          <w:tcPr>
            <w:tcW w:w="901" w:type="pct"/>
          </w:tcPr>
          <w:p w14:paraId="5A8CC89F"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Peiwei Xie, Mei Luo, Lishou Xiong</w:t>
            </w:r>
          </w:p>
        </w:tc>
        <w:tc>
          <w:tcPr>
            <w:tcW w:w="217" w:type="pct"/>
          </w:tcPr>
          <w:p w14:paraId="65F95FD4"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2023</w:t>
            </w:r>
          </w:p>
        </w:tc>
        <w:tc>
          <w:tcPr>
            <w:tcW w:w="822" w:type="pct"/>
          </w:tcPr>
          <w:p w14:paraId="2ADE24EE" w14:textId="1C5EDE60" w:rsidR="008F3151" w:rsidRPr="00D518FF" w:rsidRDefault="008F3151">
            <w:pPr>
              <w:pStyle w:val="TABLE"/>
              <w:rPr>
                <w:rFonts w:ascii="Aptos" w:hAnsi="Aptos"/>
                <w:sz w:val="16"/>
                <w:szCs w:val="16"/>
                <w:lang w:eastAsia="en-AU"/>
              </w:rPr>
            </w:pPr>
            <w:hyperlink r:id="rId37" w:tgtFrame="_self" w:history="1">
              <w:r w:rsidRPr="00D518FF">
                <w:rPr>
                  <w:rFonts w:ascii="Aptos" w:hAnsi="Aptos"/>
                  <w:sz w:val="16"/>
                  <w:szCs w:val="16"/>
                  <w:lang w:eastAsia="en-AU"/>
                </w:rPr>
                <w:t>https://www.crd.york.ac.uk/prospero/display_record.php?ID=CRD42023387351</w:t>
              </w:r>
            </w:hyperlink>
          </w:p>
        </w:tc>
        <w:tc>
          <w:tcPr>
            <w:tcW w:w="548" w:type="pct"/>
          </w:tcPr>
          <w:p w14:paraId="273B7AEE"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CRD42023387351</w:t>
            </w:r>
          </w:p>
        </w:tc>
        <w:tc>
          <w:tcPr>
            <w:tcW w:w="772" w:type="pct"/>
          </w:tcPr>
          <w:p w14:paraId="2FE7C65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Now published (doi.org/10.3390/nu15173856) Manually reviewed. Excluded at full text.</w:t>
            </w:r>
          </w:p>
        </w:tc>
      </w:tr>
      <w:tr w:rsidR="008F3151" w:rsidRPr="00D518FF" w14:paraId="77BD9A79" w14:textId="77777777" w:rsidTr="00FC62A1">
        <w:trPr>
          <w:trHeight w:val="439"/>
        </w:trPr>
        <w:tc>
          <w:tcPr>
            <w:tcW w:w="595" w:type="pct"/>
          </w:tcPr>
          <w:p w14:paraId="3FEF8D9F"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6418D7EA"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Drug and non-drug treatment of chronic constipation: a systematic review of randomized controlled trials and a network meta-analysis</w:t>
            </w:r>
          </w:p>
        </w:tc>
        <w:tc>
          <w:tcPr>
            <w:tcW w:w="901" w:type="pct"/>
          </w:tcPr>
          <w:p w14:paraId="28200CF8"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Sha Guo, Ran Sun</w:t>
            </w:r>
          </w:p>
        </w:tc>
        <w:tc>
          <w:tcPr>
            <w:tcW w:w="217" w:type="pct"/>
          </w:tcPr>
          <w:p w14:paraId="709E3B3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2021</w:t>
            </w:r>
          </w:p>
        </w:tc>
        <w:tc>
          <w:tcPr>
            <w:tcW w:w="822" w:type="pct"/>
          </w:tcPr>
          <w:p w14:paraId="0152A4DF" w14:textId="58ABB575" w:rsidR="008F3151" w:rsidRPr="00D518FF" w:rsidRDefault="008F3151">
            <w:pPr>
              <w:pStyle w:val="TABLE"/>
              <w:rPr>
                <w:rFonts w:ascii="Aptos" w:hAnsi="Aptos"/>
                <w:sz w:val="16"/>
                <w:szCs w:val="16"/>
                <w:lang w:eastAsia="en-AU"/>
              </w:rPr>
            </w:pPr>
            <w:hyperlink r:id="rId38" w:tgtFrame="_self" w:history="1">
              <w:r w:rsidRPr="00D518FF">
                <w:rPr>
                  <w:rFonts w:ascii="Aptos" w:hAnsi="Aptos"/>
                  <w:sz w:val="16"/>
                  <w:szCs w:val="16"/>
                  <w:lang w:eastAsia="en-AU"/>
                </w:rPr>
                <w:t>https://www.crd.york.ac.uk/prospero/display_record.php?ID=CRD42021242937</w:t>
              </w:r>
            </w:hyperlink>
          </w:p>
        </w:tc>
        <w:tc>
          <w:tcPr>
            <w:tcW w:w="548" w:type="pct"/>
          </w:tcPr>
          <w:p w14:paraId="5A8BA41A"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CRD42021242937</w:t>
            </w:r>
          </w:p>
        </w:tc>
        <w:tc>
          <w:tcPr>
            <w:tcW w:w="772" w:type="pct"/>
          </w:tcPr>
          <w:p w14:paraId="3A234FEA"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6A07304F" w14:textId="77777777" w:rsidTr="00FC62A1">
        <w:trPr>
          <w:trHeight w:val="439"/>
        </w:trPr>
        <w:tc>
          <w:tcPr>
            <w:tcW w:w="595" w:type="pct"/>
          </w:tcPr>
          <w:p w14:paraId="3FDC0553"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76C5143F"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Efficacy of Clostridium butyricum in the treatment of irritable bowel syndrome: A systematic review and meta-analysis</w:t>
            </w:r>
          </w:p>
        </w:tc>
        <w:tc>
          <w:tcPr>
            <w:tcW w:w="901" w:type="pct"/>
          </w:tcPr>
          <w:p w14:paraId="01A69F97"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Su zhiwei, Feng wen</w:t>
            </w:r>
          </w:p>
        </w:tc>
        <w:tc>
          <w:tcPr>
            <w:tcW w:w="217" w:type="pct"/>
          </w:tcPr>
          <w:p w14:paraId="70450A24"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2022</w:t>
            </w:r>
          </w:p>
        </w:tc>
        <w:tc>
          <w:tcPr>
            <w:tcW w:w="822" w:type="pct"/>
          </w:tcPr>
          <w:p w14:paraId="23A30051" w14:textId="649314FF" w:rsidR="008F3151" w:rsidRPr="00D518FF" w:rsidRDefault="008F3151">
            <w:pPr>
              <w:shd w:val="clear" w:color="auto" w:fill="FFFFFF"/>
              <w:rPr>
                <w:rFonts w:ascii="Aptos" w:hAnsi="Aptos" w:cs="Arial"/>
                <w:sz w:val="16"/>
                <w:szCs w:val="16"/>
                <w:lang w:eastAsia="en-AU"/>
              </w:rPr>
            </w:pPr>
            <w:hyperlink r:id="rId39" w:tgtFrame="_self" w:history="1">
              <w:r w:rsidRPr="00D518FF">
                <w:rPr>
                  <w:rFonts w:ascii="Aptos" w:hAnsi="Aptos"/>
                  <w:sz w:val="16"/>
                  <w:szCs w:val="16"/>
                  <w:lang w:eastAsia="en-AU"/>
                </w:rPr>
                <w:t>https://www.crd.york.ac.uk/prospero/display_record.php?ID=CRD42022373766</w:t>
              </w:r>
            </w:hyperlink>
          </w:p>
        </w:tc>
        <w:tc>
          <w:tcPr>
            <w:tcW w:w="548" w:type="pct"/>
          </w:tcPr>
          <w:p w14:paraId="3F4FDE65"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CRD42022373766</w:t>
            </w:r>
          </w:p>
        </w:tc>
        <w:tc>
          <w:tcPr>
            <w:tcW w:w="772" w:type="pct"/>
          </w:tcPr>
          <w:p w14:paraId="7613A0A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7949DD5B" w14:textId="77777777" w:rsidTr="00FC62A1">
        <w:trPr>
          <w:trHeight w:val="439"/>
        </w:trPr>
        <w:tc>
          <w:tcPr>
            <w:tcW w:w="595" w:type="pct"/>
          </w:tcPr>
          <w:p w14:paraId="30D53A77"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7F30B30E"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The efficacy of probiotics in the treatment of irritable bowel syndrome: a systematic review</w:t>
            </w:r>
          </w:p>
        </w:tc>
        <w:tc>
          <w:tcPr>
            <w:tcW w:w="901" w:type="pct"/>
          </w:tcPr>
          <w:p w14:paraId="0A521966"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Sun Jianrong, Kong Chenfan, Qu Xiangke, Jia Liqun</w:t>
            </w:r>
          </w:p>
        </w:tc>
        <w:tc>
          <w:tcPr>
            <w:tcW w:w="217" w:type="pct"/>
          </w:tcPr>
          <w:p w14:paraId="0AA51488"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2019</w:t>
            </w:r>
          </w:p>
        </w:tc>
        <w:tc>
          <w:tcPr>
            <w:tcW w:w="822" w:type="pct"/>
          </w:tcPr>
          <w:p w14:paraId="7A115AE7" w14:textId="0DABC2A1" w:rsidR="008F3151" w:rsidRPr="00D518FF" w:rsidRDefault="008F3151">
            <w:pPr>
              <w:shd w:val="clear" w:color="auto" w:fill="FFFFFF"/>
              <w:rPr>
                <w:rFonts w:ascii="Aptos" w:hAnsi="Aptos" w:cs="Arial"/>
                <w:sz w:val="16"/>
                <w:szCs w:val="16"/>
                <w:lang w:eastAsia="en-AU"/>
              </w:rPr>
            </w:pPr>
            <w:hyperlink r:id="rId40" w:tgtFrame="_self" w:history="1">
              <w:r w:rsidRPr="00D518FF">
                <w:rPr>
                  <w:rFonts w:ascii="Aptos" w:hAnsi="Aptos"/>
                  <w:sz w:val="16"/>
                  <w:szCs w:val="16"/>
                  <w:lang w:eastAsia="en-AU"/>
                </w:rPr>
                <w:t>https://www.crd.york.ac.uk/prospero/display_record.php?ID=CRD42019127391</w:t>
              </w:r>
            </w:hyperlink>
          </w:p>
        </w:tc>
        <w:tc>
          <w:tcPr>
            <w:tcW w:w="548" w:type="pct"/>
          </w:tcPr>
          <w:p w14:paraId="06D94449"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CRD42019127391</w:t>
            </w:r>
          </w:p>
        </w:tc>
        <w:tc>
          <w:tcPr>
            <w:tcW w:w="772" w:type="pct"/>
          </w:tcPr>
          <w:p w14:paraId="581D5B71"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8F3151" w:rsidRPr="00D518FF" w14:paraId="3BBBF300" w14:textId="77777777" w:rsidTr="00FC62A1">
        <w:trPr>
          <w:trHeight w:val="439"/>
        </w:trPr>
        <w:tc>
          <w:tcPr>
            <w:tcW w:w="595" w:type="pct"/>
          </w:tcPr>
          <w:p w14:paraId="21BDEE10"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0E6294FC"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Gut microbiota supplementation and replacement for irritable bowel syndrome: a systematic review and meta-analysis of randomized controlled trials</w:t>
            </w:r>
          </w:p>
        </w:tc>
        <w:tc>
          <w:tcPr>
            <w:tcW w:w="901" w:type="pct"/>
          </w:tcPr>
          <w:p w14:paraId="76FA51B9"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Xiaofeng Xie, Mancai Wang, Yaqing Zhang</w:t>
            </w:r>
          </w:p>
          <w:p w14:paraId="7C1E1FAA" w14:textId="77777777" w:rsidR="008F3151" w:rsidRPr="00D518FF" w:rsidRDefault="008F3151">
            <w:pPr>
              <w:shd w:val="clear" w:color="auto" w:fill="FFFFFF"/>
              <w:rPr>
                <w:rFonts w:ascii="Aptos" w:hAnsi="Aptos" w:cs="Arial"/>
                <w:sz w:val="16"/>
                <w:szCs w:val="16"/>
                <w:lang w:eastAsia="en-AU"/>
              </w:rPr>
            </w:pPr>
          </w:p>
          <w:p w14:paraId="2AB1A788" w14:textId="77777777" w:rsidR="008F3151" w:rsidRPr="00D518FF" w:rsidRDefault="008F3151">
            <w:pPr>
              <w:shd w:val="clear" w:color="auto" w:fill="FFFFFF"/>
              <w:rPr>
                <w:rFonts w:ascii="Aptos" w:hAnsi="Aptos" w:cs="Arial"/>
                <w:sz w:val="16"/>
                <w:szCs w:val="16"/>
                <w:lang w:eastAsia="en-AU"/>
              </w:rPr>
            </w:pPr>
          </w:p>
        </w:tc>
        <w:tc>
          <w:tcPr>
            <w:tcW w:w="217" w:type="pct"/>
          </w:tcPr>
          <w:p w14:paraId="7C74E019"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2021</w:t>
            </w:r>
          </w:p>
        </w:tc>
        <w:tc>
          <w:tcPr>
            <w:tcW w:w="822" w:type="pct"/>
          </w:tcPr>
          <w:p w14:paraId="2AC61B2A" w14:textId="68ECB616" w:rsidR="008F3151" w:rsidRPr="00D518FF" w:rsidRDefault="008F3151">
            <w:pPr>
              <w:shd w:val="clear" w:color="auto" w:fill="FFFFFF"/>
              <w:rPr>
                <w:rFonts w:ascii="Aptos" w:hAnsi="Aptos" w:cs="Arial"/>
                <w:sz w:val="16"/>
                <w:szCs w:val="16"/>
                <w:lang w:eastAsia="en-AU"/>
              </w:rPr>
            </w:pPr>
            <w:hyperlink r:id="rId41" w:tgtFrame="_self" w:history="1">
              <w:r w:rsidRPr="00D518FF">
                <w:rPr>
                  <w:rFonts w:ascii="Aptos" w:hAnsi="Aptos"/>
                  <w:sz w:val="16"/>
                  <w:szCs w:val="16"/>
                  <w:lang w:eastAsia="en-AU"/>
                </w:rPr>
                <w:t>https://www.crd.york.ac.uk/prospero/display_record.php?ID=CRD42021289422</w:t>
              </w:r>
            </w:hyperlink>
          </w:p>
          <w:p w14:paraId="0D0CEC4F" w14:textId="77777777" w:rsidR="008F3151" w:rsidRPr="00D518FF" w:rsidRDefault="008F3151">
            <w:pPr>
              <w:shd w:val="clear" w:color="auto" w:fill="FFFFFF"/>
              <w:rPr>
                <w:rFonts w:ascii="Aptos" w:hAnsi="Aptos" w:cs="Arial"/>
                <w:sz w:val="16"/>
                <w:szCs w:val="16"/>
                <w:lang w:eastAsia="en-AU"/>
              </w:rPr>
            </w:pPr>
          </w:p>
        </w:tc>
        <w:tc>
          <w:tcPr>
            <w:tcW w:w="548" w:type="pct"/>
          </w:tcPr>
          <w:p w14:paraId="43D24234" w14:textId="77777777" w:rsidR="008F3151" w:rsidRPr="00D518FF" w:rsidRDefault="008F3151">
            <w:pPr>
              <w:shd w:val="clear" w:color="auto" w:fill="FFFFFF"/>
              <w:rPr>
                <w:rFonts w:ascii="Aptos" w:hAnsi="Aptos" w:cs="Arial"/>
                <w:sz w:val="16"/>
                <w:szCs w:val="16"/>
                <w:lang w:eastAsia="en-AU"/>
              </w:rPr>
            </w:pPr>
            <w:r w:rsidRPr="00D518FF">
              <w:rPr>
                <w:rFonts w:ascii="Aptos" w:hAnsi="Aptos" w:cs="Arial"/>
                <w:sz w:val="16"/>
                <w:szCs w:val="16"/>
                <w:lang w:eastAsia="en-AU"/>
              </w:rPr>
              <w:t>CRD42021289422</w:t>
            </w:r>
          </w:p>
        </w:tc>
        <w:tc>
          <w:tcPr>
            <w:tcW w:w="772" w:type="pct"/>
          </w:tcPr>
          <w:p w14:paraId="7442A4DF" w14:textId="3584947E" w:rsidR="008F3151" w:rsidRPr="00D518FF" w:rsidRDefault="008F3151">
            <w:pPr>
              <w:pStyle w:val="TABLE"/>
              <w:rPr>
                <w:rFonts w:ascii="Aptos" w:hAnsi="Aptos"/>
                <w:sz w:val="16"/>
                <w:szCs w:val="16"/>
                <w:lang w:eastAsia="en-AU"/>
              </w:rPr>
            </w:pPr>
            <w:r w:rsidRPr="00D518FF">
              <w:rPr>
                <w:rFonts w:ascii="Aptos" w:hAnsi="Aptos"/>
                <w:sz w:val="16"/>
                <w:szCs w:val="16"/>
                <w:lang w:eastAsia="en-AU"/>
              </w:rPr>
              <w:t>Now published (DOI: </w:t>
            </w:r>
            <w:hyperlink r:id="rId42" w:tgtFrame="_blank" w:history="1">
              <w:r w:rsidRPr="00D518FF">
                <w:rPr>
                  <w:rFonts w:ascii="Aptos" w:hAnsi="Aptos"/>
                  <w:sz w:val="16"/>
                  <w:szCs w:val="16"/>
                  <w:lang w:eastAsia="en-AU"/>
                </w:rPr>
                <w:t>10.3389/fimmu.2023.1136343</w:t>
              </w:r>
            </w:hyperlink>
            <w:r w:rsidRPr="00D518FF">
              <w:rPr>
                <w:rFonts w:ascii="Aptos" w:hAnsi="Aptos"/>
                <w:sz w:val="16"/>
                <w:szCs w:val="16"/>
                <w:lang w:eastAsia="en-AU"/>
              </w:rPr>
              <w:t>) Manually reviewed. Excluded at title/abstract</w:t>
            </w:r>
          </w:p>
        </w:tc>
      </w:tr>
      <w:tr w:rsidR="008F3151" w:rsidRPr="00D518FF" w14:paraId="3A9758C4" w14:textId="77777777" w:rsidTr="00FC62A1">
        <w:trPr>
          <w:trHeight w:val="439"/>
        </w:trPr>
        <w:tc>
          <w:tcPr>
            <w:tcW w:w="595" w:type="pct"/>
          </w:tcPr>
          <w:p w14:paraId="346627BC"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4E0F1DE1"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The effects of complementary and alternative medicine therapy on symptoms and quality of life in patients with irritable bowel syndrome: a systematic review and network meta-analysis</w:t>
            </w:r>
          </w:p>
        </w:tc>
        <w:tc>
          <w:tcPr>
            <w:tcW w:w="901" w:type="pct"/>
          </w:tcPr>
          <w:p w14:paraId="34FA1EA0"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Yan Pengyu, Guo Shijia, Zhang Xinan, Han Juanjuan</w:t>
            </w:r>
          </w:p>
          <w:p w14:paraId="7A75AA73" w14:textId="77777777" w:rsidR="008F3151" w:rsidRPr="00D518FF" w:rsidRDefault="008F3151">
            <w:pPr>
              <w:pStyle w:val="TABLE"/>
              <w:rPr>
                <w:rFonts w:ascii="Aptos" w:hAnsi="Aptos"/>
                <w:sz w:val="16"/>
                <w:szCs w:val="16"/>
                <w:lang w:eastAsia="en-AU"/>
              </w:rPr>
            </w:pPr>
          </w:p>
          <w:p w14:paraId="0F19052D" w14:textId="77777777" w:rsidR="008F3151" w:rsidRPr="00D518FF" w:rsidRDefault="008F3151">
            <w:pPr>
              <w:pStyle w:val="TABLE"/>
              <w:rPr>
                <w:rFonts w:ascii="Aptos" w:hAnsi="Aptos"/>
                <w:sz w:val="16"/>
                <w:szCs w:val="16"/>
                <w:lang w:eastAsia="en-AU"/>
              </w:rPr>
            </w:pPr>
          </w:p>
        </w:tc>
        <w:tc>
          <w:tcPr>
            <w:tcW w:w="217" w:type="pct"/>
          </w:tcPr>
          <w:p w14:paraId="4DE84B84"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2020</w:t>
            </w:r>
          </w:p>
        </w:tc>
        <w:tc>
          <w:tcPr>
            <w:tcW w:w="822" w:type="pct"/>
          </w:tcPr>
          <w:p w14:paraId="63A5DB52" w14:textId="73841D8A" w:rsidR="008F3151" w:rsidRPr="00D518FF" w:rsidRDefault="008F3151">
            <w:pPr>
              <w:pStyle w:val="TABLE"/>
              <w:rPr>
                <w:rFonts w:ascii="Aptos" w:hAnsi="Aptos"/>
                <w:sz w:val="16"/>
                <w:szCs w:val="16"/>
                <w:lang w:eastAsia="en-AU"/>
              </w:rPr>
            </w:pPr>
            <w:hyperlink r:id="rId43" w:tgtFrame="_self" w:history="1">
              <w:r w:rsidRPr="00D518FF">
                <w:rPr>
                  <w:rFonts w:ascii="Aptos" w:hAnsi="Aptos"/>
                  <w:sz w:val="16"/>
                  <w:szCs w:val="16"/>
                  <w:lang w:eastAsia="en-AU"/>
                </w:rPr>
                <w:t>https://www.crd.york.ac.uk/prospero/display_record.php?ID=CRD42020147113</w:t>
              </w:r>
            </w:hyperlink>
          </w:p>
        </w:tc>
        <w:tc>
          <w:tcPr>
            <w:tcW w:w="548" w:type="pct"/>
          </w:tcPr>
          <w:p w14:paraId="6CDBC6DB"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CRD42020147113</w:t>
            </w:r>
          </w:p>
        </w:tc>
        <w:tc>
          <w:tcPr>
            <w:tcW w:w="772" w:type="pct"/>
          </w:tcPr>
          <w:p w14:paraId="4668B93E" w14:textId="77777777" w:rsidR="008F3151" w:rsidRPr="00D518FF" w:rsidRDefault="008F3151">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38536E" w:rsidRPr="00D518FF" w14:paraId="369C7C45" w14:textId="77777777" w:rsidTr="0038536E">
        <w:trPr>
          <w:trHeight w:val="439"/>
        </w:trPr>
        <w:tc>
          <w:tcPr>
            <w:tcW w:w="595" w:type="pct"/>
          </w:tcPr>
          <w:p w14:paraId="1DE6988C" w14:textId="43B5027B" w:rsidR="0038536E" w:rsidRPr="00D518FF" w:rsidRDefault="0038536E" w:rsidP="0038536E">
            <w:pPr>
              <w:pStyle w:val="TABLE"/>
              <w:rPr>
                <w:rFonts w:ascii="Aptos" w:hAnsi="Aptos"/>
                <w:sz w:val="16"/>
                <w:szCs w:val="16"/>
                <w:lang w:eastAsia="en-AU"/>
              </w:rPr>
            </w:pPr>
            <w:r w:rsidRPr="00D518FF">
              <w:rPr>
                <w:rFonts w:ascii="Aptos" w:hAnsi="Aptos"/>
                <w:sz w:val="16"/>
                <w:szCs w:val="16"/>
                <w:lang w:eastAsia="en-AU"/>
              </w:rPr>
              <w:lastRenderedPageBreak/>
              <w:t>Irritable bowel syndrome, probiotics</w:t>
            </w:r>
          </w:p>
        </w:tc>
        <w:tc>
          <w:tcPr>
            <w:tcW w:w="1145" w:type="pct"/>
          </w:tcPr>
          <w:p w14:paraId="3276F0D4" w14:textId="5F6E00B4" w:rsidR="0038536E" w:rsidRPr="00D518FF" w:rsidRDefault="0038536E" w:rsidP="0038536E">
            <w:pPr>
              <w:pStyle w:val="TABLE"/>
              <w:rPr>
                <w:rFonts w:ascii="Aptos" w:hAnsi="Aptos"/>
                <w:sz w:val="16"/>
                <w:szCs w:val="16"/>
                <w:lang w:eastAsia="en-AU"/>
              </w:rPr>
            </w:pPr>
            <w:r w:rsidRPr="009E0159">
              <w:rPr>
                <w:rFonts w:ascii="Aptos" w:hAnsi="Aptos"/>
                <w:sz w:val="16"/>
                <w:szCs w:val="16"/>
                <w:lang w:eastAsia="en-AU"/>
              </w:rPr>
              <w:t>The effect of dairy on the gut microbiome and gastrointestinal health: a systematic review</w:t>
            </w:r>
          </w:p>
        </w:tc>
        <w:tc>
          <w:tcPr>
            <w:tcW w:w="901" w:type="pct"/>
          </w:tcPr>
          <w:p w14:paraId="1801B0D0" w14:textId="1A1DE85D" w:rsidR="0038536E" w:rsidRPr="00D518FF" w:rsidRDefault="0038536E" w:rsidP="0038536E">
            <w:pPr>
              <w:pStyle w:val="TABLE"/>
              <w:rPr>
                <w:rFonts w:ascii="Aptos" w:hAnsi="Aptos"/>
                <w:sz w:val="16"/>
                <w:szCs w:val="16"/>
                <w:lang w:eastAsia="en-AU"/>
              </w:rPr>
            </w:pPr>
            <w:r w:rsidRPr="009E0159">
              <w:rPr>
                <w:rFonts w:ascii="Aptos" w:hAnsi="Aptos"/>
                <w:sz w:val="16"/>
                <w:szCs w:val="16"/>
                <w:lang w:eastAsia="en-AU"/>
              </w:rPr>
              <w:t>Cliona Ni Chonnachain, Eileen Gibney Clare Gollogly</w:t>
            </w:r>
          </w:p>
        </w:tc>
        <w:tc>
          <w:tcPr>
            <w:tcW w:w="217" w:type="pct"/>
          </w:tcPr>
          <w:p w14:paraId="13E8CD18" w14:textId="4B4EDE0F" w:rsidR="0038536E" w:rsidRPr="00D518FF" w:rsidRDefault="0038536E" w:rsidP="0038536E">
            <w:pPr>
              <w:pStyle w:val="TABLE"/>
              <w:rPr>
                <w:rFonts w:ascii="Aptos" w:hAnsi="Aptos"/>
                <w:sz w:val="16"/>
                <w:szCs w:val="16"/>
                <w:lang w:eastAsia="en-AU"/>
              </w:rPr>
            </w:pPr>
            <w:r>
              <w:rPr>
                <w:rFonts w:ascii="Aptos" w:hAnsi="Aptos"/>
                <w:sz w:val="16"/>
                <w:szCs w:val="16"/>
                <w:lang w:eastAsia="en-AU"/>
              </w:rPr>
              <w:t>2023</w:t>
            </w:r>
          </w:p>
        </w:tc>
        <w:tc>
          <w:tcPr>
            <w:tcW w:w="822" w:type="pct"/>
          </w:tcPr>
          <w:p w14:paraId="6510C7AA" w14:textId="13EBFAC9" w:rsidR="0038536E" w:rsidRPr="0038536E" w:rsidRDefault="0038536E" w:rsidP="0038536E">
            <w:pPr>
              <w:pStyle w:val="TABLE"/>
              <w:rPr>
                <w:rFonts w:ascii="Aptos" w:hAnsi="Aptos"/>
                <w:sz w:val="16"/>
                <w:szCs w:val="16"/>
                <w:lang w:eastAsia="en-AU"/>
              </w:rPr>
            </w:pPr>
            <w:r w:rsidRPr="0038536E">
              <w:rPr>
                <w:rFonts w:ascii="Aptos" w:hAnsi="Aptos"/>
                <w:sz w:val="16"/>
                <w:szCs w:val="16"/>
                <w:lang w:eastAsia="en-AU"/>
              </w:rPr>
              <w:t>https://www.crd.york.ac.uk/prospero/display_record.php?ID=CRD42023392814</w:t>
            </w:r>
          </w:p>
        </w:tc>
        <w:tc>
          <w:tcPr>
            <w:tcW w:w="548" w:type="pct"/>
          </w:tcPr>
          <w:p w14:paraId="4FC8BC91" w14:textId="7CCD3DCA" w:rsidR="0038536E" w:rsidRPr="00D518FF" w:rsidRDefault="0038536E" w:rsidP="0038536E">
            <w:pPr>
              <w:pStyle w:val="TABLE"/>
              <w:rPr>
                <w:rFonts w:ascii="Aptos" w:hAnsi="Aptos"/>
                <w:sz w:val="16"/>
                <w:szCs w:val="16"/>
                <w:lang w:eastAsia="en-AU"/>
              </w:rPr>
            </w:pPr>
            <w:r w:rsidRPr="0038536E">
              <w:rPr>
                <w:rFonts w:ascii="Aptos" w:hAnsi="Aptos"/>
                <w:sz w:val="16"/>
                <w:szCs w:val="16"/>
                <w:lang w:eastAsia="en-AU"/>
              </w:rPr>
              <w:t>CRD42023392814</w:t>
            </w:r>
          </w:p>
        </w:tc>
        <w:tc>
          <w:tcPr>
            <w:tcW w:w="772" w:type="pct"/>
          </w:tcPr>
          <w:p w14:paraId="62F6F186" w14:textId="05DDAF76" w:rsidR="0038536E" w:rsidRPr="00D518FF" w:rsidRDefault="00D90A56" w:rsidP="0038536E">
            <w:pPr>
              <w:pStyle w:val="TABLE"/>
              <w:rPr>
                <w:rFonts w:ascii="Aptos" w:hAnsi="Aptos"/>
                <w:sz w:val="16"/>
                <w:szCs w:val="16"/>
                <w:lang w:eastAsia="en-AU"/>
              </w:rPr>
            </w:pPr>
            <w:r w:rsidRPr="00D518FF">
              <w:rPr>
                <w:rFonts w:ascii="Aptos" w:hAnsi="Aptos"/>
                <w:sz w:val="16"/>
                <w:szCs w:val="16"/>
                <w:lang w:eastAsia="en-AU"/>
              </w:rPr>
              <w:t>Now published (</w:t>
            </w:r>
            <w:r w:rsidRPr="00D90A56">
              <w:rPr>
                <w:rFonts w:ascii="Aptos" w:hAnsi="Aptos"/>
                <w:sz w:val="16"/>
                <w:szCs w:val="16"/>
                <w:lang w:eastAsia="en-AU"/>
              </w:rPr>
              <w:t>doi: 10.1017/gmb.2024.2</w:t>
            </w:r>
            <w:r w:rsidRPr="00D518FF">
              <w:rPr>
                <w:rFonts w:ascii="Aptos" w:hAnsi="Aptos"/>
                <w:sz w:val="16"/>
                <w:szCs w:val="16"/>
                <w:lang w:eastAsia="en-AU"/>
              </w:rPr>
              <w:t>) Manually reviewed. Excluded at title/abstract</w:t>
            </w:r>
          </w:p>
        </w:tc>
      </w:tr>
      <w:tr w:rsidR="00B83ACB" w:rsidRPr="00D518FF" w14:paraId="3FFA47FB" w14:textId="77777777" w:rsidTr="00CF4976">
        <w:trPr>
          <w:trHeight w:val="439"/>
        </w:trPr>
        <w:tc>
          <w:tcPr>
            <w:tcW w:w="595" w:type="pct"/>
          </w:tcPr>
          <w:p w14:paraId="43F6E2CD" w14:textId="16E4CA8F"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7167A291" w14:textId="1E38424A" w:rsidR="00B83ACB" w:rsidRPr="009E0159" w:rsidRDefault="00B83ACB" w:rsidP="00B83ACB">
            <w:pPr>
              <w:pStyle w:val="TABLE"/>
              <w:rPr>
                <w:rFonts w:ascii="Aptos" w:hAnsi="Aptos"/>
                <w:sz w:val="16"/>
                <w:szCs w:val="16"/>
                <w:lang w:eastAsia="en-AU"/>
              </w:rPr>
            </w:pPr>
            <w:r w:rsidRPr="00CF4976">
              <w:rPr>
                <w:rFonts w:ascii="Aptos" w:hAnsi="Aptos"/>
                <w:sz w:val="16"/>
                <w:szCs w:val="16"/>
                <w:lang w:eastAsia="en-AU"/>
              </w:rPr>
              <w:t>Probiotics for irritable bowel syndrome (IBS) in children: an individual patient data (IPD) meta-analysis</w:t>
            </w:r>
          </w:p>
        </w:tc>
        <w:tc>
          <w:tcPr>
            <w:tcW w:w="901" w:type="pct"/>
          </w:tcPr>
          <w:p w14:paraId="2FD49B8C" w14:textId="6F53E374" w:rsidR="00B83ACB" w:rsidRPr="009E0159" w:rsidRDefault="00B83ACB" w:rsidP="00B83ACB">
            <w:pPr>
              <w:pStyle w:val="TABLE"/>
              <w:rPr>
                <w:rFonts w:ascii="Aptos" w:hAnsi="Aptos"/>
                <w:sz w:val="16"/>
                <w:szCs w:val="16"/>
                <w:lang w:eastAsia="en-AU"/>
              </w:rPr>
            </w:pPr>
            <w:r w:rsidRPr="00CF4976">
              <w:rPr>
                <w:rFonts w:ascii="Aptos" w:hAnsi="Aptos"/>
                <w:sz w:val="16"/>
                <w:szCs w:val="16"/>
                <w:lang w:eastAsia="en-AU"/>
              </w:rPr>
              <w:t>Joshua Goldenberg, Lyubov Lytvyn Hania Szajewska Ruggiero Francavilla Tucker Winship Jennifer Beardsley Bradley Johnston</w:t>
            </w:r>
          </w:p>
        </w:tc>
        <w:tc>
          <w:tcPr>
            <w:tcW w:w="217" w:type="pct"/>
          </w:tcPr>
          <w:p w14:paraId="0A6021E7" w14:textId="0FF38852" w:rsidR="00B83ACB" w:rsidRDefault="00B83ACB" w:rsidP="00B83ACB">
            <w:pPr>
              <w:pStyle w:val="TABLE"/>
              <w:rPr>
                <w:rFonts w:ascii="Aptos" w:hAnsi="Aptos"/>
                <w:sz w:val="16"/>
                <w:szCs w:val="16"/>
                <w:lang w:eastAsia="en-AU"/>
              </w:rPr>
            </w:pPr>
            <w:r>
              <w:rPr>
                <w:rFonts w:ascii="Aptos" w:hAnsi="Aptos"/>
                <w:sz w:val="16"/>
                <w:szCs w:val="16"/>
                <w:lang w:eastAsia="en-AU"/>
              </w:rPr>
              <w:t>2016</w:t>
            </w:r>
          </w:p>
        </w:tc>
        <w:tc>
          <w:tcPr>
            <w:tcW w:w="822" w:type="pct"/>
          </w:tcPr>
          <w:p w14:paraId="25015ECE" w14:textId="075A14A2" w:rsidR="00B83ACB" w:rsidRPr="0038536E" w:rsidRDefault="00B83ACB" w:rsidP="00B83ACB">
            <w:pPr>
              <w:pStyle w:val="TABLE"/>
              <w:rPr>
                <w:rFonts w:ascii="Aptos" w:hAnsi="Aptos"/>
                <w:sz w:val="16"/>
                <w:szCs w:val="16"/>
                <w:lang w:eastAsia="en-AU"/>
              </w:rPr>
            </w:pPr>
            <w:r w:rsidRPr="00A6108F">
              <w:rPr>
                <w:rFonts w:ascii="Aptos" w:hAnsi="Aptos"/>
                <w:sz w:val="16"/>
                <w:szCs w:val="16"/>
                <w:lang w:eastAsia="en-AU"/>
              </w:rPr>
              <w:t>https://www.crd.york.ac.uk/prospero/display_record.php?ID=CRD42016038177</w:t>
            </w:r>
          </w:p>
        </w:tc>
        <w:tc>
          <w:tcPr>
            <w:tcW w:w="548" w:type="pct"/>
          </w:tcPr>
          <w:p w14:paraId="409ECE0B" w14:textId="325DCF8A" w:rsidR="00B83ACB" w:rsidRPr="0038536E" w:rsidRDefault="00B83ACB" w:rsidP="00B83ACB">
            <w:pPr>
              <w:pStyle w:val="TABLE"/>
              <w:rPr>
                <w:rFonts w:ascii="Aptos" w:hAnsi="Aptos"/>
                <w:sz w:val="16"/>
                <w:szCs w:val="16"/>
                <w:lang w:eastAsia="en-AU"/>
              </w:rPr>
            </w:pPr>
            <w:r w:rsidRPr="00B83ACB">
              <w:rPr>
                <w:rFonts w:ascii="Aptos" w:hAnsi="Aptos"/>
                <w:sz w:val="16"/>
                <w:szCs w:val="16"/>
                <w:lang w:eastAsia="en-AU"/>
              </w:rPr>
              <w:t>CRD42016038177</w:t>
            </w:r>
          </w:p>
        </w:tc>
        <w:tc>
          <w:tcPr>
            <w:tcW w:w="772" w:type="pct"/>
          </w:tcPr>
          <w:p w14:paraId="2753413B" w14:textId="5090464F"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0C0E4189" w14:textId="77777777" w:rsidTr="00FC62A1">
        <w:trPr>
          <w:trHeight w:val="439"/>
        </w:trPr>
        <w:tc>
          <w:tcPr>
            <w:tcW w:w="595" w:type="pct"/>
          </w:tcPr>
          <w:p w14:paraId="5B35177E"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145" w:type="pct"/>
          </w:tcPr>
          <w:p w14:paraId="1ED310C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Efficacy and safety of probiotics, prebiotics, synbiotics and fecal microbiota transplantation on irritable bowel syndrome: a systematic review and meta-analysis</w:t>
            </w:r>
          </w:p>
        </w:tc>
        <w:tc>
          <w:tcPr>
            <w:tcW w:w="901" w:type="pct"/>
          </w:tcPr>
          <w:p w14:paraId="223720C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Youhe Wu, Yuetong Li, Lanjuan Li</w:t>
            </w:r>
          </w:p>
        </w:tc>
        <w:tc>
          <w:tcPr>
            <w:tcW w:w="217" w:type="pct"/>
          </w:tcPr>
          <w:p w14:paraId="37F1F3AC"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2023</w:t>
            </w:r>
          </w:p>
        </w:tc>
        <w:tc>
          <w:tcPr>
            <w:tcW w:w="822" w:type="pct"/>
          </w:tcPr>
          <w:p w14:paraId="581DE4DA" w14:textId="64987671" w:rsidR="00B83ACB" w:rsidRPr="00D518FF" w:rsidRDefault="00B83ACB" w:rsidP="00B83ACB">
            <w:pPr>
              <w:pStyle w:val="TABLE"/>
              <w:rPr>
                <w:rFonts w:ascii="Aptos" w:hAnsi="Aptos"/>
                <w:sz w:val="16"/>
                <w:szCs w:val="16"/>
                <w:lang w:eastAsia="en-AU"/>
              </w:rPr>
            </w:pPr>
            <w:hyperlink r:id="rId44" w:tgtFrame="_self" w:history="1">
              <w:r w:rsidRPr="00D518FF">
                <w:rPr>
                  <w:rFonts w:ascii="Aptos" w:hAnsi="Aptos"/>
                  <w:sz w:val="16"/>
                  <w:szCs w:val="16"/>
                  <w:lang w:eastAsia="en-AU"/>
                </w:rPr>
                <w:t>https://www.crd.york.ac.uk/prospero/display_record.php?ID=CRD42023408698</w:t>
              </w:r>
            </w:hyperlink>
          </w:p>
        </w:tc>
        <w:tc>
          <w:tcPr>
            <w:tcW w:w="548" w:type="pct"/>
          </w:tcPr>
          <w:p w14:paraId="0DE1511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CRD42023408698</w:t>
            </w:r>
          </w:p>
        </w:tc>
        <w:tc>
          <w:tcPr>
            <w:tcW w:w="772" w:type="pct"/>
          </w:tcPr>
          <w:p w14:paraId="17F0CDA7"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06A97FE1" w14:textId="77777777" w:rsidTr="00FC62A1">
        <w:trPr>
          <w:trHeight w:val="439"/>
        </w:trPr>
        <w:tc>
          <w:tcPr>
            <w:tcW w:w="595" w:type="pct"/>
          </w:tcPr>
          <w:p w14:paraId="19F4CB4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Atopic disorders, zinc</w:t>
            </w:r>
          </w:p>
        </w:tc>
        <w:tc>
          <w:tcPr>
            <w:tcW w:w="1145" w:type="pct"/>
          </w:tcPr>
          <w:p w14:paraId="5F2770E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Association between Zinc, Copper/Zinc ratio, Selenium and the risk for childhood asthma and wheeze: a systematic review and meta-analysis</w:t>
            </w:r>
          </w:p>
        </w:tc>
        <w:tc>
          <w:tcPr>
            <w:tcW w:w="901" w:type="pct"/>
          </w:tcPr>
          <w:p w14:paraId="07244A4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sz w:val="16"/>
                <w:szCs w:val="16"/>
                <w:lang w:eastAsia="en-AU"/>
              </w:rPr>
              <w:t>Mei Xue, Wenquan Niu Yicheng Zhang Bo Pang Qiong Wang Min Yang Xiangling Deng Shunan Wang Zhixin Zhang</w:t>
            </w:r>
          </w:p>
        </w:tc>
        <w:tc>
          <w:tcPr>
            <w:tcW w:w="217" w:type="pct"/>
          </w:tcPr>
          <w:p w14:paraId="164179C1"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2022</w:t>
            </w:r>
          </w:p>
        </w:tc>
        <w:tc>
          <w:tcPr>
            <w:tcW w:w="822" w:type="pct"/>
          </w:tcPr>
          <w:p w14:paraId="68E8A84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https://www.crd.york.ac.uk/prospero/display_record.php?ID=CRD42022326185</w:t>
            </w:r>
          </w:p>
        </w:tc>
        <w:tc>
          <w:tcPr>
            <w:tcW w:w="548" w:type="pct"/>
          </w:tcPr>
          <w:p w14:paraId="408D348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CRD42022326185</w:t>
            </w:r>
          </w:p>
        </w:tc>
        <w:tc>
          <w:tcPr>
            <w:tcW w:w="772" w:type="pct"/>
          </w:tcPr>
          <w:p w14:paraId="04247BAE"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Now published (https://doi.org/10.1016/j.jand.2020.01.007) Manually reviewed. Excluded at title/abstract</w:t>
            </w:r>
          </w:p>
        </w:tc>
      </w:tr>
      <w:tr w:rsidR="00B83ACB" w:rsidRPr="00D518FF" w14:paraId="3E104BA4" w14:textId="77777777" w:rsidTr="00FC62A1">
        <w:trPr>
          <w:trHeight w:val="439"/>
        </w:trPr>
        <w:tc>
          <w:tcPr>
            <w:tcW w:w="595" w:type="pct"/>
          </w:tcPr>
          <w:p w14:paraId="2F9BA10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Atopic disorders, zinc</w:t>
            </w:r>
          </w:p>
        </w:tc>
        <w:tc>
          <w:tcPr>
            <w:tcW w:w="1145" w:type="pct"/>
          </w:tcPr>
          <w:p w14:paraId="007D2532" w14:textId="77777777" w:rsidR="00B83ACB" w:rsidRPr="00D518FF" w:rsidRDefault="00B83ACB" w:rsidP="00B83ACB">
            <w:pPr>
              <w:shd w:val="clear" w:color="auto" w:fill="FFFFFF"/>
              <w:rPr>
                <w:rFonts w:ascii="Aptos" w:hAnsi="Aptos" w:cs="Arial"/>
                <w:b/>
                <w:bCs/>
                <w:color w:val="333333"/>
                <w:sz w:val="16"/>
                <w:szCs w:val="16"/>
              </w:rPr>
            </w:pPr>
            <w:r w:rsidRPr="00D518FF">
              <w:rPr>
                <w:rFonts w:ascii="Aptos" w:hAnsi="Aptos" w:cs="Arial"/>
                <w:sz w:val="16"/>
                <w:szCs w:val="16"/>
                <w:lang w:eastAsia="en-AU"/>
              </w:rPr>
              <w:t>Systematic review and meta-analysis on serum zinc levels and zinc supplementation in psoriasis</w:t>
            </w:r>
          </w:p>
        </w:tc>
        <w:tc>
          <w:tcPr>
            <w:tcW w:w="901" w:type="pct"/>
          </w:tcPr>
          <w:p w14:paraId="5C08A39D" w14:textId="77777777" w:rsidR="00B83ACB" w:rsidRPr="00D518FF" w:rsidRDefault="00B83ACB" w:rsidP="00B83ACB">
            <w:pPr>
              <w:shd w:val="clear" w:color="auto" w:fill="FFFFFF"/>
              <w:rPr>
                <w:rFonts w:ascii="Aptos" w:hAnsi="Aptos" w:cs="Arial"/>
                <w:i/>
                <w:iCs/>
                <w:color w:val="333333"/>
                <w:sz w:val="16"/>
                <w:szCs w:val="16"/>
              </w:rPr>
            </w:pPr>
            <w:r w:rsidRPr="00D518FF">
              <w:rPr>
                <w:rFonts w:ascii="Aptos" w:hAnsi="Aptos" w:cs="Arial"/>
                <w:sz w:val="16"/>
                <w:szCs w:val="16"/>
                <w:lang w:eastAsia="en-AU"/>
              </w:rPr>
              <w:t>Seyed Mohammad Hosein Mousavi Jazayeri, Fatemeh Mirzaiee</w:t>
            </w:r>
          </w:p>
        </w:tc>
        <w:tc>
          <w:tcPr>
            <w:tcW w:w="217" w:type="pct"/>
          </w:tcPr>
          <w:p w14:paraId="52799D92"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2018</w:t>
            </w:r>
          </w:p>
        </w:tc>
        <w:tc>
          <w:tcPr>
            <w:tcW w:w="822" w:type="pct"/>
          </w:tcPr>
          <w:p w14:paraId="1E9EBFAF" w14:textId="77777777" w:rsidR="00B83ACB" w:rsidRPr="00D518FF" w:rsidRDefault="00B83ACB" w:rsidP="00B83ACB">
            <w:pPr>
              <w:pStyle w:val="TABLE"/>
              <w:rPr>
                <w:rFonts w:ascii="Aptos" w:hAnsi="Aptos"/>
                <w:sz w:val="16"/>
                <w:szCs w:val="16"/>
              </w:rPr>
            </w:pPr>
            <w:r w:rsidRPr="00D518FF">
              <w:rPr>
                <w:rFonts w:ascii="Aptos" w:hAnsi="Aptos"/>
                <w:sz w:val="16"/>
                <w:szCs w:val="16"/>
                <w:lang w:eastAsia="en-AU"/>
              </w:rPr>
              <w:t>https://www.crd.york.ac.uk/prospero/display_record.php?ID=CRD42018089110</w:t>
            </w:r>
          </w:p>
        </w:tc>
        <w:tc>
          <w:tcPr>
            <w:tcW w:w="548" w:type="pct"/>
          </w:tcPr>
          <w:p w14:paraId="4B2C67A7" w14:textId="77777777" w:rsidR="00B83ACB" w:rsidRPr="00D518FF" w:rsidRDefault="00B83ACB" w:rsidP="00B83ACB">
            <w:pPr>
              <w:shd w:val="clear" w:color="auto" w:fill="FFFFFF"/>
              <w:rPr>
                <w:rFonts w:ascii="Aptos" w:hAnsi="Aptos" w:cs="Arial"/>
                <w:color w:val="333333"/>
                <w:sz w:val="16"/>
                <w:szCs w:val="16"/>
                <w:shd w:val="clear" w:color="auto" w:fill="FFFFFF"/>
              </w:rPr>
            </w:pPr>
            <w:r w:rsidRPr="00D518FF">
              <w:rPr>
                <w:rFonts w:ascii="Aptos" w:hAnsi="Aptos" w:cs="Arial"/>
                <w:sz w:val="16"/>
                <w:szCs w:val="16"/>
                <w:lang w:eastAsia="en-AU"/>
              </w:rPr>
              <w:t>CRD42018089110</w:t>
            </w:r>
          </w:p>
        </w:tc>
        <w:tc>
          <w:tcPr>
            <w:tcW w:w="772" w:type="pct"/>
          </w:tcPr>
          <w:p w14:paraId="01914BA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6019D3E2" w14:textId="77777777" w:rsidTr="00FC62A1">
        <w:trPr>
          <w:trHeight w:val="439"/>
        </w:trPr>
        <w:tc>
          <w:tcPr>
            <w:tcW w:w="595" w:type="pct"/>
          </w:tcPr>
          <w:p w14:paraId="1232A3B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Fatigue</w:t>
            </w:r>
          </w:p>
        </w:tc>
        <w:tc>
          <w:tcPr>
            <w:tcW w:w="1145" w:type="pct"/>
          </w:tcPr>
          <w:p w14:paraId="3BBFF10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Effect of co-enzyme Q10 supplementation on clinical symptoms of fibromyalgia patients: a systematic review and meta-analysis of randomized controlled trials</w:t>
            </w:r>
          </w:p>
        </w:tc>
        <w:tc>
          <w:tcPr>
            <w:tcW w:w="901" w:type="pct"/>
          </w:tcPr>
          <w:p w14:paraId="4D8DBCC8"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ammar salehi, Samaneh Sadat, Reza Ghiyasvand, Behnood Abbasi</w:t>
            </w:r>
          </w:p>
        </w:tc>
        <w:tc>
          <w:tcPr>
            <w:tcW w:w="217" w:type="pct"/>
          </w:tcPr>
          <w:p w14:paraId="51902371"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2016</w:t>
            </w:r>
          </w:p>
        </w:tc>
        <w:tc>
          <w:tcPr>
            <w:tcW w:w="822" w:type="pct"/>
          </w:tcPr>
          <w:p w14:paraId="21AC774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https://www.crd.york.ac.uk/prospero/display_record.php?ID=CRD42016034052</w:t>
            </w:r>
          </w:p>
        </w:tc>
        <w:tc>
          <w:tcPr>
            <w:tcW w:w="548" w:type="pct"/>
          </w:tcPr>
          <w:p w14:paraId="70688E5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olor w:val="333333"/>
                <w:sz w:val="16"/>
                <w:szCs w:val="16"/>
                <w:shd w:val="clear" w:color="auto" w:fill="FFFFFF"/>
              </w:rPr>
              <w:t>CRD42016034052</w:t>
            </w:r>
          </w:p>
        </w:tc>
        <w:tc>
          <w:tcPr>
            <w:tcW w:w="772" w:type="pct"/>
          </w:tcPr>
          <w:p w14:paraId="762AB97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6BB22C56" w14:textId="77777777" w:rsidTr="00FC62A1">
        <w:trPr>
          <w:trHeight w:val="439"/>
        </w:trPr>
        <w:tc>
          <w:tcPr>
            <w:tcW w:w="595" w:type="pct"/>
          </w:tcPr>
          <w:p w14:paraId="59E27438"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Fatigue</w:t>
            </w:r>
          </w:p>
        </w:tc>
        <w:tc>
          <w:tcPr>
            <w:tcW w:w="1145" w:type="pct"/>
          </w:tcPr>
          <w:p w14:paraId="5F91707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The effectiveness of exercise or antioxidants in the management of fatigue in fibromyalgia (FMS)</w:t>
            </w:r>
          </w:p>
        </w:tc>
        <w:tc>
          <w:tcPr>
            <w:tcW w:w="901" w:type="pct"/>
          </w:tcPr>
          <w:p w14:paraId="69957E0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Deborrah Russell, Inmaculada Concepción Álvarez Gallardo, Joseph McVeigh, Ciara Hughes, Gareth Davison, Borja Sañudo Corrales</w:t>
            </w:r>
          </w:p>
        </w:tc>
        <w:tc>
          <w:tcPr>
            <w:tcW w:w="217" w:type="pct"/>
          </w:tcPr>
          <w:p w14:paraId="271157E5"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2013</w:t>
            </w:r>
          </w:p>
        </w:tc>
        <w:tc>
          <w:tcPr>
            <w:tcW w:w="822" w:type="pct"/>
          </w:tcPr>
          <w:p w14:paraId="5F65B53F" w14:textId="71219571" w:rsidR="00B83ACB" w:rsidRPr="00D518FF" w:rsidRDefault="00B83ACB" w:rsidP="00B83ACB">
            <w:pPr>
              <w:pStyle w:val="TABLE"/>
              <w:rPr>
                <w:rFonts w:ascii="Aptos" w:hAnsi="Aptos"/>
                <w:sz w:val="16"/>
                <w:szCs w:val="16"/>
                <w:lang w:eastAsia="en-AU"/>
              </w:rPr>
            </w:pPr>
            <w:hyperlink r:id="rId45" w:tgtFrame="_self" w:history="1">
              <w:r w:rsidRPr="00D518FF">
                <w:rPr>
                  <w:rFonts w:ascii="Aptos" w:hAnsi="Aptos"/>
                  <w:sz w:val="16"/>
                  <w:szCs w:val="16"/>
                  <w:lang w:eastAsia="en-AU"/>
                </w:rPr>
                <w:t>https://www.crd.york.ac.uk/prospero/display_record.php?ID=CRD42013004439</w:t>
              </w:r>
            </w:hyperlink>
          </w:p>
        </w:tc>
        <w:tc>
          <w:tcPr>
            <w:tcW w:w="548" w:type="pct"/>
          </w:tcPr>
          <w:p w14:paraId="5BE70F8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CRD42013004439</w:t>
            </w:r>
          </w:p>
        </w:tc>
        <w:tc>
          <w:tcPr>
            <w:tcW w:w="772" w:type="pct"/>
          </w:tcPr>
          <w:p w14:paraId="4A4C49A5"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15482399" w14:textId="77777777" w:rsidTr="00FC62A1">
        <w:trPr>
          <w:trHeight w:val="439"/>
        </w:trPr>
        <w:tc>
          <w:tcPr>
            <w:tcW w:w="595" w:type="pct"/>
          </w:tcPr>
          <w:p w14:paraId="2D5BC093"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Fatigue</w:t>
            </w:r>
          </w:p>
        </w:tc>
        <w:tc>
          <w:tcPr>
            <w:tcW w:w="1145" w:type="pct"/>
          </w:tcPr>
          <w:p w14:paraId="33F79F7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The effectiveness of coenzyme Q10 supplementation for patients with breast cancer</w:t>
            </w:r>
          </w:p>
        </w:tc>
        <w:tc>
          <w:tcPr>
            <w:tcW w:w="901" w:type="pct"/>
          </w:tcPr>
          <w:p w14:paraId="3DAC9C4D"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Kailin Yang, Liuting Zeng Shiying Zhang</w:t>
            </w:r>
          </w:p>
        </w:tc>
        <w:tc>
          <w:tcPr>
            <w:tcW w:w="217" w:type="pct"/>
          </w:tcPr>
          <w:p w14:paraId="21F4FF2E"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2018</w:t>
            </w:r>
          </w:p>
        </w:tc>
        <w:tc>
          <w:tcPr>
            <w:tcW w:w="822" w:type="pct"/>
          </w:tcPr>
          <w:p w14:paraId="4EEE4CF2" w14:textId="13B10DAF" w:rsidR="00B83ACB" w:rsidRPr="00D518FF" w:rsidRDefault="00B83ACB" w:rsidP="00B83ACB">
            <w:pPr>
              <w:pStyle w:val="TABLE"/>
              <w:rPr>
                <w:rFonts w:ascii="Aptos" w:hAnsi="Aptos"/>
                <w:sz w:val="16"/>
                <w:szCs w:val="16"/>
                <w:lang w:eastAsia="en-AU"/>
              </w:rPr>
            </w:pPr>
            <w:hyperlink r:id="rId46" w:tgtFrame="_self" w:history="1">
              <w:r w:rsidRPr="00D518FF">
                <w:rPr>
                  <w:rFonts w:ascii="Aptos" w:hAnsi="Aptos"/>
                  <w:sz w:val="16"/>
                  <w:szCs w:val="16"/>
                  <w:lang w:eastAsia="en-AU"/>
                </w:rPr>
                <w:t>https://www.crd.york.ac.uk/prospero/display_record.php?ID=CRD42018089566</w:t>
              </w:r>
            </w:hyperlink>
          </w:p>
        </w:tc>
        <w:tc>
          <w:tcPr>
            <w:tcW w:w="548" w:type="pct"/>
          </w:tcPr>
          <w:p w14:paraId="270AB37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CRD42018089566</w:t>
            </w:r>
          </w:p>
        </w:tc>
        <w:tc>
          <w:tcPr>
            <w:tcW w:w="772" w:type="pct"/>
          </w:tcPr>
          <w:p w14:paraId="60937DA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731A79A1" w14:textId="77777777" w:rsidTr="00FC62A1">
        <w:trPr>
          <w:trHeight w:val="439"/>
        </w:trPr>
        <w:tc>
          <w:tcPr>
            <w:tcW w:w="595" w:type="pct"/>
          </w:tcPr>
          <w:p w14:paraId="0B8A535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Fatigue</w:t>
            </w:r>
          </w:p>
        </w:tc>
        <w:tc>
          <w:tcPr>
            <w:tcW w:w="1145" w:type="pct"/>
          </w:tcPr>
          <w:p w14:paraId="54ABF14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The effectiveness of coenzyme Q10 supplementation for patients with breast cancer</w:t>
            </w:r>
          </w:p>
        </w:tc>
        <w:tc>
          <w:tcPr>
            <w:tcW w:w="901" w:type="pct"/>
          </w:tcPr>
          <w:p w14:paraId="6353B48A"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Kailin Yang, Liuting Zeng, Shiying Zhang</w:t>
            </w:r>
          </w:p>
        </w:tc>
        <w:tc>
          <w:tcPr>
            <w:tcW w:w="217" w:type="pct"/>
          </w:tcPr>
          <w:p w14:paraId="1D41EF1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2018</w:t>
            </w:r>
          </w:p>
        </w:tc>
        <w:tc>
          <w:tcPr>
            <w:tcW w:w="822" w:type="pct"/>
          </w:tcPr>
          <w:p w14:paraId="057F3BB3" w14:textId="6EB2DFB9" w:rsidR="00B83ACB" w:rsidRPr="00D518FF" w:rsidRDefault="00B83ACB" w:rsidP="00B83ACB">
            <w:pPr>
              <w:shd w:val="clear" w:color="auto" w:fill="FFFFFF"/>
              <w:rPr>
                <w:rFonts w:ascii="Aptos" w:hAnsi="Aptos" w:cs="Arial"/>
                <w:sz w:val="16"/>
                <w:szCs w:val="16"/>
                <w:lang w:eastAsia="en-AU"/>
              </w:rPr>
            </w:pPr>
            <w:hyperlink r:id="rId47" w:tgtFrame="_self" w:history="1">
              <w:r w:rsidRPr="00D518FF">
                <w:rPr>
                  <w:rFonts w:ascii="Aptos" w:hAnsi="Aptos"/>
                  <w:sz w:val="16"/>
                  <w:szCs w:val="16"/>
                  <w:lang w:eastAsia="en-AU"/>
                </w:rPr>
                <w:t>https://www.crd.york.ac.uk/prospero/display_record.php?ID=CRD42018089566</w:t>
              </w:r>
            </w:hyperlink>
          </w:p>
        </w:tc>
        <w:tc>
          <w:tcPr>
            <w:tcW w:w="548" w:type="pct"/>
          </w:tcPr>
          <w:p w14:paraId="7D2207C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CRD42018089566</w:t>
            </w:r>
          </w:p>
        </w:tc>
        <w:tc>
          <w:tcPr>
            <w:tcW w:w="772" w:type="pct"/>
          </w:tcPr>
          <w:p w14:paraId="1D9187F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sz w:val="16"/>
                <w:szCs w:val="16"/>
                <w:lang w:eastAsia="en-AU"/>
              </w:rPr>
              <w:t>No publication found. Contacted authors</w:t>
            </w:r>
          </w:p>
        </w:tc>
      </w:tr>
      <w:tr w:rsidR="00B83ACB" w:rsidRPr="00D518FF" w14:paraId="6B06914C" w14:textId="77777777" w:rsidTr="00FC62A1">
        <w:trPr>
          <w:trHeight w:val="439"/>
        </w:trPr>
        <w:tc>
          <w:tcPr>
            <w:tcW w:w="595" w:type="pct"/>
          </w:tcPr>
          <w:p w14:paraId="59B9005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Fatigue</w:t>
            </w:r>
          </w:p>
        </w:tc>
        <w:tc>
          <w:tcPr>
            <w:tcW w:w="1145" w:type="pct"/>
          </w:tcPr>
          <w:p w14:paraId="294EBDF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Effects of antioxidants micronutrients and essential fatty acids on cystic fibrosis outcomes: a systematic review</w:t>
            </w:r>
          </w:p>
        </w:tc>
        <w:tc>
          <w:tcPr>
            <w:tcW w:w="901" w:type="pct"/>
          </w:tcPr>
          <w:p w14:paraId="4CDB1EC0"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Miriam Simon, Gabriele Carra Forte, Roberta Dalle Molle, Paulo Maróstica, Marceli Feldmann, Thais Rodrigues</w:t>
            </w:r>
          </w:p>
        </w:tc>
        <w:tc>
          <w:tcPr>
            <w:tcW w:w="217" w:type="pct"/>
          </w:tcPr>
          <w:p w14:paraId="0D377A0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2018</w:t>
            </w:r>
          </w:p>
        </w:tc>
        <w:tc>
          <w:tcPr>
            <w:tcW w:w="822" w:type="pct"/>
          </w:tcPr>
          <w:p w14:paraId="24521772" w14:textId="6FE1A37A" w:rsidR="00B83ACB" w:rsidRPr="00D518FF" w:rsidRDefault="00B83ACB" w:rsidP="00B83ACB">
            <w:pPr>
              <w:shd w:val="clear" w:color="auto" w:fill="FFFFFF"/>
              <w:rPr>
                <w:rFonts w:ascii="Aptos" w:hAnsi="Aptos" w:cs="Arial"/>
                <w:sz w:val="16"/>
                <w:szCs w:val="16"/>
                <w:lang w:eastAsia="en-AU"/>
              </w:rPr>
            </w:pPr>
            <w:hyperlink r:id="rId48" w:tgtFrame="_self" w:history="1">
              <w:r w:rsidRPr="00D518FF">
                <w:rPr>
                  <w:rFonts w:ascii="Aptos" w:hAnsi="Aptos"/>
                  <w:sz w:val="16"/>
                  <w:szCs w:val="16"/>
                  <w:lang w:eastAsia="en-AU"/>
                </w:rPr>
                <w:t>https://www.crd.york.ac.uk/prospero/display_record.php?ID=CRD42018092042</w:t>
              </w:r>
            </w:hyperlink>
          </w:p>
        </w:tc>
        <w:tc>
          <w:tcPr>
            <w:tcW w:w="548" w:type="pct"/>
          </w:tcPr>
          <w:p w14:paraId="7C5A384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CRD42018092042</w:t>
            </w:r>
          </w:p>
        </w:tc>
        <w:tc>
          <w:tcPr>
            <w:tcW w:w="772" w:type="pct"/>
          </w:tcPr>
          <w:p w14:paraId="2C2D9053" w14:textId="7142D14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Now published (doi: </w:t>
            </w:r>
            <w:hyperlink r:id="rId49" w:tgtFrame="_blank" w:history="1">
              <w:r w:rsidRPr="00D518FF">
                <w:rPr>
                  <w:rFonts w:ascii="Aptos" w:hAnsi="Aptos"/>
                  <w:sz w:val="16"/>
                  <w:szCs w:val="16"/>
                  <w:lang w:eastAsia="en-AU"/>
                </w:rPr>
                <w:t>10.1007/s12011-023-03690-4</w:t>
              </w:r>
            </w:hyperlink>
            <w:r w:rsidRPr="00D518FF">
              <w:rPr>
                <w:rFonts w:ascii="Aptos" w:hAnsi="Aptos"/>
                <w:sz w:val="16"/>
                <w:szCs w:val="16"/>
                <w:lang w:eastAsia="en-AU"/>
              </w:rPr>
              <w:t>) Manually reviewed. Excluded at title/abstract</w:t>
            </w:r>
          </w:p>
        </w:tc>
      </w:tr>
      <w:tr w:rsidR="00B83ACB" w:rsidRPr="00D518FF" w14:paraId="50A637A2" w14:textId="77777777" w:rsidTr="00FC62A1">
        <w:trPr>
          <w:trHeight w:val="439"/>
        </w:trPr>
        <w:tc>
          <w:tcPr>
            <w:tcW w:w="595" w:type="pct"/>
          </w:tcPr>
          <w:p w14:paraId="760105F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lastRenderedPageBreak/>
              <w:t>Fatigue</w:t>
            </w:r>
          </w:p>
        </w:tc>
        <w:tc>
          <w:tcPr>
            <w:tcW w:w="1145" w:type="pct"/>
          </w:tcPr>
          <w:p w14:paraId="204E002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Systematic review of Treatments for Chronic Fatigue Syndrome/Myalgic encephalomyelitis on Quality of life</w:t>
            </w:r>
          </w:p>
          <w:p w14:paraId="6B6815DB" w14:textId="77777777" w:rsidR="00B83ACB" w:rsidRPr="00D518FF" w:rsidRDefault="00B83ACB" w:rsidP="00B83ACB">
            <w:pPr>
              <w:rPr>
                <w:rFonts w:ascii="Aptos" w:hAnsi="Aptos" w:cs="Arial"/>
                <w:sz w:val="16"/>
                <w:szCs w:val="16"/>
                <w:lang w:eastAsia="en-AU"/>
              </w:rPr>
            </w:pPr>
          </w:p>
          <w:p w14:paraId="131B55EB" w14:textId="77777777" w:rsidR="00B83ACB" w:rsidRPr="00D518FF" w:rsidRDefault="00B83ACB" w:rsidP="00B83ACB">
            <w:pPr>
              <w:shd w:val="clear" w:color="auto" w:fill="FFFFFF"/>
              <w:rPr>
                <w:rFonts w:ascii="Aptos" w:hAnsi="Aptos" w:cs="Arial"/>
                <w:sz w:val="16"/>
                <w:szCs w:val="16"/>
                <w:lang w:eastAsia="en-AU"/>
              </w:rPr>
            </w:pPr>
          </w:p>
        </w:tc>
        <w:tc>
          <w:tcPr>
            <w:tcW w:w="901" w:type="pct"/>
          </w:tcPr>
          <w:p w14:paraId="1ABBC67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Reynier Lara, YiZhong Zhuang</w:t>
            </w:r>
          </w:p>
        </w:tc>
        <w:tc>
          <w:tcPr>
            <w:tcW w:w="217" w:type="pct"/>
          </w:tcPr>
          <w:p w14:paraId="30B91ED1"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2022</w:t>
            </w:r>
          </w:p>
        </w:tc>
        <w:tc>
          <w:tcPr>
            <w:tcW w:w="822" w:type="pct"/>
          </w:tcPr>
          <w:p w14:paraId="48E00720" w14:textId="129FBF2C" w:rsidR="00B83ACB" w:rsidRPr="00D518FF" w:rsidRDefault="00B83ACB" w:rsidP="00B83ACB">
            <w:pPr>
              <w:shd w:val="clear" w:color="auto" w:fill="FFFFFF"/>
              <w:rPr>
                <w:rFonts w:ascii="Aptos" w:hAnsi="Aptos" w:cs="Arial"/>
                <w:sz w:val="16"/>
                <w:szCs w:val="16"/>
                <w:lang w:eastAsia="en-AU"/>
              </w:rPr>
            </w:pPr>
            <w:hyperlink r:id="rId50" w:tgtFrame="_self" w:history="1">
              <w:r w:rsidRPr="00D518FF">
                <w:rPr>
                  <w:rFonts w:ascii="Aptos" w:hAnsi="Aptos"/>
                  <w:sz w:val="16"/>
                  <w:szCs w:val="16"/>
                  <w:lang w:eastAsia="en-AU"/>
                </w:rPr>
                <w:t>https://www.crd.york.ac.uk/prospero/display_record.php?ID=CRD42022354101</w:t>
              </w:r>
            </w:hyperlink>
          </w:p>
        </w:tc>
        <w:tc>
          <w:tcPr>
            <w:tcW w:w="548" w:type="pct"/>
          </w:tcPr>
          <w:p w14:paraId="557E303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CRD42022354101</w:t>
            </w:r>
          </w:p>
        </w:tc>
        <w:tc>
          <w:tcPr>
            <w:tcW w:w="772" w:type="pct"/>
          </w:tcPr>
          <w:p w14:paraId="650D774A"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4AD4A281" w14:textId="77777777" w:rsidTr="00FC62A1">
        <w:trPr>
          <w:trHeight w:val="439"/>
        </w:trPr>
        <w:tc>
          <w:tcPr>
            <w:tcW w:w="595" w:type="pct"/>
          </w:tcPr>
          <w:p w14:paraId="13B1355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Headache</w:t>
            </w:r>
          </w:p>
        </w:tc>
        <w:tc>
          <w:tcPr>
            <w:tcW w:w="1145" w:type="pct"/>
          </w:tcPr>
          <w:p w14:paraId="10573AB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Magnesium therapy in the treatment of chronic pain: a systematic review</w:t>
            </w:r>
          </w:p>
        </w:tc>
        <w:tc>
          <w:tcPr>
            <w:tcW w:w="901" w:type="pct"/>
          </w:tcPr>
          <w:p w14:paraId="7D756E73"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Evan Oliver Matthews, Matthew Bryant, Aman Ahuja, Akhilesh Tiwari</w:t>
            </w:r>
          </w:p>
          <w:p w14:paraId="1D1B3368" w14:textId="77777777" w:rsidR="00B83ACB" w:rsidRPr="00D518FF" w:rsidRDefault="00B83ACB" w:rsidP="00B83ACB">
            <w:pPr>
              <w:shd w:val="clear" w:color="auto" w:fill="FFFFFF"/>
              <w:rPr>
                <w:rFonts w:ascii="Aptos" w:hAnsi="Aptos" w:cs="Arial"/>
                <w:sz w:val="16"/>
                <w:szCs w:val="16"/>
                <w:lang w:eastAsia="en-AU"/>
              </w:rPr>
            </w:pPr>
          </w:p>
          <w:p w14:paraId="378FD98D" w14:textId="77777777" w:rsidR="00B83ACB" w:rsidRPr="00D518FF" w:rsidRDefault="00B83ACB" w:rsidP="00B83ACB">
            <w:pPr>
              <w:shd w:val="clear" w:color="auto" w:fill="FFFFFF"/>
              <w:rPr>
                <w:rFonts w:ascii="Aptos" w:hAnsi="Aptos" w:cs="Arial"/>
                <w:sz w:val="16"/>
                <w:szCs w:val="16"/>
                <w:lang w:eastAsia="en-AU"/>
              </w:rPr>
            </w:pPr>
          </w:p>
        </w:tc>
        <w:tc>
          <w:tcPr>
            <w:tcW w:w="217" w:type="pct"/>
          </w:tcPr>
          <w:p w14:paraId="2499B59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2020</w:t>
            </w:r>
          </w:p>
        </w:tc>
        <w:tc>
          <w:tcPr>
            <w:tcW w:w="822" w:type="pct"/>
          </w:tcPr>
          <w:p w14:paraId="37D91523"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https://www.crd.york.ac.uk/prospero/display_record.php?ID=CRD42020164342</w:t>
            </w:r>
          </w:p>
        </w:tc>
        <w:tc>
          <w:tcPr>
            <w:tcW w:w="548" w:type="pct"/>
          </w:tcPr>
          <w:p w14:paraId="1E0CB60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CRD42020164342</w:t>
            </w:r>
          </w:p>
        </w:tc>
        <w:tc>
          <w:tcPr>
            <w:tcW w:w="772" w:type="pct"/>
          </w:tcPr>
          <w:p w14:paraId="68B03455"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098CA0F7" w14:textId="77777777" w:rsidTr="00FC62A1">
        <w:trPr>
          <w:trHeight w:val="43"/>
        </w:trPr>
        <w:tc>
          <w:tcPr>
            <w:tcW w:w="595" w:type="pct"/>
          </w:tcPr>
          <w:p w14:paraId="5A6B11D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Hypertension</w:t>
            </w:r>
          </w:p>
        </w:tc>
        <w:tc>
          <w:tcPr>
            <w:tcW w:w="1145" w:type="pct"/>
          </w:tcPr>
          <w:p w14:paraId="5898634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Omega-3 fatty acids for vascular access outcomes in patients with chronic kidney disease [Cochrane Protocol]</w:t>
            </w:r>
          </w:p>
        </w:tc>
        <w:tc>
          <w:tcPr>
            <w:tcW w:w="901" w:type="pct"/>
          </w:tcPr>
          <w:p w14:paraId="6925BCD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Mei-Yi Wu, Ka-Wai Tam Fahad Javaid Siddiqui Edwin Chan Tazeen Jafar</w:t>
            </w:r>
          </w:p>
        </w:tc>
        <w:tc>
          <w:tcPr>
            <w:tcW w:w="217" w:type="pct"/>
          </w:tcPr>
          <w:p w14:paraId="67CB3FDA"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2015</w:t>
            </w:r>
          </w:p>
        </w:tc>
        <w:tc>
          <w:tcPr>
            <w:tcW w:w="822" w:type="pct"/>
          </w:tcPr>
          <w:p w14:paraId="7B5D78AA" w14:textId="13BCBFDB" w:rsidR="00B83ACB" w:rsidRPr="00D518FF" w:rsidRDefault="00B83ACB" w:rsidP="00B83ACB">
            <w:pPr>
              <w:shd w:val="clear" w:color="auto" w:fill="FFFFFF"/>
              <w:rPr>
                <w:rFonts w:ascii="Aptos" w:hAnsi="Aptos" w:cs="Arial"/>
                <w:sz w:val="16"/>
                <w:szCs w:val="16"/>
                <w:lang w:eastAsia="en-AU"/>
              </w:rPr>
            </w:pPr>
            <w:hyperlink r:id="rId51" w:tgtFrame="_self" w:history="1">
              <w:r w:rsidRPr="00D518FF">
                <w:rPr>
                  <w:rFonts w:ascii="Aptos" w:hAnsi="Aptos"/>
                  <w:sz w:val="16"/>
                  <w:szCs w:val="16"/>
                  <w:lang w:eastAsia="en-AU"/>
                </w:rPr>
                <w:t>https://www.crd.york.ac.uk/prospero/display_record.php?ID=CRD42015020481</w:t>
              </w:r>
            </w:hyperlink>
          </w:p>
        </w:tc>
        <w:tc>
          <w:tcPr>
            <w:tcW w:w="548" w:type="pct"/>
          </w:tcPr>
          <w:p w14:paraId="4BEB163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CRD42015020481</w:t>
            </w:r>
          </w:p>
        </w:tc>
        <w:tc>
          <w:tcPr>
            <w:tcW w:w="772" w:type="pct"/>
          </w:tcPr>
          <w:p w14:paraId="14C0B4AC" w14:textId="043808DE"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 xml:space="preserve">Now published: </w:t>
            </w:r>
            <w:hyperlink r:id="rId52" w:tgtFrame="_blank" w:history="1">
              <w:r w:rsidRPr="00D518FF">
                <w:rPr>
                  <w:rFonts w:ascii="Aptos" w:hAnsi="Aptos" w:cs="Arial"/>
                  <w:sz w:val="16"/>
                  <w:szCs w:val="16"/>
                  <w:lang w:eastAsia="en-AU"/>
                </w:rPr>
                <w:t>https://doi.org/10.1002/14651858.CD011353.pub2</w:t>
              </w:r>
            </w:hyperlink>
          </w:p>
          <w:p w14:paraId="3FDFD8CA"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Manually reviewed. Excluded at title/abstract</w:t>
            </w:r>
          </w:p>
        </w:tc>
      </w:tr>
      <w:tr w:rsidR="00B83ACB" w:rsidRPr="00D518FF" w14:paraId="1D739978" w14:textId="77777777" w:rsidTr="00FC62A1">
        <w:trPr>
          <w:trHeight w:val="43"/>
        </w:trPr>
        <w:tc>
          <w:tcPr>
            <w:tcW w:w="595" w:type="pct"/>
          </w:tcPr>
          <w:p w14:paraId="7307E690"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1125236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The efficacy of n-3 fatty acid supplementation for the prevention of pregnancy-induced hypertension or preeclampsia: a systematic review and meta-analysis of randomized controlled trials</w:t>
            </w:r>
          </w:p>
        </w:tc>
        <w:tc>
          <w:tcPr>
            <w:tcW w:w="901" w:type="pct"/>
          </w:tcPr>
          <w:p w14:paraId="58CC722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Mouloud Agajani Delavar, Fatemeh Bakouei Sedigheh Esmailzadeh Sepideh Mashayekhamiri Zeynab Taheri</w:t>
            </w:r>
          </w:p>
        </w:tc>
        <w:tc>
          <w:tcPr>
            <w:tcW w:w="217" w:type="pct"/>
          </w:tcPr>
          <w:p w14:paraId="3643F113"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2018</w:t>
            </w:r>
          </w:p>
        </w:tc>
        <w:tc>
          <w:tcPr>
            <w:tcW w:w="822" w:type="pct"/>
          </w:tcPr>
          <w:p w14:paraId="67843480" w14:textId="4B76E21D" w:rsidR="00B83ACB" w:rsidRPr="00D518FF" w:rsidRDefault="00B83ACB" w:rsidP="00B83ACB">
            <w:pPr>
              <w:shd w:val="clear" w:color="auto" w:fill="FFFFFF"/>
              <w:rPr>
                <w:rFonts w:ascii="Aptos" w:hAnsi="Aptos" w:cs="Arial"/>
                <w:sz w:val="16"/>
                <w:szCs w:val="16"/>
                <w:lang w:eastAsia="en-AU"/>
              </w:rPr>
            </w:pPr>
            <w:hyperlink r:id="rId53" w:tgtFrame="_self" w:history="1">
              <w:r w:rsidRPr="00D518FF">
                <w:rPr>
                  <w:rFonts w:ascii="Aptos" w:hAnsi="Aptos" w:cs="Arial"/>
                  <w:sz w:val="16"/>
                  <w:szCs w:val="16"/>
                  <w:lang w:eastAsia="en-AU"/>
                </w:rPr>
                <w:t>https://www.crd.york.ac.uk/prospero/display_record.php?ID=CRD42018090915</w:t>
              </w:r>
            </w:hyperlink>
          </w:p>
        </w:tc>
        <w:tc>
          <w:tcPr>
            <w:tcW w:w="548" w:type="pct"/>
          </w:tcPr>
          <w:p w14:paraId="55DF011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CRD42018090915</w:t>
            </w:r>
          </w:p>
        </w:tc>
        <w:tc>
          <w:tcPr>
            <w:tcW w:w="772" w:type="pct"/>
          </w:tcPr>
          <w:p w14:paraId="6739D37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Now published: doi: 10.1016/j.tjog.2019.11.002.</w:t>
            </w:r>
          </w:p>
          <w:p w14:paraId="3071EBE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Manually reviewed</w:t>
            </w:r>
            <w:r w:rsidRPr="00D518FF">
              <w:rPr>
                <w:rFonts w:ascii="Aptos" w:hAnsi="Aptos"/>
                <w:sz w:val="16"/>
                <w:szCs w:val="16"/>
                <w:lang w:eastAsia="en-AU"/>
              </w:rPr>
              <w:t>. Duplicate excluded.</w:t>
            </w:r>
          </w:p>
        </w:tc>
      </w:tr>
      <w:tr w:rsidR="00B83ACB" w:rsidRPr="00D518FF" w14:paraId="79B2FE97" w14:textId="77777777" w:rsidTr="00FC62A1">
        <w:trPr>
          <w:trHeight w:val="43"/>
        </w:trPr>
        <w:tc>
          <w:tcPr>
            <w:tcW w:w="595" w:type="pct"/>
          </w:tcPr>
          <w:p w14:paraId="76D34BEF"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23150AA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Which agent most effectively prevents preeclampsia? A systematic review with multi-treatment comparison (network meta-analysis) of large multicenter randomized controlled trials</w:t>
            </w:r>
          </w:p>
        </w:tc>
        <w:tc>
          <w:tcPr>
            <w:tcW w:w="901" w:type="pct"/>
          </w:tcPr>
          <w:p w14:paraId="7945B79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Jared Roeckner, Luis Sanchez-Ramos Andrew Kaunitz</w:t>
            </w:r>
          </w:p>
        </w:tc>
        <w:tc>
          <w:tcPr>
            <w:tcW w:w="217" w:type="pct"/>
          </w:tcPr>
          <w:p w14:paraId="02A1651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2016</w:t>
            </w:r>
          </w:p>
        </w:tc>
        <w:tc>
          <w:tcPr>
            <w:tcW w:w="822" w:type="pct"/>
          </w:tcPr>
          <w:p w14:paraId="04B0DF2F" w14:textId="649AFFA9" w:rsidR="00B83ACB" w:rsidRPr="00D518FF" w:rsidRDefault="00B83ACB" w:rsidP="00B83ACB">
            <w:pPr>
              <w:shd w:val="clear" w:color="auto" w:fill="FFFFFF"/>
              <w:rPr>
                <w:rFonts w:ascii="Aptos" w:hAnsi="Aptos" w:cs="Arial"/>
                <w:sz w:val="16"/>
                <w:szCs w:val="16"/>
                <w:lang w:eastAsia="en-AU"/>
              </w:rPr>
            </w:pPr>
            <w:hyperlink r:id="rId54" w:tgtFrame="_self" w:history="1">
              <w:r w:rsidRPr="00D518FF">
                <w:rPr>
                  <w:rFonts w:ascii="Aptos" w:hAnsi="Aptos"/>
                  <w:sz w:val="16"/>
                  <w:szCs w:val="16"/>
                  <w:lang w:eastAsia="en-AU"/>
                </w:rPr>
                <w:t>https://www.crd.york.ac.uk/prospero/display_record.php?ID=CRD42016043584</w:t>
              </w:r>
            </w:hyperlink>
          </w:p>
        </w:tc>
        <w:tc>
          <w:tcPr>
            <w:tcW w:w="548" w:type="pct"/>
          </w:tcPr>
          <w:p w14:paraId="106EB2C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CRD42016043584</w:t>
            </w:r>
          </w:p>
        </w:tc>
        <w:tc>
          <w:tcPr>
            <w:tcW w:w="772" w:type="pct"/>
          </w:tcPr>
          <w:p w14:paraId="01CDE05F" w14:textId="533767D6"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 xml:space="preserve">Now published: </w:t>
            </w:r>
            <w:hyperlink r:id="rId55" w:history="1">
              <w:r w:rsidRPr="00D518FF">
                <w:rPr>
                  <w:rFonts w:ascii="Aptos" w:hAnsi="Aptos" w:cs="Arial"/>
                  <w:sz w:val="16"/>
                  <w:szCs w:val="16"/>
                  <w:lang w:eastAsia="en-AU"/>
                </w:rPr>
                <w:t>https://doi.org/10.1016/j.ajog.2016.11.792</w:t>
              </w:r>
            </w:hyperlink>
          </w:p>
          <w:p w14:paraId="52253D71"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Manually reviewed. Excluded at title/abstract</w:t>
            </w:r>
          </w:p>
        </w:tc>
      </w:tr>
      <w:tr w:rsidR="00B83ACB" w:rsidRPr="00D518FF" w14:paraId="74F9A337" w14:textId="77777777" w:rsidTr="00FC62A1">
        <w:trPr>
          <w:trHeight w:val="43"/>
        </w:trPr>
        <w:tc>
          <w:tcPr>
            <w:tcW w:w="595" w:type="pct"/>
          </w:tcPr>
          <w:p w14:paraId="62DDDA8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7415F1B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Omega-3 fatty acids supplementation in patients with peripheral artery disease : a systematic review and meta-analysis</w:t>
            </w:r>
          </w:p>
        </w:tc>
        <w:tc>
          <w:tcPr>
            <w:tcW w:w="901" w:type="pct"/>
          </w:tcPr>
          <w:p w14:paraId="08E6F6EA"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Yingchih cheng, Cheng-We Liu Wei-Cheng Chang MiN- I. Su</w:t>
            </w:r>
          </w:p>
        </w:tc>
        <w:tc>
          <w:tcPr>
            <w:tcW w:w="217" w:type="pct"/>
          </w:tcPr>
          <w:p w14:paraId="1F9B252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2020</w:t>
            </w:r>
          </w:p>
        </w:tc>
        <w:tc>
          <w:tcPr>
            <w:tcW w:w="822" w:type="pct"/>
          </w:tcPr>
          <w:p w14:paraId="1DEE3C11" w14:textId="36873710" w:rsidR="00B83ACB" w:rsidRPr="00D518FF" w:rsidRDefault="00B83ACB" w:rsidP="00B83ACB">
            <w:pPr>
              <w:shd w:val="clear" w:color="auto" w:fill="FFFFFF"/>
              <w:rPr>
                <w:rFonts w:ascii="Aptos" w:hAnsi="Aptos" w:cs="Arial"/>
                <w:sz w:val="16"/>
                <w:szCs w:val="16"/>
                <w:lang w:eastAsia="en-AU"/>
              </w:rPr>
            </w:pPr>
            <w:hyperlink r:id="rId56" w:tgtFrame="_self" w:history="1">
              <w:r w:rsidRPr="00D518FF">
                <w:rPr>
                  <w:rFonts w:ascii="Aptos" w:hAnsi="Aptos"/>
                  <w:sz w:val="16"/>
                  <w:szCs w:val="16"/>
                  <w:lang w:eastAsia="en-AU"/>
                </w:rPr>
                <w:t>https://www.crd.york.ac.uk/prospero/display_record.php?ID=CRD42020168416</w:t>
              </w:r>
            </w:hyperlink>
          </w:p>
        </w:tc>
        <w:tc>
          <w:tcPr>
            <w:tcW w:w="548" w:type="pct"/>
          </w:tcPr>
          <w:p w14:paraId="5783104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CRD42020168416</w:t>
            </w:r>
          </w:p>
        </w:tc>
        <w:tc>
          <w:tcPr>
            <w:tcW w:w="772" w:type="pct"/>
          </w:tcPr>
          <w:p w14:paraId="5A150F52"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57C6601D" w14:textId="77777777" w:rsidTr="00FC62A1">
        <w:trPr>
          <w:trHeight w:val="43"/>
        </w:trPr>
        <w:tc>
          <w:tcPr>
            <w:tcW w:w="595" w:type="pct"/>
          </w:tcPr>
          <w:p w14:paraId="27F75A6F"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57552C10"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Blood pressure lowering efficacy of omega-3 polyunsaturated fatty acid for primary hypertension</w:t>
            </w:r>
          </w:p>
        </w:tc>
        <w:tc>
          <w:tcPr>
            <w:tcW w:w="901" w:type="pct"/>
          </w:tcPr>
          <w:p w14:paraId="7988568C"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Chen, Shuo</w:t>
            </w:r>
          </w:p>
        </w:tc>
        <w:tc>
          <w:tcPr>
            <w:tcW w:w="217" w:type="pct"/>
          </w:tcPr>
          <w:p w14:paraId="7E6D38E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2017</w:t>
            </w:r>
          </w:p>
        </w:tc>
        <w:tc>
          <w:tcPr>
            <w:tcW w:w="822" w:type="pct"/>
          </w:tcPr>
          <w:p w14:paraId="3F2D2CD1" w14:textId="23D1F0C4" w:rsidR="00B83ACB" w:rsidRPr="00D518FF" w:rsidRDefault="00B83ACB" w:rsidP="00B83ACB">
            <w:pPr>
              <w:pStyle w:val="TABLE"/>
              <w:rPr>
                <w:rFonts w:ascii="Aptos" w:hAnsi="Aptos"/>
                <w:sz w:val="16"/>
                <w:szCs w:val="16"/>
                <w:lang w:eastAsia="en-AU"/>
              </w:rPr>
            </w:pPr>
            <w:hyperlink r:id="rId57" w:tgtFrame="_self" w:history="1">
              <w:r w:rsidRPr="00D518FF">
                <w:rPr>
                  <w:rFonts w:ascii="Aptos" w:hAnsi="Aptos"/>
                  <w:sz w:val="16"/>
                  <w:szCs w:val="16"/>
                  <w:lang w:eastAsia="en-AU"/>
                </w:rPr>
                <w:t>https://www.crd.york.ac.uk/prospero/display_record.php?ID=CRD42017072569</w:t>
              </w:r>
            </w:hyperlink>
          </w:p>
        </w:tc>
        <w:tc>
          <w:tcPr>
            <w:tcW w:w="548" w:type="pct"/>
          </w:tcPr>
          <w:p w14:paraId="431D369A"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CRD42017072569</w:t>
            </w:r>
          </w:p>
        </w:tc>
        <w:tc>
          <w:tcPr>
            <w:tcW w:w="772" w:type="pct"/>
          </w:tcPr>
          <w:p w14:paraId="52C48245"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55479F19" w14:textId="77777777" w:rsidTr="00FC62A1">
        <w:trPr>
          <w:trHeight w:val="43"/>
        </w:trPr>
        <w:tc>
          <w:tcPr>
            <w:tcW w:w="595" w:type="pct"/>
          </w:tcPr>
          <w:p w14:paraId="70622A93"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010834C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Does omega-3 PUFAs supplementation improve metabolic syndrome and related cardiovascular diseases? A systematic review and meta-analysis of randomized controlled trials</w:t>
            </w:r>
          </w:p>
        </w:tc>
        <w:tc>
          <w:tcPr>
            <w:tcW w:w="901" w:type="pct"/>
          </w:tcPr>
          <w:p w14:paraId="32DD750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Yongjin Wang, Yandan Wang Gangcheng Wu Xingguo Wang</w:t>
            </w:r>
          </w:p>
        </w:tc>
        <w:tc>
          <w:tcPr>
            <w:tcW w:w="217" w:type="pct"/>
          </w:tcPr>
          <w:p w14:paraId="74DEA8D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2022</w:t>
            </w:r>
          </w:p>
        </w:tc>
        <w:tc>
          <w:tcPr>
            <w:tcW w:w="822" w:type="pct"/>
          </w:tcPr>
          <w:p w14:paraId="1D0020A7" w14:textId="480E49CC" w:rsidR="00B83ACB" w:rsidRPr="00D518FF" w:rsidRDefault="00B83ACB" w:rsidP="00B83ACB">
            <w:pPr>
              <w:pStyle w:val="TABLE"/>
              <w:rPr>
                <w:rFonts w:ascii="Aptos" w:hAnsi="Aptos"/>
                <w:sz w:val="16"/>
                <w:szCs w:val="16"/>
                <w:lang w:eastAsia="en-AU"/>
              </w:rPr>
            </w:pPr>
            <w:hyperlink r:id="rId58" w:tgtFrame="_self" w:history="1">
              <w:r w:rsidRPr="00D518FF">
                <w:rPr>
                  <w:rFonts w:ascii="Aptos" w:hAnsi="Aptos"/>
                  <w:sz w:val="16"/>
                  <w:szCs w:val="16"/>
                  <w:lang w:eastAsia="en-AU"/>
                </w:rPr>
                <w:t>https://www.crd.york.ac.uk/prospero/display_record.php?ID=CRD42022372178</w:t>
              </w:r>
            </w:hyperlink>
          </w:p>
        </w:tc>
        <w:tc>
          <w:tcPr>
            <w:tcW w:w="548" w:type="pct"/>
          </w:tcPr>
          <w:p w14:paraId="28F16F20"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CRD42022372178</w:t>
            </w:r>
          </w:p>
        </w:tc>
        <w:tc>
          <w:tcPr>
            <w:tcW w:w="772" w:type="pct"/>
          </w:tcPr>
          <w:p w14:paraId="5140EAE7" w14:textId="7267D61C"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Now published: DOI: </w:t>
            </w:r>
            <w:hyperlink r:id="rId59" w:tgtFrame="_blank" w:history="1">
              <w:r w:rsidRPr="00D518FF">
                <w:rPr>
                  <w:rFonts w:ascii="Aptos" w:hAnsi="Aptos"/>
                  <w:sz w:val="16"/>
                  <w:szCs w:val="16"/>
                  <w:lang w:eastAsia="en-AU"/>
                </w:rPr>
                <w:t>10.1080/10408398.2023.2212817</w:t>
              </w:r>
            </w:hyperlink>
          </w:p>
          <w:p w14:paraId="4280764F"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Manually reviewed. Duplicate excluded.</w:t>
            </w:r>
          </w:p>
        </w:tc>
      </w:tr>
      <w:tr w:rsidR="00B83ACB" w:rsidRPr="00D518FF" w14:paraId="3C7C3A89" w14:textId="77777777" w:rsidTr="00FC62A1">
        <w:trPr>
          <w:trHeight w:val="43"/>
        </w:trPr>
        <w:tc>
          <w:tcPr>
            <w:tcW w:w="595" w:type="pct"/>
          </w:tcPr>
          <w:p w14:paraId="37AF593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5CFEC30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N-3 polyunsaturated reduce the risk of cardiovascular adverse events in people with type 2 diabetes:Systematic review and meta-analysis</w:t>
            </w:r>
          </w:p>
        </w:tc>
        <w:tc>
          <w:tcPr>
            <w:tcW w:w="901" w:type="pct"/>
          </w:tcPr>
          <w:p w14:paraId="348E111C"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Yuan Xue, Weichao Bao</w:t>
            </w:r>
          </w:p>
        </w:tc>
        <w:tc>
          <w:tcPr>
            <w:tcW w:w="217" w:type="pct"/>
          </w:tcPr>
          <w:p w14:paraId="49331FE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2023</w:t>
            </w:r>
          </w:p>
        </w:tc>
        <w:tc>
          <w:tcPr>
            <w:tcW w:w="822" w:type="pct"/>
          </w:tcPr>
          <w:p w14:paraId="495C0516" w14:textId="559604D5" w:rsidR="00B83ACB" w:rsidRPr="00D518FF" w:rsidRDefault="00B83ACB" w:rsidP="00B83ACB">
            <w:pPr>
              <w:pStyle w:val="TABLE"/>
              <w:rPr>
                <w:rFonts w:ascii="Aptos" w:hAnsi="Aptos"/>
                <w:sz w:val="16"/>
                <w:szCs w:val="16"/>
                <w:lang w:eastAsia="en-AU"/>
              </w:rPr>
            </w:pPr>
            <w:hyperlink r:id="rId60" w:tgtFrame="_self" w:history="1">
              <w:r w:rsidRPr="00D518FF">
                <w:rPr>
                  <w:rFonts w:ascii="Aptos" w:hAnsi="Aptos"/>
                  <w:sz w:val="16"/>
                  <w:szCs w:val="16"/>
                  <w:lang w:eastAsia="en-AU"/>
                </w:rPr>
                <w:t>https://www.crd.york.ac.uk/prospero/display_record.php?ID=CRD42023423045</w:t>
              </w:r>
            </w:hyperlink>
          </w:p>
        </w:tc>
        <w:tc>
          <w:tcPr>
            <w:tcW w:w="548" w:type="pct"/>
          </w:tcPr>
          <w:p w14:paraId="6A3BF5D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CRD42023423045</w:t>
            </w:r>
          </w:p>
        </w:tc>
        <w:tc>
          <w:tcPr>
            <w:tcW w:w="772" w:type="pct"/>
          </w:tcPr>
          <w:p w14:paraId="1953BCBC"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1CAA9C03" w14:textId="77777777" w:rsidTr="00FC62A1">
        <w:trPr>
          <w:trHeight w:val="43"/>
        </w:trPr>
        <w:tc>
          <w:tcPr>
            <w:tcW w:w="595" w:type="pct"/>
          </w:tcPr>
          <w:p w14:paraId="04DE6321"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lastRenderedPageBreak/>
              <w:t>Hypertension</w:t>
            </w:r>
          </w:p>
        </w:tc>
        <w:tc>
          <w:tcPr>
            <w:tcW w:w="1145" w:type="pct"/>
          </w:tcPr>
          <w:p w14:paraId="628D95C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N-3 polyunsaturated reduce the risk of cardiovascular adverse events in people with type 2 diabetes: Systematic review and meta-analysis</w:t>
            </w:r>
          </w:p>
        </w:tc>
        <w:tc>
          <w:tcPr>
            <w:tcW w:w="901" w:type="pct"/>
          </w:tcPr>
          <w:p w14:paraId="6CB87E69"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Rucheng Cheng, Yanyan Mou Zhaojun Lu Weijun Zheng</w:t>
            </w:r>
          </w:p>
        </w:tc>
        <w:tc>
          <w:tcPr>
            <w:tcW w:w="217" w:type="pct"/>
          </w:tcPr>
          <w:p w14:paraId="7CD6710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2020</w:t>
            </w:r>
          </w:p>
        </w:tc>
        <w:tc>
          <w:tcPr>
            <w:tcW w:w="822" w:type="pct"/>
          </w:tcPr>
          <w:p w14:paraId="49BB5FE1" w14:textId="5B6A344F" w:rsidR="00B83ACB" w:rsidRPr="00D518FF" w:rsidRDefault="00B83ACB" w:rsidP="00B83ACB">
            <w:pPr>
              <w:pStyle w:val="TABLE"/>
              <w:rPr>
                <w:rFonts w:ascii="Aptos" w:hAnsi="Aptos"/>
                <w:sz w:val="16"/>
                <w:szCs w:val="16"/>
                <w:lang w:eastAsia="en-AU"/>
              </w:rPr>
            </w:pPr>
            <w:hyperlink r:id="rId61" w:tgtFrame="_self" w:history="1">
              <w:r w:rsidRPr="00D518FF">
                <w:rPr>
                  <w:rFonts w:ascii="Aptos" w:hAnsi="Aptos"/>
                  <w:sz w:val="16"/>
                  <w:szCs w:val="16"/>
                  <w:lang w:eastAsia="en-AU"/>
                </w:rPr>
                <w:t>https://www.crd.york.ac.uk/prospero/display_record.php?ID=CRD42020211872</w:t>
              </w:r>
            </w:hyperlink>
          </w:p>
        </w:tc>
        <w:tc>
          <w:tcPr>
            <w:tcW w:w="548" w:type="pct"/>
          </w:tcPr>
          <w:p w14:paraId="345A0D1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CRD42020211872</w:t>
            </w:r>
          </w:p>
        </w:tc>
        <w:tc>
          <w:tcPr>
            <w:tcW w:w="772" w:type="pct"/>
          </w:tcPr>
          <w:p w14:paraId="7DB4D05E"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3775AAF7" w14:textId="77777777" w:rsidTr="00FC62A1">
        <w:trPr>
          <w:trHeight w:val="43"/>
        </w:trPr>
        <w:tc>
          <w:tcPr>
            <w:tcW w:w="595" w:type="pct"/>
          </w:tcPr>
          <w:p w14:paraId="582FEE4A"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Hypertension</w:t>
            </w:r>
          </w:p>
        </w:tc>
        <w:tc>
          <w:tcPr>
            <w:tcW w:w="1145" w:type="pct"/>
          </w:tcPr>
          <w:p w14:paraId="41D5667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The effects of Omega-3 fatty acids supplementation on blood pressure in hypertensive adults: a systematic review and dose-response meta-analysis of differences in means</w:t>
            </w:r>
          </w:p>
        </w:tc>
        <w:tc>
          <w:tcPr>
            <w:tcW w:w="901" w:type="pct"/>
          </w:tcPr>
          <w:p w14:paraId="32C9F94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Hossein Shahinfar, Sakineh Shabbidar</w:t>
            </w:r>
          </w:p>
        </w:tc>
        <w:tc>
          <w:tcPr>
            <w:tcW w:w="217" w:type="pct"/>
          </w:tcPr>
          <w:p w14:paraId="096C8B7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2021</w:t>
            </w:r>
          </w:p>
        </w:tc>
        <w:tc>
          <w:tcPr>
            <w:tcW w:w="822" w:type="pct"/>
          </w:tcPr>
          <w:p w14:paraId="242ED49B" w14:textId="1FB0747B" w:rsidR="00B83ACB" w:rsidRPr="00D518FF" w:rsidRDefault="00B83ACB" w:rsidP="00B83ACB">
            <w:pPr>
              <w:shd w:val="clear" w:color="auto" w:fill="FFFFFF"/>
              <w:rPr>
                <w:rFonts w:ascii="Aptos" w:hAnsi="Aptos" w:cs="Arial"/>
                <w:sz w:val="16"/>
                <w:szCs w:val="16"/>
                <w:lang w:eastAsia="en-AU"/>
              </w:rPr>
            </w:pPr>
            <w:hyperlink r:id="rId62" w:tgtFrame="_self" w:history="1">
              <w:r w:rsidRPr="00D518FF">
                <w:rPr>
                  <w:rFonts w:ascii="Aptos" w:hAnsi="Aptos" w:cs="Arial"/>
                  <w:sz w:val="16"/>
                  <w:szCs w:val="16"/>
                  <w:lang w:eastAsia="en-AU"/>
                </w:rPr>
                <w:t>https://www.crd.york.ac.uk/prospero/display_record.php?ID=CRD42021266262</w:t>
              </w:r>
            </w:hyperlink>
          </w:p>
          <w:p w14:paraId="339F14A1" w14:textId="77777777" w:rsidR="00B83ACB" w:rsidRPr="00D518FF" w:rsidRDefault="00B83ACB" w:rsidP="00B83ACB">
            <w:pPr>
              <w:shd w:val="clear" w:color="auto" w:fill="FFFFFF"/>
              <w:rPr>
                <w:rFonts w:ascii="Aptos" w:hAnsi="Aptos" w:cs="Arial"/>
                <w:sz w:val="16"/>
                <w:szCs w:val="16"/>
                <w:lang w:eastAsia="en-AU"/>
              </w:rPr>
            </w:pPr>
          </w:p>
        </w:tc>
        <w:tc>
          <w:tcPr>
            <w:tcW w:w="548" w:type="pct"/>
          </w:tcPr>
          <w:p w14:paraId="78E7218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CRD42021266262</w:t>
            </w:r>
          </w:p>
        </w:tc>
        <w:tc>
          <w:tcPr>
            <w:tcW w:w="772" w:type="pct"/>
          </w:tcPr>
          <w:p w14:paraId="55FF1FD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sz w:val="16"/>
                <w:szCs w:val="16"/>
                <w:lang w:eastAsia="en-AU"/>
              </w:rPr>
              <w:t>No publication found. Contacted authors</w:t>
            </w:r>
          </w:p>
        </w:tc>
      </w:tr>
      <w:tr w:rsidR="00B83ACB" w:rsidRPr="00D518FF" w14:paraId="6539E086" w14:textId="77777777" w:rsidTr="00FC62A1">
        <w:trPr>
          <w:trHeight w:val="43"/>
        </w:trPr>
        <w:tc>
          <w:tcPr>
            <w:tcW w:w="595" w:type="pct"/>
          </w:tcPr>
          <w:p w14:paraId="382C851F"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1EFBC35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The impact of eicosapentaenoic and docosahexaenoic acid on measures of arterial pressure: a meta-analysis of randomized-controlled trials protocol</w:t>
            </w:r>
          </w:p>
        </w:tc>
        <w:tc>
          <w:tcPr>
            <w:tcW w:w="901" w:type="pct"/>
          </w:tcPr>
          <w:p w14:paraId="3B829D1A"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David Brennan, John Babraj Sarah Cottin</w:t>
            </w:r>
          </w:p>
        </w:tc>
        <w:tc>
          <w:tcPr>
            <w:tcW w:w="217" w:type="pct"/>
          </w:tcPr>
          <w:p w14:paraId="1CD1D1E1"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2021</w:t>
            </w:r>
          </w:p>
        </w:tc>
        <w:tc>
          <w:tcPr>
            <w:tcW w:w="822" w:type="pct"/>
          </w:tcPr>
          <w:p w14:paraId="386D59A3" w14:textId="1C4577AB" w:rsidR="00B83ACB" w:rsidRPr="00D518FF" w:rsidRDefault="00B83ACB" w:rsidP="00B83ACB">
            <w:pPr>
              <w:shd w:val="clear" w:color="auto" w:fill="FFFFFF"/>
              <w:rPr>
                <w:rFonts w:ascii="Aptos" w:hAnsi="Aptos" w:cs="Arial"/>
                <w:sz w:val="16"/>
                <w:szCs w:val="16"/>
                <w:lang w:eastAsia="en-AU"/>
              </w:rPr>
            </w:pPr>
            <w:hyperlink r:id="rId63" w:tgtFrame="_self" w:history="1">
              <w:r w:rsidRPr="00D518FF">
                <w:rPr>
                  <w:rFonts w:ascii="Aptos" w:hAnsi="Aptos"/>
                  <w:sz w:val="16"/>
                  <w:szCs w:val="16"/>
                  <w:lang w:eastAsia="en-AU"/>
                </w:rPr>
                <w:t>https://www.crd.york.ac.uk/prospero/display_record.php?ID=CRD42021261056</w:t>
              </w:r>
            </w:hyperlink>
          </w:p>
        </w:tc>
        <w:tc>
          <w:tcPr>
            <w:tcW w:w="548" w:type="pct"/>
          </w:tcPr>
          <w:p w14:paraId="5614A53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CRD42021261056</w:t>
            </w:r>
          </w:p>
        </w:tc>
        <w:tc>
          <w:tcPr>
            <w:tcW w:w="772" w:type="pct"/>
          </w:tcPr>
          <w:p w14:paraId="711246FA"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6FDD3410" w14:textId="77777777" w:rsidTr="00FC62A1">
        <w:trPr>
          <w:trHeight w:val="43"/>
        </w:trPr>
        <w:tc>
          <w:tcPr>
            <w:tcW w:w="595" w:type="pct"/>
          </w:tcPr>
          <w:p w14:paraId="786770AF"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335ADB0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Effect of Vitamin D and Omega-3 Fatty Acid Co-supplementation on cardiometabolic risk factors</w:t>
            </w:r>
          </w:p>
        </w:tc>
        <w:tc>
          <w:tcPr>
            <w:tcW w:w="901" w:type="pct"/>
          </w:tcPr>
          <w:p w14:paraId="3F910298"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javad Heshmati, Mojgan Morvaridzadeh</w:t>
            </w:r>
          </w:p>
        </w:tc>
        <w:tc>
          <w:tcPr>
            <w:tcW w:w="217" w:type="pct"/>
          </w:tcPr>
          <w:p w14:paraId="391D4867"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2021</w:t>
            </w:r>
          </w:p>
        </w:tc>
        <w:tc>
          <w:tcPr>
            <w:tcW w:w="822" w:type="pct"/>
          </w:tcPr>
          <w:p w14:paraId="336F6053" w14:textId="049FC10A" w:rsidR="00B83ACB" w:rsidRPr="00D518FF" w:rsidRDefault="00B83ACB" w:rsidP="00B83ACB">
            <w:pPr>
              <w:rPr>
                <w:rFonts w:ascii="Aptos" w:hAnsi="Aptos" w:cs="Arial"/>
                <w:sz w:val="16"/>
                <w:szCs w:val="16"/>
                <w:lang w:eastAsia="en-AU"/>
              </w:rPr>
            </w:pPr>
            <w:hyperlink r:id="rId64" w:tgtFrame="_self" w:history="1">
              <w:r w:rsidRPr="00D518FF">
                <w:rPr>
                  <w:rFonts w:ascii="Aptos" w:hAnsi="Aptos"/>
                  <w:sz w:val="16"/>
                  <w:szCs w:val="16"/>
                  <w:lang w:eastAsia="en-AU"/>
                </w:rPr>
                <w:t>https://www.crd.york.ac.uk/prospero/display_record.php?ID=CRD42021242640</w:t>
              </w:r>
            </w:hyperlink>
          </w:p>
        </w:tc>
        <w:tc>
          <w:tcPr>
            <w:tcW w:w="548" w:type="pct"/>
          </w:tcPr>
          <w:p w14:paraId="52CF1FE0"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CRD42021242640</w:t>
            </w:r>
          </w:p>
        </w:tc>
        <w:tc>
          <w:tcPr>
            <w:tcW w:w="772" w:type="pct"/>
          </w:tcPr>
          <w:p w14:paraId="6F06B867"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5E67C830" w14:textId="77777777" w:rsidTr="00FC62A1">
        <w:trPr>
          <w:trHeight w:val="43"/>
        </w:trPr>
        <w:tc>
          <w:tcPr>
            <w:tcW w:w="595" w:type="pct"/>
          </w:tcPr>
          <w:p w14:paraId="14233257"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254EF61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Comparing the Effects of Docosahexaenoic and Eicosapentaenoic Acids on Cardiovascular Risk Factors: Pairwise and Network Meta-Analyses of Randomized Controlled Trials</w:t>
            </w:r>
          </w:p>
        </w:tc>
        <w:tc>
          <w:tcPr>
            <w:tcW w:w="901" w:type="pct"/>
          </w:tcPr>
          <w:p w14:paraId="6142C86F"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Mohammad hassan sohouli, Farzad Shifar</w:t>
            </w:r>
          </w:p>
        </w:tc>
        <w:tc>
          <w:tcPr>
            <w:tcW w:w="217" w:type="pct"/>
          </w:tcPr>
          <w:p w14:paraId="5A10377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2022</w:t>
            </w:r>
          </w:p>
        </w:tc>
        <w:tc>
          <w:tcPr>
            <w:tcW w:w="822" w:type="pct"/>
          </w:tcPr>
          <w:p w14:paraId="3B2DCF90" w14:textId="08AD1E22" w:rsidR="00B83ACB" w:rsidRPr="00D518FF" w:rsidRDefault="00B83ACB" w:rsidP="00B83ACB">
            <w:pPr>
              <w:shd w:val="clear" w:color="auto" w:fill="FFFFFF"/>
              <w:rPr>
                <w:rFonts w:ascii="Aptos" w:hAnsi="Aptos" w:cs="Arial"/>
                <w:sz w:val="16"/>
                <w:szCs w:val="16"/>
                <w:lang w:eastAsia="en-AU"/>
              </w:rPr>
            </w:pPr>
            <w:hyperlink r:id="rId65" w:tgtFrame="_self" w:history="1">
              <w:r w:rsidRPr="00D518FF">
                <w:rPr>
                  <w:rFonts w:ascii="Aptos" w:hAnsi="Aptos"/>
                  <w:sz w:val="16"/>
                  <w:szCs w:val="16"/>
                  <w:lang w:eastAsia="en-AU"/>
                </w:rPr>
                <w:t>https://www.crd.york.ac.uk/prospero/display_record.php?ID=CRD42022328633</w:t>
              </w:r>
            </w:hyperlink>
          </w:p>
        </w:tc>
        <w:tc>
          <w:tcPr>
            <w:tcW w:w="548" w:type="pct"/>
          </w:tcPr>
          <w:p w14:paraId="6780ABA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CRD42022328633</w:t>
            </w:r>
          </w:p>
        </w:tc>
        <w:tc>
          <w:tcPr>
            <w:tcW w:w="772" w:type="pct"/>
          </w:tcPr>
          <w:p w14:paraId="4E4594BC"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699A15B1" w14:textId="77777777" w:rsidTr="00FC62A1">
        <w:trPr>
          <w:trHeight w:val="43"/>
        </w:trPr>
        <w:tc>
          <w:tcPr>
            <w:tcW w:w="595" w:type="pct"/>
          </w:tcPr>
          <w:p w14:paraId="4E77B5C0"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6184583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Effect of the amount and quality of dietary fat on cardiometabolic risk factors in postmenopausal women: a systematic review and meta-analysis of randomised controlled trials</w:t>
            </w:r>
          </w:p>
        </w:tc>
        <w:tc>
          <w:tcPr>
            <w:tcW w:w="901" w:type="pct"/>
          </w:tcPr>
          <w:p w14:paraId="2D386103"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Joanna Bajerska, Joanna Pieczy≈Ñska Aleksandra Skoczek-Rubi≈Ñska Jakub Noskiewicz Vesna Vuƒçiƒá Aleksandra Arsic Snjezana Petrovic Danijela Ristic-Medic</w:t>
            </w:r>
          </w:p>
        </w:tc>
        <w:tc>
          <w:tcPr>
            <w:tcW w:w="217" w:type="pct"/>
          </w:tcPr>
          <w:p w14:paraId="66EE8AA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2021</w:t>
            </w:r>
          </w:p>
        </w:tc>
        <w:tc>
          <w:tcPr>
            <w:tcW w:w="822" w:type="pct"/>
          </w:tcPr>
          <w:p w14:paraId="684AFFD6" w14:textId="3CA541D7" w:rsidR="00B83ACB" w:rsidRPr="00D518FF" w:rsidRDefault="00B83ACB" w:rsidP="00B83ACB">
            <w:pPr>
              <w:shd w:val="clear" w:color="auto" w:fill="FFFFFF"/>
              <w:rPr>
                <w:rFonts w:ascii="Aptos" w:hAnsi="Aptos" w:cs="Arial"/>
                <w:sz w:val="16"/>
                <w:szCs w:val="16"/>
                <w:lang w:eastAsia="en-AU"/>
              </w:rPr>
            </w:pPr>
            <w:hyperlink r:id="rId66" w:tgtFrame="_self" w:history="1">
              <w:r w:rsidRPr="00D518FF">
                <w:rPr>
                  <w:rFonts w:ascii="Aptos" w:hAnsi="Aptos"/>
                  <w:sz w:val="16"/>
                  <w:szCs w:val="16"/>
                  <w:lang w:eastAsia="en-AU"/>
                </w:rPr>
                <w:t>https://www.crd.york.ac.uk/prospero/display_record.php?ID=CRD42021284814</w:t>
              </w:r>
            </w:hyperlink>
          </w:p>
        </w:tc>
        <w:tc>
          <w:tcPr>
            <w:tcW w:w="548" w:type="pct"/>
          </w:tcPr>
          <w:p w14:paraId="2045B1A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CRD42021284814</w:t>
            </w:r>
          </w:p>
        </w:tc>
        <w:tc>
          <w:tcPr>
            <w:tcW w:w="772" w:type="pct"/>
          </w:tcPr>
          <w:p w14:paraId="2CBCFF47"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477CADE3" w14:textId="77777777" w:rsidTr="00FC62A1">
        <w:trPr>
          <w:trHeight w:val="43"/>
        </w:trPr>
        <w:tc>
          <w:tcPr>
            <w:tcW w:w="595" w:type="pct"/>
          </w:tcPr>
          <w:p w14:paraId="573F0B67"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Hypertension</w:t>
            </w:r>
          </w:p>
        </w:tc>
        <w:tc>
          <w:tcPr>
            <w:tcW w:w="1145" w:type="pct"/>
          </w:tcPr>
          <w:p w14:paraId="28A5620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Impact of n-3 polyunsaturated fatty acid intake in pregnancy on maternal health and birth outcomes: meta-analyses from randomized controlled trials</w:t>
            </w:r>
          </w:p>
        </w:tc>
        <w:tc>
          <w:tcPr>
            <w:tcW w:w="901" w:type="pct"/>
          </w:tcPr>
          <w:p w14:paraId="6BAEB128"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Mona AbdelRahman, marina emad ahmed fathy</w:t>
            </w:r>
          </w:p>
        </w:tc>
        <w:tc>
          <w:tcPr>
            <w:tcW w:w="217" w:type="pct"/>
          </w:tcPr>
          <w:p w14:paraId="27CF4D1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2022</w:t>
            </w:r>
          </w:p>
        </w:tc>
        <w:tc>
          <w:tcPr>
            <w:tcW w:w="822" w:type="pct"/>
          </w:tcPr>
          <w:p w14:paraId="56CCFAB7" w14:textId="1A678B44" w:rsidR="00B83ACB" w:rsidRPr="00D518FF" w:rsidRDefault="00B83ACB" w:rsidP="00B83ACB">
            <w:pPr>
              <w:shd w:val="clear" w:color="auto" w:fill="FFFFFF"/>
              <w:rPr>
                <w:rFonts w:ascii="Aptos" w:hAnsi="Aptos" w:cs="Arial"/>
                <w:sz w:val="16"/>
                <w:szCs w:val="16"/>
                <w:lang w:eastAsia="en-AU"/>
              </w:rPr>
            </w:pPr>
            <w:hyperlink r:id="rId67" w:tgtFrame="_self" w:history="1">
              <w:r w:rsidRPr="00D518FF">
                <w:rPr>
                  <w:rFonts w:ascii="Aptos" w:hAnsi="Aptos"/>
                  <w:sz w:val="16"/>
                  <w:szCs w:val="16"/>
                  <w:lang w:eastAsia="en-AU"/>
                </w:rPr>
                <w:t>https://www.crd.york.ac.uk/prospero/display_record.php?ID=CRD42022314485</w:t>
              </w:r>
            </w:hyperlink>
          </w:p>
        </w:tc>
        <w:tc>
          <w:tcPr>
            <w:tcW w:w="548" w:type="pct"/>
          </w:tcPr>
          <w:p w14:paraId="10BB2164"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CRD42022314485</w:t>
            </w:r>
          </w:p>
        </w:tc>
        <w:tc>
          <w:tcPr>
            <w:tcW w:w="772" w:type="pct"/>
          </w:tcPr>
          <w:p w14:paraId="75FCA3C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Now published: doi: 10.1007/s00404-022-06533-0</w:t>
            </w:r>
          </w:p>
          <w:p w14:paraId="78253C0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Manually reviewed. Duplicate excluded.</w:t>
            </w:r>
          </w:p>
        </w:tc>
      </w:tr>
      <w:tr w:rsidR="00B83ACB" w:rsidRPr="00D518FF" w14:paraId="1155751D" w14:textId="77777777" w:rsidTr="00FC62A1">
        <w:trPr>
          <w:trHeight w:val="43"/>
        </w:trPr>
        <w:tc>
          <w:tcPr>
            <w:tcW w:w="595" w:type="pct"/>
          </w:tcPr>
          <w:p w14:paraId="1527B31C"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Fibromyalgia</w:t>
            </w:r>
            <w:r w:rsidRPr="00D518FF">
              <w:rPr>
                <w:rFonts w:ascii="Aptos" w:hAnsi="Aptos"/>
                <w:sz w:val="16"/>
                <w:szCs w:val="16"/>
                <w:lang w:eastAsia="en-AU"/>
              </w:rPr>
              <w:tab/>
            </w:r>
          </w:p>
        </w:tc>
        <w:tc>
          <w:tcPr>
            <w:tcW w:w="1145" w:type="pct"/>
          </w:tcPr>
          <w:p w14:paraId="2F0F0440"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Magnesium therapy in the treatment of chronic pain: a systematic review</w:t>
            </w:r>
          </w:p>
        </w:tc>
        <w:tc>
          <w:tcPr>
            <w:tcW w:w="901" w:type="pct"/>
          </w:tcPr>
          <w:p w14:paraId="6E22E53D"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Evan Oliver Matthews, Matthew Bryant Aman Ahuja Akhilesh Tiwari</w:t>
            </w:r>
          </w:p>
        </w:tc>
        <w:tc>
          <w:tcPr>
            <w:tcW w:w="217" w:type="pct"/>
          </w:tcPr>
          <w:p w14:paraId="4BC134C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2020</w:t>
            </w:r>
          </w:p>
        </w:tc>
        <w:tc>
          <w:tcPr>
            <w:tcW w:w="822" w:type="pct"/>
          </w:tcPr>
          <w:p w14:paraId="4E123AB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https://www.crd.york.ac.uk/prospero/display_record.php?ID=CRD42020164342</w:t>
            </w:r>
          </w:p>
        </w:tc>
        <w:tc>
          <w:tcPr>
            <w:tcW w:w="548" w:type="pct"/>
          </w:tcPr>
          <w:p w14:paraId="2C634D7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CRD42020164342</w:t>
            </w:r>
          </w:p>
        </w:tc>
        <w:tc>
          <w:tcPr>
            <w:tcW w:w="772" w:type="pct"/>
          </w:tcPr>
          <w:p w14:paraId="789F463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3F76A7E5" w14:textId="77777777" w:rsidTr="00FC62A1">
        <w:trPr>
          <w:trHeight w:val="43"/>
        </w:trPr>
        <w:tc>
          <w:tcPr>
            <w:tcW w:w="595" w:type="pct"/>
          </w:tcPr>
          <w:p w14:paraId="167A97CE"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Fibromyalgia</w:t>
            </w:r>
          </w:p>
        </w:tc>
        <w:tc>
          <w:tcPr>
            <w:tcW w:w="1145" w:type="pct"/>
          </w:tcPr>
          <w:p w14:paraId="781E6B23"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Magnesium intake and its relationship with chronic non- cancer pain in adults: a systematic review</w:t>
            </w:r>
          </w:p>
        </w:tc>
        <w:tc>
          <w:tcPr>
            <w:tcW w:w="901" w:type="pct"/>
          </w:tcPr>
          <w:p w14:paraId="42010B7C"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Gonzalo Altez, Luisa Saravia Estela Skapino</w:t>
            </w:r>
          </w:p>
        </w:tc>
        <w:tc>
          <w:tcPr>
            <w:tcW w:w="217" w:type="pct"/>
          </w:tcPr>
          <w:p w14:paraId="3D2271EF"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2020</w:t>
            </w:r>
          </w:p>
        </w:tc>
        <w:tc>
          <w:tcPr>
            <w:tcW w:w="822" w:type="pct"/>
          </w:tcPr>
          <w:p w14:paraId="6D79A827" w14:textId="6ED38C44" w:rsidR="00B83ACB" w:rsidRPr="00D518FF" w:rsidRDefault="00B83ACB" w:rsidP="00B83ACB">
            <w:pPr>
              <w:pStyle w:val="TABLE"/>
              <w:tabs>
                <w:tab w:val="clear" w:pos="4513"/>
                <w:tab w:val="clear" w:pos="9026"/>
                <w:tab w:val="right" w:pos="1745"/>
              </w:tabs>
              <w:rPr>
                <w:rFonts w:ascii="Aptos" w:hAnsi="Aptos"/>
                <w:sz w:val="16"/>
                <w:szCs w:val="16"/>
                <w:lang w:eastAsia="en-AU"/>
              </w:rPr>
            </w:pPr>
            <w:hyperlink r:id="rId68" w:tgtFrame="_self" w:history="1">
              <w:r w:rsidRPr="00D518FF">
                <w:rPr>
                  <w:rFonts w:ascii="Aptos" w:hAnsi="Aptos"/>
                  <w:sz w:val="16"/>
                  <w:szCs w:val="16"/>
                  <w:lang w:eastAsia="en-AU"/>
                </w:rPr>
                <w:t>https://www.crd.york.ac.uk/prospero/display_record.php?ID=CRD42020197189</w:t>
              </w:r>
            </w:hyperlink>
          </w:p>
        </w:tc>
        <w:tc>
          <w:tcPr>
            <w:tcW w:w="548" w:type="pct"/>
          </w:tcPr>
          <w:p w14:paraId="6F34C133"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CRD42020197189</w:t>
            </w:r>
          </w:p>
        </w:tc>
        <w:tc>
          <w:tcPr>
            <w:tcW w:w="772" w:type="pct"/>
          </w:tcPr>
          <w:p w14:paraId="55E4A40F"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56B95051" w14:textId="77777777" w:rsidTr="00FC62A1">
        <w:trPr>
          <w:trHeight w:val="43"/>
        </w:trPr>
        <w:tc>
          <w:tcPr>
            <w:tcW w:w="595" w:type="pct"/>
          </w:tcPr>
          <w:p w14:paraId="4613CADE"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Fibromyalgia</w:t>
            </w:r>
          </w:p>
        </w:tc>
        <w:tc>
          <w:tcPr>
            <w:tcW w:w="1145" w:type="pct"/>
          </w:tcPr>
          <w:p w14:paraId="005A75DA"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Magnesium for the management of chronic non-cancer pain in adults: a systematic review</w:t>
            </w:r>
          </w:p>
        </w:tc>
        <w:tc>
          <w:tcPr>
            <w:tcW w:w="901" w:type="pct"/>
          </w:tcPr>
          <w:p w14:paraId="2967DF73"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Rex Park, Anthony Ho Gisele Pickering Lars Arendt-Nielsen Ian Gilron</w:t>
            </w:r>
          </w:p>
        </w:tc>
        <w:tc>
          <w:tcPr>
            <w:tcW w:w="217" w:type="pct"/>
          </w:tcPr>
          <w:p w14:paraId="10F3FB8D"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2018</w:t>
            </w:r>
          </w:p>
        </w:tc>
        <w:tc>
          <w:tcPr>
            <w:tcW w:w="822" w:type="pct"/>
          </w:tcPr>
          <w:p w14:paraId="7B05F7A2" w14:textId="15BF0328" w:rsidR="00B83ACB" w:rsidRPr="00D518FF" w:rsidRDefault="00B83ACB" w:rsidP="00B83ACB">
            <w:pPr>
              <w:pStyle w:val="TABLE"/>
              <w:tabs>
                <w:tab w:val="clear" w:pos="4513"/>
                <w:tab w:val="clear" w:pos="9026"/>
                <w:tab w:val="right" w:pos="1745"/>
              </w:tabs>
              <w:rPr>
                <w:rFonts w:ascii="Aptos" w:hAnsi="Aptos"/>
                <w:sz w:val="16"/>
                <w:szCs w:val="16"/>
                <w:lang w:eastAsia="en-AU"/>
              </w:rPr>
            </w:pPr>
            <w:hyperlink r:id="rId69" w:tgtFrame="_self" w:history="1">
              <w:r w:rsidRPr="00D518FF">
                <w:rPr>
                  <w:rFonts w:ascii="Aptos" w:hAnsi="Aptos"/>
                  <w:sz w:val="16"/>
                  <w:szCs w:val="16"/>
                  <w:lang w:eastAsia="en-AU"/>
                </w:rPr>
                <w:t>https://www.crd.york.ac.uk/prospero/display_record.php?ID=CRD42018103284</w:t>
              </w:r>
            </w:hyperlink>
          </w:p>
        </w:tc>
        <w:tc>
          <w:tcPr>
            <w:tcW w:w="548" w:type="pct"/>
          </w:tcPr>
          <w:p w14:paraId="2EF9F086"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CRD42018103284</w:t>
            </w:r>
          </w:p>
        </w:tc>
        <w:tc>
          <w:tcPr>
            <w:tcW w:w="772" w:type="pct"/>
          </w:tcPr>
          <w:p w14:paraId="458D0318" w14:textId="14312D2B"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 xml:space="preserve">Now published: </w:t>
            </w:r>
            <w:hyperlink r:id="rId70" w:history="1">
              <w:r w:rsidRPr="00D518FF">
                <w:rPr>
                  <w:rFonts w:ascii="Aptos" w:hAnsi="Aptos"/>
                  <w:sz w:val="16"/>
                  <w:szCs w:val="16"/>
                  <w:lang w:eastAsia="en-AU"/>
                </w:rPr>
                <w:t>https://doi.org/10.1213/ane.0000000000004673</w:t>
              </w:r>
            </w:hyperlink>
          </w:p>
          <w:p w14:paraId="4DBC9552"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Manually reviewed. Duplicate excluded.</w:t>
            </w:r>
          </w:p>
        </w:tc>
      </w:tr>
      <w:tr w:rsidR="00B83ACB" w:rsidRPr="00D518FF" w14:paraId="5A98A1EB" w14:textId="77777777" w:rsidTr="00FC62A1">
        <w:trPr>
          <w:trHeight w:val="43"/>
        </w:trPr>
        <w:tc>
          <w:tcPr>
            <w:tcW w:w="595" w:type="pct"/>
          </w:tcPr>
          <w:p w14:paraId="1E4B11FD"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lastRenderedPageBreak/>
              <w:t>Recurrent infection/s</w:t>
            </w:r>
          </w:p>
        </w:tc>
        <w:tc>
          <w:tcPr>
            <w:tcW w:w="1145" w:type="pct"/>
          </w:tcPr>
          <w:p w14:paraId="40FDD33A"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Diagnosis, treatment and prevention of exacerbation of cough in chronic bronchitis and COPD</w:t>
            </w:r>
          </w:p>
        </w:tc>
        <w:tc>
          <w:tcPr>
            <w:tcW w:w="901" w:type="pct"/>
          </w:tcPr>
          <w:p w14:paraId="649D3A60"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Mark Maleskar, Priscilla Callahan-Lyon Mark Madison Belinda Ireland</w:t>
            </w:r>
          </w:p>
        </w:tc>
        <w:tc>
          <w:tcPr>
            <w:tcW w:w="217" w:type="pct"/>
          </w:tcPr>
          <w:p w14:paraId="7ED55AB3"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w:t>
            </w:r>
          </w:p>
        </w:tc>
        <w:tc>
          <w:tcPr>
            <w:tcW w:w="822" w:type="pct"/>
          </w:tcPr>
          <w:p w14:paraId="5A057F7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Unable to retrieve protocol or study details</w:t>
            </w:r>
          </w:p>
        </w:tc>
        <w:tc>
          <w:tcPr>
            <w:tcW w:w="548" w:type="pct"/>
          </w:tcPr>
          <w:p w14:paraId="1FF7A43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w:t>
            </w:r>
          </w:p>
        </w:tc>
        <w:tc>
          <w:tcPr>
            <w:tcW w:w="772" w:type="pct"/>
          </w:tcPr>
          <w:p w14:paraId="7A639D5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w:t>
            </w:r>
          </w:p>
        </w:tc>
      </w:tr>
      <w:tr w:rsidR="00B83ACB" w:rsidRPr="00D518FF" w14:paraId="62AE6F62" w14:textId="77777777" w:rsidTr="00FC62A1">
        <w:trPr>
          <w:trHeight w:val="43"/>
        </w:trPr>
        <w:tc>
          <w:tcPr>
            <w:tcW w:w="595" w:type="pct"/>
          </w:tcPr>
          <w:p w14:paraId="2C88A9EF"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Recurrent infection/s</w:t>
            </w:r>
          </w:p>
        </w:tc>
        <w:tc>
          <w:tcPr>
            <w:tcW w:w="1145" w:type="pct"/>
          </w:tcPr>
          <w:p w14:paraId="11EC0F71"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Zinc supplementation and its role in immunity in childhood</w:t>
            </w:r>
          </w:p>
        </w:tc>
        <w:tc>
          <w:tcPr>
            <w:tcW w:w="901" w:type="pct"/>
          </w:tcPr>
          <w:p w14:paraId="28191ED2"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Camila Penso, Elza Mello Sandra Machado</w:t>
            </w:r>
          </w:p>
        </w:tc>
        <w:tc>
          <w:tcPr>
            <w:tcW w:w="217" w:type="pct"/>
          </w:tcPr>
          <w:p w14:paraId="66C01DA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2020</w:t>
            </w:r>
          </w:p>
        </w:tc>
        <w:tc>
          <w:tcPr>
            <w:tcW w:w="822" w:type="pct"/>
          </w:tcPr>
          <w:p w14:paraId="733F694F" w14:textId="765C9A1F" w:rsidR="00B83ACB" w:rsidRPr="00D518FF" w:rsidRDefault="00B83ACB" w:rsidP="00B83ACB">
            <w:pPr>
              <w:shd w:val="clear" w:color="auto" w:fill="FFFFFF"/>
              <w:rPr>
                <w:rFonts w:ascii="Aptos" w:hAnsi="Aptos" w:cs="Arial"/>
                <w:sz w:val="16"/>
                <w:szCs w:val="16"/>
                <w:lang w:eastAsia="en-AU"/>
              </w:rPr>
            </w:pPr>
            <w:hyperlink r:id="rId71" w:tgtFrame="_self" w:history="1">
              <w:r w:rsidRPr="00D518FF">
                <w:rPr>
                  <w:rFonts w:ascii="Aptos" w:hAnsi="Aptos"/>
                  <w:sz w:val="16"/>
                  <w:szCs w:val="16"/>
                  <w:lang w:eastAsia="en-AU"/>
                </w:rPr>
                <w:t>https://www.crd.york.ac.uk/prospero/display_record.php?ID=CRD42020215333</w:t>
              </w:r>
            </w:hyperlink>
          </w:p>
        </w:tc>
        <w:tc>
          <w:tcPr>
            <w:tcW w:w="548" w:type="pct"/>
          </w:tcPr>
          <w:p w14:paraId="62B7F861"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CRD42020215333</w:t>
            </w:r>
          </w:p>
        </w:tc>
        <w:tc>
          <w:tcPr>
            <w:tcW w:w="772" w:type="pct"/>
          </w:tcPr>
          <w:p w14:paraId="46C084A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04892AB4" w14:textId="77777777" w:rsidTr="00FC62A1">
        <w:trPr>
          <w:trHeight w:val="43"/>
        </w:trPr>
        <w:tc>
          <w:tcPr>
            <w:tcW w:w="595" w:type="pct"/>
          </w:tcPr>
          <w:p w14:paraId="58F3E595"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Recurrent infection/s</w:t>
            </w:r>
          </w:p>
        </w:tc>
        <w:tc>
          <w:tcPr>
            <w:tcW w:w="1145" w:type="pct"/>
          </w:tcPr>
          <w:p w14:paraId="1FBB5CF2"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Community based interventions for prevention and control of acute diarrheal disease in children under 5 years of age: an overview of systematic reviews</w:t>
            </w:r>
          </w:p>
        </w:tc>
        <w:tc>
          <w:tcPr>
            <w:tcW w:w="901" w:type="pct"/>
          </w:tcPr>
          <w:p w14:paraId="71E98541"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Jaya Kshatri, Srikanta Kanungo Asit Mansingh Sucharita Panigrahi Sanghamitra Pati</w:t>
            </w:r>
          </w:p>
        </w:tc>
        <w:tc>
          <w:tcPr>
            <w:tcW w:w="217" w:type="pct"/>
          </w:tcPr>
          <w:p w14:paraId="26AA0A8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2020</w:t>
            </w:r>
          </w:p>
        </w:tc>
        <w:tc>
          <w:tcPr>
            <w:tcW w:w="822" w:type="pct"/>
          </w:tcPr>
          <w:p w14:paraId="6463611E" w14:textId="2CF6DB0D" w:rsidR="00B83ACB" w:rsidRPr="00D518FF" w:rsidRDefault="00B83ACB" w:rsidP="00B83ACB">
            <w:pPr>
              <w:shd w:val="clear" w:color="auto" w:fill="FFFFFF"/>
              <w:rPr>
                <w:rFonts w:ascii="Aptos" w:hAnsi="Aptos" w:cs="Arial"/>
                <w:sz w:val="16"/>
                <w:szCs w:val="16"/>
                <w:lang w:eastAsia="en-AU"/>
              </w:rPr>
            </w:pPr>
            <w:hyperlink r:id="rId72" w:tgtFrame="_self" w:history="1">
              <w:r w:rsidRPr="00D518FF">
                <w:rPr>
                  <w:rFonts w:ascii="Aptos" w:hAnsi="Aptos"/>
                  <w:sz w:val="16"/>
                  <w:szCs w:val="16"/>
                  <w:lang w:eastAsia="en-AU"/>
                </w:rPr>
                <w:t>https://www.crd.york.ac.uk/prospero/display_record.php?ID=CRD42020151893</w:t>
              </w:r>
            </w:hyperlink>
          </w:p>
        </w:tc>
        <w:tc>
          <w:tcPr>
            <w:tcW w:w="548" w:type="pct"/>
          </w:tcPr>
          <w:p w14:paraId="5391A7F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CRD42020151893</w:t>
            </w:r>
          </w:p>
        </w:tc>
        <w:tc>
          <w:tcPr>
            <w:tcW w:w="772" w:type="pct"/>
          </w:tcPr>
          <w:p w14:paraId="15E4C5E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0D7198DA" w14:textId="77777777" w:rsidTr="00FC62A1">
        <w:trPr>
          <w:trHeight w:val="43"/>
        </w:trPr>
        <w:tc>
          <w:tcPr>
            <w:tcW w:w="595" w:type="pct"/>
          </w:tcPr>
          <w:p w14:paraId="1D37F191"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Recurrent infection/s</w:t>
            </w:r>
          </w:p>
        </w:tc>
        <w:tc>
          <w:tcPr>
            <w:tcW w:w="1145" w:type="pct"/>
          </w:tcPr>
          <w:p w14:paraId="063B07AB"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Effect of supplementation with zinc on malaria: A systematic review and meta-analysis</w:t>
            </w:r>
          </w:p>
        </w:tc>
        <w:tc>
          <w:tcPr>
            <w:tcW w:w="901" w:type="pct"/>
          </w:tcPr>
          <w:p w14:paraId="21A1E33F" w14:textId="77777777" w:rsidR="00B83ACB" w:rsidRPr="00D518FF" w:rsidRDefault="00B83ACB" w:rsidP="00B83ACB">
            <w:pPr>
              <w:pStyle w:val="TABLE"/>
              <w:tabs>
                <w:tab w:val="clear" w:pos="4513"/>
                <w:tab w:val="clear" w:pos="9026"/>
                <w:tab w:val="right" w:pos="1745"/>
              </w:tabs>
              <w:rPr>
                <w:rFonts w:ascii="Aptos" w:hAnsi="Aptos"/>
                <w:sz w:val="16"/>
                <w:szCs w:val="16"/>
                <w:lang w:eastAsia="en-AU"/>
              </w:rPr>
            </w:pPr>
            <w:r w:rsidRPr="00D518FF">
              <w:rPr>
                <w:rFonts w:ascii="Aptos" w:hAnsi="Aptos"/>
                <w:sz w:val="16"/>
                <w:szCs w:val="16"/>
                <w:lang w:eastAsia="en-AU"/>
              </w:rPr>
              <w:t>Manas Kotepui, Polrat Wilairatana Kwuntida Uthaisar Kotepui Kinley Wangdi Frederick Ramirez Masangkay Wanida Mala</w:t>
            </w:r>
          </w:p>
        </w:tc>
        <w:tc>
          <w:tcPr>
            <w:tcW w:w="217" w:type="pct"/>
          </w:tcPr>
          <w:p w14:paraId="5A979D3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2023</w:t>
            </w:r>
          </w:p>
        </w:tc>
        <w:tc>
          <w:tcPr>
            <w:tcW w:w="822" w:type="pct"/>
          </w:tcPr>
          <w:p w14:paraId="0577ED3A" w14:textId="581AA7BC" w:rsidR="00B83ACB" w:rsidRPr="00D518FF" w:rsidRDefault="00B83ACB" w:rsidP="00B83ACB">
            <w:pPr>
              <w:shd w:val="clear" w:color="auto" w:fill="FFFFFF"/>
              <w:rPr>
                <w:rFonts w:ascii="Aptos" w:hAnsi="Aptos" w:cs="Arial"/>
                <w:sz w:val="16"/>
                <w:szCs w:val="16"/>
                <w:lang w:eastAsia="en-AU"/>
              </w:rPr>
            </w:pPr>
            <w:hyperlink r:id="rId73" w:tgtFrame="_self" w:history="1">
              <w:r w:rsidRPr="00D518FF">
                <w:rPr>
                  <w:rFonts w:ascii="Aptos" w:hAnsi="Aptos" w:cs="Arial"/>
                  <w:sz w:val="16"/>
                  <w:szCs w:val="16"/>
                  <w:lang w:eastAsia="en-AU"/>
                </w:rPr>
                <w:t>https://www.crd.york.ac.uk/prospero/display_record.php?ID=CRD42023424345</w:t>
              </w:r>
            </w:hyperlink>
          </w:p>
        </w:tc>
        <w:tc>
          <w:tcPr>
            <w:tcW w:w="548" w:type="pct"/>
          </w:tcPr>
          <w:p w14:paraId="64D4892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CRD42023424345</w:t>
            </w:r>
          </w:p>
        </w:tc>
        <w:tc>
          <w:tcPr>
            <w:tcW w:w="772" w:type="pct"/>
          </w:tcPr>
          <w:p w14:paraId="489EC17C"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Now published: doi: 10.3390/nu15132855.Manually reviewed. Excluded at title/abstract</w:t>
            </w:r>
          </w:p>
        </w:tc>
      </w:tr>
      <w:tr w:rsidR="00B83ACB" w:rsidRPr="00D518FF" w14:paraId="3473FB40" w14:textId="77777777" w:rsidTr="00FC62A1">
        <w:trPr>
          <w:trHeight w:val="43"/>
        </w:trPr>
        <w:tc>
          <w:tcPr>
            <w:tcW w:w="595" w:type="pct"/>
          </w:tcPr>
          <w:p w14:paraId="5A019EC3"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Recurrent infection/s</w:t>
            </w:r>
          </w:p>
        </w:tc>
        <w:tc>
          <w:tcPr>
            <w:tcW w:w="1145" w:type="pct"/>
          </w:tcPr>
          <w:p w14:paraId="0B348831"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Assessing the effects of micronutrients on viral infection in humans: a systematic review and meta-analysis</w:t>
            </w:r>
          </w:p>
        </w:tc>
        <w:tc>
          <w:tcPr>
            <w:tcW w:w="901" w:type="pct"/>
          </w:tcPr>
          <w:p w14:paraId="7959821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Muhammad Baig, Mir Moafi Madani Samuel Shim Bo Yang Andrew Zullo Tongzhang Zheng Jie Li Wen-Chih Wu Simin Liu</w:t>
            </w:r>
          </w:p>
        </w:tc>
        <w:tc>
          <w:tcPr>
            <w:tcW w:w="217" w:type="pct"/>
          </w:tcPr>
          <w:p w14:paraId="79E162D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2021</w:t>
            </w:r>
          </w:p>
        </w:tc>
        <w:tc>
          <w:tcPr>
            <w:tcW w:w="822" w:type="pct"/>
          </w:tcPr>
          <w:p w14:paraId="569A60F8" w14:textId="7939F538" w:rsidR="00B83ACB" w:rsidRPr="00D518FF" w:rsidRDefault="00B83ACB" w:rsidP="00B83ACB">
            <w:pPr>
              <w:shd w:val="clear" w:color="auto" w:fill="FFFFFF"/>
              <w:rPr>
                <w:rFonts w:ascii="Aptos" w:hAnsi="Aptos" w:cs="Arial"/>
                <w:sz w:val="16"/>
                <w:szCs w:val="16"/>
                <w:lang w:eastAsia="en-AU"/>
              </w:rPr>
            </w:pPr>
            <w:hyperlink r:id="rId74" w:tgtFrame="_self" w:history="1">
              <w:r w:rsidRPr="00D518FF">
                <w:rPr>
                  <w:rFonts w:ascii="Aptos" w:hAnsi="Aptos"/>
                  <w:sz w:val="16"/>
                  <w:szCs w:val="16"/>
                  <w:lang w:eastAsia="en-AU"/>
                </w:rPr>
                <w:t>https://www.crd.york.ac.uk/prospero/display_record.php?ID=CRD42021270615</w:t>
              </w:r>
            </w:hyperlink>
          </w:p>
        </w:tc>
        <w:tc>
          <w:tcPr>
            <w:tcW w:w="548" w:type="pct"/>
          </w:tcPr>
          <w:p w14:paraId="7B86FC3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CRD42021270615</w:t>
            </w:r>
          </w:p>
        </w:tc>
        <w:tc>
          <w:tcPr>
            <w:tcW w:w="772" w:type="pct"/>
          </w:tcPr>
          <w:p w14:paraId="04866F9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sz w:val="16"/>
                <w:szCs w:val="16"/>
                <w:lang w:eastAsia="en-AU"/>
              </w:rPr>
              <w:t>No publication found. Contacted authors</w:t>
            </w:r>
          </w:p>
        </w:tc>
      </w:tr>
      <w:tr w:rsidR="00B83ACB" w:rsidRPr="00D518FF" w14:paraId="0DF3F653" w14:textId="77777777" w:rsidTr="00FC62A1">
        <w:trPr>
          <w:trHeight w:val="43"/>
        </w:trPr>
        <w:tc>
          <w:tcPr>
            <w:tcW w:w="595" w:type="pct"/>
          </w:tcPr>
          <w:p w14:paraId="607AA8B4"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Recurrent infection/s</w:t>
            </w:r>
          </w:p>
        </w:tc>
        <w:tc>
          <w:tcPr>
            <w:tcW w:w="1145" w:type="pct"/>
          </w:tcPr>
          <w:p w14:paraId="5CA6F52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A systematic review and meta-analysis of observation and intervention studies on the prevention of upper respiratory tract infection: implications for the role of nutrient intake</w:t>
            </w:r>
          </w:p>
        </w:tc>
        <w:tc>
          <w:tcPr>
            <w:tcW w:w="901" w:type="pct"/>
          </w:tcPr>
          <w:p w14:paraId="0C17CB5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Tsuyoshi Chiba, Nanae Tanemura Chiharu Nishijima Rie Akamatsu</w:t>
            </w:r>
          </w:p>
        </w:tc>
        <w:tc>
          <w:tcPr>
            <w:tcW w:w="217" w:type="pct"/>
          </w:tcPr>
          <w:p w14:paraId="07E15B5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2020</w:t>
            </w:r>
          </w:p>
        </w:tc>
        <w:tc>
          <w:tcPr>
            <w:tcW w:w="822" w:type="pct"/>
          </w:tcPr>
          <w:p w14:paraId="6B7B01E8" w14:textId="65A2FB80" w:rsidR="00B83ACB" w:rsidRPr="00D518FF" w:rsidRDefault="00B83ACB" w:rsidP="00B83ACB">
            <w:pPr>
              <w:shd w:val="clear" w:color="auto" w:fill="FFFFFF"/>
              <w:rPr>
                <w:rFonts w:ascii="Aptos" w:hAnsi="Aptos" w:cs="Arial"/>
                <w:sz w:val="16"/>
                <w:szCs w:val="16"/>
                <w:lang w:eastAsia="en-AU"/>
              </w:rPr>
            </w:pPr>
            <w:hyperlink r:id="rId75" w:tgtFrame="_self" w:history="1">
              <w:r w:rsidRPr="00D518FF">
                <w:rPr>
                  <w:rFonts w:ascii="Aptos" w:hAnsi="Aptos"/>
                  <w:sz w:val="16"/>
                  <w:szCs w:val="16"/>
                  <w:lang w:eastAsia="en-AU"/>
                </w:rPr>
                <w:t>https://www.crd.york.ac.uk/prospero/display_record.php?ID=CRD42020222530</w:t>
              </w:r>
            </w:hyperlink>
          </w:p>
        </w:tc>
        <w:tc>
          <w:tcPr>
            <w:tcW w:w="548" w:type="pct"/>
          </w:tcPr>
          <w:p w14:paraId="69051C8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CRD42020222530</w:t>
            </w:r>
          </w:p>
        </w:tc>
        <w:tc>
          <w:tcPr>
            <w:tcW w:w="772" w:type="pct"/>
          </w:tcPr>
          <w:p w14:paraId="0424AC5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sz w:val="16"/>
                <w:szCs w:val="16"/>
                <w:lang w:eastAsia="en-AU"/>
              </w:rPr>
              <w:t>No publication found. Contacted authors</w:t>
            </w:r>
          </w:p>
        </w:tc>
      </w:tr>
      <w:tr w:rsidR="00B83ACB" w:rsidRPr="00D518FF" w14:paraId="5CC594D7" w14:textId="77777777" w:rsidTr="00FC62A1">
        <w:trPr>
          <w:trHeight w:val="43"/>
        </w:trPr>
        <w:tc>
          <w:tcPr>
            <w:tcW w:w="595" w:type="pct"/>
          </w:tcPr>
          <w:p w14:paraId="633D7F87"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Recurrent infection/s</w:t>
            </w:r>
          </w:p>
        </w:tc>
        <w:tc>
          <w:tcPr>
            <w:tcW w:w="1145" w:type="pct"/>
          </w:tcPr>
          <w:p w14:paraId="495252C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Zinc supplementation in patients with Cystic fibrosis for respiratory function</w:t>
            </w:r>
          </w:p>
        </w:tc>
        <w:tc>
          <w:tcPr>
            <w:tcW w:w="901" w:type="pct"/>
          </w:tcPr>
          <w:p w14:paraId="763E9C5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Zohaa Shahid, Sandhiya Kumari Nudrat Farheen</w:t>
            </w:r>
          </w:p>
        </w:tc>
        <w:tc>
          <w:tcPr>
            <w:tcW w:w="217" w:type="pct"/>
          </w:tcPr>
          <w:p w14:paraId="5B00C611"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2023</w:t>
            </w:r>
          </w:p>
        </w:tc>
        <w:tc>
          <w:tcPr>
            <w:tcW w:w="822" w:type="pct"/>
          </w:tcPr>
          <w:p w14:paraId="47BB5BCF" w14:textId="7D501B16" w:rsidR="00B83ACB" w:rsidRPr="00D518FF" w:rsidRDefault="00B83ACB" w:rsidP="00B83ACB">
            <w:pPr>
              <w:shd w:val="clear" w:color="auto" w:fill="FFFFFF"/>
              <w:rPr>
                <w:rFonts w:ascii="Aptos" w:hAnsi="Aptos" w:cs="Arial"/>
                <w:sz w:val="16"/>
                <w:szCs w:val="16"/>
                <w:lang w:eastAsia="en-AU"/>
              </w:rPr>
            </w:pPr>
            <w:hyperlink r:id="rId76" w:tgtFrame="_self" w:history="1">
              <w:r w:rsidRPr="00D518FF">
                <w:rPr>
                  <w:rFonts w:ascii="Aptos" w:hAnsi="Aptos"/>
                  <w:sz w:val="16"/>
                  <w:szCs w:val="16"/>
                  <w:lang w:eastAsia="en-AU"/>
                </w:rPr>
                <w:t>https://www.crd.york.ac.uk/prospero/display_record.php?ID=CRD42023388050</w:t>
              </w:r>
            </w:hyperlink>
          </w:p>
        </w:tc>
        <w:tc>
          <w:tcPr>
            <w:tcW w:w="548" w:type="pct"/>
          </w:tcPr>
          <w:p w14:paraId="79BDE1A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CRD42023388050</w:t>
            </w:r>
          </w:p>
        </w:tc>
        <w:tc>
          <w:tcPr>
            <w:tcW w:w="772" w:type="pct"/>
          </w:tcPr>
          <w:p w14:paraId="04877CA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sz w:val="16"/>
                <w:szCs w:val="16"/>
                <w:lang w:eastAsia="en-AU"/>
              </w:rPr>
              <w:t>No publication found. Contacted authors</w:t>
            </w:r>
          </w:p>
        </w:tc>
      </w:tr>
      <w:tr w:rsidR="00B83ACB" w:rsidRPr="00D518FF" w14:paraId="6D66A310" w14:textId="77777777" w:rsidTr="00FC62A1">
        <w:trPr>
          <w:trHeight w:val="43"/>
        </w:trPr>
        <w:tc>
          <w:tcPr>
            <w:tcW w:w="595" w:type="pct"/>
          </w:tcPr>
          <w:p w14:paraId="22EBE036"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Diabetes</w:t>
            </w:r>
          </w:p>
        </w:tc>
        <w:tc>
          <w:tcPr>
            <w:tcW w:w="1145" w:type="pct"/>
          </w:tcPr>
          <w:p w14:paraId="4E0544D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Effects of coenzyme Q10 supplementation on obesity-related metabolic disorders</w:t>
            </w:r>
          </w:p>
        </w:tc>
        <w:tc>
          <w:tcPr>
            <w:tcW w:w="901" w:type="pct"/>
          </w:tcPr>
          <w:p w14:paraId="3B2FDCE7"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Azimeh Izadi</w:t>
            </w:r>
          </w:p>
          <w:p w14:paraId="363A651B" w14:textId="77777777" w:rsidR="00B83ACB" w:rsidRPr="00D518FF" w:rsidRDefault="00B83ACB" w:rsidP="00B83ACB">
            <w:pPr>
              <w:shd w:val="clear" w:color="auto" w:fill="FFFFFF"/>
              <w:rPr>
                <w:rFonts w:ascii="Aptos" w:hAnsi="Aptos" w:cs="Arial"/>
                <w:sz w:val="16"/>
                <w:szCs w:val="16"/>
                <w:lang w:eastAsia="en-AU"/>
              </w:rPr>
            </w:pPr>
          </w:p>
          <w:p w14:paraId="794598D1" w14:textId="77777777" w:rsidR="00B83ACB" w:rsidRPr="00D518FF" w:rsidRDefault="00B83ACB" w:rsidP="00B83ACB">
            <w:pPr>
              <w:shd w:val="clear" w:color="auto" w:fill="FFFFFF"/>
              <w:rPr>
                <w:rFonts w:ascii="Aptos" w:hAnsi="Aptos" w:cs="Arial"/>
                <w:sz w:val="16"/>
                <w:szCs w:val="16"/>
                <w:lang w:eastAsia="en-AU"/>
              </w:rPr>
            </w:pPr>
          </w:p>
        </w:tc>
        <w:tc>
          <w:tcPr>
            <w:tcW w:w="217" w:type="pct"/>
          </w:tcPr>
          <w:p w14:paraId="7E048C3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2018</w:t>
            </w:r>
          </w:p>
        </w:tc>
        <w:tc>
          <w:tcPr>
            <w:tcW w:w="822" w:type="pct"/>
          </w:tcPr>
          <w:p w14:paraId="0F84621E" w14:textId="792FA95D" w:rsidR="00B83ACB" w:rsidRPr="00D518FF" w:rsidRDefault="00B83ACB" w:rsidP="00B83ACB">
            <w:pPr>
              <w:shd w:val="clear" w:color="auto" w:fill="FFFFFF"/>
              <w:rPr>
                <w:rFonts w:ascii="Aptos" w:hAnsi="Aptos" w:cs="Arial"/>
                <w:sz w:val="16"/>
                <w:szCs w:val="16"/>
                <w:lang w:eastAsia="en-AU"/>
              </w:rPr>
            </w:pPr>
            <w:hyperlink r:id="rId77" w:tgtFrame="_self" w:history="1">
              <w:r w:rsidRPr="00D518FF">
                <w:rPr>
                  <w:rFonts w:ascii="Aptos" w:hAnsi="Aptos"/>
                  <w:sz w:val="16"/>
                  <w:szCs w:val="16"/>
                  <w:lang w:eastAsia="en-AU"/>
                </w:rPr>
                <w:t>https://www.crd.york.ac.uk/prospero/display_record.php?ID=CRD42018081367</w:t>
              </w:r>
            </w:hyperlink>
          </w:p>
        </w:tc>
        <w:tc>
          <w:tcPr>
            <w:tcW w:w="548" w:type="pct"/>
          </w:tcPr>
          <w:p w14:paraId="64B4D2A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CRD42018081367</w:t>
            </w:r>
          </w:p>
        </w:tc>
        <w:tc>
          <w:tcPr>
            <w:tcW w:w="772" w:type="pct"/>
          </w:tcPr>
          <w:p w14:paraId="0802C5B0"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508F251F" w14:textId="77777777" w:rsidTr="00FC62A1">
        <w:trPr>
          <w:trHeight w:val="43"/>
        </w:trPr>
        <w:tc>
          <w:tcPr>
            <w:tcW w:w="595" w:type="pct"/>
          </w:tcPr>
          <w:p w14:paraId="158A8A83"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Diabetes</w:t>
            </w:r>
          </w:p>
        </w:tc>
        <w:tc>
          <w:tcPr>
            <w:tcW w:w="1145" w:type="pct"/>
          </w:tcPr>
          <w:p w14:paraId="7EF07411"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Lipoic acid oral supplement in metabolic syndrome: a systematic review and meta-analysis of randomized controlled trials</w:t>
            </w:r>
          </w:p>
        </w:tc>
        <w:tc>
          <w:tcPr>
            <w:tcW w:w="901" w:type="pct"/>
          </w:tcPr>
          <w:p w14:paraId="69A19E05"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Fabiana Moura</w:t>
            </w:r>
          </w:p>
          <w:p w14:paraId="78380ABE" w14:textId="77777777" w:rsidR="00B83ACB" w:rsidRPr="00D518FF" w:rsidRDefault="00B83ACB" w:rsidP="00B83ACB">
            <w:pPr>
              <w:rPr>
                <w:rFonts w:ascii="Aptos" w:hAnsi="Aptos" w:cs="Arial"/>
                <w:sz w:val="16"/>
                <w:szCs w:val="16"/>
                <w:lang w:eastAsia="en-AU"/>
              </w:rPr>
            </w:pPr>
          </w:p>
          <w:p w14:paraId="19010E91" w14:textId="77777777" w:rsidR="00B83ACB" w:rsidRPr="00D518FF" w:rsidRDefault="00B83ACB" w:rsidP="00B83ACB">
            <w:pPr>
              <w:rPr>
                <w:rFonts w:ascii="Aptos" w:hAnsi="Aptos" w:cs="Arial"/>
                <w:sz w:val="16"/>
                <w:szCs w:val="16"/>
                <w:lang w:eastAsia="en-AU"/>
              </w:rPr>
            </w:pPr>
          </w:p>
        </w:tc>
        <w:tc>
          <w:tcPr>
            <w:tcW w:w="217" w:type="pct"/>
          </w:tcPr>
          <w:p w14:paraId="589887BF"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2017</w:t>
            </w:r>
          </w:p>
        </w:tc>
        <w:tc>
          <w:tcPr>
            <w:tcW w:w="822" w:type="pct"/>
          </w:tcPr>
          <w:p w14:paraId="6E9C97A1" w14:textId="029069F8" w:rsidR="00B83ACB" w:rsidRPr="00D518FF" w:rsidRDefault="00B83ACB" w:rsidP="00B83ACB">
            <w:pPr>
              <w:rPr>
                <w:rFonts w:ascii="Aptos" w:hAnsi="Aptos" w:cs="Arial"/>
                <w:sz w:val="16"/>
                <w:szCs w:val="16"/>
                <w:lang w:eastAsia="en-AU"/>
              </w:rPr>
            </w:pPr>
            <w:hyperlink r:id="rId78" w:tgtFrame="_self" w:history="1">
              <w:r w:rsidRPr="00D518FF">
                <w:rPr>
                  <w:rFonts w:ascii="Aptos" w:hAnsi="Aptos"/>
                  <w:sz w:val="16"/>
                  <w:szCs w:val="16"/>
                  <w:lang w:eastAsia="en-AU"/>
                </w:rPr>
                <w:t>https://www.crd.york.ac.uk/prospero/display_record.php?ID=CRD42017063940</w:t>
              </w:r>
            </w:hyperlink>
          </w:p>
        </w:tc>
        <w:tc>
          <w:tcPr>
            <w:tcW w:w="548" w:type="pct"/>
          </w:tcPr>
          <w:p w14:paraId="0871F540"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CRD42017063940</w:t>
            </w:r>
          </w:p>
        </w:tc>
        <w:tc>
          <w:tcPr>
            <w:tcW w:w="772" w:type="pct"/>
          </w:tcPr>
          <w:p w14:paraId="16DA522C"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09C0AE87" w14:textId="77777777" w:rsidTr="00FC62A1">
        <w:trPr>
          <w:trHeight w:val="43"/>
        </w:trPr>
        <w:tc>
          <w:tcPr>
            <w:tcW w:w="595" w:type="pct"/>
          </w:tcPr>
          <w:p w14:paraId="1E8FE683"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Diabetes</w:t>
            </w:r>
          </w:p>
        </w:tc>
        <w:tc>
          <w:tcPr>
            <w:tcW w:w="1145" w:type="pct"/>
          </w:tcPr>
          <w:p w14:paraId="118AF7A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Comparative effects of nutritional supplements on adipokines, oxidative stress and inflammatory markers in adults with metabolic syndrome: a network meta-analysis of randomized controlled trials</w:t>
            </w:r>
          </w:p>
        </w:tc>
        <w:tc>
          <w:tcPr>
            <w:tcW w:w="901" w:type="pct"/>
          </w:tcPr>
          <w:p w14:paraId="1B4C5149"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Gongquan Wang, Bing Du Jiawei Zhai Jiajia Wang</w:t>
            </w:r>
          </w:p>
          <w:p w14:paraId="59D72227" w14:textId="77777777" w:rsidR="00B83ACB" w:rsidRPr="00D518FF" w:rsidRDefault="00B83ACB" w:rsidP="00B83ACB">
            <w:pPr>
              <w:shd w:val="clear" w:color="auto" w:fill="FFFFFF"/>
              <w:rPr>
                <w:rFonts w:ascii="Aptos" w:hAnsi="Aptos" w:cs="Arial"/>
                <w:sz w:val="16"/>
                <w:szCs w:val="16"/>
                <w:lang w:eastAsia="en-AU"/>
              </w:rPr>
            </w:pPr>
          </w:p>
        </w:tc>
        <w:tc>
          <w:tcPr>
            <w:tcW w:w="217" w:type="pct"/>
          </w:tcPr>
          <w:p w14:paraId="2D461AB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2023</w:t>
            </w:r>
          </w:p>
        </w:tc>
        <w:tc>
          <w:tcPr>
            <w:tcW w:w="822" w:type="pct"/>
          </w:tcPr>
          <w:p w14:paraId="757AE10C" w14:textId="73D548FE" w:rsidR="00B83ACB" w:rsidRPr="00D518FF" w:rsidRDefault="00B83ACB" w:rsidP="00B83ACB">
            <w:pPr>
              <w:shd w:val="clear" w:color="auto" w:fill="FFFFFF"/>
              <w:rPr>
                <w:rFonts w:ascii="Aptos" w:hAnsi="Aptos" w:cs="Arial"/>
                <w:sz w:val="16"/>
                <w:szCs w:val="16"/>
                <w:lang w:eastAsia="en-AU"/>
              </w:rPr>
            </w:pPr>
            <w:hyperlink r:id="rId79" w:tgtFrame="_self" w:history="1">
              <w:r w:rsidRPr="00D518FF">
                <w:rPr>
                  <w:rFonts w:ascii="Aptos" w:hAnsi="Aptos"/>
                  <w:sz w:val="16"/>
                  <w:szCs w:val="16"/>
                  <w:lang w:eastAsia="en-AU"/>
                </w:rPr>
                <w:t>https://www.crd.york.ac.uk/prospero/display_record.php?ID=CRD42023417473</w:t>
              </w:r>
            </w:hyperlink>
          </w:p>
        </w:tc>
        <w:tc>
          <w:tcPr>
            <w:tcW w:w="548" w:type="pct"/>
          </w:tcPr>
          <w:p w14:paraId="0618870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CRD42023417473</w:t>
            </w:r>
          </w:p>
        </w:tc>
        <w:tc>
          <w:tcPr>
            <w:tcW w:w="772" w:type="pct"/>
          </w:tcPr>
          <w:p w14:paraId="76006F74"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64B3E6F0" w14:textId="77777777" w:rsidTr="00FC62A1">
        <w:trPr>
          <w:trHeight w:val="43"/>
        </w:trPr>
        <w:tc>
          <w:tcPr>
            <w:tcW w:w="595" w:type="pct"/>
          </w:tcPr>
          <w:p w14:paraId="3FF42E6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Diabetes</w:t>
            </w:r>
          </w:p>
        </w:tc>
        <w:tc>
          <w:tcPr>
            <w:tcW w:w="1145" w:type="pct"/>
          </w:tcPr>
          <w:p w14:paraId="15A542EC"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The effectiveness of alpha-lipoic acid supplementation for type 2 diabetes patients</w:t>
            </w:r>
          </w:p>
        </w:tc>
        <w:tc>
          <w:tcPr>
            <w:tcW w:w="901" w:type="pct"/>
          </w:tcPr>
          <w:p w14:paraId="000503DF" w14:textId="77777777" w:rsidR="00B83ACB" w:rsidRPr="00D518FF" w:rsidRDefault="00B83ACB" w:rsidP="00B83ACB">
            <w:pPr>
              <w:rPr>
                <w:rFonts w:ascii="Aptos" w:hAnsi="Aptos" w:cs="Arial"/>
                <w:sz w:val="16"/>
                <w:szCs w:val="16"/>
                <w:lang w:eastAsia="en-AU"/>
              </w:rPr>
            </w:pPr>
            <w:r w:rsidRPr="00D518FF">
              <w:rPr>
                <w:rFonts w:ascii="Aptos" w:hAnsi="Aptos" w:cs="Arial"/>
                <w:sz w:val="16"/>
                <w:szCs w:val="16"/>
                <w:lang w:eastAsia="en-AU"/>
              </w:rPr>
              <w:t>Kailin Yang, Liuting Zeng, Shiying Zhang</w:t>
            </w:r>
          </w:p>
        </w:tc>
        <w:tc>
          <w:tcPr>
            <w:tcW w:w="217" w:type="pct"/>
          </w:tcPr>
          <w:p w14:paraId="5B7234F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2018</w:t>
            </w:r>
          </w:p>
        </w:tc>
        <w:tc>
          <w:tcPr>
            <w:tcW w:w="822" w:type="pct"/>
          </w:tcPr>
          <w:p w14:paraId="4766AEFD" w14:textId="5EEB3779" w:rsidR="00B83ACB" w:rsidRPr="00D518FF" w:rsidRDefault="00B83ACB" w:rsidP="00B83ACB">
            <w:pPr>
              <w:shd w:val="clear" w:color="auto" w:fill="FFFFFF"/>
              <w:rPr>
                <w:rFonts w:ascii="Aptos" w:hAnsi="Aptos" w:cs="Arial"/>
                <w:sz w:val="16"/>
                <w:szCs w:val="16"/>
                <w:lang w:eastAsia="en-AU"/>
              </w:rPr>
            </w:pPr>
            <w:hyperlink r:id="rId80" w:tgtFrame="_self" w:history="1">
              <w:r w:rsidRPr="00D518FF">
                <w:rPr>
                  <w:rFonts w:ascii="Aptos" w:hAnsi="Aptos"/>
                  <w:sz w:val="16"/>
                  <w:szCs w:val="16"/>
                  <w:lang w:eastAsia="en-AU"/>
                </w:rPr>
                <w:t>https://www.crd.york.ac.uk/prospero/display_record.php?ID=CRD42018088479</w:t>
              </w:r>
            </w:hyperlink>
          </w:p>
        </w:tc>
        <w:tc>
          <w:tcPr>
            <w:tcW w:w="548" w:type="pct"/>
          </w:tcPr>
          <w:p w14:paraId="4953FDA5"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CRD42018088479</w:t>
            </w:r>
          </w:p>
        </w:tc>
        <w:tc>
          <w:tcPr>
            <w:tcW w:w="772" w:type="pct"/>
          </w:tcPr>
          <w:p w14:paraId="363685B3"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26940F0F" w14:textId="77777777" w:rsidTr="00FC62A1">
        <w:trPr>
          <w:trHeight w:val="43"/>
        </w:trPr>
        <w:tc>
          <w:tcPr>
            <w:tcW w:w="595" w:type="pct"/>
          </w:tcPr>
          <w:p w14:paraId="64AF66E4"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lastRenderedPageBreak/>
              <w:t>Diabetes</w:t>
            </w:r>
          </w:p>
        </w:tc>
        <w:tc>
          <w:tcPr>
            <w:tcW w:w="1145" w:type="pct"/>
          </w:tcPr>
          <w:p w14:paraId="380B33A3"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The impact of Coenzyme Q10 on cardiovascular outcomes in diabetic patients: A systematic review and meta-analysis</w:t>
            </w:r>
          </w:p>
        </w:tc>
        <w:tc>
          <w:tcPr>
            <w:tcW w:w="901" w:type="pct"/>
          </w:tcPr>
          <w:p w14:paraId="20C8C2E4"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Phiwayinkosi Dludla, Tawanda M. Nyambuya, Patrick Orlando, Sonia Silvestri, Jacopo Sabbatinelli, Bongani B. Nkambule, Vuyo Mxinwa, Kabelo Mokgalaboni, Johan Louw, Luca Tiano</w:t>
            </w:r>
          </w:p>
        </w:tc>
        <w:tc>
          <w:tcPr>
            <w:tcW w:w="217" w:type="pct"/>
          </w:tcPr>
          <w:p w14:paraId="50E97407"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2020</w:t>
            </w:r>
          </w:p>
        </w:tc>
        <w:tc>
          <w:tcPr>
            <w:tcW w:w="822" w:type="pct"/>
          </w:tcPr>
          <w:p w14:paraId="27150A29" w14:textId="7FD98934" w:rsidR="00B83ACB" w:rsidRPr="00D518FF" w:rsidRDefault="00B83ACB" w:rsidP="00B83ACB">
            <w:pPr>
              <w:pStyle w:val="TABLE"/>
              <w:rPr>
                <w:rFonts w:ascii="Aptos" w:hAnsi="Aptos"/>
                <w:sz w:val="16"/>
                <w:szCs w:val="16"/>
                <w:lang w:eastAsia="en-AU"/>
              </w:rPr>
            </w:pPr>
            <w:hyperlink r:id="rId81" w:tgtFrame="_self" w:history="1">
              <w:r w:rsidRPr="00D518FF">
                <w:rPr>
                  <w:rFonts w:ascii="Aptos" w:hAnsi="Aptos"/>
                  <w:sz w:val="16"/>
                  <w:szCs w:val="16"/>
                  <w:lang w:eastAsia="en-AU"/>
                </w:rPr>
                <w:t>https://www.crd.york.ac.uk/prospero/display_record.php?ID=CRD42020156632</w:t>
              </w:r>
            </w:hyperlink>
          </w:p>
        </w:tc>
        <w:tc>
          <w:tcPr>
            <w:tcW w:w="548" w:type="pct"/>
          </w:tcPr>
          <w:p w14:paraId="6D3383A9"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CRD42020156632</w:t>
            </w:r>
          </w:p>
        </w:tc>
        <w:tc>
          <w:tcPr>
            <w:tcW w:w="772" w:type="pct"/>
          </w:tcPr>
          <w:p w14:paraId="6C4ED025"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Now published; excluded as duplicate.</w:t>
            </w:r>
          </w:p>
        </w:tc>
      </w:tr>
      <w:tr w:rsidR="00B83ACB" w:rsidRPr="00D518FF" w14:paraId="149A1574" w14:textId="77777777" w:rsidTr="00FC62A1">
        <w:trPr>
          <w:trHeight w:val="43"/>
        </w:trPr>
        <w:tc>
          <w:tcPr>
            <w:tcW w:w="595" w:type="pct"/>
          </w:tcPr>
          <w:p w14:paraId="1912706B"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Diabetes</w:t>
            </w:r>
          </w:p>
        </w:tc>
        <w:tc>
          <w:tcPr>
            <w:tcW w:w="1145" w:type="pct"/>
          </w:tcPr>
          <w:p w14:paraId="736F74A9"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Effect of coenzyme q10 in patients with metabolic syndrome</w:t>
            </w:r>
          </w:p>
        </w:tc>
        <w:tc>
          <w:tcPr>
            <w:tcW w:w="901" w:type="pct"/>
          </w:tcPr>
          <w:p w14:paraId="15DB75A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Shrouk Ramadan, Mariam Tarek Desouki, Osama Elzankaly, Ahmed Helmi</w:t>
            </w:r>
          </w:p>
        </w:tc>
        <w:tc>
          <w:tcPr>
            <w:tcW w:w="217" w:type="pct"/>
          </w:tcPr>
          <w:p w14:paraId="1F3D3DB2"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2023</w:t>
            </w:r>
          </w:p>
        </w:tc>
        <w:tc>
          <w:tcPr>
            <w:tcW w:w="822" w:type="pct"/>
          </w:tcPr>
          <w:p w14:paraId="0B7487B8" w14:textId="23F1C6FD" w:rsidR="00B83ACB" w:rsidRPr="00D518FF" w:rsidRDefault="00B83ACB" w:rsidP="00B83ACB">
            <w:pPr>
              <w:shd w:val="clear" w:color="auto" w:fill="FFFFFF"/>
              <w:rPr>
                <w:rFonts w:ascii="Aptos" w:hAnsi="Aptos" w:cs="Arial"/>
                <w:sz w:val="16"/>
                <w:szCs w:val="16"/>
                <w:lang w:eastAsia="en-AU"/>
              </w:rPr>
            </w:pPr>
            <w:hyperlink r:id="rId82" w:tgtFrame="_self" w:history="1">
              <w:r w:rsidRPr="00D518FF">
                <w:rPr>
                  <w:rFonts w:ascii="Aptos" w:hAnsi="Aptos"/>
                  <w:sz w:val="16"/>
                  <w:szCs w:val="16"/>
                  <w:lang w:eastAsia="en-AU"/>
                </w:rPr>
                <w:t>https://www.crd.york.ac.uk/prospero/display_record.php?ID=CRD42023405471</w:t>
              </w:r>
            </w:hyperlink>
          </w:p>
        </w:tc>
        <w:tc>
          <w:tcPr>
            <w:tcW w:w="548" w:type="pct"/>
          </w:tcPr>
          <w:p w14:paraId="10875E3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CRD42023405471</w:t>
            </w:r>
          </w:p>
        </w:tc>
        <w:tc>
          <w:tcPr>
            <w:tcW w:w="772" w:type="pct"/>
          </w:tcPr>
          <w:p w14:paraId="3435F238"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1BDAE43F" w14:textId="77777777" w:rsidTr="00FC62A1">
        <w:trPr>
          <w:trHeight w:val="43"/>
        </w:trPr>
        <w:tc>
          <w:tcPr>
            <w:tcW w:w="595" w:type="pct"/>
          </w:tcPr>
          <w:p w14:paraId="7635C513"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Diabetes</w:t>
            </w:r>
          </w:p>
        </w:tc>
        <w:tc>
          <w:tcPr>
            <w:tcW w:w="1145" w:type="pct"/>
          </w:tcPr>
          <w:p w14:paraId="07D6641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Comparative effects of different types of nutritional supplements on intermediate-disease markers: a network meta-analysis of randomized controlled trials</w:t>
            </w:r>
          </w:p>
        </w:tc>
        <w:tc>
          <w:tcPr>
            <w:tcW w:w="901" w:type="pct"/>
          </w:tcPr>
          <w:p w14:paraId="46CB69E7"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Suocheng Hui, Kai Wang</w:t>
            </w:r>
          </w:p>
          <w:p w14:paraId="04AA93B2" w14:textId="77777777" w:rsidR="00B83ACB" w:rsidRPr="00D518FF" w:rsidRDefault="00B83ACB" w:rsidP="00B83ACB">
            <w:pPr>
              <w:shd w:val="clear" w:color="auto" w:fill="FFFFFF"/>
              <w:rPr>
                <w:rFonts w:ascii="Aptos" w:hAnsi="Aptos" w:cs="Arial"/>
                <w:sz w:val="16"/>
                <w:szCs w:val="16"/>
                <w:lang w:eastAsia="en-AU"/>
              </w:rPr>
            </w:pPr>
          </w:p>
          <w:p w14:paraId="1EF0BFCD" w14:textId="77777777" w:rsidR="00B83ACB" w:rsidRPr="00D518FF" w:rsidRDefault="00B83ACB" w:rsidP="00B83ACB">
            <w:pPr>
              <w:shd w:val="clear" w:color="auto" w:fill="FFFFFF"/>
              <w:rPr>
                <w:rFonts w:ascii="Aptos" w:hAnsi="Aptos" w:cs="Arial"/>
                <w:sz w:val="16"/>
                <w:szCs w:val="16"/>
                <w:lang w:eastAsia="en-AU"/>
              </w:rPr>
            </w:pPr>
          </w:p>
        </w:tc>
        <w:tc>
          <w:tcPr>
            <w:tcW w:w="217" w:type="pct"/>
          </w:tcPr>
          <w:p w14:paraId="14FACE6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2023</w:t>
            </w:r>
          </w:p>
        </w:tc>
        <w:tc>
          <w:tcPr>
            <w:tcW w:w="822" w:type="pct"/>
          </w:tcPr>
          <w:p w14:paraId="74CDF2DA" w14:textId="53885D85" w:rsidR="00B83ACB" w:rsidRPr="00D518FF" w:rsidRDefault="00B83ACB" w:rsidP="00B83ACB">
            <w:pPr>
              <w:shd w:val="clear" w:color="auto" w:fill="FFFFFF"/>
              <w:rPr>
                <w:rFonts w:ascii="Aptos" w:hAnsi="Aptos" w:cs="Arial"/>
                <w:sz w:val="16"/>
                <w:szCs w:val="16"/>
                <w:lang w:eastAsia="en-AU"/>
              </w:rPr>
            </w:pPr>
            <w:hyperlink r:id="rId83" w:tgtFrame="_self" w:history="1">
              <w:r w:rsidRPr="00D518FF">
                <w:rPr>
                  <w:rFonts w:ascii="Aptos" w:hAnsi="Aptos"/>
                  <w:sz w:val="16"/>
                  <w:szCs w:val="16"/>
                  <w:lang w:eastAsia="en-AU"/>
                </w:rPr>
                <w:t>https://www.crd.york.ac.uk/prospero/display_record.php?ID=CRD42023397877</w:t>
              </w:r>
            </w:hyperlink>
          </w:p>
        </w:tc>
        <w:tc>
          <w:tcPr>
            <w:tcW w:w="548" w:type="pct"/>
          </w:tcPr>
          <w:p w14:paraId="1BEA8B6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CRD42023397877</w:t>
            </w:r>
          </w:p>
        </w:tc>
        <w:tc>
          <w:tcPr>
            <w:tcW w:w="772" w:type="pct"/>
          </w:tcPr>
          <w:p w14:paraId="0FF3ED14"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0444BECF" w14:textId="77777777" w:rsidTr="00FC62A1">
        <w:trPr>
          <w:trHeight w:val="43"/>
        </w:trPr>
        <w:tc>
          <w:tcPr>
            <w:tcW w:w="595" w:type="pct"/>
          </w:tcPr>
          <w:p w14:paraId="3772FF6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Diabetes</w:t>
            </w:r>
          </w:p>
        </w:tc>
        <w:tc>
          <w:tcPr>
            <w:tcW w:w="1145" w:type="pct"/>
          </w:tcPr>
          <w:p w14:paraId="51BD0D4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Alpha Lipoic Acid in the treatment of Diabetic Peripheral Neuropathy– A Systematic Review and Meta-Analysis</w:t>
            </w:r>
          </w:p>
        </w:tc>
        <w:tc>
          <w:tcPr>
            <w:tcW w:w="901" w:type="pct"/>
          </w:tcPr>
          <w:p w14:paraId="5CB4189D"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Usha Rani Pingali, Padmaja Mekala, Sireesha Kammila, Sravanasandhya Penugonda, Mohammed Abid Ali</w:t>
            </w:r>
          </w:p>
        </w:tc>
        <w:tc>
          <w:tcPr>
            <w:tcW w:w="217" w:type="pct"/>
          </w:tcPr>
          <w:p w14:paraId="0421307B"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2021</w:t>
            </w:r>
          </w:p>
        </w:tc>
        <w:tc>
          <w:tcPr>
            <w:tcW w:w="822" w:type="pct"/>
          </w:tcPr>
          <w:p w14:paraId="084D9250" w14:textId="0DD5F5A8" w:rsidR="00B83ACB" w:rsidRPr="00D518FF" w:rsidRDefault="00B83ACB" w:rsidP="00B83ACB">
            <w:pPr>
              <w:shd w:val="clear" w:color="auto" w:fill="FFFFFF"/>
              <w:rPr>
                <w:rFonts w:ascii="Aptos" w:hAnsi="Aptos" w:cs="Arial"/>
                <w:sz w:val="16"/>
                <w:szCs w:val="16"/>
                <w:lang w:eastAsia="en-AU"/>
              </w:rPr>
            </w:pPr>
            <w:hyperlink r:id="rId84" w:tgtFrame="_self" w:history="1">
              <w:r w:rsidRPr="00D518FF">
                <w:rPr>
                  <w:rFonts w:ascii="Aptos" w:hAnsi="Aptos"/>
                  <w:sz w:val="16"/>
                  <w:szCs w:val="16"/>
                  <w:lang w:eastAsia="en-AU"/>
                </w:rPr>
                <w:t>https://www.crd.york.ac.uk/prospero/display_record.php?ID=CRD42021284560</w:t>
              </w:r>
            </w:hyperlink>
          </w:p>
        </w:tc>
        <w:tc>
          <w:tcPr>
            <w:tcW w:w="548" w:type="pct"/>
          </w:tcPr>
          <w:p w14:paraId="22F2C04F"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CRD42021284560</w:t>
            </w:r>
          </w:p>
        </w:tc>
        <w:tc>
          <w:tcPr>
            <w:tcW w:w="772" w:type="pct"/>
          </w:tcPr>
          <w:p w14:paraId="55C867D8"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r w:rsidR="00B83ACB" w:rsidRPr="00D518FF" w14:paraId="4BA490E9" w14:textId="77777777" w:rsidTr="00FC62A1">
        <w:trPr>
          <w:trHeight w:val="43"/>
        </w:trPr>
        <w:tc>
          <w:tcPr>
            <w:tcW w:w="595" w:type="pct"/>
          </w:tcPr>
          <w:p w14:paraId="5C58CFE8"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Diabetes</w:t>
            </w:r>
          </w:p>
        </w:tc>
        <w:tc>
          <w:tcPr>
            <w:tcW w:w="1145" w:type="pct"/>
          </w:tcPr>
          <w:p w14:paraId="562CE6C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Effects of coenzyme Q10 supplement on glucose metabolism, lipid profiles, and biomarkers of inflammation: a systematic review and meta-analysis</w:t>
            </w:r>
          </w:p>
        </w:tc>
        <w:tc>
          <w:tcPr>
            <w:tcW w:w="901" w:type="pct"/>
          </w:tcPr>
          <w:p w14:paraId="139E1E90"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zhuo liu, Yufan Song, Yanjing Huang, Runan Hu, Fan Li, Fanru Zhou, Yuli Geng, Mingmin Zhang</w:t>
            </w:r>
          </w:p>
        </w:tc>
        <w:tc>
          <w:tcPr>
            <w:tcW w:w="217" w:type="pct"/>
          </w:tcPr>
          <w:p w14:paraId="34072B9E"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2022</w:t>
            </w:r>
          </w:p>
        </w:tc>
        <w:tc>
          <w:tcPr>
            <w:tcW w:w="822" w:type="pct"/>
          </w:tcPr>
          <w:p w14:paraId="122113CF" w14:textId="0127DAF9" w:rsidR="00B83ACB" w:rsidRPr="00D518FF" w:rsidRDefault="00B83ACB" w:rsidP="00B83ACB">
            <w:pPr>
              <w:shd w:val="clear" w:color="auto" w:fill="FFFFFF"/>
              <w:rPr>
                <w:rFonts w:ascii="Aptos" w:hAnsi="Aptos" w:cs="Arial"/>
                <w:sz w:val="16"/>
                <w:szCs w:val="16"/>
                <w:lang w:eastAsia="en-AU"/>
              </w:rPr>
            </w:pPr>
            <w:hyperlink r:id="rId85" w:tgtFrame="_self" w:history="1">
              <w:r w:rsidRPr="00D518FF">
                <w:rPr>
                  <w:rFonts w:ascii="Aptos" w:hAnsi="Aptos"/>
                  <w:sz w:val="16"/>
                  <w:szCs w:val="16"/>
                  <w:lang w:eastAsia="en-AU"/>
                </w:rPr>
                <w:t>https://www.crd.york.ac.uk/prospero/display_record.php?ID=CRD42022313682</w:t>
              </w:r>
            </w:hyperlink>
          </w:p>
        </w:tc>
        <w:tc>
          <w:tcPr>
            <w:tcW w:w="548" w:type="pct"/>
          </w:tcPr>
          <w:p w14:paraId="1A01A3A6" w14:textId="77777777" w:rsidR="00B83ACB" w:rsidRPr="00D518FF" w:rsidRDefault="00B83ACB" w:rsidP="00B83ACB">
            <w:pPr>
              <w:shd w:val="clear" w:color="auto" w:fill="FFFFFF"/>
              <w:rPr>
                <w:rFonts w:ascii="Aptos" w:hAnsi="Aptos" w:cs="Arial"/>
                <w:sz w:val="16"/>
                <w:szCs w:val="16"/>
                <w:lang w:eastAsia="en-AU"/>
              </w:rPr>
            </w:pPr>
            <w:r w:rsidRPr="00D518FF">
              <w:rPr>
                <w:rFonts w:ascii="Aptos" w:hAnsi="Aptos" w:cs="Arial"/>
                <w:sz w:val="16"/>
                <w:szCs w:val="16"/>
                <w:lang w:eastAsia="en-AU"/>
              </w:rPr>
              <w:t>CRD42022313682</w:t>
            </w:r>
          </w:p>
        </w:tc>
        <w:tc>
          <w:tcPr>
            <w:tcW w:w="772" w:type="pct"/>
          </w:tcPr>
          <w:p w14:paraId="4BEFDAAA" w14:textId="77777777" w:rsidR="00B83ACB" w:rsidRPr="00D518FF" w:rsidRDefault="00B83ACB" w:rsidP="00B83ACB">
            <w:pPr>
              <w:pStyle w:val="TABLE"/>
              <w:rPr>
                <w:rFonts w:ascii="Aptos" w:hAnsi="Aptos"/>
                <w:sz w:val="16"/>
                <w:szCs w:val="16"/>
                <w:lang w:eastAsia="en-AU"/>
              </w:rPr>
            </w:pPr>
            <w:r w:rsidRPr="00D518FF">
              <w:rPr>
                <w:rFonts w:ascii="Aptos" w:hAnsi="Aptos"/>
                <w:sz w:val="16"/>
                <w:szCs w:val="16"/>
                <w:lang w:eastAsia="en-AU"/>
              </w:rPr>
              <w:t>No publication found. Contacted authors</w:t>
            </w:r>
          </w:p>
        </w:tc>
      </w:tr>
    </w:tbl>
    <w:p w14:paraId="202181ED" w14:textId="56F19418" w:rsidR="00597703" w:rsidRPr="00A740A6" w:rsidRDefault="00597703" w:rsidP="00597703">
      <w:pPr>
        <w:pStyle w:val="heading2numbers"/>
        <w:rPr>
          <w:rStyle w:val="Heading1Char"/>
          <w:rFonts w:ascii="Aptos" w:eastAsia="Calibri" w:hAnsi="Aptos"/>
          <w:bCs w:val="0"/>
          <w:color w:val="C00000"/>
          <w:sz w:val="28"/>
          <w:szCs w:val="26"/>
        </w:rPr>
      </w:pPr>
      <w:bookmarkStart w:id="136" w:name="_Toc185254642"/>
      <w:r w:rsidRPr="00A740A6">
        <w:rPr>
          <w:rStyle w:val="Heading1Char"/>
          <w:rFonts w:ascii="Aptos" w:eastAsia="Calibri" w:hAnsi="Aptos"/>
          <w:bCs w:val="0"/>
          <w:color w:val="C00000"/>
          <w:sz w:val="28"/>
          <w:szCs w:val="26"/>
        </w:rPr>
        <w:t xml:space="preserve">Citation details of </w:t>
      </w:r>
      <w:r w:rsidR="006015CD">
        <w:rPr>
          <w:rStyle w:val="Heading1Char"/>
          <w:rFonts w:ascii="Aptos" w:eastAsia="Calibri" w:hAnsi="Aptos"/>
          <w:bCs w:val="0"/>
          <w:color w:val="C00000"/>
          <w:sz w:val="28"/>
          <w:szCs w:val="26"/>
        </w:rPr>
        <w:t>conference abstracts</w:t>
      </w:r>
      <w:bookmarkEnd w:id="136"/>
    </w:p>
    <w:p w14:paraId="17811CCB" w14:textId="1D57BF93" w:rsidR="00296875" w:rsidRDefault="00296875" w:rsidP="00597703">
      <w:pPr>
        <w:pStyle w:val="Caption"/>
        <w:spacing w:before="240"/>
        <w:rPr>
          <w:rFonts w:ascii="Aptos" w:hAnsi="Aptos"/>
          <w:b w:val="0"/>
          <w:bCs w:val="0"/>
        </w:rPr>
      </w:pPr>
      <w:r w:rsidRPr="00296875">
        <w:rPr>
          <w:rFonts w:ascii="Aptos" w:hAnsi="Aptos"/>
          <w:b w:val="0"/>
          <w:bCs w:val="0"/>
        </w:rPr>
        <w:t xml:space="preserve">Citation details of </w:t>
      </w:r>
      <w:r>
        <w:rPr>
          <w:rFonts w:ascii="Aptos" w:hAnsi="Aptos"/>
          <w:b w:val="0"/>
          <w:bCs w:val="0"/>
        </w:rPr>
        <w:t xml:space="preserve">potentially relevant conference abstracts </w:t>
      </w:r>
      <w:r w:rsidRPr="00296875">
        <w:rPr>
          <w:rFonts w:ascii="Aptos" w:hAnsi="Aptos"/>
          <w:b w:val="0"/>
          <w:bCs w:val="0"/>
        </w:rPr>
        <w:t>identified in full-text screening are listed below.</w:t>
      </w:r>
    </w:p>
    <w:p w14:paraId="3BBFC3CD" w14:textId="027065E3" w:rsidR="00597703" w:rsidRPr="004C6AA1" w:rsidRDefault="00597703" w:rsidP="00597703">
      <w:pPr>
        <w:pStyle w:val="Caption"/>
        <w:spacing w:before="240"/>
        <w:rPr>
          <w:rFonts w:ascii="Aptos" w:hAnsi="Aptos"/>
        </w:rPr>
      </w:pPr>
      <w:bookmarkStart w:id="137" w:name="_Toc185254546"/>
      <w:r w:rsidRPr="004C6AA1">
        <w:rPr>
          <w:rFonts w:ascii="Aptos" w:hAnsi="Aptos"/>
        </w:rPr>
        <w:t xml:space="preserve">Table </w:t>
      </w:r>
      <w:r w:rsidRPr="004C6AA1">
        <w:rPr>
          <w:rFonts w:ascii="Aptos" w:hAnsi="Aptos"/>
        </w:rPr>
        <w:fldChar w:fldCharType="begin" w:fldLock="1"/>
      </w:r>
      <w:r w:rsidRPr="004C6AA1">
        <w:rPr>
          <w:rFonts w:ascii="Aptos" w:hAnsi="Aptos"/>
        </w:rPr>
        <w:instrText xml:space="preserve"> STYLEREF 1 \s </w:instrText>
      </w:r>
      <w:r w:rsidRPr="004C6AA1">
        <w:rPr>
          <w:rFonts w:ascii="Aptos" w:hAnsi="Aptos"/>
        </w:rPr>
        <w:fldChar w:fldCharType="separate"/>
      </w:r>
      <w:r w:rsidRPr="004C6AA1">
        <w:rPr>
          <w:rFonts w:ascii="Aptos" w:hAnsi="Aptos"/>
        </w:rPr>
        <w:t>C</w:t>
      </w:r>
      <w:r w:rsidRPr="004C6AA1">
        <w:rPr>
          <w:rFonts w:ascii="Aptos" w:hAnsi="Aptos"/>
        </w:rPr>
        <w:fldChar w:fldCharType="end"/>
      </w:r>
      <w:r w:rsidRPr="004C6AA1">
        <w:rPr>
          <w:rFonts w:ascii="Aptos" w:hAnsi="Aptos"/>
        </w:rPr>
        <w:noBreakHyphen/>
      </w:r>
      <w:r w:rsidRPr="004C6AA1">
        <w:rPr>
          <w:rFonts w:ascii="Aptos" w:hAnsi="Aptos"/>
        </w:rPr>
        <w:fldChar w:fldCharType="begin"/>
      </w:r>
      <w:r w:rsidRPr="004C6AA1">
        <w:rPr>
          <w:rFonts w:ascii="Aptos" w:hAnsi="Aptos"/>
        </w:rPr>
        <w:instrText xml:space="preserve"> SEQ Table \* ARABIC \s 1 </w:instrText>
      </w:r>
      <w:r w:rsidRPr="004C6AA1">
        <w:rPr>
          <w:rFonts w:ascii="Aptos" w:hAnsi="Aptos"/>
        </w:rPr>
        <w:fldChar w:fldCharType="separate"/>
      </w:r>
      <w:r w:rsidR="00C426C6">
        <w:rPr>
          <w:rFonts w:ascii="Aptos" w:hAnsi="Aptos"/>
          <w:noProof/>
        </w:rPr>
        <w:t>19</w:t>
      </w:r>
      <w:r w:rsidRPr="004C6AA1">
        <w:rPr>
          <w:rFonts w:ascii="Aptos" w:hAnsi="Aptos"/>
        </w:rPr>
        <w:fldChar w:fldCharType="end"/>
      </w:r>
      <w:r w:rsidRPr="004C6AA1">
        <w:rPr>
          <w:rFonts w:ascii="Aptos" w:hAnsi="Aptos"/>
        </w:rPr>
        <w:t>.</w:t>
      </w:r>
      <w:r w:rsidRPr="00591DCB">
        <w:rPr>
          <w:rFonts w:ascii="Aptos" w:hAnsi="Aptos"/>
        </w:rPr>
        <w:t xml:space="preserve"> </w:t>
      </w:r>
      <w:r w:rsidRPr="00D518FF">
        <w:rPr>
          <w:rFonts w:ascii="Aptos" w:hAnsi="Aptos"/>
        </w:rPr>
        <w:t xml:space="preserve">Citation details of </w:t>
      </w:r>
      <w:r w:rsidR="00296875">
        <w:rPr>
          <w:rFonts w:ascii="Aptos" w:hAnsi="Aptos"/>
        </w:rPr>
        <w:t>reviews sought for retrieval</w:t>
      </w:r>
      <w:r w:rsidRPr="00D518FF">
        <w:rPr>
          <w:rFonts w:ascii="Aptos" w:hAnsi="Aptos"/>
        </w:rPr>
        <w:t xml:space="preserve"> – </w:t>
      </w:r>
      <w:r w:rsidR="006015CD">
        <w:rPr>
          <w:rFonts w:ascii="Aptos" w:hAnsi="Aptos"/>
        </w:rPr>
        <w:t>conference abstracts</w:t>
      </w:r>
      <w:r>
        <w:rPr>
          <w:rFonts w:ascii="Aptos" w:hAnsi="Aptos"/>
        </w:rPr>
        <w:t>.</w:t>
      </w:r>
      <w:bookmarkEnd w:id="137"/>
    </w:p>
    <w:tbl>
      <w:tblPr>
        <w:tblStyle w:val="TableGrid"/>
        <w:tblW w:w="4974" w:type="pct"/>
        <w:tblLayout w:type="fixed"/>
        <w:tblCellMar>
          <w:top w:w="28" w:type="dxa"/>
          <w:left w:w="57" w:type="dxa"/>
          <w:bottom w:w="28" w:type="dxa"/>
          <w:right w:w="28" w:type="dxa"/>
        </w:tblCellMar>
        <w:tblLook w:val="04A0" w:firstRow="1" w:lastRow="0" w:firstColumn="1" w:lastColumn="0" w:noHBand="0" w:noVBand="1"/>
      </w:tblPr>
      <w:tblGrid>
        <w:gridCol w:w="1694"/>
        <w:gridCol w:w="3829"/>
        <w:gridCol w:w="2834"/>
        <w:gridCol w:w="567"/>
        <w:gridCol w:w="1134"/>
        <w:gridCol w:w="709"/>
        <w:gridCol w:w="567"/>
        <w:gridCol w:w="711"/>
        <w:gridCol w:w="2126"/>
      </w:tblGrid>
      <w:tr w:rsidR="008013A4" w:rsidRPr="00D518FF" w14:paraId="57C0871D" w14:textId="77777777" w:rsidTr="008013A4">
        <w:trPr>
          <w:trHeight w:val="69"/>
          <w:tblHeader/>
        </w:trPr>
        <w:tc>
          <w:tcPr>
            <w:tcW w:w="598" w:type="pct"/>
            <w:shd w:val="clear" w:color="auto" w:fill="D9D9D9" w:themeFill="background1" w:themeFillShade="D9"/>
          </w:tcPr>
          <w:p w14:paraId="46C755AE" w14:textId="77777777" w:rsidR="00AD77D3" w:rsidRPr="00D518FF" w:rsidRDefault="00AD77D3" w:rsidP="002B7F6E">
            <w:pPr>
              <w:rPr>
                <w:rFonts w:ascii="Aptos" w:hAnsi="Aptos"/>
                <w:b/>
                <w:bCs/>
                <w:color w:val="000000"/>
                <w:sz w:val="16"/>
                <w:szCs w:val="16"/>
              </w:rPr>
            </w:pPr>
            <w:r w:rsidRPr="00D518FF">
              <w:rPr>
                <w:rFonts w:ascii="Aptos" w:hAnsi="Aptos"/>
                <w:b/>
                <w:bCs/>
                <w:color w:val="000000"/>
                <w:sz w:val="16"/>
                <w:szCs w:val="16"/>
              </w:rPr>
              <w:t>Priority intervention-population</w:t>
            </w:r>
          </w:p>
        </w:tc>
        <w:tc>
          <w:tcPr>
            <w:tcW w:w="1351" w:type="pct"/>
            <w:shd w:val="clear" w:color="auto" w:fill="D9D9D9" w:themeFill="background1" w:themeFillShade="D9"/>
            <w:noWrap/>
            <w:hideMark/>
          </w:tcPr>
          <w:p w14:paraId="682ED59E" w14:textId="77777777" w:rsidR="00AD77D3" w:rsidRPr="00D518FF" w:rsidRDefault="00AD77D3" w:rsidP="002B7F6E">
            <w:pPr>
              <w:rPr>
                <w:rFonts w:ascii="Aptos" w:hAnsi="Aptos"/>
                <w:b/>
                <w:bCs/>
                <w:color w:val="000000"/>
                <w:sz w:val="16"/>
                <w:szCs w:val="16"/>
              </w:rPr>
            </w:pPr>
            <w:r w:rsidRPr="00D518FF">
              <w:rPr>
                <w:rFonts w:ascii="Aptos" w:hAnsi="Aptos"/>
                <w:b/>
                <w:bCs/>
                <w:color w:val="000000"/>
                <w:sz w:val="16"/>
                <w:szCs w:val="16"/>
              </w:rPr>
              <w:t>Title</w:t>
            </w:r>
          </w:p>
        </w:tc>
        <w:tc>
          <w:tcPr>
            <w:tcW w:w="1000" w:type="pct"/>
            <w:shd w:val="clear" w:color="auto" w:fill="D9D9D9" w:themeFill="background1" w:themeFillShade="D9"/>
            <w:noWrap/>
            <w:hideMark/>
          </w:tcPr>
          <w:p w14:paraId="67C5ED55" w14:textId="77777777" w:rsidR="00AD77D3" w:rsidRPr="00D518FF" w:rsidRDefault="00AD77D3" w:rsidP="002B7F6E">
            <w:pPr>
              <w:rPr>
                <w:rFonts w:ascii="Aptos" w:hAnsi="Aptos"/>
                <w:b/>
                <w:bCs/>
                <w:color w:val="000000"/>
                <w:sz w:val="16"/>
                <w:szCs w:val="16"/>
              </w:rPr>
            </w:pPr>
            <w:r w:rsidRPr="00D518FF">
              <w:rPr>
                <w:rFonts w:ascii="Aptos" w:hAnsi="Aptos"/>
                <w:b/>
                <w:bCs/>
                <w:color w:val="000000"/>
                <w:sz w:val="16"/>
                <w:szCs w:val="16"/>
              </w:rPr>
              <w:t>Authors</w:t>
            </w:r>
          </w:p>
        </w:tc>
        <w:tc>
          <w:tcPr>
            <w:tcW w:w="200" w:type="pct"/>
            <w:shd w:val="clear" w:color="auto" w:fill="D9D9D9" w:themeFill="background1" w:themeFillShade="D9"/>
            <w:noWrap/>
            <w:hideMark/>
          </w:tcPr>
          <w:p w14:paraId="2F2EB50A" w14:textId="77777777" w:rsidR="00AD77D3" w:rsidRPr="00D518FF" w:rsidRDefault="00AD77D3" w:rsidP="002B7F6E">
            <w:pPr>
              <w:rPr>
                <w:rFonts w:ascii="Aptos" w:hAnsi="Aptos"/>
                <w:b/>
                <w:bCs/>
                <w:color w:val="000000"/>
                <w:sz w:val="16"/>
                <w:szCs w:val="16"/>
              </w:rPr>
            </w:pPr>
            <w:r w:rsidRPr="00D518FF">
              <w:rPr>
                <w:rFonts w:ascii="Aptos" w:hAnsi="Aptos"/>
                <w:b/>
                <w:bCs/>
                <w:color w:val="000000"/>
                <w:sz w:val="16"/>
                <w:szCs w:val="16"/>
              </w:rPr>
              <w:t>Year</w:t>
            </w:r>
          </w:p>
        </w:tc>
        <w:tc>
          <w:tcPr>
            <w:tcW w:w="400" w:type="pct"/>
            <w:shd w:val="clear" w:color="auto" w:fill="D9D9D9" w:themeFill="background1" w:themeFillShade="D9"/>
          </w:tcPr>
          <w:p w14:paraId="40259F47" w14:textId="42240D8E" w:rsidR="00AD77D3" w:rsidRPr="00D518FF" w:rsidRDefault="00AD77D3" w:rsidP="002B7F6E">
            <w:pPr>
              <w:rPr>
                <w:rFonts w:ascii="Aptos" w:hAnsi="Aptos"/>
                <w:b/>
                <w:bCs/>
                <w:color w:val="000000"/>
                <w:sz w:val="16"/>
                <w:szCs w:val="16"/>
              </w:rPr>
            </w:pPr>
            <w:r>
              <w:rPr>
                <w:rFonts w:ascii="Aptos" w:hAnsi="Aptos"/>
                <w:b/>
                <w:bCs/>
                <w:color w:val="000000"/>
                <w:sz w:val="16"/>
                <w:szCs w:val="16"/>
              </w:rPr>
              <w:t>Journal</w:t>
            </w:r>
          </w:p>
        </w:tc>
        <w:tc>
          <w:tcPr>
            <w:tcW w:w="250" w:type="pct"/>
            <w:shd w:val="clear" w:color="auto" w:fill="D9D9D9" w:themeFill="background1" w:themeFillShade="D9"/>
          </w:tcPr>
          <w:p w14:paraId="1DA34EB2" w14:textId="54E77E3C" w:rsidR="00AD77D3" w:rsidRDefault="00AD77D3" w:rsidP="002B7F6E">
            <w:pPr>
              <w:rPr>
                <w:rFonts w:ascii="Aptos" w:hAnsi="Aptos"/>
                <w:b/>
                <w:bCs/>
                <w:color w:val="000000"/>
                <w:sz w:val="16"/>
                <w:szCs w:val="16"/>
              </w:rPr>
            </w:pPr>
            <w:r>
              <w:rPr>
                <w:rFonts w:ascii="Aptos" w:hAnsi="Aptos"/>
                <w:b/>
                <w:bCs/>
                <w:color w:val="000000"/>
                <w:sz w:val="16"/>
                <w:szCs w:val="16"/>
              </w:rPr>
              <w:t>Volume</w:t>
            </w:r>
          </w:p>
        </w:tc>
        <w:tc>
          <w:tcPr>
            <w:tcW w:w="200" w:type="pct"/>
            <w:shd w:val="clear" w:color="auto" w:fill="D9D9D9" w:themeFill="background1" w:themeFillShade="D9"/>
          </w:tcPr>
          <w:p w14:paraId="3DB9F0C8" w14:textId="48E2B66D" w:rsidR="00AD77D3" w:rsidRDefault="00AD77D3" w:rsidP="002B7F6E">
            <w:pPr>
              <w:rPr>
                <w:rFonts w:ascii="Aptos" w:hAnsi="Aptos"/>
                <w:b/>
                <w:bCs/>
                <w:color w:val="000000"/>
                <w:sz w:val="16"/>
                <w:szCs w:val="16"/>
              </w:rPr>
            </w:pPr>
            <w:r>
              <w:rPr>
                <w:rFonts w:ascii="Aptos" w:hAnsi="Aptos"/>
                <w:b/>
                <w:bCs/>
                <w:color w:val="000000"/>
                <w:sz w:val="16"/>
                <w:szCs w:val="16"/>
              </w:rPr>
              <w:t>Issue</w:t>
            </w:r>
          </w:p>
        </w:tc>
        <w:tc>
          <w:tcPr>
            <w:tcW w:w="251" w:type="pct"/>
            <w:shd w:val="clear" w:color="auto" w:fill="D9D9D9" w:themeFill="background1" w:themeFillShade="D9"/>
          </w:tcPr>
          <w:p w14:paraId="029DD7EC" w14:textId="3763A2DB" w:rsidR="00AD77D3" w:rsidRDefault="00AD77D3" w:rsidP="002B7F6E">
            <w:pPr>
              <w:rPr>
                <w:rFonts w:ascii="Aptos" w:hAnsi="Aptos"/>
                <w:b/>
                <w:bCs/>
                <w:color w:val="000000"/>
                <w:sz w:val="16"/>
                <w:szCs w:val="16"/>
              </w:rPr>
            </w:pPr>
            <w:r>
              <w:rPr>
                <w:rFonts w:ascii="Aptos" w:hAnsi="Aptos"/>
                <w:b/>
                <w:bCs/>
                <w:color w:val="000000"/>
                <w:sz w:val="16"/>
                <w:szCs w:val="16"/>
              </w:rPr>
              <w:t>Pages</w:t>
            </w:r>
          </w:p>
        </w:tc>
        <w:tc>
          <w:tcPr>
            <w:tcW w:w="750" w:type="pct"/>
            <w:shd w:val="clear" w:color="auto" w:fill="D9D9D9" w:themeFill="background1" w:themeFillShade="D9"/>
            <w:noWrap/>
            <w:hideMark/>
          </w:tcPr>
          <w:p w14:paraId="1A30A898" w14:textId="46057582" w:rsidR="00AD77D3" w:rsidRPr="00D518FF" w:rsidRDefault="002B7F6E" w:rsidP="002B7F6E">
            <w:pPr>
              <w:rPr>
                <w:rFonts w:ascii="Aptos" w:hAnsi="Aptos"/>
                <w:b/>
                <w:bCs/>
                <w:color w:val="000000"/>
                <w:sz w:val="16"/>
                <w:szCs w:val="16"/>
              </w:rPr>
            </w:pPr>
            <w:r>
              <w:rPr>
                <w:rFonts w:ascii="Aptos" w:hAnsi="Aptos"/>
                <w:b/>
                <w:bCs/>
                <w:color w:val="000000"/>
                <w:sz w:val="16"/>
                <w:szCs w:val="16"/>
              </w:rPr>
              <w:t>Details</w:t>
            </w:r>
          </w:p>
        </w:tc>
      </w:tr>
      <w:tr w:rsidR="008013A4" w:rsidRPr="00D518FF" w14:paraId="27AE1C71" w14:textId="77777777" w:rsidTr="008013A4">
        <w:trPr>
          <w:trHeight w:val="49"/>
        </w:trPr>
        <w:tc>
          <w:tcPr>
            <w:tcW w:w="598" w:type="pct"/>
          </w:tcPr>
          <w:p w14:paraId="100C50B5" w14:textId="46E1AF6B" w:rsidR="008A5708" w:rsidRPr="00D518FF" w:rsidRDefault="008A5708" w:rsidP="002B7F6E">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351" w:type="pct"/>
          </w:tcPr>
          <w:p w14:paraId="4380FC2E" w14:textId="55E5CBB1" w:rsidR="008A5708" w:rsidRPr="00D518FF" w:rsidRDefault="008A5708" w:rsidP="002B7F6E">
            <w:pPr>
              <w:pStyle w:val="TABLE"/>
              <w:rPr>
                <w:rFonts w:ascii="Aptos" w:hAnsi="Aptos"/>
                <w:sz w:val="16"/>
                <w:szCs w:val="16"/>
                <w:lang w:eastAsia="en-AU"/>
              </w:rPr>
            </w:pPr>
            <w:r w:rsidRPr="008A5708">
              <w:rPr>
                <w:rFonts w:ascii="Aptos" w:hAnsi="Aptos"/>
                <w:sz w:val="16"/>
                <w:szCs w:val="16"/>
                <w:lang w:eastAsia="en-AU"/>
              </w:rPr>
              <w:t>Effectiveness of probiotics in irritable bowel syndrome: A systematic review with meta-analysis</w:t>
            </w:r>
          </w:p>
        </w:tc>
        <w:tc>
          <w:tcPr>
            <w:tcW w:w="1000" w:type="pct"/>
          </w:tcPr>
          <w:p w14:paraId="4657550A" w14:textId="6BC42F19" w:rsidR="008A5708" w:rsidRPr="00D518FF" w:rsidRDefault="008A5708" w:rsidP="002B7F6E">
            <w:pPr>
              <w:pStyle w:val="TABLE"/>
              <w:rPr>
                <w:rFonts w:ascii="Aptos" w:hAnsi="Aptos"/>
                <w:sz w:val="16"/>
                <w:szCs w:val="16"/>
                <w:lang w:eastAsia="en-AU"/>
              </w:rPr>
            </w:pPr>
            <w:r w:rsidRPr="008A5708">
              <w:rPr>
                <w:rFonts w:ascii="Aptos" w:hAnsi="Aptos"/>
                <w:sz w:val="16"/>
                <w:szCs w:val="16"/>
                <w:lang w:eastAsia="en-AU"/>
              </w:rPr>
              <w:t>Nikfar, S.; Mozafari, S.; Didari, T.; Abdollahi, M.</w:t>
            </w:r>
          </w:p>
        </w:tc>
        <w:tc>
          <w:tcPr>
            <w:tcW w:w="200" w:type="pct"/>
          </w:tcPr>
          <w:p w14:paraId="1F6642CB" w14:textId="604FBE34" w:rsidR="008A5708" w:rsidRPr="00D518FF" w:rsidRDefault="008A5708" w:rsidP="002B7F6E">
            <w:pPr>
              <w:pStyle w:val="TABLE"/>
              <w:rPr>
                <w:rFonts w:ascii="Aptos" w:hAnsi="Aptos"/>
                <w:sz w:val="16"/>
                <w:szCs w:val="16"/>
                <w:lang w:eastAsia="en-AU"/>
              </w:rPr>
            </w:pPr>
            <w:r w:rsidRPr="008A5708">
              <w:rPr>
                <w:rFonts w:ascii="Aptos" w:hAnsi="Aptos"/>
                <w:sz w:val="16"/>
                <w:szCs w:val="16"/>
                <w:lang w:eastAsia="en-AU"/>
              </w:rPr>
              <w:t>2014</w:t>
            </w:r>
          </w:p>
        </w:tc>
        <w:tc>
          <w:tcPr>
            <w:tcW w:w="400" w:type="pct"/>
          </w:tcPr>
          <w:p w14:paraId="0824D45F" w14:textId="7EC1C7BC" w:rsidR="008A5708" w:rsidRPr="00D518FF" w:rsidRDefault="008A5708" w:rsidP="002B7F6E">
            <w:pPr>
              <w:pStyle w:val="TABLE"/>
              <w:rPr>
                <w:rFonts w:ascii="Aptos" w:hAnsi="Aptos"/>
                <w:sz w:val="16"/>
                <w:szCs w:val="16"/>
                <w:lang w:eastAsia="en-AU"/>
              </w:rPr>
            </w:pPr>
            <w:r w:rsidRPr="008A5708">
              <w:rPr>
                <w:rFonts w:ascii="Aptos" w:hAnsi="Aptos"/>
                <w:sz w:val="16"/>
                <w:szCs w:val="16"/>
                <w:lang w:eastAsia="en-AU"/>
              </w:rPr>
              <w:t>Value in Health</w:t>
            </w:r>
          </w:p>
        </w:tc>
        <w:tc>
          <w:tcPr>
            <w:tcW w:w="250" w:type="pct"/>
          </w:tcPr>
          <w:p w14:paraId="4DC58B8A" w14:textId="6B1873FA" w:rsidR="008A5708" w:rsidRPr="00D518FF" w:rsidRDefault="008A5708" w:rsidP="002B7F6E">
            <w:pPr>
              <w:pStyle w:val="TABLE"/>
              <w:rPr>
                <w:rFonts w:ascii="Aptos" w:hAnsi="Aptos"/>
                <w:sz w:val="16"/>
                <w:szCs w:val="16"/>
                <w:lang w:eastAsia="en-AU"/>
              </w:rPr>
            </w:pPr>
            <w:r w:rsidRPr="008A5708">
              <w:rPr>
                <w:rFonts w:ascii="Aptos" w:hAnsi="Aptos"/>
                <w:sz w:val="16"/>
                <w:szCs w:val="16"/>
                <w:lang w:eastAsia="en-AU"/>
              </w:rPr>
              <w:t>17</w:t>
            </w:r>
          </w:p>
        </w:tc>
        <w:tc>
          <w:tcPr>
            <w:tcW w:w="200" w:type="pct"/>
          </w:tcPr>
          <w:p w14:paraId="5081152B" w14:textId="24262141" w:rsidR="008A5708" w:rsidRPr="00D518FF" w:rsidRDefault="008A5708" w:rsidP="002B7F6E">
            <w:pPr>
              <w:pStyle w:val="TABLE"/>
              <w:rPr>
                <w:rFonts w:ascii="Aptos" w:hAnsi="Aptos"/>
                <w:sz w:val="16"/>
                <w:szCs w:val="16"/>
                <w:lang w:eastAsia="en-AU"/>
              </w:rPr>
            </w:pPr>
            <w:r w:rsidRPr="008A5708">
              <w:rPr>
                <w:rFonts w:ascii="Aptos" w:hAnsi="Aptos"/>
                <w:sz w:val="16"/>
                <w:szCs w:val="16"/>
                <w:lang w:eastAsia="en-AU"/>
              </w:rPr>
              <w:t>7</w:t>
            </w:r>
          </w:p>
        </w:tc>
        <w:tc>
          <w:tcPr>
            <w:tcW w:w="251" w:type="pct"/>
          </w:tcPr>
          <w:p w14:paraId="44CF4354" w14:textId="65D66F96" w:rsidR="008A5708" w:rsidRPr="00D518FF" w:rsidRDefault="008A5708" w:rsidP="002B7F6E">
            <w:pPr>
              <w:pStyle w:val="TABLE"/>
              <w:rPr>
                <w:rFonts w:ascii="Aptos" w:hAnsi="Aptos"/>
                <w:sz w:val="16"/>
                <w:szCs w:val="16"/>
                <w:lang w:eastAsia="en-AU"/>
              </w:rPr>
            </w:pPr>
            <w:r w:rsidRPr="008A5708">
              <w:rPr>
                <w:rFonts w:ascii="Aptos" w:hAnsi="Aptos"/>
                <w:sz w:val="16"/>
                <w:szCs w:val="16"/>
                <w:lang w:eastAsia="en-AU"/>
              </w:rPr>
              <w:t>A363</w:t>
            </w:r>
          </w:p>
        </w:tc>
        <w:tc>
          <w:tcPr>
            <w:tcW w:w="750" w:type="pct"/>
          </w:tcPr>
          <w:p w14:paraId="1CACAE79" w14:textId="2AA6A7C0" w:rsidR="008A5708" w:rsidRPr="00D518FF" w:rsidRDefault="00687F89" w:rsidP="002B7F6E">
            <w:pPr>
              <w:pStyle w:val="TABLE"/>
              <w:rPr>
                <w:rFonts w:ascii="Aptos" w:hAnsi="Aptos"/>
                <w:sz w:val="16"/>
                <w:szCs w:val="16"/>
                <w:lang w:eastAsia="en-AU"/>
              </w:rPr>
            </w:pPr>
            <w:r>
              <w:rPr>
                <w:rFonts w:ascii="Aptos" w:hAnsi="Aptos"/>
                <w:sz w:val="16"/>
                <w:szCs w:val="16"/>
                <w:lang w:eastAsia="en-AU"/>
              </w:rPr>
              <w:t>Conference abstract; full-text published and included in full-text review</w:t>
            </w:r>
          </w:p>
        </w:tc>
      </w:tr>
      <w:tr w:rsidR="008013A4" w:rsidRPr="00D518FF" w14:paraId="47BD38B5" w14:textId="77777777" w:rsidTr="008013A4">
        <w:trPr>
          <w:trHeight w:val="39"/>
        </w:trPr>
        <w:tc>
          <w:tcPr>
            <w:tcW w:w="598" w:type="pct"/>
          </w:tcPr>
          <w:p w14:paraId="5D85F5A3" w14:textId="19584365" w:rsidR="00687F89" w:rsidRPr="00D518FF" w:rsidRDefault="00687F89" w:rsidP="002B7F6E">
            <w:pPr>
              <w:pStyle w:val="TABLE"/>
              <w:rPr>
                <w:rFonts w:ascii="Aptos" w:hAnsi="Aptos"/>
                <w:sz w:val="16"/>
                <w:szCs w:val="16"/>
                <w:lang w:eastAsia="en-AU"/>
              </w:rPr>
            </w:pPr>
            <w:r w:rsidRPr="00D518FF">
              <w:rPr>
                <w:rFonts w:ascii="Aptos" w:hAnsi="Aptos"/>
                <w:sz w:val="16"/>
                <w:szCs w:val="16"/>
                <w:lang w:eastAsia="en-AU"/>
              </w:rPr>
              <w:t>Irritable bowel syndrome, probiotics</w:t>
            </w:r>
          </w:p>
        </w:tc>
        <w:tc>
          <w:tcPr>
            <w:tcW w:w="1351" w:type="pct"/>
          </w:tcPr>
          <w:p w14:paraId="772D5F34" w14:textId="6E40AEEC" w:rsidR="00687F89" w:rsidRPr="00D518FF" w:rsidRDefault="00687F89" w:rsidP="002B7F6E">
            <w:pPr>
              <w:pStyle w:val="TABLE"/>
              <w:rPr>
                <w:rFonts w:ascii="Aptos" w:hAnsi="Aptos"/>
                <w:sz w:val="16"/>
                <w:szCs w:val="16"/>
                <w:lang w:eastAsia="en-AU"/>
              </w:rPr>
            </w:pPr>
            <w:r w:rsidRPr="008A5708">
              <w:rPr>
                <w:rFonts w:ascii="Aptos" w:hAnsi="Aptos"/>
                <w:sz w:val="16"/>
                <w:szCs w:val="16"/>
                <w:lang w:eastAsia="en-AU"/>
              </w:rPr>
              <w:t>Comparative efficacy of probiotics for treatment of irritable bowel syndrome in children and adults: A systematic review and meta-analysis</w:t>
            </w:r>
          </w:p>
        </w:tc>
        <w:tc>
          <w:tcPr>
            <w:tcW w:w="1000" w:type="pct"/>
          </w:tcPr>
          <w:p w14:paraId="22AA4ACC" w14:textId="4283925D" w:rsidR="00687F89" w:rsidRPr="00D518FF" w:rsidRDefault="00687F89" w:rsidP="002B7F6E">
            <w:pPr>
              <w:pStyle w:val="TABLE"/>
              <w:rPr>
                <w:rFonts w:ascii="Aptos" w:hAnsi="Aptos"/>
                <w:sz w:val="16"/>
                <w:szCs w:val="16"/>
                <w:lang w:eastAsia="en-AU"/>
              </w:rPr>
            </w:pPr>
            <w:r w:rsidRPr="008A5708">
              <w:rPr>
                <w:rFonts w:ascii="Aptos" w:hAnsi="Aptos"/>
                <w:sz w:val="16"/>
                <w:szCs w:val="16"/>
                <w:lang w:eastAsia="en-AU"/>
              </w:rPr>
              <w:t>Lo Vecchio, A.; Chiatto, F.; Viscovo, S.; Bruzzese, E.; Bruzzese, D.; Giannattasio, A.; Guarino, A.</w:t>
            </w:r>
          </w:p>
        </w:tc>
        <w:tc>
          <w:tcPr>
            <w:tcW w:w="200" w:type="pct"/>
          </w:tcPr>
          <w:p w14:paraId="7A044627" w14:textId="4C92D293" w:rsidR="00687F89" w:rsidRPr="00D518FF" w:rsidRDefault="00687F89" w:rsidP="002B7F6E">
            <w:pPr>
              <w:pStyle w:val="TABLE"/>
              <w:rPr>
                <w:rFonts w:ascii="Aptos" w:hAnsi="Aptos"/>
                <w:sz w:val="16"/>
                <w:szCs w:val="16"/>
                <w:lang w:eastAsia="en-AU"/>
              </w:rPr>
            </w:pPr>
            <w:r w:rsidRPr="008A5708">
              <w:rPr>
                <w:rFonts w:ascii="Aptos" w:hAnsi="Aptos"/>
                <w:sz w:val="16"/>
                <w:szCs w:val="16"/>
                <w:lang w:eastAsia="en-AU"/>
              </w:rPr>
              <w:t>2014</w:t>
            </w:r>
          </w:p>
        </w:tc>
        <w:tc>
          <w:tcPr>
            <w:tcW w:w="400" w:type="pct"/>
          </w:tcPr>
          <w:p w14:paraId="00D0EED8" w14:textId="6E83B770" w:rsidR="00687F89" w:rsidRPr="00D518FF" w:rsidRDefault="00687F89" w:rsidP="002B7F6E">
            <w:pPr>
              <w:pStyle w:val="TABLE"/>
              <w:rPr>
                <w:rFonts w:ascii="Aptos" w:hAnsi="Aptos"/>
                <w:sz w:val="16"/>
                <w:szCs w:val="16"/>
                <w:lang w:eastAsia="en-AU"/>
              </w:rPr>
            </w:pPr>
            <w:r w:rsidRPr="008A5708">
              <w:rPr>
                <w:rFonts w:ascii="Aptos" w:hAnsi="Aptos"/>
                <w:sz w:val="16"/>
                <w:szCs w:val="16"/>
                <w:lang w:eastAsia="en-AU"/>
              </w:rPr>
              <w:t>Digestive and Liver Disease</w:t>
            </w:r>
          </w:p>
        </w:tc>
        <w:tc>
          <w:tcPr>
            <w:tcW w:w="250" w:type="pct"/>
          </w:tcPr>
          <w:p w14:paraId="088EA4D4" w14:textId="4E213DBF" w:rsidR="00687F89" w:rsidRPr="00D518FF" w:rsidRDefault="00687F89" w:rsidP="002B7F6E">
            <w:pPr>
              <w:pStyle w:val="TABLE"/>
              <w:rPr>
                <w:rFonts w:ascii="Aptos" w:hAnsi="Aptos"/>
                <w:sz w:val="16"/>
                <w:szCs w:val="16"/>
                <w:lang w:eastAsia="en-AU"/>
              </w:rPr>
            </w:pPr>
            <w:r w:rsidRPr="008A5708">
              <w:rPr>
                <w:rFonts w:ascii="Aptos" w:hAnsi="Aptos"/>
                <w:sz w:val="16"/>
                <w:szCs w:val="16"/>
                <w:lang w:eastAsia="en-AU"/>
              </w:rPr>
              <w:t>46</w:t>
            </w:r>
          </w:p>
        </w:tc>
        <w:tc>
          <w:tcPr>
            <w:tcW w:w="200" w:type="pct"/>
          </w:tcPr>
          <w:p w14:paraId="04B6E9D5" w14:textId="1334BC5C" w:rsidR="00687F89" w:rsidRPr="00D518FF" w:rsidRDefault="00687F89" w:rsidP="002B7F6E">
            <w:pPr>
              <w:pStyle w:val="TABLE"/>
              <w:rPr>
                <w:rFonts w:ascii="Aptos" w:hAnsi="Aptos"/>
                <w:sz w:val="16"/>
                <w:szCs w:val="16"/>
                <w:lang w:eastAsia="en-AU"/>
              </w:rPr>
            </w:pPr>
          </w:p>
        </w:tc>
        <w:tc>
          <w:tcPr>
            <w:tcW w:w="251" w:type="pct"/>
          </w:tcPr>
          <w:p w14:paraId="16B8B86B" w14:textId="05A323BB" w:rsidR="00687F89" w:rsidRPr="00D518FF" w:rsidRDefault="00687F89" w:rsidP="002B7F6E">
            <w:pPr>
              <w:pStyle w:val="TABLE"/>
              <w:rPr>
                <w:rFonts w:ascii="Aptos" w:hAnsi="Aptos"/>
                <w:sz w:val="16"/>
                <w:szCs w:val="16"/>
                <w:lang w:eastAsia="en-AU"/>
              </w:rPr>
            </w:pPr>
            <w:r w:rsidRPr="008A5708">
              <w:rPr>
                <w:rFonts w:ascii="Aptos" w:hAnsi="Aptos"/>
                <w:sz w:val="16"/>
                <w:szCs w:val="16"/>
                <w:lang w:eastAsia="en-AU"/>
              </w:rPr>
              <w:t>e124-e125</w:t>
            </w:r>
          </w:p>
        </w:tc>
        <w:tc>
          <w:tcPr>
            <w:tcW w:w="750" w:type="pct"/>
          </w:tcPr>
          <w:p w14:paraId="61710442" w14:textId="4D1659AF" w:rsidR="00687F89" w:rsidRPr="00D518FF" w:rsidRDefault="00687F89" w:rsidP="002B7F6E">
            <w:pPr>
              <w:pStyle w:val="TABLE"/>
              <w:rPr>
                <w:rFonts w:ascii="Aptos" w:hAnsi="Aptos"/>
                <w:sz w:val="16"/>
                <w:szCs w:val="16"/>
                <w:lang w:eastAsia="en-AU"/>
              </w:rPr>
            </w:pPr>
            <w:r>
              <w:rPr>
                <w:rFonts w:ascii="Aptos" w:hAnsi="Aptos"/>
                <w:sz w:val="16"/>
                <w:szCs w:val="16"/>
                <w:lang w:eastAsia="en-AU"/>
              </w:rPr>
              <w:t>Conference abstract; full-text published and included in full-text review</w:t>
            </w:r>
          </w:p>
        </w:tc>
      </w:tr>
    </w:tbl>
    <w:p w14:paraId="400A9DE2" w14:textId="77777777" w:rsidR="00597703" w:rsidRDefault="00597703" w:rsidP="008F3151">
      <w:pPr>
        <w:pStyle w:val="2024TABLECAPTION"/>
        <w:spacing w:before="120"/>
        <w:rPr>
          <w:rFonts w:ascii="Aptos" w:hAnsi="Aptos"/>
        </w:rPr>
        <w:sectPr w:rsidR="00597703" w:rsidSect="0046678E">
          <w:pgSz w:w="16838" w:h="11906" w:orient="landscape"/>
          <w:pgMar w:top="1378" w:right="1210" w:bottom="1314" w:left="1373" w:header="708" w:footer="708" w:gutter="0"/>
          <w:cols w:space="708"/>
          <w:docGrid w:linePitch="360"/>
        </w:sectPr>
      </w:pPr>
    </w:p>
    <w:p w14:paraId="16A6BB87" w14:textId="2B563AB3" w:rsidR="000B4BA9" w:rsidRPr="00A740A6" w:rsidRDefault="00810A28" w:rsidP="00D518FF">
      <w:pPr>
        <w:pStyle w:val="Heading1"/>
        <w:spacing w:line="240" w:lineRule="auto"/>
        <w:ind w:left="0" w:firstLine="0"/>
        <w:rPr>
          <w:rStyle w:val="Heading1Char"/>
          <w:rFonts w:ascii="Aptos" w:hAnsi="Aptos"/>
          <w:b/>
          <w:bCs/>
          <w:color w:val="C00000"/>
          <w:szCs w:val="32"/>
        </w:rPr>
      </w:pPr>
      <w:bookmarkStart w:id="138" w:name="_Toc185254643"/>
      <w:bookmarkEnd w:id="113"/>
      <w:r w:rsidRPr="00A740A6">
        <w:rPr>
          <w:rStyle w:val="Heading1Char"/>
          <w:rFonts w:ascii="Aptos" w:hAnsi="Aptos"/>
          <w:b/>
          <w:bCs/>
          <w:color w:val="C00000"/>
          <w:szCs w:val="32"/>
        </w:rPr>
        <w:lastRenderedPageBreak/>
        <w:t>Characteristics of included reviews.</w:t>
      </w:r>
      <w:bookmarkEnd w:id="138"/>
    </w:p>
    <w:p w14:paraId="446078BA" w14:textId="47669D28" w:rsidR="005F37E3" w:rsidRPr="00954AFC" w:rsidRDefault="00DC2DF3" w:rsidP="00954AFC">
      <w:pPr>
        <w:pStyle w:val="2024TABLEFOOTER"/>
        <w:spacing w:line="240" w:lineRule="auto"/>
        <w:rPr>
          <w:bCs/>
          <w:sz w:val="21"/>
        </w:rPr>
      </w:pPr>
      <w:r w:rsidRPr="00954AFC">
        <w:rPr>
          <w:sz w:val="21"/>
        </w:rPr>
        <w:t>For each population-</w:t>
      </w:r>
      <w:r w:rsidR="00BE06FD" w:rsidRPr="00954AFC">
        <w:rPr>
          <w:sz w:val="21"/>
        </w:rPr>
        <w:t>supplement</w:t>
      </w:r>
      <w:r w:rsidR="00860CB9" w:rsidRPr="00954AFC">
        <w:rPr>
          <w:sz w:val="21"/>
        </w:rPr>
        <w:t xml:space="preserve"> pair </w:t>
      </w:r>
      <w:r w:rsidR="00455717" w:rsidRPr="00954AFC">
        <w:rPr>
          <w:sz w:val="21"/>
        </w:rPr>
        <w:t>this appendix provides</w:t>
      </w:r>
      <w:r w:rsidR="00860CB9" w:rsidRPr="00954AFC">
        <w:rPr>
          <w:sz w:val="21"/>
        </w:rPr>
        <w:t xml:space="preserve"> the citation details of the included studies</w:t>
      </w:r>
      <w:r w:rsidR="00F47582" w:rsidRPr="00954AFC">
        <w:rPr>
          <w:sz w:val="21"/>
        </w:rPr>
        <w:t xml:space="preserve"> (if any)</w:t>
      </w:r>
      <w:r w:rsidR="00860CB9" w:rsidRPr="00954AFC">
        <w:rPr>
          <w:sz w:val="21"/>
        </w:rPr>
        <w:t xml:space="preserve">, </w:t>
      </w:r>
      <w:r w:rsidR="00455717" w:rsidRPr="00954AFC">
        <w:rPr>
          <w:sz w:val="21"/>
        </w:rPr>
        <w:t>as well as</w:t>
      </w:r>
      <w:r w:rsidR="00860CB9" w:rsidRPr="00954AFC">
        <w:rPr>
          <w:sz w:val="21"/>
        </w:rPr>
        <w:t xml:space="preserve"> the characteristics of included reviews. </w:t>
      </w:r>
      <w:r w:rsidR="00E215ED" w:rsidRPr="00954AFC">
        <w:rPr>
          <w:sz w:val="21"/>
        </w:rPr>
        <w:t xml:space="preserve">Tables are organised alphabetically. </w:t>
      </w:r>
      <w:r w:rsidR="007B663E" w:rsidRPr="00954AFC">
        <w:rPr>
          <w:sz w:val="21"/>
          <w:shd w:val="clear" w:color="auto" w:fill="EFFFE9"/>
        </w:rPr>
        <w:t xml:space="preserve">Preferred reviews are </w:t>
      </w:r>
      <w:r w:rsidR="00FF6FAC" w:rsidRPr="00954AFC">
        <w:rPr>
          <w:sz w:val="21"/>
          <w:shd w:val="clear" w:color="auto" w:fill="EFFFE9"/>
        </w:rPr>
        <w:t xml:space="preserve">coloured </w:t>
      </w:r>
      <w:r w:rsidR="00A6108F" w:rsidRPr="00954AFC">
        <w:rPr>
          <w:sz w:val="21"/>
          <w:shd w:val="clear" w:color="auto" w:fill="EFFFE9"/>
        </w:rPr>
        <w:t>green</w:t>
      </w:r>
      <w:r w:rsidR="00E215ED" w:rsidRPr="00954AFC">
        <w:rPr>
          <w:sz w:val="21"/>
        </w:rPr>
        <w:t xml:space="preserve">. </w:t>
      </w:r>
    </w:p>
    <w:p w14:paraId="0A3330C4" w14:textId="775CF644" w:rsidR="000D7C07" w:rsidRPr="00A740A6" w:rsidRDefault="000B4BA9" w:rsidP="00A740A6">
      <w:pPr>
        <w:pStyle w:val="heading2numbers"/>
        <w:rPr>
          <w:rStyle w:val="Heading1Char"/>
          <w:rFonts w:ascii="Aptos" w:eastAsia="Calibri" w:hAnsi="Aptos"/>
          <w:bCs w:val="0"/>
          <w:color w:val="C00000"/>
          <w:sz w:val="28"/>
          <w:szCs w:val="26"/>
        </w:rPr>
      </w:pPr>
      <w:bookmarkStart w:id="139" w:name="_Toc185254644"/>
      <w:r w:rsidRPr="00A740A6">
        <w:rPr>
          <w:rStyle w:val="Heading1Char"/>
          <w:rFonts w:ascii="Aptos" w:eastAsia="Calibri" w:hAnsi="Aptos"/>
          <w:bCs w:val="0"/>
          <w:color w:val="C00000"/>
          <w:sz w:val="28"/>
          <w:szCs w:val="26"/>
        </w:rPr>
        <w:t>Anxiety</w:t>
      </w:r>
      <w:r w:rsidR="00423980" w:rsidRPr="00A740A6">
        <w:rPr>
          <w:rStyle w:val="Heading1Char"/>
          <w:rFonts w:ascii="Aptos" w:eastAsia="Calibri" w:hAnsi="Aptos"/>
          <w:bCs w:val="0"/>
          <w:color w:val="C00000"/>
          <w:sz w:val="28"/>
          <w:szCs w:val="26"/>
        </w:rPr>
        <w:t xml:space="preserve"> (including post-natal)</w:t>
      </w:r>
      <w:r w:rsidRPr="00A740A6">
        <w:rPr>
          <w:rStyle w:val="Heading1Char"/>
          <w:rFonts w:ascii="Aptos" w:eastAsia="Calibri" w:hAnsi="Aptos"/>
          <w:bCs w:val="0"/>
          <w:color w:val="C00000"/>
          <w:sz w:val="28"/>
          <w:szCs w:val="26"/>
        </w:rPr>
        <w:t>, magnesium</w:t>
      </w:r>
      <w:bookmarkEnd w:id="139"/>
    </w:p>
    <w:p w14:paraId="317020B1" w14:textId="32A63AF1" w:rsidR="00591DCB" w:rsidRPr="004C6AA1" w:rsidRDefault="00591DCB" w:rsidP="004C6AA1">
      <w:pPr>
        <w:pStyle w:val="Caption"/>
        <w:spacing w:before="240"/>
        <w:rPr>
          <w:rFonts w:ascii="Aptos" w:hAnsi="Aptos"/>
        </w:rPr>
      </w:pPr>
      <w:bookmarkStart w:id="140" w:name="_Toc185254547"/>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w:t>
      </w:r>
      <w:r w:rsidR="00DC4767" w:rsidRPr="004C6AA1">
        <w:rPr>
          <w:rFonts w:ascii="Aptos" w:hAnsi="Aptos"/>
        </w:rPr>
        <w:fldChar w:fldCharType="end"/>
      </w:r>
      <w:r w:rsidRPr="004C6AA1">
        <w:rPr>
          <w:rFonts w:ascii="Aptos" w:hAnsi="Aptos"/>
        </w:rPr>
        <w:t xml:space="preserve">. </w:t>
      </w:r>
      <w:r w:rsidRPr="00D518FF">
        <w:rPr>
          <w:rFonts w:ascii="Aptos" w:hAnsi="Aptos"/>
        </w:rPr>
        <w:t>Citation details of included reviews – anxiety (including post-natal), magnesium (n=2)</w:t>
      </w:r>
      <w:r w:rsidR="00023E7B">
        <w:rPr>
          <w:rFonts w:ascii="Aptos" w:hAnsi="Aptos"/>
        </w:rPr>
        <w:t>.</w:t>
      </w:r>
      <w:bookmarkEnd w:id="140"/>
    </w:p>
    <w:tbl>
      <w:tblPr>
        <w:tblStyle w:val="TableGrid"/>
        <w:tblW w:w="14312" w:type="dxa"/>
        <w:tblLayout w:type="fixed"/>
        <w:tblCellMar>
          <w:top w:w="28" w:type="dxa"/>
          <w:left w:w="57" w:type="dxa"/>
          <w:bottom w:w="28" w:type="dxa"/>
          <w:right w:w="28" w:type="dxa"/>
        </w:tblCellMar>
        <w:tblLook w:val="04A0" w:firstRow="1" w:lastRow="0" w:firstColumn="1" w:lastColumn="0" w:noHBand="0" w:noVBand="1"/>
      </w:tblPr>
      <w:tblGrid>
        <w:gridCol w:w="988"/>
        <w:gridCol w:w="4677"/>
        <w:gridCol w:w="2694"/>
        <w:gridCol w:w="567"/>
        <w:gridCol w:w="1559"/>
        <w:gridCol w:w="709"/>
        <w:gridCol w:w="567"/>
        <w:gridCol w:w="850"/>
        <w:gridCol w:w="1701"/>
      </w:tblGrid>
      <w:tr w:rsidR="00FF3F59" w:rsidRPr="00D518FF" w14:paraId="408DFB95" w14:textId="77777777" w:rsidTr="00E77295">
        <w:trPr>
          <w:trHeight w:val="61"/>
          <w:tblHeader/>
        </w:trPr>
        <w:tc>
          <w:tcPr>
            <w:tcW w:w="988" w:type="dxa"/>
            <w:shd w:val="clear" w:color="auto" w:fill="D9D9D9" w:themeFill="background1" w:themeFillShade="D9"/>
          </w:tcPr>
          <w:p w14:paraId="09596D9B"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4677" w:type="dxa"/>
            <w:shd w:val="clear" w:color="auto" w:fill="D9D9D9" w:themeFill="background1" w:themeFillShade="D9"/>
            <w:noWrap/>
            <w:hideMark/>
          </w:tcPr>
          <w:p w14:paraId="46CE9A1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694" w:type="dxa"/>
            <w:shd w:val="clear" w:color="auto" w:fill="D9D9D9" w:themeFill="background1" w:themeFillShade="D9"/>
            <w:noWrap/>
            <w:hideMark/>
          </w:tcPr>
          <w:p w14:paraId="7EFB3D52"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076C7D7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559" w:type="dxa"/>
            <w:shd w:val="clear" w:color="auto" w:fill="D9D9D9" w:themeFill="background1" w:themeFillShade="D9"/>
            <w:noWrap/>
            <w:hideMark/>
          </w:tcPr>
          <w:p w14:paraId="6816B9E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4AE724D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567" w:type="dxa"/>
            <w:shd w:val="clear" w:color="auto" w:fill="D9D9D9" w:themeFill="background1" w:themeFillShade="D9"/>
            <w:noWrap/>
            <w:hideMark/>
          </w:tcPr>
          <w:p w14:paraId="207E30D7"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850" w:type="dxa"/>
            <w:shd w:val="clear" w:color="auto" w:fill="D9D9D9" w:themeFill="background1" w:themeFillShade="D9"/>
            <w:noWrap/>
            <w:hideMark/>
          </w:tcPr>
          <w:p w14:paraId="242479E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701" w:type="dxa"/>
            <w:shd w:val="clear" w:color="auto" w:fill="D9D9D9" w:themeFill="background1" w:themeFillShade="D9"/>
            <w:noWrap/>
            <w:hideMark/>
          </w:tcPr>
          <w:p w14:paraId="2666606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5448DD81" w14:textId="77777777" w:rsidTr="00A6108F">
        <w:trPr>
          <w:trHeight w:val="529"/>
        </w:trPr>
        <w:tc>
          <w:tcPr>
            <w:tcW w:w="988" w:type="dxa"/>
            <w:shd w:val="clear" w:color="auto" w:fill="EFFFE9"/>
          </w:tcPr>
          <w:p w14:paraId="21F94FA2" w14:textId="77777777" w:rsidR="00FF3F59" w:rsidRPr="00D518FF" w:rsidRDefault="00FF3F59">
            <w:pPr>
              <w:rPr>
                <w:rFonts w:ascii="Aptos" w:hAnsi="Aptos" w:cs="Arial"/>
                <w:sz w:val="16"/>
                <w:szCs w:val="16"/>
              </w:rPr>
            </w:pPr>
            <w:r w:rsidRPr="00D518FF">
              <w:rPr>
                <w:rFonts w:ascii="Aptos" w:hAnsi="Aptos" w:cs="Arial"/>
                <w:sz w:val="16"/>
                <w:szCs w:val="16"/>
              </w:rPr>
              <w:t>Barić 2018</w:t>
            </w:r>
          </w:p>
        </w:tc>
        <w:tc>
          <w:tcPr>
            <w:tcW w:w="4677" w:type="dxa"/>
            <w:shd w:val="clear" w:color="auto" w:fill="EFFFE9"/>
          </w:tcPr>
          <w:p w14:paraId="7470BEC8" w14:textId="77777777" w:rsidR="00FF3F59" w:rsidRPr="00D518FF" w:rsidRDefault="00FF3F59">
            <w:pPr>
              <w:rPr>
                <w:rFonts w:ascii="Aptos" w:hAnsi="Aptos" w:cs="Arial"/>
                <w:sz w:val="16"/>
                <w:szCs w:val="16"/>
              </w:rPr>
            </w:pPr>
            <w:r w:rsidRPr="00D518FF">
              <w:rPr>
                <w:rFonts w:ascii="Aptos" w:hAnsi="Aptos" w:cs="Arial"/>
                <w:sz w:val="16"/>
                <w:szCs w:val="16"/>
              </w:rPr>
              <w:t>Complementary and Alternative Medicine Treatments for Generalized Anxiety Disorder: Systematic Review and Meta-analysis of Randomized Controlled Trials</w:t>
            </w:r>
          </w:p>
        </w:tc>
        <w:tc>
          <w:tcPr>
            <w:tcW w:w="2694" w:type="dxa"/>
            <w:shd w:val="clear" w:color="auto" w:fill="EFFFE9"/>
          </w:tcPr>
          <w:p w14:paraId="2454030E" w14:textId="77777777" w:rsidR="00FF3F59" w:rsidRPr="00D518FF" w:rsidRDefault="00FF3F59">
            <w:pPr>
              <w:rPr>
                <w:rFonts w:ascii="Aptos" w:hAnsi="Aptos" w:cs="Arial"/>
                <w:sz w:val="16"/>
                <w:szCs w:val="16"/>
              </w:rPr>
            </w:pPr>
            <w:r w:rsidRPr="00D518FF">
              <w:rPr>
                <w:rFonts w:ascii="Aptos" w:hAnsi="Aptos" w:cs="Arial"/>
                <w:sz w:val="16"/>
                <w:szCs w:val="16"/>
              </w:rPr>
              <w:t>Barić H, Đorđević V, Cerovečki I, Trkulja V.</w:t>
            </w:r>
          </w:p>
        </w:tc>
        <w:tc>
          <w:tcPr>
            <w:tcW w:w="567" w:type="dxa"/>
            <w:shd w:val="clear" w:color="auto" w:fill="EFFFE9"/>
          </w:tcPr>
          <w:p w14:paraId="4606086D" w14:textId="77777777" w:rsidR="00FF3F59" w:rsidRPr="00D518FF" w:rsidRDefault="00FF3F59">
            <w:pPr>
              <w:rPr>
                <w:rFonts w:ascii="Aptos" w:hAnsi="Aptos" w:cs="Arial"/>
                <w:sz w:val="16"/>
                <w:szCs w:val="16"/>
              </w:rPr>
            </w:pPr>
            <w:r w:rsidRPr="00D518FF">
              <w:rPr>
                <w:rFonts w:ascii="Aptos" w:hAnsi="Aptos" w:cs="Arial"/>
                <w:sz w:val="16"/>
                <w:szCs w:val="16"/>
              </w:rPr>
              <w:t>2018</w:t>
            </w:r>
          </w:p>
        </w:tc>
        <w:tc>
          <w:tcPr>
            <w:tcW w:w="1559" w:type="dxa"/>
            <w:shd w:val="clear" w:color="auto" w:fill="EFFFE9"/>
          </w:tcPr>
          <w:p w14:paraId="707E1D5A" w14:textId="77777777" w:rsidR="00FF3F59" w:rsidRPr="00D518FF" w:rsidRDefault="00FF3F59">
            <w:pPr>
              <w:rPr>
                <w:rFonts w:ascii="Aptos" w:hAnsi="Aptos" w:cs="Arial"/>
                <w:sz w:val="16"/>
                <w:szCs w:val="16"/>
              </w:rPr>
            </w:pPr>
            <w:r w:rsidRPr="00D518FF">
              <w:rPr>
                <w:rFonts w:ascii="Aptos" w:hAnsi="Aptos" w:cs="Arial"/>
                <w:sz w:val="16"/>
                <w:szCs w:val="16"/>
              </w:rPr>
              <w:t>Advances in Therapy</w:t>
            </w:r>
          </w:p>
        </w:tc>
        <w:tc>
          <w:tcPr>
            <w:tcW w:w="709" w:type="dxa"/>
            <w:shd w:val="clear" w:color="auto" w:fill="EFFFE9"/>
          </w:tcPr>
          <w:p w14:paraId="31390B25" w14:textId="77777777" w:rsidR="00FF3F59" w:rsidRPr="00D518FF" w:rsidRDefault="00FF3F59">
            <w:pPr>
              <w:rPr>
                <w:rFonts w:ascii="Aptos" w:hAnsi="Aptos" w:cs="Arial"/>
                <w:sz w:val="16"/>
                <w:szCs w:val="16"/>
              </w:rPr>
            </w:pPr>
            <w:r w:rsidRPr="00D518FF">
              <w:rPr>
                <w:rFonts w:ascii="Aptos" w:hAnsi="Aptos" w:cs="Arial"/>
                <w:sz w:val="16"/>
                <w:szCs w:val="16"/>
              </w:rPr>
              <w:t>35</w:t>
            </w:r>
          </w:p>
        </w:tc>
        <w:tc>
          <w:tcPr>
            <w:tcW w:w="567" w:type="dxa"/>
            <w:shd w:val="clear" w:color="auto" w:fill="EFFFE9"/>
          </w:tcPr>
          <w:p w14:paraId="746D513F" w14:textId="77777777" w:rsidR="00FF3F59" w:rsidRPr="00D518FF" w:rsidRDefault="00FF3F59">
            <w:pPr>
              <w:rPr>
                <w:rFonts w:ascii="Aptos" w:hAnsi="Aptos" w:cs="Arial"/>
                <w:sz w:val="16"/>
                <w:szCs w:val="16"/>
              </w:rPr>
            </w:pPr>
            <w:r w:rsidRPr="00D518FF">
              <w:rPr>
                <w:rFonts w:ascii="Aptos" w:hAnsi="Aptos" w:cs="Arial"/>
                <w:sz w:val="16"/>
                <w:szCs w:val="16"/>
              </w:rPr>
              <w:t>3</w:t>
            </w:r>
          </w:p>
        </w:tc>
        <w:tc>
          <w:tcPr>
            <w:tcW w:w="850" w:type="dxa"/>
            <w:shd w:val="clear" w:color="auto" w:fill="EFFFE9"/>
          </w:tcPr>
          <w:p w14:paraId="20D2D0AE" w14:textId="77777777" w:rsidR="00FF3F59" w:rsidRPr="00D518FF" w:rsidRDefault="00FF3F59">
            <w:pPr>
              <w:rPr>
                <w:rFonts w:ascii="Aptos" w:hAnsi="Aptos" w:cs="Arial"/>
                <w:sz w:val="16"/>
                <w:szCs w:val="16"/>
              </w:rPr>
            </w:pPr>
            <w:r w:rsidRPr="00D518FF">
              <w:rPr>
                <w:rFonts w:ascii="Aptos" w:hAnsi="Aptos" w:cs="Arial"/>
                <w:sz w:val="16"/>
                <w:szCs w:val="16"/>
              </w:rPr>
              <w:t>261-288</w:t>
            </w:r>
          </w:p>
        </w:tc>
        <w:tc>
          <w:tcPr>
            <w:tcW w:w="1701" w:type="dxa"/>
            <w:shd w:val="clear" w:color="auto" w:fill="EFFFE9"/>
          </w:tcPr>
          <w:p w14:paraId="529C612D" w14:textId="77777777" w:rsidR="00FF3F59" w:rsidRPr="00D518FF" w:rsidRDefault="00FF3F59">
            <w:pPr>
              <w:rPr>
                <w:rFonts w:ascii="Aptos" w:hAnsi="Aptos" w:cs="Arial"/>
                <w:sz w:val="16"/>
                <w:szCs w:val="16"/>
              </w:rPr>
            </w:pPr>
            <w:r w:rsidRPr="00D518FF">
              <w:rPr>
                <w:rFonts w:ascii="Aptos" w:hAnsi="Aptos" w:cs="Arial"/>
                <w:sz w:val="16"/>
                <w:szCs w:val="16"/>
              </w:rPr>
              <w:t>10.1007/s12325-018-0680-6</w:t>
            </w:r>
          </w:p>
        </w:tc>
      </w:tr>
      <w:tr w:rsidR="00FF3F59" w:rsidRPr="00D518FF" w14:paraId="62E94D18" w14:textId="77777777" w:rsidTr="00A6108F">
        <w:trPr>
          <w:trHeight w:val="55"/>
        </w:trPr>
        <w:tc>
          <w:tcPr>
            <w:tcW w:w="988" w:type="dxa"/>
            <w:shd w:val="clear" w:color="auto" w:fill="EFFFE9"/>
          </w:tcPr>
          <w:p w14:paraId="0A6675C2" w14:textId="77777777" w:rsidR="00FF3F59" w:rsidRPr="00023E7B" w:rsidRDefault="00FF3F59" w:rsidP="00023E7B">
            <w:pPr>
              <w:rPr>
                <w:rFonts w:ascii="Aptos" w:hAnsi="Aptos" w:cs="Arial"/>
                <w:sz w:val="16"/>
                <w:szCs w:val="16"/>
              </w:rPr>
            </w:pPr>
            <w:r w:rsidRPr="00023E7B">
              <w:rPr>
                <w:rFonts w:ascii="Aptos" w:hAnsi="Aptos" w:cs="Arial"/>
                <w:sz w:val="16"/>
                <w:szCs w:val="16"/>
              </w:rPr>
              <w:t>Tsai 2023</w:t>
            </w:r>
          </w:p>
        </w:tc>
        <w:tc>
          <w:tcPr>
            <w:tcW w:w="4677" w:type="dxa"/>
            <w:shd w:val="clear" w:color="auto" w:fill="EFFFE9"/>
          </w:tcPr>
          <w:p w14:paraId="17C0496D" w14:textId="77777777" w:rsidR="00FF3F59" w:rsidRPr="00D518FF" w:rsidRDefault="00FF3F59" w:rsidP="00023E7B">
            <w:pPr>
              <w:rPr>
                <w:rFonts w:ascii="Aptos" w:hAnsi="Aptos" w:cs="Arial"/>
                <w:sz w:val="16"/>
                <w:szCs w:val="16"/>
              </w:rPr>
            </w:pPr>
            <w:r w:rsidRPr="00D518FF">
              <w:rPr>
                <w:rFonts w:ascii="Aptos" w:hAnsi="Aptos" w:cs="Arial"/>
                <w:sz w:val="16"/>
                <w:szCs w:val="16"/>
              </w:rPr>
              <w:t>Dietary interventions for perinatal depression and anxiety: a systematic review and meta-analysis of randomized controlled trials</w:t>
            </w:r>
          </w:p>
        </w:tc>
        <w:tc>
          <w:tcPr>
            <w:tcW w:w="2694" w:type="dxa"/>
            <w:shd w:val="clear" w:color="auto" w:fill="EFFFE9"/>
          </w:tcPr>
          <w:p w14:paraId="46CDAC0B" w14:textId="77777777" w:rsidR="00FF3F59" w:rsidRPr="00D518FF" w:rsidRDefault="00FF3F59" w:rsidP="00023E7B">
            <w:pPr>
              <w:rPr>
                <w:rFonts w:ascii="Aptos" w:hAnsi="Aptos" w:cs="Arial"/>
                <w:sz w:val="16"/>
                <w:szCs w:val="16"/>
              </w:rPr>
            </w:pPr>
            <w:r w:rsidRPr="00D518FF">
              <w:rPr>
                <w:rFonts w:ascii="Aptos" w:hAnsi="Aptos" w:cs="Arial"/>
                <w:sz w:val="16"/>
                <w:szCs w:val="16"/>
              </w:rPr>
              <w:t>Tsai Z, Shah N, Tahir U, Mortaji N, Owais S, Perreault M, Van Lieshout RJ</w:t>
            </w:r>
          </w:p>
        </w:tc>
        <w:tc>
          <w:tcPr>
            <w:tcW w:w="567" w:type="dxa"/>
            <w:shd w:val="clear" w:color="auto" w:fill="EFFFE9"/>
          </w:tcPr>
          <w:p w14:paraId="5B4E0CD8" w14:textId="77777777" w:rsidR="00FF3F59" w:rsidRPr="00D518FF" w:rsidRDefault="00FF3F59" w:rsidP="00023E7B">
            <w:pPr>
              <w:rPr>
                <w:rFonts w:ascii="Aptos" w:hAnsi="Aptos" w:cs="Arial"/>
                <w:sz w:val="16"/>
                <w:szCs w:val="16"/>
              </w:rPr>
            </w:pPr>
            <w:r w:rsidRPr="00D518FF">
              <w:rPr>
                <w:rFonts w:ascii="Aptos" w:hAnsi="Aptos" w:cs="Arial"/>
                <w:sz w:val="16"/>
                <w:szCs w:val="16"/>
              </w:rPr>
              <w:t>2023</w:t>
            </w:r>
          </w:p>
        </w:tc>
        <w:tc>
          <w:tcPr>
            <w:tcW w:w="1559" w:type="dxa"/>
            <w:shd w:val="clear" w:color="auto" w:fill="EFFFE9"/>
          </w:tcPr>
          <w:p w14:paraId="5C4F950E" w14:textId="77777777" w:rsidR="00FF3F59" w:rsidRPr="00D518FF" w:rsidRDefault="00FF3F59" w:rsidP="00023E7B">
            <w:pPr>
              <w:rPr>
                <w:rFonts w:ascii="Aptos" w:hAnsi="Aptos" w:cs="Arial"/>
                <w:sz w:val="16"/>
                <w:szCs w:val="16"/>
              </w:rPr>
            </w:pPr>
            <w:r w:rsidRPr="00D518FF">
              <w:rPr>
                <w:rFonts w:ascii="Aptos" w:hAnsi="Aptos" w:cs="Arial"/>
                <w:sz w:val="16"/>
                <w:szCs w:val="16"/>
              </w:rPr>
              <w:t>Am J Clin Nutr</w:t>
            </w:r>
          </w:p>
        </w:tc>
        <w:tc>
          <w:tcPr>
            <w:tcW w:w="709" w:type="dxa"/>
            <w:shd w:val="clear" w:color="auto" w:fill="EFFFE9"/>
          </w:tcPr>
          <w:p w14:paraId="74162B13" w14:textId="77777777" w:rsidR="00FF3F59" w:rsidRPr="00D518FF" w:rsidRDefault="00FF3F59" w:rsidP="00023E7B">
            <w:pPr>
              <w:rPr>
                <w:rFonts w:ascii="Aptos" w:hAnsi="Aptos" w:cs="Arial"/>
                <w:sz w:val="16"/>
                <w:szCs w:val="16"/>
              </w:rPr>
            </w:pPr>
            <w:r w:rsidRPr="00D518FF">
              <w:rPr>
                <w:rFonts w:ascii="Aptos" w:hAnsi="Aptos" w:cs="Arial"/>
                <w:sz w:val="16"/>
                <w:szCs w:val="16"/>
              </w:rPr>
              <w:t>117</w:t>
            </w:r>
          </w:p>
        </w:tc>
        <w:tc>
          <w:tcPr>
            <w:tcW w:w="567" w:type="dxa"/>
            <w:shd w:val="clear" w:color="auto" w:fill="EFFFE9"/>
          </w:tcPr>
          <w:p w14:paraId="117F74D0" w14:textId="77777777" w:rsidR="00FF3F59" w:rsidRPr="00D518FF" w:rsidRDefault="00FF3F59" w:rsidP="00023E7B">
            <w:pPr>
              <w:rPr>
                <w:rFonts w:ascii="Aptos" w:hAnsi="Aptos" w:cs="Arial"/>
                <w:sz w:val="16"/>
                <w:szCs w:val="16"/>
              </w:rPr>
            </w:pPr>
            <w:r w:rsidRPr="00D518FF">
              <w:rPr>
                <w:rFonts w:ascii="Aptos" w:hAnsi="Aptos" w:cs="Arial"/>
                <w:sz w:val="16"/>
                <w:szCs w:val="16"/>
              </w:rPr>
              <w:t>6</w:t>
            </w:r>
          </w:p>
        </w:tc>
        <w:tc>
          <w:tcPr>
            <w:tcW w:w="850" w:type="dxa"/>
            <w:shd w:val="clear" w:color="auto" w:fill="EFFFE9"/>
          </w:tcPr>
          <w:p w14:paraId="61B0FB3E" w14:textId="77777777" w:rsidR="00FF3F59" w:rsidRPr="00D518FF" w:rsidRDefault="00FF3F59" w:rsidP="00023E7B">
            <w:pPr>
              <w:rPr>
                <w:rFonts w:ascii="Aptos" w:hAnsi="Aptos" w:cs="Arial"/>
                <w:sz w:val="16"/>
                <w:szCs w:val="16"/>
              </w:rPr>
            </w:pPr>
            <w:r w:rsidRPr="00D518FF">
              <w:rPr>
                <w:rFonts w:ascii="Aptos" w:hAnsi="Aptos" w:cs="Arial"/>
                <w:sz w:val="16"/>
                <w:szCs w:val="16"/>
              </w:rPr>
              <w:t>1130-1142</w:t>
            </w:r>
          </w:p>
        </w:tc>
        <w:tc>
          <w:tcPr>
            <w:tcW w:w="1701" w:type="dxa"/>
            <w:shd w:val="clear" w:color="auto" w:fill="EFFFE9"/>
          </w:tcPr>
          <w:p w14:paraId="5DA375C1" w14:textId="77777777" w:rsidR="00FF3F59" w:rsidRPr="00D518FF" w:rsidRDefault="00FF3F59">
            <w:pPr>
              <w:rPr>
                <w:rFonts w:ascii="Aptos" w:hAnsi="Aptos" w:cs="Arial"/>
                <w:sz w:val="16"/>
                <w:szCs w:val="16"/>
              </w:rPr>
            </w:pPr>
            <w:r w:rsidRPr="00D518FF">
              <w:rPr>
                <w:rFonts w:ascii="Aptos" w:hAnsi="Aptos" w:cs="Arial"/>
                <w:sz w:val="16"/>
                <w:szCs w:val="16"/>
              </w:rPr>
              <w:t>10.1016/j.ajcnut.2023.03.025</w:t>
            </w:r>
          </w:p>
        </w:tc>
      </w:tr>
    </w:tbl>
    <w:p w14:paraId="57C557B6" w14:textId="011FA455" w:rsidR="00591DCB" w:rsidRPr="004C6AA1" w:rsidRDefault="00591DCB" w:rsidP="004C6AA1">
      <w:pPr>
        <w:pStyle w:val="Caption"/>
        <w:spacing w:before="240"/>
        <w:rPr>
          <w:rFonts w:ascii="Aptos" w:hAnsi="Aptos"/>
        </w:rPr>
      </w:pPr>
      <w:bookmarkStart w:id="141" w:name="_Toc185254548"/>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2</w:t>
      </w:r>
      <w:r w:rsidR="00DC4767" w:rsidRPr="004C6AA1">
        <w:rPr>
          <w:rFonts w:ascii="Aptos" w:hAnsi="Aptos"/>
        </w:rPr>
        <w:fldChar w:fldCharType="end"/>
      </w:r>
      <w:r w:rsidR="00B94E28" w:rsidRPr="004C6AA1">
        <w:rPr>
          <w:rFonts w:ascii="Aptos" w:hAnsi="Aptos"/>
        </w:rPr>
        <w:t xml:space="preserve">. </w:t>
      </w:r>
      <w:r w:rsidR="00B94E28" w:rsidRPr="00D518FF">
        <w:rPr>
          <w:rFonts w:ascii="Aptos" w:hAnsi="Aptos"/>
        </w:rPr>
        <w:t>Characteristics of included reviews – anxiety (including post-natal), magnesium</w:t>
      </w:r>
      <w:r w:rsidR="00023E7B">
        <w:rPr>
          <w:rFonts w:ascii="Aptos" w:hAnsi="Aptos"/>
        </w:rPr>
        <w:t xml:space="preserve"> (n=2)</w:t>
      </w:r>
      <w:r w:rsidR="00B94E28">
        <w:rPr>
          <w:rFonts w:ascii="Aptos" w:hAnsi="Aptos"/>
        </w:rPr>
        <w:t>.</w:t>
      </w:r>
      <w:bookmarkEnd w:id="141"/>
    </w:p>
    <w:tbl>
      <w:tblPr>
        <w:tblStyle w:val="TableGrid"/>
        <w:tblW w:w="5024" w:type="pct"/>
        <w:tblLayout w:type="fixed"/>
        <w:tblCellMar>
          <w:top w:w="28" w:type="dxa"/>
          <w:left w:w="57" w:type="dxa"/>
          <w:bottom w:w="28" w:type="dxa"/>
          <w:right w:w="0" w:type="dxa"/>
        </w:tblCellMar>
        <w:tblLook w:val="04A0" w:firstRow="1" w:lastRow="0" w:firstColumn="1" w:lastColumn="0" w:noHBand="0" w:noVBand="1"/>
      </w:tblPr>
      <w:tblGrid>
        <w:gridCol w:w="705"/>
        <w:gridCol w:w="991"/>
        <w:gridCol w:w="1964"/>
        <w:gridCol w:w="816"/>
        <w:gridCol w:w="950"/>
        <w:gridCol w:w="950"/>
        <w:gridCol w:w="1700"/>
        <w:gridCol w:w="707"/>
        <w:gridCol w:w="1082"/>
        <w:gridCol w:w="902"/>
        <w:gridCol w:w="927"/>
        <w:gridCol w:w="1059"/>
        <w:gridCol w:w="1560"/>
      </w:tblGrid>
      <w:tr w:rsidR="007A448D" w:rsidRPr="00D518FF" w14:paraId="2E96B90B" w14:textId="77777777" w:rsidTr="00CF6071">
        <w:trPr>
          <w:trHeight w:val="49"/>
        </w:trPr>
        <w:tc>
          <w:tcPr>
            <w:tcW w:w="246" w:type="pct"/>
            <w:vMerge w:val="restart"/>
            <w:shd w:val="clear" w:color="auto" w:fill="D9D9D9" w:themeFill="background1" w:themeFillShade="D9"/>
          </w:tcPr>
          <w:p w14:paraId="7AD087AD" w14:textId="224FF596" w:rsidR="00721813" w:rsidRPr="00D518FF" w:rsidRDefault="00721813" w:rsidP="00FC62A1">
            <w:pPr>
              <w:pStyle w:val="2024TABLEHEADER"/>
              <w:spacing w:before="0" w:after="0" w:line="240" w:lineRule="auto"/>
              <w:rPr>
                <w:sz w:val="16"/>
                <w:szCs w:val="16"/>
              </w:rPr>
            </w:pPr>
            <w:r w:rsidRPr="00D518FF">
              <w:rPr>
                <w:sz w:val="16"/>
                <w:szCs w:val="16"/>
              </w:rPr>
              <w:t>Review ID</w:t>
            </w:r>
          </w:p>
        </w:tc>
        <w:tc>
          <w:tcPr>
            <w:tcW w:w="1649" w:type="pct"/>
            <w:gridSpan w:val="4"/>
            <w:shd w:val="clear" w:color="auto" w:fill="D9D9D9" w:themeFill="background1" w:themeFillShade="D9"/>
          </w:tcPr>
          <w:p w14:paraId="52AE730D" w14:textId="688A3E74" w:rsidR="00721813" w:rsidRPr="00D518FF" w:rsidRDefault="00721813" w:rsidP="00FC62A1">
            <w:pPr>
              <w:pStyle w:val="2024TABLEHEADER"/>
              <w:spacing w:before="0" w:after="0" w:line="240" w:lineRule="auto"/>
              <w:rPr>
                <w:sz w:val="16"/>
                <w:szCs w:val="16"/>
              </w:rPr>
            </w:pPr>
            <w:r w:rsidRPr="00D518FF">
              <w:rPr>
                <w:sz w:val="16"/>
                <w:szCs w:val="16"/>
              </w:rPr>
              <w:t xml:space="preserve">Review </w:t>
            </w:r>
            <w:r w:rsidR="00FF4AE4" w:rsidRPr="00D518FF">
              <w:rPr>
                <w:sz w:val="16"/>
                <w:szCs w:val="16"/>
              </w:rPr>
              <w:t>details</w:t>
            </w:r>
          </w:p>
        </w:tc>
        <w:tc>
          <w:tcPr>
            <w:tcW w:w="1551" w:type="pct"/>
            <w:gridSpan w:val="4"/>
            <w:shd w:val="clear" w:color="auto" w:fill="D9D9D9" w:themeFill="background1" w:themeFillShade="D9"/>
          </w:tcPr>
          <w:p w14:paraId="668CC4F3" w14:textId="4D01FDE5" w:rsidR="00721813" w:rsidRPr="00D518FF" w:rsidRDefault="00721813" w:rsidP="00FC62A1">
            <w:pPr>
              <w:pStyle w:val="2024TABLEHEADER"/>
              <w:spacing w:before="0" w:after="0" w:line="240" w:lineRule="auto"/>
              <w:rPr>
                <w:sz w:val="16"/>
                <w:szCs w:val="16"/>
              </w:rPr>
            </w:pPr>
            <w:r w:rsidRPr="00D518FF">
              <w:rPr>
                <w:sz w:val="16"/>
                <w:szCs w:val="16"/>
              </w:rPr>
              <w:t>Search details</w:t>
            </w:r>
          </w:p>
        </w:tc>
        <w:tc>
          <w:tcPr>
            <w:tcW w:w="639" w:type="pct"/>
            <w:gridSpan w:val="2"/>
            <w:shd w:val="clear" w:color="auto" w:fill="D9D9D9" w:themeFill="background1" w:themeFillShade="D9"/>
          </w:tcPr>
          <w:p w14:paraId="023086B7" w14:textId="6D8AFC2B" w:rsidR="00721813" w:rsidRPr="00D518FF" w:rsidRDefault="00721813" w:rsidP="00FC62A1">
            <w:pPr>
              <w:pStyle w:val="2024TABLEHEADER"/>
              <w:spacing w:before="0" w:after="0" w:line="240" w:lineRule="auto"/>
              <w:rPr>
                <w:sz w:val="16"/>
                <w:szCs w:val="16"/>
              </w:rPr>
            </w:pPr>
            <w:r w:rsidRPr="00D518FF">
              <w:rPr>
                <w:sz w:val="16"/>
                <w:szCs w:val="16"/>
              </w:rPr>
              <w:t>Quality assessment</w:t>
            </w:r>
          </w:p>
        </w:tc>
        <w:tc>
          <w:tcPr>
            <w:tcW w:w="915" w:type="pct"/>
            <w:gridSpan w:val="2"/>
            <w:shd w:val="clear" w:color="auto" w:fill="D9D9D9" w:themeFill="background1" w:themeFillShade="D9"/>
          </w:tcPr>
          <w:p w14:paraId="73F58FB3" w14:textId="5156397B" w:rsidR="00721813" w:rsidRPr="00D518FF" w:rsidRDefault="00721813" w:rsidP="00FC62A1">
            <w:pPr>
              <w:pStyle w:val="2024TABLEHEADER"/>
              <w:spacing w:before="0" w:after="0" w:line="240" w:lineRule="auto"/>
              <w:rPr>
                <w:sz w:val="16"/>
                <w:szCs w:val="16"/>
              </w:rPr>
            </w:pPr>
            <w:r w:rsidRPr="00D518FF">
              <w:rPr>
                <w:sz w:val="16"/>
                <w:szCs w:val="16"/>
              </w:rPr>
              <w:t>Other</w:t>
            </w:r>
          </w:p>
        </w:tc>
      </w:tr>
      <w:tr w:rsidR="00CF6071" w:rsidRPr="00D518FF" w14:paraId="425CC913" w14:textId="7766A950" w:rsidTr="00CF6071">
        <w:trPr>
          <w:trHeight w:val="62"/>
        </w:trPr>
        <w:tc>
          <w:tcPr>
            <w:tcW w:w="246" w:type="pct"/>
            <w:vMerge/>
            <w:shd w:val="clear" w:color="auto" w:fill="D9D9D9" w:themeFill="background1" w:themeFillShade="D9"/>
          </w:tcPr>
          <w:p w14:paraId="6E589817" w14:textId="2794D323" w:rsidR="0018175B" w:rsidRPr="00D518FF" w:rsidRDefault="0018175B" w:rsidP="00FC62A1">
            <w:pPr>
              <w:pStyle w:val="2024TABLEHEADER"/>
              <w:spacing w:before="0" w:after="0" w:line="240" w:lineRule="auto"/>
              <w:rPr>
                <w:sz w:val="16"/>
                <w:szCs w:val="16"/>
              </w:rPr>
            </w:pPr>
          </w:p>
        </w:tc>
        <w:tc>
          <w:tcPr>
            <w:tcW w:w="346" w:type="pct"/>
            <w:shd w:val="clear" w:color="auto" w:fill="D9D9D9" w:themeFill="background1" w:themeFillShade="D9"/>
          </w:tcPr>
          <w:p w14:paraId="57CF8EE8" w14:textId="77777777" w:rsidR="0018175B" w:rsidRPr="00D518FF" w:rsidRDefault="0018175B" w:rsidP="00FC62A1">
            <w:pPr>
              <w:pStyle w:val="2024TABLEHEADER"/>
              <w:spacing w:before="0" w:after="0" w:line="240" w:lineRule="auto"/>
              <w:rPr>
                <w:sz w:val="16"/>
                <w:szCs w:val="16"/>
              </w:rPr>
            </w:pPr>
            <w:r w:rsidRPr="00D518FF">
              <w:rPr>
                <w:sz w:val="16"/>
                <w:szCs w:val="16"/>
              </w:rPr>
              <w:t>Review design</w:t>
            </w:r>
          </w:p>
        </w:tc>
        <w:tc>
          <w:tcPr>
            <w:tcW w:w="686" w:type="pct"/>
            <w:shd w:val="clear" w:color="auto" w:fill="D9D9D9" w:themeFill="background1" w:themeFillShade="D9"/>
          </w:tcPr>
          <w:p w14:paraId="50AA5157" w14:textId="77777777" w:rsidR="0018175B" w:rsidRPr="00D518FF" w:rsidRDefault="0018175B" w:rsidP="00FC62A1">
            <w:pPr>
              <w:pStyle w:val="2024TABLEHEADER"/>
              <w:spacing w:before="0" w:after="0" w:line="240" w:lineRule="auto"/>
              <w:rPr>
                <w:sz w:val="16"/>
                <w:szCs w:val="16"/>
              </w:rPr>
            </w:pPr>
            <w:r w:rsidRPr="00D518FF">
              <w:rPr>
                <w:sz w:val="16"/>
                <w:szCs w:val="16"/>
              </w:rPr>
              <w:t>Aim of the review (as reported by the SR)</w:t>
            </w:r>
          </w:p>
        </w:tc>
        <w:tc>
          <w:tcPr>
            <w:tcW w:w="285" w:type="pct"/>
            <w:shd w:val="clear" w:color="auto" w:fill="D9D9D9" w:themeFill="background1" w:themeFillShade="D9"/>
          </w:tcPr>
          <w:p w14:paraId="4AF2CE15" w14:textId="2F91B4FB" w:rsidR="0018175B" w:rsidRPr="00D518FF" w:rsidRDefault="0018175B" w:rsidP="00FC62A1">
            <w:pPr>
              <w:pStyle w:val="2024TABLEHEADER"/>
              <w:spacing w:before="0" w:after="0" w:line="240" w:lineRule="auto"/>
              <w:rPr>
                <w:sz w:val="16"/>
                <w:szCs w:val="16"/>
              </w:rPr>
            </w:pPr>
            <w:r w:rsidRPr="00D518FF">
              <w:rPr>
                <w:sz w:val="16"/>
                <w:szCs w:val="16"/>
              </w:rPr>
              <w:t>Types of studies included</w:t>
            </w:r>
          </w:p>
        </w:tc>
        <w:tc>
          <w:tcPr>
            <w:tcW w:w="332" w:type="pct"/>
            <w:shd w:val="clear" w:color="auto" w:fill="D9D9D9" w:themeFill="background1" w:themeFillShade="D9"/>
          </w:tcPr>
          <w:p w14:paraId="15741EE8" w14:textId="2C568151" w:rsidR="0018175B" w:rsidRPr="00D518FF" w:rsidRDefault="0018175B" w:rsidP="00FC62A1">
            <w:pPr>
              <w:pStyle w:val="2024TABLEHEADER"/>
              <w:spacing w:before="0" w:after="0" w:line="240" w:lineRule="auto"/>
              <w:rPr>
                <w:sz w:val="16"/>
                <w:szCs w:val="16"/>
              </w:rPr>
            </w:pPr>
            <w:r w:rsidRPr="00D518FF">
              <w:rPr>
                <w:sz w:val="16"/>
                <w:szCs w:val="16"/>
              </w:rPr>
              <w:t>Outcomes relevant to the Overview^</w:t>
            </w:r>
          </w:p>
        </w:tc>
        <w:tc>
          <w:tcPr>
            <w:tcW w:w="332" w:type="pct"/>
            <w:shd w:val="clear" w:color="auto" w:fill="D9D9D9" w:themeFill="background1" w:themeFillShade="D9"/>
          </w:tcPr>
          <w:p w14:paraId="30FF687F" w14:textId="4AA0CA0D" w:rsidR="0018175B" w:rsidRPr="00D518FF" w:rsidRDefault="0018175B" w:rsidP="00FC62A1">
            <w:pPr>
              <w:pStyle w:val="2024TABLEHEADER"/>
              <w:spacing w:before="0" w:after="0" w:line="240" w:lineRule="auto"/>
              <w:rPr>
                <w:sz w:val="16"/>
                <w:szCs w:val="16"/>
              </w:rPr>
            </w:pPr>
            <w:r w:rsidRPr="00D518FF">
              <w:rPr>
                <w:sz w:val="16"/>
                <w:szCs w:val="16"/>
              </w:rPr>
              <w:t># of databases searched</w:t>
            </w:r>
          </w:p>
        </w:tc>
        <w:tc>
          <w:tcPr>
            <w:tcW w:w="594" w:type="pct"/>
            <w:shd w:val="clear" w:color="auto" w:fill="D9D9D9" w:themeFill="background1" w:themeFillShade="D9"/>
          </w:tcPr>
          <w:p w14:paraId="5158AD92" w14:textId="77777777" w:rsidR="0018175B" w:rsidRPr="00D518FF" w:rsidRDefault="0018175B" w:rsidP="00FC62A1">
            <w:pPr>
              <w:pStyle w:val="2024TABLEHEADER"/>
              <w:spacing w:before="0" w:after="0" w:line="240" w:lineRule="auto"/>
              <w:rPr>
                <w:sz w:val="16"/>
                <w:szCs w:val="16"/>
              </w:rPr>
            </w:pPr>
            <w:r w:rsidRPr="00D518FF">
              <w:rPr>
                <w:sz w:val="16"/>
                <w:szCs w:val="16"/>
              </w:rPr>
              <w:t>Names of databases searched</w:t>
            </w:r>
          </w:p>
        </w:tc>
        <w:tc>
          <w:tcPr>
            <w:tcW w:w="247" w:type="pct"/>
            <w:shd w:val="clear" w:color="auto" w:fill="D9D9D9" w:themeFill="background1" w:themeFillShade="D9"/>
          </w:tcPr>
          <w:p w14:paraId="5207A749" w14:textId="77777777" w:rsidR="0018175B" w:rsidRPr="00D518FF" w:rsidRDefault="0018175B" w:rsidP="00FC62A1">
            <w:pPr>
              <w:pStyle w:val="2024TABLEHEADER"/>
              <w:spacing w:before="0" w:after="0" w:line="240" w:lineRule="auto"/>
              <w:rPr>
                <w:sz w:val="16"/>
                <w:szCs w:val="16"/>
              </w:rPr>
            </w:pPr>
            <w:r w:rsidRPr="00D518FF">
              <w:rPr>
                <w:sz w:val="16"/>
                <w:szCs w:val="16"/>
              </w:rPr>
              <w:t>Date of last search</w:t>
            </w:r>
          </w:p>
        </w:tc>
        <w:tc>
          <w:tcPr>
            <w:tcW w:w="378" w:type="pct"/>
            <w:shd w:val="clear" w:color="auto" w:fill="D9D9D9" w:themeFill="background1" w:themeFillShade="D9"/>
          </w:tcPr>
          <w:p w14:paraId="0AA96EEB" w14:textId="238EAA2F" w:rsidR="0018175B" w:rsidRPr="00D518FF" w:rsidRDefault="0018175B" w:rsidP="00FC62A1">
            <w:pPr>
              <w:pStyle w:val="2024TABLEHEADER"/>
              <w:spacing w:before="0" w:after="0" w:line="240" w:lineRule="auto"/>
              <w:rPr>
                <w:sz w:val="16"/>
                <w:szCs w:val="16"/>
              </w:rPr>
            </w:pPr>
            <w:r w:rsidRPr="00D518FF">
              <w:rPr>
                <w:sz w:val="16"/>
                <w:szCs w:val="16"/>
              </w:rPr>
              <w:t xml:space="preserve">Search restrictions </w:t>
            </w:r>
          </w:p>
        </w:tc>
        <w:tc>
          <w:tcPr>
            <w:tcW w:w="315" w:type="pct"/>
            <w:shd w:val="clear" w:color="auto" w:fill="D9D9D9" w:themeFill="background1" w:themeFillShade="D9"/>
          </w:tcPr>
          <w:p w14:paraId="20830B83" w14:textId="77777777" w:rsidR="0018175B" w:rsidRPr="00D518FF" w:rsidRDefault="0018175B" w:rsidP="00FC62A1">
            <w:pPr>
              <w:pStyle w:val="2024TABLEHEADER"/>
              <w:spacing w:before="0" w:after="0" w:line="240" w:lineRule="auto"/>
              <w:rPr>
                <w:sz w:val="16"/>
                <w:szCs w:val="16"/>
              </w:rPr>
            </w:pPr>
            <w:r w:rsidRPr="00D518FF">
              <w:rPr>
                <w:sz w:val="16"/>
                <w:szCs w:val="16"/>
              </w:rPr>
              <w:t>RoB tool used</w:t>
            </w:r>
          </w:p>
        </w:tc>
        <w:tc>
          <w:tcPr>
            <w:tcW w:w="323" w:type="pct"/>
            <w:shd w:val="clear" w:color="auto" w:fill="D9D9D9" w:themeFill="background1" w:themeFillShade="D9"/>
          </w:tcPr>
          <w:p w14:paraId="5E5D74F5" w14:textId="1BDB37B1" w:rsidR="0018175B" w:rsidRPr="00D518FF" w:rsidRDefault="0018175B" w:rsidP="00FC62A1">
            <w:pPr>
              <w:pStyle w:val="2024TABLEHEADER"/>
              <w:spacing w:before="0" w:after="0" w:line="240" w:lineRule="auto"/>
              <w:rPr>
                <w:sz w:val="16"/>
                <w:szCs w:val="16"/>
              </w:rPr>
            </w:pPr>
            <w:r w:rsidRPr="00D518FF">
              <w:rPr>
                <w:sz w:val="16"/>
                <w:szCs w:val="16"/>
              </w:rPr>
              <w:t>Certainty of evidence</w:t>
            </w:r>
          </w:p>
        </w:tc>
        <w:tc>
          <w:tcPr>
            <w:tcW w:w="370" w:type="pct"/>
            <w:shd w:val="clear" w:color="auto" w:fill="D9D9D9" w:themeFill="background1" w:themeFillShade="D9"/>
          </w:tcPr>
          <w:p w14:paraId="21B0A7B1" w14:textId="7EF4B539" w:rsidR="0018175B" w:rsidRPr="00D518FF" w:rsidRDefault="0018175B" w:rsidP="00FC62A1">
            <w:pPr>
              <w:pStyle w:val="2024TABLEHEADER"/>
              <w:spacing w:before="0" w:after="0" w:line="240" w:lineRule="auto"/>
              <w:rPr>
                <w:sz w:val="16"/>
                <w:szCs w:val="16"/>
              </w:rPr>
            </w:pPr>
            <w:r w:rsidRPr="00D518FF">
              <w:rPr>
                <w:sz w:val="16"/>
                <w:szCs w:val="16"/>
              </w:rPr>
              <w:t>Conflicts of interest</w:t>
            </w:r>
          </w:p>
        </w:tc>
        <w:tc>
          <w:tcPr>
            <w:tcW w:w="545" w:type="pct"/>
            <w:shd w:val="clear" w:color="auto" w:fill="D9D9D9" w:themeFill="background1" w:themeFillShade="D9"/>
          </w:tcPr>
          <w:p w14:paraId="387A6B55" w14:textId="55DE2DBB" w:rsidR="0018175B" w:rsidRPr="00D518FF" w:rsidRDefault="0018175B" w:rsidP="00FC62A1">
            <w:pPr>
              <w:pStyle w:val="2024TABLEHEADER"/>
              <w:spacing w:before="0" w:after="0" w:line="240" w:lineRule="auto"/>
              <w:rPr>
                <w:sz w:val="16"/>
                <w:szCs w:val="16"/>
              </w:rPr>
            </w:pPr>
            <w:r w:rsidRPr="00D518FF">
              <w:rPr>
                <w:sz w:val="16"/>
                <w:szCs w:val="16"/>
              </w:rPr>
              <w:t>Funding sources</w:t>
            </w:r>
          </w:p>
        </w:tc>
      </w:tr>
      <w:tr w:rsidR="00CF6071" w:rsidRPr="00D518FF" w14:paraId="053BA809" w14:textId="4A742F76" w:rsidTr="00A6108F">
        <w:trPr>
          <w:trHeight w:val="343"/>
        </w:trPr>
        <w:tc>
          <w:tcPr>
            <w:tcW w:w="246" w:type="pct"/>
            <w:shd w:val="clear" w:color="auto" w:fill="EFFFE9"/>
          </w:tcPr>
          <w:p w14:paraId="7C9AB138" w14:textId="753AE9EB"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Barić 2018</w:t>
            </w:r>
          </w:p>
        </w:tc>
        <w:tc>
          <w:tcPr>
            <w:tcW w:w="346" w:type="pct"/>
            <w:shd w:val="clear" w:color="auto" w:fill="EFFFE9"/>
          </w:tcPr>
          <w:p w14:paraId="558DB0F2" w14:textId="5AE7854D"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686" w:type="pct"/>
            <w:shd w:val="clear" w:color="auto" w:fill="EFFFE9"/>
          </w:tcPr>
          <w:p w14:paraId="37CA1AA4" w14:textId="4F8E62EB"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To evaluate empirical evidence of clinical efficacy and safety of CAM methods in the treatment of GAD in adults, as assessed in RCTs.</w:t>
            </w:r>
          </w:p>
        </w:tc>
        <w:tc>
          <w:tcPr>
            <w:tcW w:w="285" w:type="pct"/>
            <w:shd w:val="clear" w:color="auto" w:fill="EFFFE9"/>
          </w:tcPr>
          <w:p w14:paraId="38C78820" w14:textId="54B40011"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 xml:space="preserve">RCTs </w:t>
            </w:r>
          </w:p>
        </w:tc>
        <w:tc>
          <w:tcPr>
            <w:tcW w:w="332" w:type="pct"/>
            <w:shd w:val="clear" w:color="auto" w:fill="EFFFE9"/>
          </w:tcPr>
          <w:p w14:paraId="139A6E38" w14:textId="094F06A1"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1</w:t>
            </w:r>
          </w:p>
        </w:tc>
        <w:tc>
          <w:tcPr>
            <w:tcW w:w="332" w:type="pct"/>
            <w:shd w:val="clear" w:color="auto" w:fill="EFFFE9"/>
          </w:tcPr>
          <w:p w14:paraId="5F6CE08A" w14:textId="4D4E4435"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6</w:t>
            </w:r>
          </w:p>
        </w:tc>
        <w:tc>
          <w:tcPr>
            <w:tcW w:w="594" w:type="pct"/>
            <w:shd w:val="clear" w:color="auto" w:fill="EFFFE9"/>
          </w:tcPr>
          <w:p w14:paraId="6EEEFB9A" w14:textId="174E8521"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 xml:space="preserve">Medline, Web of Science, EBSCO (Academic Search Complete, CINAHL and ERIC), Scopus—Health Sciences, Google Scholar, Cochrane Library </w:t>
            </w:r>
          </w:p>
        </w:tc>
        <w:tc>
          <w:tcPr>
            <w:tcW w:w="247" w:type="pct"/>
            <w:shd w:val="clear" w:color="auto" w:fill="EFFFE9"/>
          </w:tcPr>
          <w:p w14:paraId="61372B3E" w14:textId="3A55F9C3"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Mar 2017</w:t>
            </w:r>
          </w:p>
        </w:tc>
        <w:tc>
          <w:tcPr>
            <w:tcW w:w="378" w:type="pct"/>
            <w:shd w:val="clear" w:color="auto" w:fill="EFFFE9"/>
          </w:tcPr>
          <w:p w14:paraId="1C82E3BC" w14:textId="282BE6D1"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NR</w:t>
            </w:r>
          </w:p>
        </w:tc>
        <w:tc>
          <w:tcPr>
            <w:tcW w:w="315" w:type="pct"/>
            <w:shd w:val="clear" w:color="auto" w:fill="EFFFE9"/>
          </w:tcPr>
          <w:p w14:paraId="6CF14AA8" w14:textId="442C1E7F"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323" w:type="pct"/>
            <w:shd w:val="clear" w:color="auto" w:fill="EFFFE9"/>
          </w:tcPr>
          <w:p w14:paraId="7FCA0C02" w14:textId="1C6228F0"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GRADE</w:t>
            </w:r>
          </w:p>
        </w:tc>
        <w:tc>
          <w:tcPr>
            <w:tcW w:w="370" w:type="pct"/>
            <w:shd w:val="clear" w:color="auto" w:fill="EFFFE9"/>
          </w:tcPr>
          <w:p w14:paraId="150CCCCD" w14:textId="64EF0A3D"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Nothing to disclose.</w:t>
            </w:r>
          </w:p>
        </w:tc>
        <w:tc>
          <w:tcPr>
            <w:tcW w:w="545" w:type="pct"/>
            <w:shd w:val="clear" w:color="auto" w:fill="EFFFE9"/>
          </w:tcPr>
          <w:p w14:paraId="664DAFDC" w14:textId="5B0E1C1C"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No funding or sponsorship was received for this study or publication of this article.</w:t>
            </w:r>
          </w:p>
        </w:tc>
      </w:tr>
      <w:tr w:rsidR="00CF6071" w:rsidRPr="00D518FF" w14:paraId="128A6A43" w14:textId="40B5F4AE" w:rsidTr="00A6108F">
        <w:trPr>
          <w:trHeight w:val="642"/>
        </w:trPr>
        <w:tc>
          <w:tcPr>
            <w:tcW w:w="246" w:type="pct"/>
            <w:shd w:val="clear" w:color="auto" w:fill="EFFFE9"/>
          </w:tcPr>
          <w:p w14:paraId="5CAA05C2" w14:textId="031410CB"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Tsai 2023</w:t>
            </w:r>
          </w:p>
        </w:tc>
        <w:tc>
          <w:tcPr>
            <w:tcW w:w="346" w:type="pct"/>
            <w:shd w:val="clear" w:color="auto" w:fill="EFFFE9"/>
          </w:tcPr>
          <w:p w14:paraId="01ABCEEE" w14:textId="2BA1FF9C"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686" w:type="pct"/>
            <w:shd w:val="clear" w:color="auto" w:fill="EFFFE9"/>
          </w:tcPr>
          <w:p w14:paraId="372E1FB5" w14:textId="4AFB9870"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To assess the effectiveness of dietary interventions for the treatment of perinatal depression and/or anxiety.</w:t>
            </w:r>
          </w:p>
        </w:tc>
        <w:tc>
          <w:tcPr>
            <w:tcW w:w="285" w:type="pct"/>
            <w:shd w:val="clear" w:color="auto" w:fill="EFFFE9"/>
          </w:tcPr>
          <w:p w14:paraId="034B0BF1" w14:textId="217332B8"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 xml:space="preserve">RCTs </w:t>
            </w:r>
          </w:p>
        </w:tc>
        <w:tc>
          <w:tcPr>
            <w:tcW w:w="332" w:type="pct"/>
            <w:shd w:val="clear" w:color="auto" w:fill="EFFFE9"/>
          </w:tcPr>
          <w:p w14:paraId="398B18D0" w14:textId="1AA77AF7"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1, 4</w:t>
            </w:r>
          </w:p>
        </w:tc>
        <w:tc>
          <w:tcPr>
            <w:tcW w:w="332" w:type="pct"/>
            <w:shd w:val="clear" w:color="auto" w:fill="EFFFE9"/>
          </w:tcPr>
          <w:p w14:paraId="7F8332C7" w14:textId="1165595A"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5</w:t>
            </w:r>
          </w:p>
        </w:tc>
        <w:tc>
          <w:tcPr>
            <w:tcW w:w="594" w:type="pct"/>
            <w:shd w:val="clear" w:color="auto" w:fill="EFFFE9"/>
          </w:tcPr>
          <w:p w14:paraId="673FECD5" w14:textId="6B9ACCD8"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MEDLINE, EMBASE, PsycINFO, CINAHL, Web of Science</w:t>
            </w:r>
          </w:p>
        </w:tc>
        <w:tc>
          <w:tcPr>
            <w:tcW w:w="247" w:type="pct"/>
            <w:shd w:val="clear" w:color="auto" w:fill="EFFFE9"/>
          </w:tcPr>
          <w:p w14:paraId="1A6DA0D7" w14:textId="2CB16B16"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Nov 2022</w:t>
            </w:r>
          </w:p>
        </w:tc>
        <w:tc>
          <w:tcPr>
            <w:tcW w:w="378" w:type="pct"/>
            <w:shd w:val="clear" w:color="auto" w:fill="EFFFE9"/>
          </w:tcPr>
          <w:p w14:paraId="7AC01C70" w14:textId="0D5E0F2B"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English</w:t>
            </w:r>
          </w:p>
        </w:tc>
        <w:tc>
          <w:tcPr>
            <w:tcW w:w="315" w:type="pct"/>
            <w:shd w:val="clear" w:color="auto" w:fill="EFFFE9"/>
          </w:tcPr>
          <w:p w14:paraId="7838B755" w14:textId="498440AD"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323" w:type="pct"/>
            <w:shd w:val="clear" w:color="auto" w:fill="EFFFE9"/>
          </w:tcPr>
          <w:p w14:paraId="32DE3B01" w14:textId="61A17A10"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NR</w:t>
            </w:r>
          </w:p>
        </w:tc>
        <w:tc>
          <w:tcPr>
            <w:tcW w:w="370" w:type="pct"/>
            <w:shd w:val="clear" w:color="auto" w:fill="EFFFE9"/>
          </w:tcPr>
          <w:p w14:paraId="510B38E5" w14:textId="358480D2"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The authors report no conflicts of interest.</w:t>
            </w:r>
          </w:p>
        </w:tc>
        <w:tc>
          <w:tcPr>
            <w:tcW w:w="545" w:type="pct"/>
            <w:shd w:val="clear" w:color="auto" w:fill="EFFFE9"/>
          </w:tcPr>
          <w:p w14:paraId="1F788EBB" w14:textId="4168C371" w:rsidR="00F60E69" w:rsidRPr="00D518FF" w:rsidRDefault="00F60E69" w:rsidP="00FC62A1">
            <w:pPr>
              <w:pStyle w:val="2024TABLETEXT"/>
              <w:framePr w:hSpace="0" w:wrap="auto" w:vAnchor="margin" w:yAlign="inline"/>
              <w:spacing w:line="240" w:lineRule="auto"/>
              <w:suppressOverlap w:val="0"/>
              <w:rPr>
                <w:sz w:val="16"/>
                <w:szCs w:val="16"/>
              </w:rPr>
            </w:pPr>
            <w:r w:rsidRPr="00D518FF">
              <w:rPr>
                <w:sz w:val="16"/>
                <w:szCs w:val="16"/>
              </w:rPr>
              <w:t xml:space="preserve">The authors reported no funding received for this study. </w:t>
            </w:r>
          </w:p>
        </w:tc>
      </w:tr>
    </w:tbl>
    <w:p w14:paraId="2181E5CA" w14:textId="2C5081C7" w:rsidR="00E745C0" w:rsidRPr="00D518FF" w:rsidRDefault="00F411AA" w:rsidP="00AA72BD">
      <w:pPr>
        <w:pStyle w:val="2024TABLEFOOTER"/>
        <w:spacing w:line="240" w:lineRule="auto"/>
        <w:rPr>
          <w:szCs w:val="16"/>
        </w:rPr>
      </w:pPr>
      <w:r w:rsidRPr="00D518FF">
        <w:rPr>
          <w:szCs w:val="16"/>
        </w:rPr>
        <w:lastRenderedPageBreak/>
        <w:t xml:space="preserve">Abbreviations: </w:t>
      </w:r>
      <w:r w:rsidR="000036C3" w:rsidRPr="00D518FF">
        <w:rPr>
          <w:szCs w:val="16"/>
        </w:rPr>
        <w:t>CAM=</w:t>
      </w:r>
      <w:r w:rsidR="00FD4868" w:rsidRPr="00D518FF">
        <w:rPr>
          <w:szCs w:val="16"/>
        </w:rPr>
        <w:t xml:space="preserve">complementary and alternative medicine; </w:t>
      </w:r>
      <w:r w:rsidR="00A9261B" w:rsidRPr="00D518FF">
        <w:rPr>
          <w:szCs w:val="16"/>
        </w:rPr>
        <w:t xml:space="preserve">CINAHL=Cumulative Index of Nursing and Allied Health Literature; </w:t>
      </w:r>
      <w:r w:rsidR="00FD4868" w:rsidRPr="00D518FF">
        <w:rPr>
          <w:szCs w:val="16"/>
        </w:rPr>
        <w:t xml:space="preserve">GAD=generalised anxiety disorder; </w:t>
      </w:r>
      <w:r w:rsidR="002F0C5A" w:rsidRPr="00D518FF">
        <w:rPr>
          <w:szCs w:val="16"/>
        </w:rPr>
        <w:t>GRADE=</w:t>
      </w:r>
      <w:r w:rsidR="00553EA6" w:rsidRPr="00D518FF">
        <w:rPr>
          <w:szCs w:val="16"/>
        </w:rPr>
        <w:t>Grading of Recommendations Assessment, Development and Evaluation</w:t>
      </w:r>
      <w:r w:rsidR="00751542" w:rsidRPr="00D518FF">
        <w:rPr>
          <w:szCs w:val="16"/>
        </w:rPr>
        <w:t xml:space="preserve">; </w:t>
      </w:r>
      <w:r w:rsidRPr="00D518FF">
        <w:rPr>
          <w:szCs w:val="16"/>
        </w:rPr>
        <w:t>PMS=premenstrual syndrome</w:t>
      </w:r>
      <w:r w:rsidR="006D79C7" w:rsidRPr="00D518FF">
        <w:rPr>
          <w:szCs w:val="16"/>
        </w:rPr>
        <w:t xml:space="preserve">; NR=Not reported; </w:t>
      </w:r>
      <w:r w:rsidR="004622EE" w:rsidRPr="00D518FF">
        <w:rPr>
          <w:szCs w:val="16"/>
        </w:rPr>
        <w:t>RCT</w:t>
      </w:r>
      <w:r w:rsidR="006D79C7" w:rsidRPr="00D518FF">
        <w:rPr>
          <w:szCs w:val="16"/>
        </w:rPr>
        <w:t>=randomised controlled trial</w:t>
      </w:r>
    </w:p>
    <w:p w14:paraId="02A91C74" w14:textId="77777777" w:rsidR="00246758" w:rsidRPr="00D518FF" w:rsidRDefault="00246758" w:rsidP="00AA72BD">
      <w:pPr>
        <w:pStyle w:val="2024TABLEFOOTER"/>
        <w:spacing w:line="240" w:lineRule="auto"/>
        <w:rPr>
          <w:szCs w:val="16"/>
        </w:rPr>
      </w:pPr>
    </w:p>
    <w:p w14:paraId="2643F3EC" w14:textId="5A80FD4A" w:rsidR="00F411AA" w:rsidRPr="00D518FF" w:rsidRDefault="00F411AA" w:rsidP="00AA72BD">
      <w:pPr>
        <w:pStyle w:val="2024TABLEFOOTER"/>
        <w:spacing w:line="240" w:lineRule="auto"/>
        <w:rPr>
          <w:szCs w:val="16"/>
        </w:rPr>
      </w:pPr>
      <w:r w:rsidRPr="00D518FF">
        <w:rPr>
          <w:szCs w:val="16"/>
        </w:rPr>
        <w:t>^Outcome domains identified as part of the Outcome Prioritisation Exercise:</w:t>
      </w:r>
    </w:p>
    <w:p w14:paraId="6BCB7EC0" w14:textId="77777777" w:rsidR="008B4687" w:rsidRPr="00D518FF" w:rsidRDefault="008B4687" w:rsidP="003F5774">
      <w:pPr>
        <w:pStyle w:val="2024TABLEFOOTER"/>
        <w:numPr>
          <w:ilvl w:val="0"/>
          <w:numId w:val="12"/>
        </w:numPr>
        <w:spacing w:line="240" w:lineRule="auto"/>
        <w:rPr>
          <w:szCs w:val="16"/>
        </w:rPr>
      </w:pPr>
      <w:r w:rsidRPr="00D518FF">
        <w:rPr>
          <w:szCs w:val="16"/>
        </w:rPr>
        <w:t>Anxiety-related emotional functioning/mental health burden;</w:t>
      </w:r>
    </w:p>
    <w:p w14:paraId="78CA6C08" w14:textId="77777777" w:rsidR="008B4687" w:rsidRPr="00D518FF" w:rsidRDefault="008B4687" w:rsidP="003F5774">
      <w:pPr>
        <w:pStyle w:val="2024TABLEFOOTER"/>
        <w:numPr>
          <w:ilvl w:val="0"/>
          <w:numId w:val="12"/>
        </w:numPr>
        <w:spacing w:line="240" w:lineRule="auto"/>
        <w:rPr>
          <w:szCs w:val="16"/>
        </w:rPr>
      </w:pPr>
      <w:r w:rsidRPr="00D518FF">
        <w:rPr>
          <w:szCs w:val="16"/>
        </w:rPr>
        <w:t>Physical function burden from anxiety (gastrointestinal disorders, loss of sexual desire, frequent upper respiratory tract and other infections)</w:t>
      </w:r>
    </w:p>
    <w:p w14:paraId="089F587C" w14:textId="77777777" w:rsidR="008B4687" w:rsidRPr="00D518FF" w:rsidRDefault="008B4687" w:rsidP="003F5774">
      <w:pPr>
        <w:pStyle w:val="2024TABLEFOOTER"/>
        <w:numPr>
          <w:ilvl w:val="0"/>
          <w:numId w:val="12"/>
        </w:numPr>
        <w:spacing w:line="240" w:lineRule="auto"/>
        <w:rPr>
          <w:szCs w:val="16"/>
        </w:rPr>
      </w:pPr>
      <w:r w:rsidRPr="00D518FF">
        <w:rPr>
          <w:szCs w:val="16"/>
        </w:rPr>
        <w:t>Improvement in clinical levels of anxiety</w:t>
      </w:r>
    </w:p>
    <w:p w14:paraId="64123DF9" w14:textId="77777777" w:rsidR="008B4687" w:rsidRPr="00D518FF" w:rsidRDefault="008B4687" w:rsidP="003F5774">
      <w:pPr>
        <w:pStyle w:val="2024TABLEFOOTER"/>
        <w:numPr>
          <w:ilvl w:val="0"/>
          <w:numId w:val="12"/>
        </w:numPr>
        <w:spacing w:line="240" w:lineRule="auto"/>
        <w:rPr>
          <w:szCs w:val="16"/>
        </w:rPr>
      </w:pPr>
      <w:r w:rsidRPr="00D518FF">
        <w:rPr>
          <w:szCs w:val="16"/>
        </w:rPr>
        <w:t>Depression-related emotional functioning/mental health burden</w:t>
      </w:r>
    </w:p>
    <w:p w14:paraId="2AE06AC0" w14:textId="77777777" w:rsidR="008B4687" w:rsidRPr="00D518FF" w:rsidRDefault="008B4687" w:rsidP="003F5774">
      <w:pPr>
        <w:pStyle w:val="2024TABLEFOOTER"/>
        <w:numPr>
          <w:ilvl w:val="0"/>
          <w:numId w:val="12"/>
        </w:numPr>
        <w:spacing w:line="240" w:lineRule="auto"/>
        <w:rPr>
          <w:szCs w:val="16"/>
        </w:rPr>
      </w:pPr>
      <w:r w:rsidRPr="00D518FF">
        <w:rPr>
          <w:szCs w:val="16"/>
        </w:rPr>
        <w:t>Stress-related emotional functioning/mental health burden</w:t>
      </w:r>
    </w:p>
    <w:p w14:paraId="7E6C13CC" w14:textId="77777777" w:rsidR="008B4687" w:rsidRPr="00D518FF" w:rsidRDefault="008B4687" w:rsidP="003F5774">
      <w:pPr>
        <w:pStyle w:val="2024TABLEFOOTER"/>
        <w:numPr>
          <w:ilvl w:val="0"/>
          <w:numId w:val="12"/>
        </w:numPr>
        <w:spacing w:line="240" w:lineRule="auto"/>
        <w:rPr>
          <w:szCs w:val="16"/>
        </w:rPr>
      </w:pPr>
      <w:r w:rsidRPr="00D518FF">
        <w:rPr>
          <w:szCs w:val="16"/>
        </w:rPr>
        <w:t>Physiological symptoms of anxiety (heart rate, BP, adrenaline, skin conductance, weight gain, weight loss, cortisol levels)</w:t>
      </w:r>
    </w:p>
    <w:p w14:paraId="111DD961" w14:textId="26415101" w:rsidR="00EA2DE5" w:rsidRPr="00D518FF" w:rsidRDefault="008B4687" w:rsidP="003F5774">
      <w:pPr>
        <w:pStyle w:val="2024TABLEFOOTER"/>
        <w:numPr>
          <w:ilvl w:val="0"/>
          <w:numId w:val="12"/>
        </w:numPr>
        <w:spacing w:line="240" w:lineRule="auto"/>
        <w:rPr>
          <w:rStyle w:val="Heading1Char"/>
          <w:rFonts w:ascii="Aptos" w:eastAsia="Calibri" w:hAnsi="Aptos" w:cs="Times New Roman"/>
          <w:b/>
          <w:bCs w:val="0"/>
          <w:color w:val="auto"/>
          <w:sz w:val="16"/>
          <w:szCs w:val="16"/>
        </w:rPr>
      </w:pPr>
      <w:r w:rsidRPr="00D518FF">
        <w:rPr>
          <w:szCs w:val="16"/>
        </w:rPr>
        <w:t>Health-related quality of life</w:t>
      </w:r>
      <w:bookmarkEnd w:id="0"/>
    </w:p>
    <w:p w14:paraId="68F7E13E" w14:textId="79E2EBFD" w:rsidR="00FD1BEE" w:rsidRPr="00A740A6" w:rsidRDefault="00E670D9" w:rsidP="00A740A6">
      <w:pPr>
        <w:pStyle w:val="heading2numbers"/>
        <w:rPr>
          <w:rStyle w:val="Heading1Char"/>
          <w:rFonts w:ascii="Aptos" w:eastAsia="Calibri" w:hAnsi="Aptos"/>
          <w:bCs w:val="0"/>
          <w:color w:val="C00000"/>
          <w:sz w:val="28"/>
          <w:szCs w:val="26"/>
        </w:rPr>
      </w:pPr>
      <w:bookmarkStart w:id="142" w:name="_Toc185254645"/>
      <w:r w:rsidRPr="00A740A6">
        <w:rPr>
          <w:rStyle w:val="Heading1Char"/>
          <w:rFonts w:ascii="Aptos" w:eastAsia="Calibri" w:hAnsi="Aptos"/>
          <w:bCs w:val="0"/>
          <w:color w:val="C00000"/>
          <w:sz w:val="28"/>
          <w:szCs w:val="26"/>
        </w:rPr>
        <w:t>Stress (perceived, occupational), magnesium</w:t>
      </w:r>
      <w:bookmarkEnd w:id="142"/>
    </w:p>
    <w:p w14:paraId="072EF3DD" w14:textId="387102B3" w:rsidR="0095178C" w:rsidRPr="004C6AA1" w:rsidRDefault="0095178C" w:rsidP="004C6AA1">
      <w:pPr>
        <w:pStyle w:val="Caption"/>
        <w:spacing w:before="240"/>
        <w:rPr>
          <w:rFonts w:ascii="Aptos" w:hAnsi="Aptos"/>
        </w:rPr>
      </w:pPr>
      <w:bookmarkStart w:id="143" w:name="_Toc185254549"/>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3</w:t>
      </w:r>
      <w:r w:rsidR="00DC4767" w:rsidRPr="004C6AA1">
        <w:rPr>
          <w:rFonts w:ascii="Aptos" w:hAnsi="Aptos"/>
        </w:rPr>
        <w:fldChar w:fldCharType="end"/>
      </w:r>
      <w:r w:rsidRPr="004C6AA1">
        <w:rPr>
          <w:rFonts w:ascii="Aptos" w:hAnsi="Aptos"/>
        </w:rPr>
        <w:t xml:space="preserve">. </w:t>
      </w:r>
      <w:r w:rsidRPr="00D518FF">
        <w:rPr>
          <w:rFonts w:ascii="Aptos" w:hAnsi="Aptos"/>
        </w:rPr>
        <w:t>Citation details of included reviews – stress, magnesium (n=0)</w:t>
      </w:r>
      <w:r>
        <w:rPr>
          <w:rFonts w:ascii="Aptos" w:hAnsi="Aptos"/>
        </w:rPr>
        <w:t>.</w:t>
      </w:r>
      <w:bookmarkEnd w:id="143"/>
    </w:p>
    <w:tbl>
      <w:tblPr>
        <w:tblStyle w:val="TableGrid"/>
        <w:tblW w:w="14312" w:type="dxa"/>
        <w:tblLayout w:type="fixed"/>
        <w:tblCellMar>
          <w:top w:w="28" w:type="dxa"/>
          <w:left w:w="57" w:type="dxa"/>
          <w:bottom w:w="28" w:type="dxa"/>
          <w:right w:w="28" w:type="dxa"/>
        </w:tblCellMar>
        <w:tblLook w:val="04A0" w:firstRow="1" w:lastRow="0" w:firstColumn="1" w:lastColumn="0" w:noHBand="0" w:noVBand="1"/>
      </w:tblPr>
      <w:tblGrid>
        <w:gridCol w:w="1271"/>
        <w:gridCol w:w="3969"/>
        <w:gridCol w:w="2410"/>
        <w:gridCol w:w="567"/>
        <w:gridCol w:w="1559"/>
        <w:gridCol w:w="709"/>
        <w:gridCol w:w="709"/>
        <w:gridCol w:w="992"/>
        <w:gridCol w:w="2126"/>
      </w:tblGrid>
      <w:tr w:rsidR="00FF3F59" w:rsidRPr="00D518FF" w14:paraId="0B9A620C" w14:textId="77777777" w:rsidTr="00E77295">
        <w:trPr>
          <w:trHeight w:val="61"/>
          <w:tblHeader/>
        </w:trPr>
        <w:tc>
          <w:tcPr>
            <w:tcW w:w="1271" w:type="dxa"/>
            <w:shd w:val="clear" w:color="auto" w:fill="D9D9D9" w:themeFill="background1" w:themeFillShade="D9"/>
          </w:tcPr>
          <w:p w14:paraId="77E8CC58"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969" w:type="dxa"/>
            <w:shd w:val="clear" w:color="auto" w:fill="D9D9D9" w:themeFill="background1" w:themeFillShade="D9"/>
            <w:noWrap/>
            <w:hideMark/>
          </w:tcPr>
          <w:p w14:paraId="38F4314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410" w:type="dxa"/>
            <w:shd w:val="clear" w:color="auto" w:fill="D9D9D9" w:themeFill="background1" w:themeFillShade="D9"/>
            <w:noWrap/>
            <w:hideMark/>
          </w:tcPr>
          <w:p w14:paraId="0B13141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75F658AB"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559" w:type="dxa"/>
            <w:shd w:val="clear" w:color="auto" w:fill="D9D9D9" w:themeFill="background1" w:themeFillShade="D9"/>
            <w:noWrap/>
            <w:hideMark/>
          </w:tcPr>
          <w:p w14:paraId="06B49FA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5A5E2D39"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709" w:type="dxa"/>
            <w:shd w:val="clear" w:color="auto" w:fill="D9D9D9" w:themeFill="background1" w:themeFillShade="D9"/>
            <w:noWrap/>
            <w:hideMark/>
          </w:tcPr>
          <w:p w14:paraId="69F9D632"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992" w:type="dxa"/>
            <w:shd w:val="clear" w:color="auto" w:fill="D9D9D9" w:themeFill="background1" w:themeFillShade="D9"/>
            <w:noWrap/>
            <w:hideMark/>
          </w:tcPr>
          <w:p w14:paraId="309B2AF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2126" w:type="dxa"/>
            <w:shd w:val="clear" w:color="auto" w:fill="D9D9D9" w:themeFill="background1" w:themeFillShade="D9"/>
            <w:noWrap/>
            <w:hideMark/>
          </w:tcPr>
          <w:p w14:paraId="4BCCD1D3"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4D573BD5" w14:textId="77777777" w:rsidTr="00E77295">
        <w:trPr>
          <w:trHeight w:val="55"/>
        </w:trPr>
        <w:tc>
          <w:tcPr>
            <w:tcW w:w="14312" w:type="dxa"/>
            <w:gridSpan w:val="9"/>
          </w:tcPr>
          <w:p w14:paraId="3CB02A65" w14:textId="7A2FD76F" w:rsidR="00FF3F59" w:rsidRPr="00D518FF" w:rsidRDefault="00FF3F59">
            <w:pPr>
              <w:rPr>
                <w:rFonts w:ascii="Aptos" w:hAnsi="Aptos" w:cs="Arial"/>
                <w:sz w:val="16"/>
                <w:szCs w:val="16"/>
              </w:rPr>
            </w:pPr>
            <w:r w:rsidRPr="00D518FF">
              <w:rPr>
                <w:rFonts w:ascii="Aptos" w:hAnsi="Aptos"/>
                <w:sz w:val="20"/>
                <w:szCs w:val="20"/>
              </w:rPr>
              <w:t>No reviews were identified for inclusion in the Overview</w:t>
            </w:r>
          </w:p>
        </w:tc>
      </w:tr>
    </w:tbl>
    <w:p w14:paraId="7AB21D8C" w14:textId="5E3480A9" w:rsidR="0007372D" w:rsidRPr="00A740A6" w:rsidRDefault="006D57D1" w:rsidP="00A740A6">
      <w:pPr>
        <w:pStyle w:val="heading2numbers"/>
        <w:rPr>
          <w:rStyle w:val="Heading1Char"/>
          <w:rFonts w:ascii="Aptos" w:eastAsia="Calibri" w:hAnsi="Aptos"/>
          <w:bCs w:val="0"/>
          <w:color w:val="C00000"/>
          <w:sz w:val="28"/>
          <w:szCs w:val="26"/>
        </w:rPr>
      </w:pPr>
      <w:bookmarkStart w:id="144" w:name="_Toc185254646"/>
      <w:r w:rsidRPr="00A740A6">
        <w:rPr>
          <w:rStyle w:val="Heading1Char"/>
          <w:rFonts w:ascii="Aptos" w:eastAsia="Calibri" w:hAnsi="Aptos"/>
          <w:bCs w:val="0"/>
          <w:color w:val="C00000"/>
          <w:sz w:val="28"/>
          <w:szCs w:val="26"/>
        </w:rPr>
        <w:t>Irritable bowel syndrome, probiotics</w:t>
      </w:r>
      <w:bookmarkEnd w:id="144"/>
    </w:p>
    <w:p w14:paraId="2ACB914C" w14:textId="0B85C025" w:rsidR="0095178C" w:rsidRPr="004C6AA1" w:rsidRDefault="0095178C" w:rsidP="004C6AA1">
      <w:pPr>
        <w:pStyle w:val="Caption"/>
        <w:spacing w:before="240"/>
        <w:rPr>
          <w:rFonts w:ascii="Aptos" w:hAnsi="Aptos"/>
        </w:rPr>
      </w:pPr>
      <w:bookmarkStart w:id="145" w:name="_Toc185254550"/>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4</w:t>
      </w:r>
      <w:r w:rsidR="00DC4767" w:rsidRPr="004C6AA1">
        <w:rPr>
          <w:rFonts w:ascii="Aptos" w:hAnsi="Aptos"/>
        </w:rPr>
        <w:fldChar w:fldCharType="end"/>
      </w:r>
      <w:r w:rsidRPr="004C6AA1">
        <w:rPr>
          <w:rFonts w:ascii="Aptos" w:hAnsi="Aptos"/>
        </w:rPr>
        <w:t xml:space="preserve">. </w:t>
      </w:r>
      <w:r w:rsidRPr="00D518FF">
        <w:rPr>
          <w:rFonts w:ascii="Aptos" w:hAnsi="Aptos"/>
        </w:rPr>
        <w:t>Citation details of included reviews – irritable bowel syndrome, probiotics (n=31)</w:t>
      </w:r>
      <w:r>
        <w:rPr>
          <w:rFonts w:ascii="Aptos" w:hAnsi="Aptos"/>
        </w:rPr>
        <w:t>.</w:t>
      </w:r>
      <w:bookmarkEnd w:id="145"/>
    </w:p>
    <w:tbl>
      <w:tblPr>
        <w:tblStyle w:val="TableGrid"/>
        <w:tblW w:w="14312" w:type="dxa"/>
        <w:tblLayout w:type="fixed"/>
        <w:tblCellMar>
          <w:top w:w="28" w:type="dxa"/>
          <w:left w:w="57" w:type="dxa"/>
          <w:bottom w:w="28" w:type="dxa"/>
          <w:right w:w="28" w:type="dxa"/>
        </w:tblCellMar>
        <w:tblLook w:val="04A0" w:firstRow="1" w:lastRow="0" w:firstColumn="1" w:lastColumn="0" w:noHBand="0" w:noVBand="1"/>
      </w:tblPr>
      <w:tblGrid>
        <w:gridCol w:w="988"/>
        <w:gridCol w:w="4536"/>
        <w:gridCol w:w="2835"/>
        <w:gridCol w:w="567"/>
        <w:gridCol w:w="1701"/>
        <w:gridCol w:w="708"/>
        <w:gridCol w:w="567"/>
        <w:gridCol w:w="709"/>
        <w:gridCol w:w="1701"/>
      </w:tblGrid>
      <w:tr w:rsidR="00BD188B" w:rsidRPr="00D518FF" w14:paraId="40D847FE" w14:textId="77777777" w:rsidTr="00CF6071">
        <w:trPr>
          <w:trHeight w:val="61"/>
          <w:tblHeader/>
        </w:trPr>
        <w:tc>
          <w:tcPr>
            <w:tcW w:w="988" w:type="dxa"/>
            <w:shd w:val="clear" w:color="auto" w:fill="D9D9D9" w:themeFill="background1" w:themeFillShade="D9"/>
          </w:tcPr>
          <w:p w14:paraId="48EEE8E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4536" w:type="dxa"/>
            <w:shd w:val="clear" w:color="auto" w:fill="D9D9D9" w:themeFill="background1" w:themeFillShade="D9"/>
            <w:noWrap/>
            <w:hideMark/>
          </w:tcPr>
          <w:p w14:paraId="1069A83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835" w:type="dxa"/>
            <w:shd w:val="clear" w:color="auto" w:fill="D9D9D9" w:themeFill="background1" w:themeFillShade="D9"/>
            <w:noWrap/>
            <w:hideMark/>
          </w:tcPr>
          <w:p w14:paraId="4067AFC2"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64CE748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701" w:type="dxa"/>
            <w:shd w:val="clear" w:color="auto" w:fill="D9D9D9" w:themeFill="background1" w:themeFillShade="D9"/>
            <w:noWrap/>
            <w:hideMark/>
          </w:tcPr>
          <w:p w14:paraId="5F592AB8"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8" w:type="dxa"/>
            <w:shd w:val="clear" w:color="auto" w:fill="D9D9D9" w:themeFill="background1" w:themeFillShade="D9"/>
            <w:noWrap/>
            <w:hideMark/>
          </w:tcPr>
          <w:p w14:paraId="7AC8C03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567" w:type="dxa"/>
            <w:shd w:val="clear" w:color="auto" w:fill="D9D9D9" w:themeFill="background1" w:themeFillShade="D9"/>
            <w:noWrap/>
            <w:hideMark/>
          </w:tcPr>
          <w:p w14:paraId="0282E2F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709" w:type="dxa"/>
            <w:shd w:val="clear" w:color="auto" w:fill="D9D9D9" w:themeFill="background1" w:themeFillShade="D9"/>
            <w:noWrap/>
            <w:hideMark/>
          </w:tcPr>
          <w:p w14:paraId="724AB1B0"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701" w:type="dxa"/>
            <w:shd w:val="clear" w:color="auto" w:fill="D9D9D9" w:themeFill="background1" w:themeFillShade="D9"/>
            <w:noWrap/>
            <w:hideMark/>
          </w:tcPr>
          <w:p w14:paraId="368FAC78"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BD188B" w:rsidRPr="00D518FF" w14:paraId="0EDAF352" w14:textId="77777777" w:rsidTr="00A6108F">
        <w:trPr>
          <w:trHeight w:val="55"/>
        </w:trPr>
        <w:tc>
          <w:tcPr>
            <w:tcW w:w="988" w:type="dxa"/>
            <w:shd w:val="clear" w:color="auto" w:fill="EFFFE9"/>
          </w:tcPr>
          <w:p w14:paraId="444EB14B"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Abboud 2020</w:t>
            </w:r>
          </w:p>
        </w:tc>
        <w:tc>
          <w:tcPr>
            <w:tcW w:w="4536" w:type="dxa"/>
            <w:shd w:val="clear" w:color="auto" w:fill="EFFFE9"/>
          </w:tcPr>
          <w:p w14:paraId="19F451CE"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The Health Effects of Vitamin D and Probiotic Co-Supplementation: A Systematic Review of Randomized Controlled Trials</w:t>
            </w:r>
          </w:p>
        </w:tc>
        <w:tc>
          <w:tcPr>
            <w:tcW w:w="2835" w:type="dxa"/>
            <w:shd w:val="clear" w:color="auto" w:fill="EFFFE9"/>
          </w:tcPr>
          <w:p w14:paraId="4CF31138"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Abboud, M.; Rizk, R.; AlAnouti, F.; Papandreou, D.; Haidar, S.; Mahboub, N.</w:t>
            </w:r>
          </w:p>
        </w:tc>
        <w:tc>
          <w:tcPr>
            <w:tcW w:w="567" w:type="dxa"/>
            <w:shd w:val="clear" w:color="auto" w:fill="EFFFE9"/>
          </w:tcPr>
          <w:p w14:paraId="23E872D4"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2020</w:t>
            </w:r>
          </w:p>
        </w:tc>
        <w:tc>
          <w:tcPr>
            <w:tcW w:w="1701" w:type="dxa"/>
            <w:shd w:val="clear" w:color="auto" w:fill="EFFFE9"/>
          </w:tcPr>
          <w:p w14:paraId="2789EE8E"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Nutrients</w:t>
            </w:r>
          </w:p>
        </w:tc>
        <w:tc>
          <w:tcPr>
            <w:tcW w:w="708" w:type="dxa"/>
            <w:shd w:val="clear" w:color="auto" w:fill="EFFFE9"/>
          </w:tcPr>
          <w:p w14:paraId="7191989F"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13</w:t>
            </w:r>
          </w:p>
        </w:tc>
        <w:tc>
          <w:tcPr>
            <w:tcW w:w="567" w:type="dxa"/>
            <w:shd w:val="clear" w:color="auto" w:fill="EFFFE9"/>
          </w:tcPr>
          <w:p w14:paraId="79990032"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1</w:t>
            </w:r>
          </w:p>
        </w:tc>
        <w:tc>
          <w:tcPr>
            <w:tcW w:w="709" w:type="dxa"/>
            <w:shd w:val="clear" w:color="auto" w:fill="EFFFE9"/>
          </w:tcPr>
          <w:p w14:paraId="7DA988DA"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111</w:t>
            </w:r>
          </w:p>
        </w:tc>
        <w:tc>
          <w:tcPr>
            <w:tcW w:w="1701" w:type="dxa"/>
            <w:shd w:val="clear" w:color="auto" w:fill="EFFFE9"/>
          </w:tcPr>
          <w:p w14:paraId="6BF41BCA" w14:textId="77777777" w:rsidR="00FF3F59" w:rsidRPr="00023E7B" w:rsidRDefault="00FF3F59" w:rsidP="00023E7B">
            <w:pPr>
              <w:pStyle w:val="2024TABLETEXT"/>
              <w:framePr w:hSpace="0" w:wrap="auto" w:vAnchor="margin" w:yAlign="inline"/>
              <w:spacing w:line="240" w:lineRule="auto"/>
              <w:suppressOverlap w:val="0"/>
              <w:rPr>
                <w:sz w:val="16"/>
                <w:szCs w:val="16"/>
              </w:rPr>
            </w:pPr>
            <w:r w:rsidRPr="00023E7B">
              <w:rPr>
                <w:sz w:val="16"/>
                <w:szCs w:val="16"/>
              </w:rPr>
              <w:t>10.3390/nu13010111</w:t>
            </w:r>
          </w:p>
        </w:tc>
      </w:tr>
      <w:tr w:rsidR="00BD188B" w:rsidRPr="00D518FF" w14:paraId="5AB3A6B8" w14:textId="77777777" w:rsidTr="00CF6071">
        <w:trPr>
          <w:trHeight w:val="55"/>
        </w:trPr>
        <w:tc>
          <w:tcPr>
            <w:tcW w:w="988" w:type="dxa"/>
          </w:tcPr>
          <w:p w14:paraId="00B549A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Asha 2020</w:t>
            </w:r>
          </w:p>
        </w:tc>
        <w:tc>
          <w:tcPr>
            <w:tcW w:w="4536" w:type="dxa"/>
          </w:tcPr>
          <w:p w14:paraId="45D7AD1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and Safety of Probiotics, Prebiotics and Synbiotics in the Treatment of Irritable Bowel Syndrome: A systematic review and meta-analysis</w:t>
            </w:r>
          </w:p>
        </w:tc>
        <w:tc>
          <w:tcPr>
            <w:tcW w:w="2835" w:type="dxa"/>
          </w:tcPr>
          <w:p w14:paraId="7E17226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Asha, M. Z.; Khalil, S. F. H.</w:t>
            </w:r>
          </w:p>
        </w:tc>
        <w:tc>
          <w:tcPr>
            <w:tcW w:w="567" w:type="dxa"/>
          </w:tcPr>
          <w:p w14:paraId="588F4AF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701" w:type="dxa"/>
          </w:tcPr>
          <w:p w14:paraId="0C3CC51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Sultan Qaboos University medical journal</w:t>
            </w:r>
          </w:p>
        </w:tc>
        <w:tc>
          <w:tcPr>
            <w:tcW w:w="708" w:type="dxa"/>
          </w:tcPr>
          <w:p w14:paraId="1261125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w:t>
            </w:r>
          </w:p>
        </w:tc>
        <w:tc>
          <w:tcPr>
            <w:tcW w:w="567" w:type="dxa"/>
          </w:tcPr>
          <w:p w14:paraId="310A56E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09" w:type="dxa"/>
          </w:tcPr>
          <w:p w14:paraId="74B56D1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e13-e24</w:t>
            </w:r>
          </w:p>
        </w:tc>
        <w:tc>
          <w:tcPr>
            <w:tcW w:w="1701" w:type="dxa"/>
          </w:tcPr>
          <w:p w14:paraId="6F2788A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10.18295/squmj.2020.20.01.003</w:t>
            </w:r>
          </w:p>
        </w:tc>
      </w:tr>
      <w:tr w:rsidR="00BD188B" w:rsidRPr="00D518FF" w14:paraId="2B0E70E9" w14:textId="77777777" w:rsidTr="00CF6071">
        <w:trPr>
          <w:trHeight w:val="55"/>
        </w:trPr>
        <w:tc>
          <w:tcPr>
            <w:tcW w:w="988" w:type="dxa"/>
          </w:tcPr>
          <w:p w14:paraId="390FD88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Connell 2018</w:t>
            </w:r>
          </w:p>
        </w:tc>
        <w:tc>
          <w:tcPr>
            <w:tcW w:w="4536" w:type="dxa"/>
          </w:tcPr>
          <w:p w14:paraId="2FF1A9C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Systematic review and meta-analysis: Efficacy of patented probiotic, VSL#3, in irritable bowel syndrome</w:t>
            </w:r>
          </w:p>
        </w:tc>
        <w:tc>
          <w:tcPr>
            <w:tcW w:w="2835" w:type="dxa"/>
          </w:tcPr>
          <w:p w14:paraId="650AF3C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Connell, M.; Shin, A.; James-Stevenson, T.; Xu, H.; Imperiale, T. F.; Herron, J.</w:t>
            </w:r>
          </w:p>
        </w:tc>
        <w:tc>
          <w:tcPr>
            <w:tcW w:w="567" w:type="dxa"/>
          </w:tcPr>
          <w:p w14:paraId="703649B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2018</w:t>
            </w:r>
          </w:p>
        </w:tc>
        <w:tc>
          <w:tcPr>
            <w:tcW w:w="1701" w:type="dxa"/>
          </w:tcPr>
          <w:p w14:paraId="6DB6F56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Neurogastroenterology and motility : the official journal of the European Gastrointestinal Motility Society</w:t>
            </w:r>
          </w:p>
        </w:tc>
        <w:tc>
          <w:tcPr>
            <w:tcW w:w="708" w:type="dxa"/>
          </w:tcPr>
          <w:p w14:paraId="1EF251D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30</w:t>
            </w:r>
          </w:p>
        </w:tc>
        <w:tc>
          <w:tcPr>
            <w:tcW w:w="567" w:type="dxa"/>
          </w:tcPr>
          <w:p w14:paraId="513B10C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12</w:t>
            </w:r>
          </w:p>
        </w:tc>
        <w:tc>
          <w:tcPr>
            <w:tcW w:w="709" w:type="dxa"/>
          </w:tcPr>
          <w:p w14:paraId="61FE9FE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e13427</w:t>
            </w:r>
          </w:p>
        </w:tc>
        <w:tc>
          <w:tcPr>
            <w:tcW w:w="1701" w:type="dxa"/>
          </w:tcPr>
          <w:p w14:paraId="0049D21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10.1111/nmo.13427</w:t>
            </w:r>
          </w:p>
        </w:tc>
      </w:tr>
      <w:tr w:rsidR="00BD188B" w:rsidRPr="00D518FF" w14:paraId="169F9575" w14:textId="77777777" w:rsidTr="00CF6071">
        <w:trPr>
          <w:trHeight w:val="55"/>
        </w:trPr>
        <w:tc>
          <w:tcPr>
            <w:tcW w:w="988" w:type="dxa"/>
          </w:tcPr>
          <w:p w14:paraId="640E745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Corbitt 2018</w:t>
            </w:r>
          </w:p>
        </w:tc>
        <w:tc>
          <w:tcPr>
            <w:tcW w:w="4536" w:type="dxa"/>
          </w:tcPr>
          <w:p w14:paraId="1991D95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 Systematic Review of Probiotic Interventions for Gastrointestinal Symptoms and Irritable Bowel Syndrome in Chronic Fatigue Syndrome/Myalgic Encephalomyelitis (CFS/ME)</w:t>
            </w:r>
          </w:p>
        </w:tc>
        <w:tc>
          <w:tcPr>
            <w:tcW w:w="2835" w:type="dxa"/>
          </w:tcPr>
          <w:p w14:paraId="0B4CA1A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Corbitt, M.; Campagnolo, N.; Staines, D.; Marshall-Gradisnik, S.</w:t>
            </w:r>
          </w:p>
        </w:tc>
        <w:tc>
          <w:tcPr>
            <w:tcW w:w="567" w:type="dxa"/>
          </w:tcPr>
          <w:p w14:paraId="15E12CA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2018</w:t>
            </w:r>
          </w:p>
        </w:tc>
        <w:tc>
          <w:tcPr>
            <w:tcW w:w="1701" w:type="dxa"/>
          </w:tcPr>
          <w:p w14:paraId="7A79C41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Probiotics and antimicrobial proteins</w:t>
            </w:r>
          </w:p>
        </w:tc>
        <w:tc>
          <w:tcPr>
            <w:tcW w:w="708" w:type="dxa"/>
          </w:tcPr>
          <w:p w14:paraId="2C65DCD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w:t>
            </w:r>
          </w:p>
        </w:tc>
        <w:tc>
          <w:tcPr>
            <w:tcW w:w="567" w:type="dxa"/>
          </w:tcPr>
          <w:p w14:paraId="5AD5D61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w:t>
            </w:r>
          </w:p>
        </w:tc>
        <w:tc>
          <w:tcPr>
            <w:tcW w:w="709" w:type="dxa"/>
          </w:tcPr>
          <w:p w14:paraId="5882C36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466-477</w:t>
            </w:r>
          </w:p>
        </w:tc>
        <w:tc>
          <w:tcPr>
            <w:tcW w:w="1701" w:type="dxa"/>
          </w:tcPr>
          <w:p w14:paraId="2B8E8C0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10.1007/s12602-018-9397-8</w:t>
            </w:r>
          </w:p>
        </w:tc>
      </w:tr>
      <w:tr w:rsidR="00BD188B" w:rsidRPr="00D518FF" w14:paraId="445CFBC1" w14:textId="77777777" w:rsidTr="00A6108F">
        <w:trPr>
          <w:trHeight w:val="55"/>
        </w:trPr>
        <w:tc>
          <w:tcPr>
            <w:tcW w:w="988" w:type="dxa"/>
            <w:shd w:val="clear" w:color="auto" w:fill="EFFFE9"/>
          </w:tcPr>
          <w:p w14:paraId="03356EF7"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lastRenderedPageBreak/>
              <w:t>Ding 2019</w:t>
            </w:r>
          </w:p>
        </w:tc>
        <w:tc>
          <w:tcPr>
            <w:tcW w:w="4536" w:type="dxa"/>
            <w:shd w:val="clear" w:color="auto" w:fill="EFFFE9"/>
          </w:tcPr>
          <w:p w14:paraId="33EEBBD1"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Probiotics for paediatric functional abdominal pain disorders: A rapid review</w:t>
            </w:r>
          </w:p>
        </w:tc>
        <w:tc>
          <w:tcPr>
            <w:tcW w:w="2835" w:type="dxa"/>
            <w:shd w:val="clear" w:color="auto" w:fill="EFFFE9"/>
          </w:tcPr>
          <w:p w14:paraId="68A822B5"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Ding, F. C. L.; Karkhaneh, M.; Zorzela, L.; Jou, H.; Vohra, S.</w:t>
            </w:r>
          </w:p>
        </w:tc>
        <w:tc>
          <w:tcPr>
            <w:tcW w:w="567" w:type="dxa"/>
            <w:shd w:val="clear" w:color="auto" w:fill="EFFFE9"/>
          </w:tcPr>
          <w:p w14:paraId="15486C2C"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2019</w:t>
            </w:r>
          </w:p>
        </w:tc>
        <w:tc>
          <w:tcPr>
            <w:tcW w:w="1701" w:type="dxa"/>
            <w:shd w:val="clear" w:color="auto" w:fill="EFFFE9"/>
          </w:tcPr>
          <w:p w14:paraId="166A957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Paediatrics and Child Health (Canada)</w:t>
            </w:r>
          </w:p>
        </w:tc>
        <w:tc>
          <w:tcPr>
            <w:tcW w:w="708" w:type="dxa"/>
            <w:shd w:val="clear" w:color="auto" w:fill="EFFFE9"/>
          </w:tcPr>
          <w:p w14:paraId="11F5135C"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24</w:t>
            </w:r>
          </w:p>
        </w:tc>
        <w:tc>
          <w:tcPr>
            <w:tcW w:w="567" w:type="dxa"/>
            <w:shd w:val="clear" w:color="auto" w:fill="EFFFE9"/>
          </w:tcPr>
          <w:p w14:paraId="01F46015"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6</w:t>
            </w:r>
          </w:p>
        </w:tc>
        <w:tc>
          <w:tcPr>
            <w:tcW w:w="709" w:type="dxa"/>
            <w:shd w:val="clear" w:color="auto" w:fill="EFFFE9"/>
          </w:tcPr>
          <w:p w14:paraId="1716A6D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383-394</w:t>
            </w:r>
          </w:p>
        </w:tc>
        <w:tc>
          <w:tcPr>
            <w:tcW w:w="1701" w:type="dxa"/>
            <w:shd w:val="clear" w:color="auto" w:fill="EFFFE9"/>
          </w:tcPr>
          <w:p w14:paraId="5B0AB20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https://dx.doi.org/10.1093/pch/pxz036</w:t>
            </w:r>
          </w:p>
        </w:tc>
      </w:tr>
      <w:tr w:rsidR="00BD188B" w:rsidRPr="00D518FF" w14:paraId="7A44C2E8" w14:textId="77777777" w:rsidTr="00CF6071">
        <w:trPr>
          <w:trHeight w:val="55"/>
        </w:trPr>
        <w:tc>
          <w:tcPr>
            <w:tcW w:w="988" w:type="dxa"/>
          </w:tcPr>
          <w:p w14:paraId="3E32F7F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Fatahi 2022</w:t>
            </w:r>
          </w:p>
        </w:tc>
        <w:tc>
          <w:tcPr>
            <w:tcW w:w="4536" w:type="dxa"/>
          </w:tcPr>
          <w:p w14:paraId="445F012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Effects of probiotic supplementation on abdominal pain severity in pediatric patients with irritable bowel syndrome: a systematic review and meta-analysis of randomized clinical trials</w:t>
            </w:r>
          </w:p>
        </w:tc>
        <w:tc>
          <w:tcPr>
            <w:tcW w:w="2835" w:type="dxa"/>
          </w:tcPr>
          <w:p w14:paraId="0BBB901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Fatahi, S.; Hosseini, A.; Sohouli, M. H.; Sayyari, A.; Khatami, K.; Farsani, Z. F.; Amiri, H.; Dara, N.; de Souza, I. G. O.; Santos, H. O.</w:t>
            </w:r>
          </w:p>
        </w:tc>
        <w:tc>
          <w:tcPr>
            <w:tcW w:w="567" w:type="dxa"/>
          </w:tcPr>
          <w:p w14:paraId="35932C7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2022</w:t>
            </w:r>
          </w:p>
        </w:tc>
        <w:tc>
          <w:tcPr>
            <w:tcW w:w="1701" w:type="dxa"/>
          </w:tcPr>
          <w:p w14:paraId="6A1E1CA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World Journal of Pediatrics</w:t>
            </w:r>
          </w:p>
        </w:tc>
        <w:tc>
          <w:tcPr>
            <w:tcW w:w="708" w:type="dxa"/>
          </w:tcPr>
          <w:p w14:paraId="203E5F2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18</w:t>
            </w:r>
          </w:p>
        </w:tc>
        <w:tc>
          <w:tcPr>
            <w:tcW w:w="567" w:type="dxa"/>
          </w:tcPr>
          <w:p w14:paraId="13D53A4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5</w:t>
            </w:r>
          </w:p>
        </w:tc>
        <w:tc>
          <w:tcPr>
            <w:tcW w:w="709" w:type="dxa"/>
          </w:tcPr>
          <w:p w14:paraId="7628965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320-332</w:t>
            </w:r>
          </w:p>
        </w:tc>
        <w:tc>
          <w:tcPr>
            <w:tcW w:w="1701" w:type="dxa"/>
          </w:tcPr>
          <w:p w14:paraId="0E1C99C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10.1007/s12519-022-00516-6</w:t>
            </w:r>
          </w:p>
        </w:tc>
      </w:tr>
      <w:tr w:rsidR="00BD188B" w:rsidRPr="00D518FF" w14:paraId="23497057" w14:textId="77777777" w:rsidTr="00CF6071">
        <w:trPr>
          <w:trHeight w:val="55"/>
        </w:trPr>
        <w:tc>
          <w:tcPr>
            <w:tcW w:w="988" w:type="dxa"/>
          </w:tcPr>
          <w:p w14:paraId="3AF6270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Ford 2014</w:t>
            </w:r>
          </w:p>
        </w:tc>
        <w:tc>
          <w:tcPr>
            <w:tcW w:w="4536" w:type="dxa"/>
          </w:tcPr>
          <w:p w14:paraId="1044355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of prebiotics, probiotics, and synbiotics in irritable bowel syndrome and chronic idiopathic constipation: systematic review and meta-analysis</w:t>
            </w:r>
          </w:p>
        </w:tc>
        <w:tc>
          <w:tcPr>
            <w:tcW w:w="2835" w:type="dxa"/>
          </w:tcPr>
          <w:p w14:paraId="23BF703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Ford, A. C.; Quigley, E. M.; Lacy, B. E.; Lembo, A. J.; Saito, Y. A.; Schiller, L. R.; Soffer, E. E.; Spiegel, B. M.; Moayyedi, P.</w:t>
            </w:r>
          </w:p>
        </w:tc>
        <w:tc>
          <w:tcPr>
            <w:tcW w:w="567" w:type="dxa"/>
          </w:tcPr>
          <w:p w14:paraId="0240185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2014</w:t>
            </w:r>
          </w:p>
        </w:tc>
        <w:tc>
          <w:tcPr>
            <w:tcW w:w="1701" w:type="dxa"/>
          </w:tcPr>
          <w:p w14:paraId="6FF283D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The American journal of gastroenterology</w:t>
            </w:r>
          </w:p>
        </w:tc>
        <w:tc>
          <w:tcPr>
            <w:tcW w:w="708" w:type="dxa"/>
          </w:tcPr>
          <w:p w14:paraId="45B8BED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109</w:t>
            </w:r>
          </w:p>
        </w:tc>
        <w:tc>
          <w:tcPr>
            <w:tcW w:w="567" w:type="dxa"/>
          </w:tcPr>
          <w:p w14:paraId="5B7D8ED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w:t>
            </w:r>
          </w:p>
        </w:tc>
        <w:tc>
          <w:tcPr>
            <w:tcW w:w="709" w:type="dxa"/>
          </w:tcPr>
          <w:p w14:paraId="7ADD1D4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1547-61</w:t>
            </w:r>
          </w:p>
        </w:tc>
        <w:tc>
          <w:tcPr>
            <w:tcW w:w="1701" w:type="dxa"/>
          </w:tcPr>
          <w:p w14:paraId="0FB80FF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10.1038/ajg.2014.202</w:t>
            </w:r>
          </w:p>
        </w:tc>
      </w:tr>
      <w:tr w:rsidR="00BD188B" w:rsidRPr="00D518FF" w14:paraId="1C2D0610" w14:textId="77777777" w:rsidTr="00CF6071">
        <w:trPr>
          <w:trHeight w:val="55"/>
        </w:trPr>
        <w:tc>
          <w:tcPr>
            <w:tcW w:w="988" w:type="dxa"/>
          </w:tcPr>
          <w:p w14:paraId="53678BE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Horvath 2011</w:t>
            </w:r>
          </w:p>
        </w:tc>
        <w:tc>
          <w:tcPr>
            <w:tcW w:w="4536" w:type="dxa"/>
          </w:tcPr>
          <w:p w14:paraId="466DFB2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Meta-analysis: Lactobacillus rhamnosus GG for abdominal pain-related functional gastrointestinal disorders in childhood</w:t>
            </w:r>
          </w:p>
        </w:tc>
        <w:tc>
          <w:tcPr>
            <w:tcW w:w="2835" w:type="dxa"/>
          </w:tcPr>
          <w:p w14:paraId="0448B46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Horvath, A.; Dziechciarz, P.; Szajewska, H.</w:t>
            </w:r>
          </w:p>
        </w:tc>
        <w:tc>
          <w:tcPr>
            <w:tcW w:w="567" w:type="dxa"/>
          </w:tcPr>
          <w:p w14:paraId="743E885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2011</w:t>
            </w:r>
          </w:p>
        </w:tc>
        <w:tc>
          <w:tcPr>
            <w:tcW w:w="1701" w:type="dxa"/>
          </w:tcPr>
          <w:p w14:paraId="1E01948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Alimentary pharmacology &amp; therapeutics</w:t>
            </w:r>
          </w:p>
        </w:tc>
        <w:tc>
          <w:tcPr>
            <w:tcW w:w="708" w:type="dxa"/>
          </w:tcPr>
          <w:p w14:paraId="3DAAC82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33</w:t>
            </w:r>
          </w:p>
        </w:tc>
        <w:tc>
          <w:tcPr>
            <w:tcW w:w="567" w:type="dxa"/>
          </w:tcPr>
          <w:p w14:paraId="5BCCFE8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12</w:t>
            </w:r>
          </w:p>
        </w:tc>
        <w:tc>
          <w:tcPr>
            <w:tcW w:w="709" w:type="dxa"/>
          </w:tcPr>
          <w:p w14:paraId="624D0E4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1302-10</w:t>
            </w:r>
          </w:p>
        </w:tc>
        <w:tc>
          <w:tcPr>
            <w:tcW w:w="1701" w:type="dxa"/>
          </w:tcPr>
          <w:p w14:paraId="412AA5F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10.1111/j.1365-2036.2011.04665.x</w:t>
            </w:r>
          </w:p>
        </w:tc>
      </w:tr>
      <w:tr w:rsidR="00BD188B" w:rsidRPr="00D518FF" w14:paraId="26733649" w14:textId="77777777" w:rsidTr="00CF6071">
        <w:trPr>
          <w:trHeight w:val="55"/>
        </w:trPr>
        <w:tc>
          <w:tcPr>
            <w:tcW w:w="988" w:type="dxa"/>
          </w:tcPr>
          <w:p w14:paraId="064E62C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Hoveyda 2009</w:t>
            </w:r>
          </w:p>
        </w:tc>
        <w:tc>
          <w:tcPr>
            <w:tcW w:w="4536" w:type="dxa"/>
          </w:tcPr>
          <w:p w14:paraId="0830A41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 systematic review and meta-analysis: probiotics in the treatment of irritable bowel syndrome</w:t>
            </w:r>
          </w:p>
        </w:tc>
        <w:tc>
          <w:tcPr>
            <w:tcW w:w="2835" w:type="dxa"/>
          </w:tcPr>
          <w:p w14:paraId="4D13F5D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Hoveyda, N.; Heneghan, C.; Mahtani, K. R.; Perera, R.; Roberts, N.; Glasziou, P.</w:t>
            </w:r>
          </w:p>
        </w:tc>
        <w:tc>
          <w:tcPr>
            <w:tcW w:w="567" w:type="dxa"/>
          </w:tcPr>
          <w:p w14:paraId="11CB6A7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2009</w:t>
            </w:r>
          </w:p>
        </w:tc>
        <w:tc>
          <w:tcPr>
            <w:tcW w:w="1701" w:type="dxa"/>
          </w:tcPr>
          <w:p w14:paraId="43C0088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BMC gastroenterology</w:t>
            </w:r>
          </w:p>
        </w:tc>
        <w:tc>
          <w:tcPr>
            <w:tcW w:w="708" w:type="dxa"/>
          </w:tcPr>
          <w:p w14:paraId="3914372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9</w:t>
            </w:r>
          </w:p>
        </w:tc>
        <w:tc>
          <w:tcPr>
            <w:tcW w:w="567" w:type="dxa"/>
          </w:tcPr>
          <w:p w14:paraId="5795972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709" w:type="dxa"/>
          </w:tcPr>
          <w:p w14:paraId="20D4C34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15</w:t>
            </w:r>
          </w:p>
        </w:tc>
        <w:tc>
          <w:tcPr>
            <w:tcW w:w="1701" w:type="dxa"/>
          </w:tcPr>
          <w:p w14:paraId="1D5379C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10.1186/1471-230X-9-15</w:t>
            </w:r>
          </w:p>
        </w:tc>
      </w:tr>
      <w:tr w:rsidR="00BD188B" w:rsidRPr="00D518FF" w14:paraId="54D0194D" w14:textId="77777777" w:rsidTr="00CF6071">
        <w:trPr>
          <w:trHeight w:val="55"/>
        </w:trPr>
        <w:tc>
          <w:tcPr>
            <w:tcW w:w="988" w:type="dxa"/>
          </w:tcPr>
          <w:p w14:paraId="2CF65F7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Huertas-Ceballos 2009</w:t>
            </w:r>
          </w:p>
        </w:tc>
        <w:tc>
          <w:tcPr>
            <w:tcW w:w="4536" w:type="dxa"/>
          </w:tcPr>
          <w:p w14:paraId="02B8527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Dietary interventions for recurrent abdominal pain (RAP) and irritable bowel syndrome (IBS) in childhood</w:t>
            </w:r>
          </w:p>
        </w:tc>
        <w:tc>
          <w:tcPr>
            <w:tcW w:w="2835" w:type="dxa"/>
          </w:tcPr>
          <w:p w14:paraId="7441301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Huertas-Ceballos, A. A.; Logan, S.; Bennett, C.; Macarthur, C.</w:t>
            </w:r>
          </w:p>
        </w:tc>
        <w:tc>
          <w:tcPr>
            <w:tcW w:w="567" w:type="dxa"/>
          </w:tcPr>
          <w:p w14:paraId="03DFDD4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2009</w:t>
            </w:r>
          </w:p>
        </w:tc>
        <w:tc>
          <w:tcPr>
            <w:tcW w:w="1701" w:type="dxa"/>
          </w:tcPr>
          <w:p w14:paraId="3E387FE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Cochrane Database of Systematic Reviews</w:t>
            </w:r>
          </w:p>
        </w:tc>
        <w:tc>
          <w:tcPr>
            <w:tcW w:w="708" w:type="dxa"/>
          </w:tcPr>
          <w:p w14:paraId="188F809C" w14:textId="4792F070" w:rsidR="00FF3F59" w:rsidRPr="00D518FF" w:rsidRDefault="00A6108F">
            <w:pPr>
              <w:pStyle w:val="NormalWeb"/>
              <w:shd w:val="clear" w:color="auto" w:fill="FFFFFF"/>
              <w:spacing w:before="0" w:beforeAutospacing="0" w:after="0" w:afterAutospacing="0"/>
              <w:rPr>
                <w:rFonts w:ascii="Aptos" w:hAnsi="Aptos" w:cs="Arial"/>
                <w:sz w:val="16"/>
                <w:szCs w:val="16"/>
              </w:rPr>
            </w:pPr>
            <w:r>
              <w:rPr>
                <w:rFonts w:ascii="Aptos" w:hAnsi="Aptos" w:cs="Arial"/>
                <w:sz w:val="16"/>
                <w:szCs w:val="16"/>
              </w:rPr>
              <w:t>-</w:t>
            </w:r>
          </w:p>
        </w:tc>
        <w:tc>
          <w:tcPr>
            <w:tcW w:w="567" w:type="dxa"/>
          </w:tcPr>
          <w:p w14:paraId="5445A34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09" w:type="dxa"/>
          </w:tcPr>
          <w:p w14:paraId="0E95ED5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CD003019</w:t>
            </w:r>
          </w:p>
        </w:tc>
        <w:tc>
          <w:tcPr>
            <w:tcW w:w="1701" w:type="dxa"/>
          </w:tcPr>
          <w:p w14:paraId="28BF7AA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https://dx.doi.org/10.1002/14651858.CD003019.pub3</w:t>
            </w:r>
          </w:p>
        </w:tc>
      </w:tr>
      <w:tr w:rsidR="00BD188B" w:rsidRPr="00D518FF" w14:paraId="732FA089" w14:textId="77777777" w:rsidTr="00CF6071">
        <w:trPr>
          <w:trHeight w:val="55"/>
        </w:trPr>
        <w:tc>
          <w:tcPr>
            <w:tcW w:w="988" w:type="dxa"/>
          </w:tcPr>
          <w:p w14:paraId="4E677C4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Hungin 2018</w:t>
            </w:r>
          </w:p>
        </w:tc>
        <w:tc>
          <w:tcPr>
            <w:tcW w:w="4536" w:type="dxa"/>
          </w:tcPr>
          <w:p w14:paraId="7316CF4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Systematic review: probiotics in the management of lower gastrointestinal symptoms - an updated evidence-based international consensus</w:t>
            </w:r>
          </w:p>
        </w:tc>
        <w:tc>
          <w:tcPr>
            <w:tcW w:w="2835" w:type="dxa"/>
          </w:tcPr>
          <w:p w14:paraId="4D1AFF2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Hungin, A. P. S.; Mitchell, C. R.; Whorwell, P.; Mulligan, C.; Cole, O.; Agr√©us, L.; Fracasso, P.; Lionis, C.; Mendive, J.; Philippart de Foy, J. M.; Seifert, B.; Wensaas, K. A.; Winchester, C.; de Wit, N.; European Society for Primary Care, Gastroenterology</w:t>
            </w:r>
          </w:p>
        </w:tc>
        <w:tc>
          <w:tcPr>
            <w:tcW w:w="567" w:type="dxa"/>
          </w:tcPr>
          <w:p w14:paraId="1FBB811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2018</w:t>
            </w:r>
          </w:p>
        </w:tc>
        <w:tc>
          <w:tcPr>
            <w:tcW w:w="1701" w:type="dxa"/>
          </w:tcPr>
          <w:p w14:paraId="7753335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Alimentary pharmacology &amp; therapeutics</w:t>
            </w:r>
          </w:p>
        </w:tc>
        <w:tc>
          <w:tcPr>
            <w:tcW w:w="708" w:type="dxa"/>
          </w:tcPr>
          <w:p w14:paraId="4DE5FD2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47</w:t>
            </w:r>
          </w:p>
        </w:tc>
        <w:tc>
          <w:tcPr>
            <w:tcW w:w="567" w:type="dxa"/>
          </w:tcPr>
          <w:p w14:paraId="0B2DABF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w:t>
            </w:r>
          </w:p>
        </w:tc>
        <w:tc>
          <w:tcPr>
            <w:tcW w:w="709" w:type="dxa"/>
          </w:tcPr>
          <w:p w14:paraId="722A102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1054-1070</w:t>
            </w:r>
          </w:p>
        </w:tc>
        <w:tc>
          <w:tcPr>
            <w:tcW w:w="1701" w:type="dxa"/>
          </w:tcPr>
          <w:p w14:paraId="52BB36B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10.1111/apt.14539</w:t>
            </w:r>
          </w:p>
        </w:tc>
      </w:tr>
      <w:tr w:rsidR="00BD188B" w:rsidRPr="00D518FF" w14:paraId="24DBF17F" w14:textId="77777777" w:rsidTr="00CF6071">
        <w:trPr>
          <w:trHeight w:val="55"/>
        </w:trPr>
        <w:tc>
          <w:tcPr>
            <w:tcW w:w="988" w:type="dxa"/>
          </w:tcPr>
          <w:p w14:paraId="052EAA9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Konstantis 2023</w:t>
            </w:r>
          </w:p>
        </w:tc>
        <w:tc>
          <w:tcPr>
            <w:tcW w:w="4536" w:type="dxa"/>
          </w:tcPr>
          <w:p w14:paraId="6A5368C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and safety of probiotics in the treatment of irritable bowel syndrome: A systematic review and meta-analysis of randomised clinical trials using ROME IV criteria</w:t>
            </w:r>
          </w:p>
        </w:tc>
        <w:tc>
          <w:tcPr>
            <w:tcW w:w="2835" w:type="dxa"/>
          </w:tcPr>
          <w:p w14:paraId="1CE67E4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Konstantis, G.; Efstathiou, S.; Pourzitaki, C.; Kitsikidou, E.; Germanidis, G.; Chourdakis, M.</w:t>
            </w:r>
          </w:p>
        </w:tc>
        <w:tc>
          <w:tcPr>
            <w:tcW w:w="567" w:type="dxa"/>
          </w:tcPr>
          <w:p w14:paraId="5187D65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2023</w:t>
            </w:r>
          </w:p>
        </w:tc>
        <w:tc>
          <w:tcPr>
            <w:tcW w:w="1701" w:type="dxa"/>
          </w:tcPr>
          <w:p w14:paraId="6336B24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Clinical nutrition (Edinburgh, Scotland)</w:t>
            </w:r>
          </w:p>
        </w:tc>
        <w:tc>
          <w:tcPr>
            <w:tcW w:w="708" w:type="dxa"/>
          </w:tcPr>
          <w:p w14:paraId="446326F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42</w:t>
            </w:r>
          </w:p>
        </w:tc>
        <w:tc>
          <w:tcPr>
            <w:tcW w:w="567" w:type="dxa"/>
          </w:tcPr>
          <w:p w14:paraId="2ADB8AC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5</w:t>
            </w:r>
          </w:p>
        </w:tc>
        <w:tc>
          <w:tcPr>
            <w:tcW w:w="709" w:type="dxa"/>
          </w:tcPr>
          <w:p w14:paraId="4367F07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800-809</w:t>
            </w:r>
          </w:p>
        </w:tc>
        <w:tc>
          <w:tcPr>
            <w:tcW w:w="1701" w:type="dxa"/>
          </w:tcPr>
          <w:p w14:paraId="058044C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10.1016/j.clnu.2023.03.019</w:t>
            </w:r>
          </w:p>
        </w:tc>
      </w:tr>
      <w:tr w:rsidR="00BD188B" w:rsidRPr="00D518FF" w14:paraId="376E2D6F" w14:textId="77777777" w:rsidTr="00CF6071">
        <w:trPr>
          <w:trHeight w:val="55"/>
        </w:trPr>
        <w:tc>
          <w:tcPr>
            <w:tcW w:w="988" w:type="dxa"/>
          </w:tcPr>
          <w:p w14:paraId="24CC4F2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Korterink 2014</w:t>
            </w:r>
          </w:p>
        </w:tc>
        <w:tc>
          <w:tcPr>
            <w:tcW w:w="4536" w:type="dxa"/>
          </w:tcPr>
          <w:p w14:paraId="4D04957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Probiotics for childhood functional gastrointestinal disorders: A systematic review and meta-analysis</w:t>
            </w:r>
          </w:p>
        </w:tc>
        <w:tc>
          <w:tcPr>
            <w:tcW w:w="2835" w:type="dxa"/>
          </w:tcPr>
          <w:p w14:paraId="43E675A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Korterink, J. J.; Ockeloen, L.; Benninga, M. A.; Tabbers, M. M.; Hilbink, M.; Deckers-Kocken, J. M.</w:t>
            </w:r>
          </w:p>
        </w:tc>
        <w:tc>
          <w:tcPr>
            <w:tcW w:w="567" w:type="dxa"/>
          </w:tcPr>
          <w:p w14:paraId="7B3B904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2014</w:t>
            </w:r>
          </w:p>
        </w:tc>
        <w:tc>
          <w:tcPr>
            <w:tcW w:w="1701" w:type="dxa"/>
          </w:tcPr>
          <w:p w14:paraId="371BF2F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Acta Paediatrica, International Journal of Paediatrics</w:t>
            </w:r>
          </w:p>
        </w:tc>
        <w:tc>
          <w:tcPr>
            <w:tcW w:w="708" w:type="dxa"/>
          </w:tcPr>
          <w:p w14:paraId="4645375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103</w:t>
            </w:r>
          </w:p>
        </w:tc>
        <w:tc>
          <w:tcPr>
            <w:tcW w:w="567" w:type="dxa"/>
          </w:tcPr>
          <w:p w14:paraId="6869BCC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4</w:t>
            </w:r>
          </w:p>
        </w:tc>
        <w:tc>
          <w:tcPr>
            <w:tcW w:w="709" w:type="dxa"/>
          </w:tcPr>
          <w:p w14:paraId="3B7B2D6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365-372</w:t>
            </w:r>
          </w:p>
        </w:tc>
        <w:tc>
          <w:tcPr>
            <w:tcW w:w="1701" w:type="dxa"/>
          </w:tcPr>
          <w:p w14:paraId="7F889FF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https://dx.doi.org/10.1111/apa.12513</w:t>
            </w:r>
          </w:p>
        </w:tc>
      </w:tr>
      <w:tr w:rsidR="00BD188B" w:rsidRPr="00D518FF" w14:paraId="61A62CD0" w14:textId="77777777" w:rsidTr="00A6108F">
        <w:trPr>
          <w:trHeight w:val="55"/>
        </w:trPr>
        <w:tc>
          <w:tcPr>
            <w:tcW w:w="988" w:type="dxa"/>
            <w:shd w:val="clear" w:color="auto" w:fill="EFFFE9"/>
          </w:tcPr>
          <w:p w14:paraId="18D1DFA8"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Le Morvan 2021</w:t>
            </w:r>
          </w:p>
        </w:tc>
        <w:tc>
          <w:tcPr>
            <w:tcW w:w="4536" w:type="dxa"/>
            <w:shd w:val="clear" w:color="auto" w:fill="EFFFE9"/>
          </w:tcPr>
          <w:p w14:paraId="467DEBD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The Effect of Probiotics on Quality of Life, Depression and Anxiety in Patients with Irritable Bowel Syndrome: A Systematic Review and Meta-Analysis</w:t>
            </w:r>
          </w:p>
        </w:tc>
        <w:tc>
          <w:tcPr>
            <w:tcW w:w="2835" w:type="dxa"/>
            <w:shd w:val="clear" w:color="auto" w:fill="EFFFE9"/>
          </w:tcPr>
          <w:p w14:paraId="67CCD58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Le Morvan de Sequeira, C.; Kaeber, M.; Cekin, S. E.; Enck, P.; Mack, I.</w:t>
            </w:r>
          </w:p>
        </w:tc>
        <w:tc>
          <w:tcPr>
            <w:tcW w:w="567" w:type="dxa"/>
            <w:shd w:val="clear" w:color="auto" w:fill="EFFFE9"/>
          </w:tcPr>
          <w:p w14:paraId="382911CF"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2021</w:t>
            </w:r>
          </w:p>
        </w:tc>
        <w:tc>
          <w:tcPr>
            <w:tcW w:w="1701" w:type="dxa"/>
            <w:shd w:val="clear" w:color="auto" w:fill="EFFFE9"/>
          </w:tcPr>
          <w:p w14:paraId="1A9D03A6"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Journal of clinical medicine</w:t>
            </w:r>
          </w:p>
        </w:tc>
        <w:tc>
          <w:tcPr>
            <w:tcW w:w="708" w:type="dxa"/>
            <w:shd w:val="clear" w:color="auto" w:fill="EFFFE9"/>
          </w:tcPr>
          <w:p w14:paraId="14A1BBC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10</w:t>
            </w:r>
          </w:p>
        </w:tc>
        <w:tc>
          <w:tcPr>
            <w:tcW w:w="567" w:type="dxa"/>
            <w:shd w:val="clear" w:color="auto" w:fill="EFFFE9"/>
          </w:tcPr>
          <w:p w14:paraId="1BAE0EF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16</w:t>
            </w:r>
          </w:p>
        </w:tc>
        <w:tc>
          <w:tcPr>
            <w:tcW w:w="709" w:type="dxa"/>
            <w:shd w:val="clear" w:color="auto" w:fill="EFFFE9"/>
          </w:tcPr>
          <w:p w14:paraId="7F813115"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NR</w:t>
            </w:r>
          </w:p>
        </w:tc>
        <w:tc>
          <w:tcPr>
            <w:tcW w:w="1701" w:type="dxa"/>
            <w:shd w:val="clear" w:color="auto" w:fill="EFFFE9"/>
          </w:tcPr>
          <w:p w14:paraId="1A44EF8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10.3390/jcm10163497</w:t>
            </w:r>
          </w:p>
        </w:tc>
      </w:tr>
      <w:tr w:rsidR="00BD188B" w:rsidRPr="00D518FF" w14:paraId="49E90D17" w14:textId="77777777" w:rsidTr="00A6108F">
        <w:trPr>
          <w:trHeight w:val="55"/>
        </w:trPr>
        <w:tc>
          <w:tcPr>
            <w:tcW w:w="988" w:type="dxa"/>
            <w:shd w:val="clear" w:color="auto" w:fill="EFFFE9"/>
          </w:tcPr>
          <w:p w14:paraId="3F1223C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Li 2020</w:t>
            </w:r>
          </w:p>
        </w:tc>
        <w:tc>
          <w:tcPr>
            <w:tcW w:w="4536" w:type="dxa"/>
            <w:shd w:val="clear" w:color="auto" w:fill="EFFFE9"/>
          </w:tcPr>
          <w:p w14:paraId="35F402B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Efficacy and Safety of Probiotics in Irritable Bowel Syndrome: A Systematic Review and Meta-Analysis</w:t>
            </w:r>
          </w:p>
        </w:tc>
        <w:tc>
          <w:tcPr>
            <w:tcW w:w="2835" w:type="dxa"/>
            <w:shd w:val="clear" w:color="auto" w:fill="EFFFE9"/>
          </w:tcPr>
          <w:p w14:paraId="6D198D8F"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Li, B.; Liang, L.; Deng, H.; Guo, J.; Shu, H.; Zhang, L.</w:t>
            </w:r>
          </w:p>
        </w:tc>
        <w:tc>
          <w:tcPr>
            <w:tcW w:w="567" w:type="dxa"/>
            <w:shd w:val="clear" w:color="auto" w:fill="EFFFE9"/>
          </w:tcPr>
          <w:p w14:paraId="085887AF"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2020</w:t>
            </w:r>
          </w:p>
        </w:tc>
        <w:tc>
          <w:tcPr>
            <w:tcW w:w="1701" w:type="dxa"/>
            <w:shd w:val="clear" w:color="auto" w:fill="EFFFE9"/>
          </w:tcPr>
          <w:p w14:paraId="475A0B3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Frontiers in pharmacology</w:t>
            </w:r>
          </w:p>
        </w:tc>
        <w:tc>
          <w:tcPr>
            <w:tcW w:w="708" w:type="dxa"/>
            <w:shd w:val="clear" w:color="auto" w:fill="EFFFE9"/>
          </w:tcPr>
          <w:p w14:paraId="646DBB4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11</w:t>
            </w:r>
          </w:p>
        </w:tc>
        <w:tc>
          <w:tcPr>
            <w:tcW w:w="567" w:type="dxa"/>
            <w:shd w:val="clear" w:color="auto" w:fill="EFFFE9"/>
          </w:tcPr>
          <w:p w14:paraId="60B6CC17" w14:textId="31869206" w:rsidR="00FF3F59" w:rsidRPr="00D518FF" w:rsidRDefault="00A6108F" w:rsidP="00023E7B">
            <w:pPr>
              <w:pStyle w:val="2024TABLETEXT"/>
              <w:framePr w:hSpace="0" w:wrap="auto" w:vAnchor="margin" w:yAlign="inline"/>
              <w:spacing w:line="240" w:lineRule="auto"/>
              <w:suppressOverlap w:val="0"/>
              <w:rPr>
                <w:sz w:val="16"/>
                <w:szCs w:val="16"/>
              </w:rPr>
            </w:pPr>
            <w:r>
              <w:rPr>
                <w:sz w:val="16"/>
                <w:szCs w:val="16"/>
              </w:rPr>
              <w:t>-</w:t>
            </w:r>
          </w:p>
        </w:tc>
        <w:tc>
          <w:tcPr>
            <w:tcW w:w="709" w:type="dxa"/>
            <w:shd w:val="clear" w:color="auto" w:fill="EFFFE9"/>
          </w:tcPr>
          <w:p w14:paraId="5FC06FC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332</w:t>
            </w:r>
          </w:p>
        </w:tc>
        <w:tc>
          <w:tcPr>
            <w:tcW w:w="1701" w:type="dxa"/>
            <w:shd w:val="clear" w:color="auto" w:fill="EFFFE9"/>
          </w:tcPr>
          <w:p w14:paraId="748C6AC5"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10.3389/fphar.2020.00332</w:t>
            </w:r>
          </w:p>
        </w:tc>
      </w:tr>
      <w:tr w:rsidR="00BD188B" w:rsidRPr="00D518FF" w14:paraId="64CB2BEA" w14:textId="77777777" w:rsidTr="00CF6071">
        <w:trPr>
          <w:trHeight w:val="55"/>
        </w:trPr>
        <w:tc>
          <w:tcPr>
            <w:tcW w:w="988" w:type="dxa"/>
          </w:tcPr>
          <w:p w14:paraId="0CA7F93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Liang 2019</w:t>
            </w:r>
          </w:p>
        </w:tc>
        <w:tc>
          <w:tcPr>
            <w:tcW w:w="4536" w:type="dxa"/>
          </w:tcPr>
          <w:p w14:paraId="2310358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of different probiotic protocols in irritable bowel syndrome: A network meta-analysis</w:t>
            </w:r>
          </w:p>
        </w:tc>
        <w:tc>
          <w:tcPr>
            <w:tcW w:w="2835" w:type="dxa"/>
          </w:tcPr>
          <w:p w14:paraId="3FE25CA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Liang, D.; Longgui, N.; Guoqiang, X.</w:t>
            </w:r>
          </w:p>
        </w:tc>
        <w:tc>
          <w:tcPr>
            <w:tcW w:w="567" w:type="dxa"/>
          </w:tcPr>
          <w:p w14:paraId="6A08452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2019</w:t>
            </w:r>
          </w:p>
        </w:tc>
        <w:tc>
          <w:tcPr>
            <w:tcW w:w="1701" w:type="dxa"/>
          </w:tcPr>
          <w:p w14:paraId="5A510F7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Medicine</w:t>
            </w:r>
          </w:p>
        </w:tc>
        <w:tc>
          <w:tcPr>
            <w:tcW w:w="708" w:type="dxa"/>
          </w:tcPr>
          <w:p w14:paraId="72CBAB4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98</w:t>
            </w:r>
          </w:p>
        </w:tc>
        <w:tc>
          <w:tcPr>
            <w:tcW w:w="567" w:type="dxa"/>
          </w:tcPr>
          <w:p w14:paraId="0A76116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27</w:t>
            </w:r>
          </w:p>
        </w:tc>
        <w:tc>
          <w:tcPr>
            <w:tcW w:w="709" w:type="dxa"/>
          </w:tcPr>
          <w:p w14:paraId="6E86F4E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e16068</w:t>
            </w:r>
          </w:p>
        </w:tc>
        <w:tc>
          <w:tcPr>
            <w:tcW w:w="1701" w:type="dxa"/>
          </w:tcPr>
          <w:p w14:paraId="4A6D791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10.1097/MD.0000000000016068</w:t>
            </w:r>
          </w:p>
        </w:tc>
      </w:tr>
      <w:tr w:rsidR="00BD188B" w:rsidRPr="00D518FF" w14:paraId="199CC09B" w14:textId="77777777" w:rsidTr="00CF6071">
        <w:trPr>
          <w:trHeight w:val="55"/>
        </w:trPr>
        <w:tc>
          <w:tcPr>
            <w:tcW w:w="988" w:type="dxa"/>
          </w:tcPr>
          <w:p w14:paraId="6160919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McFarland 2008</w:t>
            </w:r>
          </w:p>
        </w:tc>
        <w:tc>
          <w:tcPr>
            <w:tcW w:w="4536" w:type="dxa"/>
          </w:tcPr>
          <w:p w14:paraId="50BD2E2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Meta-analysis of probiotics for the treatment of irritable bowel syndrome</w:t>
            </w:r>
          </w:p>
        </w:tc>
        <w:tc>
          <w:tcPr>
            <w:tcW w:w="2835" w:type="dxa"/>
          </w:tcPr>
          <w:p w14:paraId="04A197F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McFarland, L. V.; Dublin, S.</w:t>
            </w:r>
          </w:p>
        </w:tc>
        <w:tc>
          <w:tcPr>
            <w:tcW w:w="567" w:type="dxa"/>
          </w:tcPr>
          <w:p w14:paraId="4650B9B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2008</w:t>
            </w:r>
          </w:p>
        </w:tc>
        <w:tc>
          <w:tcPr>
            <w:tcW w:w="1701" w:type="dxa"/>
          </w:tcPr>
          <w:p w14:paraId="21F1CED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World journal of Gastroenterology</w:t>
            </w:r>
          </w:p>
        </w:tc>
        <w:tc>
          <w:tcPr>
            <w:tcW w:w="708" w:type="dxa"/>
          </w:tcPr>
          <w:p w14:paraId="5499DA4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14</w:t>
            </w:r>
          </w:p>
        </w:tc>
        <w:tc>
          <w:tcPr>
            <w:tcW w:w="567" w:type="dxa"/>
          </w:tcPr>
          <w:p w14:paraId="2D571E5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17</w:t>
            </w:r>
          </w:p>
        </w:tc>
        <w:tc>
          <w:tcPr>
            <w:tcW w:w="709" w:type="dxa"/>
          </w:tcPr>
          <w:p w14:paraId="0234064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2650-61</w:t>
            </w:r>
          </w:p>
        </w:tc>
        <w:tc>
          <w:tcPr>
            <w:tcW w:w="1701" w:type="dxa"/>
          </w:tcPr>
          <w:p w14:paraId="20E2031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10.3748/wjg.14.2650</w:t>
            </w:r>
          </w:p>
        </w:tc>
      </w:tr>
      <w:tr w:rsidR="00BD188B" w:rsidRPr="00D518FF" w14:paraId="0CA878BC" w14:textId="77777777" w:rsidTr="00CF6071">
        <w:trPr>
          <w:trHeight w:val="55"/>
        </w:trPr>
        <w:tc>
          <w:tcPr>
            <w:tcW w:w="988" w:type="dxa"/>
          </w:tcPr>
          <w:p w14:paraId="2D95B67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lastRenderedPageBreak/>
              <w:t>McFarland 2021</w:t>
            </w:r>
          </w:p>
        </w:tc>
        <w:tc>
          <w:tcPr>
            <w:tcW w:w="4536" w:type="dxa"/>
          </w:tcPr>
          <w:p w14:paraId="63863AB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Strain-specific and outcome-specific efficacy of probiotics for the treatment of irritable bowel syndrome: A systematic review and meta-analysis</w:t>
            </w:r>
          </w:p>
        </w:tc>
        <w:tc>
          <w:tcPr>
            <w:tcW w:w="2835" w:type="dxa"/>
          </w:tcPr>
          <w:p w14:paraId="2F86600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McFarland, L. V.; Karakan, T.; Karatas, A.</w:t>
            </w:r>
          </w:p>
        </w:tc>
        <w:tc>
          <w:tcPr>
            <w:tcW w:w="567" w:type="dxa"/>
          </w:tcPr>
          <w:p w14:paraId="511E000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2021</w:t>
            </w:r>
          </w:p>
        </w:tc>
        <w:tc>
          <w:tcPr>
            <w:tcW w:w="1701" w:type="dxa"/>
          </w:tcPr>
          <w:p w14:paraId="06F4A59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EClinicalMedicine</w:t>
            </w:r>
          </w:p>
        </w:tc>
        <w:tc>
          <w:tcPr>
            <w:tcW w:w="708" w:type="dxa"/>
          </w:tcPr>
          <w:p w14:paraId="7281C53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41</w:t>
            </w:r>
          </w:p>
        </w:tc>
        <w:tc>
          <w:tcPr>
            <w:tcW w:w="567" w:type="dxa"/>
          </w:tcPr>
          <w:p w14:paraId="777862C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709" w:type="dxa"/>
          </w:tcPr>
          <w:p w14:paraId="6072D10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101154</w:t>
            </w:r>
          </w:p>
        </w:tc>
        <w:tc>
          <w:tcPr>
            <w:tcW w:w="1701" w:type="dxa"/>
          </w:tcPr>
          <w:p w14:paraId="2FCAA85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10.1016/j.eclinm.2021.101154</w:t>
            </w:r>
          </w:p>
        </w:tc>
      </w:tr>
      <w:tr w:rsidR="00BD188B" w:rsidRPr="00D518FF" w14:paraId="3F03C631" w14:textId="77777777" w:rsidTr="00CF6071">
        <w:trPr>
          <w:trHeight w:val="55"/>
        </w:trPr>
        <w:tc>
          <w:tcPr>
            <w:tcW w:w="988" w:type="dxa"/>
          </w:tcPr>
          <w:p w14:paraId="362C6C1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Moayyedi 2010</w:t>
            </w:r>
          </w:p>
        </w:tc>
        <w:tc>
          <w:tcPr>
            <w:tcW w:w="4536" w:type="dxa"/>
          </w:tcPr>
          <w:p w14:paraId="613B4CC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The efficacy of probiotics in the treatment of irritable bowel syndrome: a systematic review</w:t>
            </w:r>
          </w:p>
        </w:tc>
        <w:tc>
          <w:tcPr>
            <w:tcW w:w="2835" w:type="dxa"/>
          </w:tcPr>
          <w:p w14:paraId="3AFD3E6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Moayyedi, P.; Ford, A. C.; Talley, N. J.; Cremonini, F.; Foxx-Orenstein, A. E.; Brandt, L. J.; Quigley, E. M.</w:t>
            </w:r>
          </w:p>
        </w:tc>
        <w:tc>
          <w:tcPr>
            <w:tcW w:w="567" w:type="dxa"/>
          </w:tcPr>
          <w:p w14:paraId="204F62D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2010</w:t>
            </w:r>
          </w:p>
        </w:tc>
        <w:tc>
          <w:tcPr>
            <w:tcW w:w="1701" w:type="dxa"/>
          </w:tcPr>
          <w:p w14:paraId="208F83C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Gut</w:t>
            </w:r>
          </w:p>
        </w:tc>
        <w:tc>
          <w:tcPr>
            <w:tcW w:w="708" w:type="dxa"/>
          </w:tcPr>
          <w:p w14:paraId="3CBF79E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59</w:t>
            </w:r>
          </w:p>
        </w:tc>
        <w:tc>
          <w:tcPr>
            <w:tcW w:w="567" w:type="dxa"/>
          </w:tcPr>
          <w:p w14:paraId="18B4827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w:t>
            </w:r>
          </w:p>
        </w:tc>
        <w:tc>
          <w:tcPr>
            <w:tcW w:w="709" w:type="dxa"/>
          </w:tcPr>
          <w:p w14:paraId="5FFEBAA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325-32</w:t>
            </w:r>
          </w:p>
        </w:tc>
        <w:tc>
          <w:tcPr>
            <w:tcW w:w="1701" w:type="dxa"/>
          </w:tcPr>
          <w:p w14:paraId="4A4B1F7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10.1136/gut.2008.167270</w:t>
            </w:r>
          </w:p>
        </w:tc>
      </w:tr>
      <w:tr w:rsidR="00BD188B" w:rsidRPr="00D518FF" w14:paraId="153C92A2" w14:textId="77777777" w:rsidTr="00CF6071">
        <w:trPr>
          <w:trHeight w:val="55"/>
        </w:trPr>
        <w:tc>
          <w:tcPr>
            <w:tcW w:w="988" w:type="dxa"/>
          </w:tcPr>
          <w:p w14:paraId="0ED7201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Nikfar 2008</w:t>
            </w:r>
          </w:p>
        </w:tc>
        <w:tc>
          <w:tcPr>
            <w:tcW w:w="4536" w:type="dxa"/>
          </w:tcPr>
          <w:p w14:paraId="6DF6E77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of probiotics in irritable bowel syndrome: a meta-analysis of randomized, controlled trials</w:t>
            </w:r>
          </w:p>
        </w:tc>
        <w:tc>
          <w:tcPr>
            <w:tcW w:w="2835" w:type="dxa"/>
          </w:tcPr>
          <w:p w14:paraId="341AF3F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Nikfar, S.; Rahimi, R.; Rahimi, F.; Derakhshani, S.; Abdollahi, M.</w:t>
            </w:r>
          </w:p>
        </w:tc>
        <w:tc>
          <w:tcPr>
            <w:tcW w:w="567" w:type="dxa"/>
          </w:tcPr>
          <w:p w14:paraId="090EDB1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2008</w:t>
            </w:r>
          </w:p>
        </w:tc>
        <w:tc>
          <w:tcPr>
            <w:tcW w:w="1701" w:type="dxa"/>
          </w:tcPr>
          <w:p w14:paraId="19F80BA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Diseases of the colon and rectum</w:t>
            </w:r>
          </w:p>
        </w:tc>
        <w:tc>
          <w:tcPr>
            <w:tcW w:w="708" w:type="dxa"/>
          </w:tcPr>
          <w:p w14:paraId="5BE4AB2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51</w:t>
            </w:r>
          </w:p>
        </w:tc>
        <w:tc>
          <w:tcPr>
            <w:tcW w:w="567" w:type="dxa"/>
          </w:tcPr>
          <w:p w14:paraId="6E87306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12</w:t>
            </w:r>
          </w:p>
        </w:tc>
        <w:tc>
          <w:tcPr>
            <w:tcW w:w="709" w:type="dxa"/>
          </w:tcPr>
          <w:p w14:paraId="535846C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1775-80</w:t>
            </w:r>
          </w:p>
        </w:tc>
        <w:tc>
          <w:tcPr>
            <w:tcW w:w="1701" w:type="dxa"/>
          </w:tcPr>
          <w:p w14:paraId="7C9FB05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10.1007/s10350-008-9335-z</w:t>
            </w:r>
          </w:p>
        </w:tc>
      </w:tr>
      <w:tr w:rsidR="00BD188B" w:rsidRPr="00D518FF" w14:paraId="2C33153C" w14:textId="77777777" w:rsidTr="00CF6071">
        <w:trPr>
          <w:trHeight w:val="55"/>
        </w:trPr>
        <w:tc>
          <w:tcPr>
            <w:tcW w:w="988" w:type="dxa"/>
          </w:tcPr>
          <w:p w14:paraId="4FD21E1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Niu 2020</w:t>
            </w:r>
          </w:p>
        </w:tc>
        <w:tc>
          <w:tcPr>
            <w:tcW w:w="4536" w:type="dxa"/>
          </w:tcPr>
          <w:p w14:paraId="4AD9AFB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The efficacy and safety of probiotics in patients with irritable bowel syndrome: Evidence based on 35 randomized controlled trials</w:t>
            </w:r>
          </w:p>
        </w:tc>
        <w:tc>
          <w:tcPr>
            <w:tcW w:w="2835" w:type="dxa"/>
          </w:tcPr>
          <w:p w14:paraId="1C36413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Niu, H. L.; Xiao, J. Y.</w:t>
            </w:r>
          </w:p>
        </w:tc>
        <w:tc>
          <w:tcPr>
            <w:tcW w:w="567" w:type="dxa"/>
          </w:tcPr>
          <w:p w14:paraId="6870B6F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701" w:type="dxa"/>
          </w:tcPr>
          <w:p w14:paraId="47290A3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International Journal of Surgery</w:t>
            </w:r>
          </w:p>
        </w:tc>
        <w:tc>
          <w:tcPr>
            <w:tcW w:w="708" w:type="dxa"/>
          </w:tcPr>
          <w:p w14:paraId="0C798E9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75</w:t>
            </w:r>
          </w:p>
        </w:tc>
        <w:tc>
          <w:tcPr>
            <w:tcW w:w="567" w:type="dxa"/>
          </w:tcPr>
          <w:p w14:paraId="2E5FE995" w14:textId="34440013" w:rsidR="00FF3F59" w:rsidRPr="00D518FF" w:rsidRDefault="00A6108F">
            <w:pPr>
              <w:pStyle w:val="NormalWeb"/>
              <w:shd w:val="clear" w:color="auto" w:fill="FFFFFF"/>
              <w:spacing w:before="0" w:beforeAutospacing="0" w:after="0" w:afterAutospacing="0"/>
              <w:rPr>
                <w:rFonts w:ascii="Aptos" w:hAnsi="Aptos" w:cs="Arial"/>
                <w:sz w:val="16"/>
                <w:szCs w:val="16"/>
              </w:rPr>
            </w:pPr>
            <w:r>
              <w:rPr>
                <w:rFonts w:ascii="Aptos" w:hAnsi="Aptos" w:cs="Arial"/>
                <w:sz w:val="16"/>
                <w:szCs w:val="16"/>
              </w:rPr>
              <w:t>-</w:t>
            </w:r>
          </w:p>
        </w:tc>
        <w:tc>
          <w:tcPr>
            <w:tcW w:w="709" w:type="dxa"/>
          </w:tcPr>
          <w:p w14:paraId="3090D1D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116-127</w:t>
            </w:r>
          </w:p>
        </w:tc>
        <w:tc>
          <w:tcPr>
            <w:tcW w:w="1701" w:type="dxa"/>
          </w:tcPr>
          <w:p w14:paraId="3ECF27B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https://dx.doi.org/10.1016/j.ijsu.2020.01.142</w:t>
            </w:r>
          </w:p>
        </w:tc>
      </w:tr>
      <w:tr w:rsidR="00BD188B" w:rsidRPr="00D518FF" w14:paraId="077B4F00" w14:textId="77777777" w:rsidTr="00CF6071">
        <w:trPr>
          <w:trHeight w:val="55"/>
        </w:trPr>
        <w:tc>
          <w:tcPr>
            <w:tcW w:w="988" w:type="dxa"/>
          </w:tcPr>
          <w:p w14:paraId="3EC2676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Ortiz-Lucas 2013</w:t>
            </w:r>
          </w:p>
        </w:tc>
        <w:tc>
          <w:tcPr>
            <w:tcW w:w="4536" w:type="dxa"/>
          </w:tcPr>
          <w:p w14:paraId="4305B4A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Effect of probiotics on symptoms of irritable bowel syndrome: A meta-analysis updated</w:t>
            </w:r>
          </w:p>
        </w:tc>
        <w:tc>
          <w:tcPr>
            <w:tcW w:w="2835" w:type="dxa"/>
          </w:tcPr>
          <w:p w14:paraId="4CEF790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Ortiz-Lucas, M.; Tobias, A.; Saz, P.; Sebastian, J. J.</w:t>
            </w:r>
          </w:p>
        </w:tc>
        <w:tc>
          <w:tcPr>
            <w:tcW w:w="567" w:type="dxa"/>
          </w:tcPr>
          <w:p w14:paraId="1A01E02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2013</w:t>
            </w:r>
          </w:p>
        </w:tc>
        <w:tc>
          <w:tcPr>
            <w:tcW w:w="1701" w:type="dxa"/>
          </w:tcPr>
          <w:p w14:paraId="5500E1E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Revista Espanola de Enfermedades Digestivas</w:t>
            </w:r>
          </w:p>
        </w:tc>
        <w:tc>
          <w:tcPr>
            <w:tcW w:w="708" w:type="dxa"/>
          </w:tcPr>
          <w:p w14:paraId="1DE73B6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105</w:t>
            </w:r>
          </w:p>
        </w:tc>
        <w:tc>
          <w:tcPr>
            <w:tcW w:w="567" w:type="dxa"/>
          </w:tcPr>
          <w:p w14:paraId="4ADF9CA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09" w:type="dxa"/>
          </w:tcPr>
          <w:p w14:paraId="7F89037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19-36</w:t>
            </w:r>
          </w:p>
        </w:tc>
        <w:tc>
          <w:tcPr>
            <w:tcW w:w="1701" w:type="dxa"/>
          </w:tcPr>
          <w:p w14:paraId="4656B56F" w14:textId="5251DC78" w:rsidR="00FF3F59" w:rsidRPr="00D518FF" w:rsidRDefault="00A6108F">
            <w:pPr>
              <w:pStyle w:val="NormalWeb"/>
              <w:shd w:val="clear" w:color="auto" w:fill="FFFFFF"/>
              <w:spacing w:before="0" w:beforeAutospacing="0" w:after="0" w:afterAutospacing="0"/>
              <w:rPr>
                <w:rFonts w:ascii="Aptos" w:hAnsi="Aptos" w:cs="Arial"/>
                <w:sz w:val="16"/>
                <w:szCs w:val="16"/>
              </w:rPr>
            </w:pPr>
            <w:r>
              <w:rPr>
                <w:rFonts w:ascii="Aptos" w:hAnsi="Aptos" w:cs="Arial"/>
                <w:sz w:val="16"/>
                <w:szCs w:val="16"/>
              </w:rPr>
              <w:t>-</w:t>
            </w:r>
          </w:p>
        </w:tc>
      </w:tr>
      <w:tr w:rsidR="00BD188B" w:rsidRPr="00D518FF" w14:paraId="31EAFE87" w14:textId="77777777" w:rsidTr="00CF6071">
        <w:trPr>
          <w:trHeight w:val="55"/>
        </w:trPr>
        <w:tc>
          <w:tcPr>
            <w:tcW w:w="988" w:type="dxa"/>
          </w:tcPr>
          <w:p w14:paraId="2092672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Pratt 2020</w:t>
            </w:r>
          </w:p>
        </w:tc>
        <w:tc>
          <w:tcPr>
            <w:tcW w:w="4536" w:type="dxa"/>
          </w:tcPr>
          <w:p w14:paraId="2B8C06D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The Effect of Bifidobacterium on Reducing Symptomatic Abdominal Pain in Patients with Irritable Bowel Syndrome: A Systematic Review</w:t>
            </w:r>
          </w:p>
        </w:tc>
        <w:tc>
          <w:tcPr>
            <w:tcW w:w="2835" w:type="dxa"/>
          </w:tcPr>
          <w:p w14:paraId="35EECDA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Pratt, C.; Campbell, M. D.</w:t>
            </w:r>
          </w:p>
        </w:tc>
        <w:tc>
          <w:tcPr>
            <w:tcW w:w="567" w:type="dxa"/>
          </w:tcPr>
          <w:p w14:paraId="25555DC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701" w:type="dxa"/>
          </w:tcPr>
          <w:p w14:paraId="56FCA09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Probiotics and antimicrobial proteins</w:t>
            </w:r>
          </w:p>
        </w:tc>
        <w:tc>
          <w:tcPr>
            <w:tcW w:w="708" w:type="dxa"/>
          </w:tcPr>
          <w:p w14:paraId="34AAC61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12</w:t>
            </w:r>
          </w:p>
        </w:tc>
        <w:tc>
          <w:tcPr>
            <w:tcW w:w="567" w:type="dxa"/>
          </w:tcPr>
          <w:p w14:paraId="167EEB8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w:t>
            </w:r>
          </w:p>
        </w:tc>
        <w:tc>
          <w:tcPr>
            <w:tcW w:w="709" w:type="dxa"/>
          </w:tcPr>
          <w:p w14:paraId="1E1F4FB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834-839</w:t>
            </w:r>
          </w:p>
        </w:tc>
        <w:tc>
          <w:tcPr>
            <w:tcW w:w="1701" w:type="dxa"/>
          </w:tcPr>
          <w:p w14:paraId="32423B5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10.1007/s12602-019-09609-7</w:t>
            </w:r>
          </w:p>
        </w:tc>
      </w:tr>
      <w:tr w:rsidR="00BD188B" w:rsidRPr="00D518FF" w14:paraId="2674EAB8" w14:textId="77777777" w:rsidTr="00CF6071">
        <w:trPr>
          <w:trHeight w:val="55"/>
        </w:trPr>
        <w:tc>
          <w:tcPr>
            <w:tcW w:w="988" w:type="dxa"/>
          </w:tcPr>
          <w:p w14:paraId="1F3341E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Ritchie 2012</w:t>
            </w:r>
          </w:p>
        </w:tc>
        <w:tc>
          <w:tcPr>
            <w:tcW w:w="4536" w:type="dxa"/>
          </w:tcPr>
          <w:p w14:paraId="0C752CD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 meta-analysis of probiotic efficacy for gastrointestinal diseases</w:t>
            </w:r>
          </w:p>
        </w:tc>
        <w:tc>
          <w:tcPr>
            <w:tcW w:w="2835" w:type="dxa"/>
          </w:tcPr>
          <w:p w14:paraId="064604B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Ritchie, M. L.; Romanuk, T. N.</w:t>
            </w:r>
          </w:p>
        </w:tc>
        <w:tc>
          <w:tcPr>
            <w:tcW w:w="567" w:type="dxa"/>
          </w:tcPr>
          <w:p w14:paraId="47303E7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2012</w:t>
            </w:r>
          </w:p>
        </w:tc>
        <w:tc>
          <w:tcPr>
            <w:tcW w:w="1701" w:type="dxa"/>
          </w:tcPr>
          <w:p w14:paraId="20DA495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PloS one</w:t>
            </w:r>
          </w:p>
        </w:tc>
        <w:tc>
          <w:tcPr>
            <w:tcW w:w="708" w:type="dxa"/>
          </w:tcPr>
          <w:p w14:paraId="713C086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7</w:t>
            </w:r>
          </w:p>
        </w:tc>
        <w:tc>
          <w:tcPr>
            <w:tcW w:w="567" w:type="dxa"/>
          </w:tcPr>
          <w:p w14:paraId="271A94E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4</w:t>
            </w:r>
          </w:p>
        </w:tc>
        <w:tc>
          <w:tcPr>
            <w:tcW w:w="709" w:type="dxa"/>
          </w:tcPr>
          <w:p w14:paraId="41CE708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e34938</w:t>
            </w:r>
          </w:p>
        </w:tc>
        <w:tc>
          <w:tcPr>
            <w:tcW w:w="1701" w:type="dxa"/>
          </w:tcPr>
          <w:p w14:paraId="27C0B1E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https://dx.doi.org/10.1371/journal.pone.0034938</w:t>
            </w:r>
          </w:p>
        </w:tc>
      </w:tr>
      <w:tr w:rsidR="00BD188B" w:rsidRPr="00D518FF" w14:paraId="1F471176" w14:textId="77777777" w:rsidTr="00CF6071">
        <w:trPr>
          <w:trHeight w:val="55"/>
        </w:trPr>
        <w:tc>
          <w:tcPr>
            <w:tcW w:w="988" w:type="dxa"/>
          </w:tcPr>
          <w:p w14:paraId="6E5D507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Shang 2022</w:t>
            </w:r>
          </w:p>
        </w:tc>
        <w:tc>
          <w:tcPr>
            <w:tcW w:w="4536" w:type="dxa"/>
          </w:tcPr>
          <w:p w14:paraId="0CE5955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Effectiveness and Safety of Probiotics for Patients with Constipation-Predominant Irritable Bowel Syndrome: A Systematic Review and Meta-Analysis of 10 Randomized Controlled Trials</w:t>
            </w:r>
          </w:p>
        </w:tc>
        <w:tc>
          <w:tcPr>
            <w:tcW w:w="2835" w:type="dxa"/>
          </w:tcPr>
          <w:p w14:paraId="5E9FF56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Shang, X.; E, F. F.; Guo, K. L.; Li, Y. F.; Zhao, H. L.; Wang, Y.; Chen, N.; Nian, T.; Yang, C. Q.; Yang, K. H.; Li, X. X.</w:t>
            </w:r>
          </w:p>
        </w:tc>
        <w:tc>
          <w:tcPr>
            <w:tcW w:w="567" w:type="dxa"/>
          </w:tcPr>
          <w:p w14:paraId="3996BB2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2022</w:t>
            </w:r>
          </w:p>
        </w:tc>
        <w:tc>
          <w:tcPr>
            <w:tcW w:w="1701" w:type="dxa"/>
          </w:tcPr>
          <w:p w14:paraId="669774C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Nutrients</w:t>
            </w:r>
          </w:p>
        </w:tc>
        <w:tc>
          <w:tcPr>
            <w:tcW w:w="708" w:type="dxa"/>
          </w:tcPr>
          <w:p w14:paraId="5B66EDE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14</w:t>
            </w:r>
          </w:p>
        </w:tc>
        <w:tc>
          <w:tcPr>
            <w:tcW w:w="567" w:type="dxa"/>
          </w:tcPr>
          <w:p w14:paraId="16C2607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12</w:t>
            </w:r>
          </w:p>
        </w:tc>
        <w:tc>
          <w:tcPr>
            <w:tcW w:w="709" w:type="dxa"/>
          </w:tcPr>
          <w:p w14:paraId="39FB4DA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2482</w:t>
            </w:r>
          </w:p>
        </w:tc>
        <w:tc>
          <w:tcPr>
            <w:tcW w:w="1701" w:type="dxa"/>
          </w:tcPr>
          <w:p w14:paraId="78DF081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10.3390/nu14122482</w:t>
            </w:r>
          </w:p>
        </w:tc>
      </w:tr>
      <w:tr w:rsidR="00BD188B" w:rsidRPr="00D518FF" w14:paraId="2D3E465F" w14:textId="77777777" w:rsidTr="00CF6071">
        <w:trPr>
          <w:trHeight w:val="55"/>
        </w:trPr>
        <w:tc>
          <w:tcPr>
            <w:tcW w:w="988" w:type="dxa"/>
          </w:tcPr>
          <w:p w14:paraId="047595F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Sun 2020</w:t>
            </w:r>
          </w:p>
        </w:tc>
        <w:tc>
          <w:tcPr>
            <w:tcW w:w="4536" w:type="dxa"/>
          </w:tcPr>
          <w:p w14:paraId="2E05E94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and safety of probiotics in irritable bowel syndrome: A systematic review and meta-analysis</w:t>
            </w:r>
          </w:p>
        </w:tc>
        <w:tc>
          <w:tcPr>
            <w:tcW w:w="2835" w:type="dxa"/>
          </w:tcPr>
          <w:p w14:paraId="33D2775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Sun, J. R.; Kong, C. F.; Qu, X. K.; Deng, C.; Lou, Y. N.; Jia, L. Q.</w:t>
            </w:r>
          </w:p>
        </w:tc>
        <w:tc>
          <w:tcPr>
            <w:tcW w:w="567" w:type="dxa"/>
          </w:tcPr>
          <w:p w14:paraId="2C395A2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701" w:type="dxa"/>
          </w:tcPr>
          <w:p w14:paraId="2F44C60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Saudi journal of gastroenterology : official journal of the Saudi Gastroenterology Association</w:t>
            </w:r>
          </w:p>
        </w:tc>
        <w:tc>
          <w:tcPr>
            <w:tcW w:w="708" w:type="dxa"/>
          </w:tcPr>
          <w:p w14:paraId="7C6D493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26</w:t>
            </w:r>
          </w:p>
        </w:tc>
        <w:tc>
          <w:tcPr>
            <w:tcW w:w="567" w:type="dxa"/>
          </w:tcPr>
          <w:p w14:paraId="079F956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w:t>
            </w:r>
          </w:p>
        </w:tc>
        <w:tc>
          <w:tcPr>
            <w:tcW w:w="709" w:type="dxa"/>
          </w:tcPr>
          <w:p w14:paraId="103488F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66-77</w:t>
            </w:r>
          </w:p>
        </w:tc>
        <w:tc>
          <w:tcPr>
            <w:tcW w:w="1701" w:type="dxa"/>
          </w:tcPr>
          <w:p w14:paraId="4A7608D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10.4103/sjg.SJG_384_19</w:t>
            </w:r>
          </w:p>
        </w:tc>
      </w:tr>
      <w:tr w:rsidR="00BD188B" w:rsidRPr="00D518FF" w14:paraId="5599074E" w14:textId="77777777" w:rsidTr="00CF6071">
        <w:trPr>
          <w:trHeight w:val="55"/>
        </w:trPr>
        <w:tc>
          <w:tcPr>
            <w:tcW w:w="988" w:type="dxa"/>
          </w:tcPr>
          <w:p w14:paraId="491E86A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Wang 2022</w:t>
            </w:r>
          </w:p>
        </w:tc>
        <w:tc>
          <w:tcPr>
            <w:tcW w:w="4536" w:type="dxa"/>
          </w:tcPr>
          <w:p w14:paraId="33215E5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Probiotics therapy for adults with diarrhea-predominant irritable bowel syndrome: a systematic review and meta-analysis of 10 RCTs</w:t>
            </w:r>
          </w:p>
        </w:tc>
        <w:tc>
          <w:tcPr>
            <w:tcW w:w="2835" w:type="dxa"/>
          </w:tcPr>
          <w:p w14:paraId="222DBC2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Wang, Y.; Chen, N.; Niu, F.; Li, Y.; Guo, K.; Shang, X.; E, F.; Yang, C.; Yang, K.; Li, X.</w:t>
            </w:r>
          </w:p>
        </w:tc>
        <w:tc>
          <w:tcPr>
            <w:tcW w:w="567" w:type="dxa"/>
          </w:tcPr>
          <w:p w14:paraId="4F97D7A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2022</w:t>
            </w:r>
          </w:p>
        </w:tc>
        <w:tc>
          <w:tcPr>
            <w:tcW w:w="1701" w:type="dxa"/>
          </w:tcPr>
          <w:p w14:paraId="0F38A69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International journal of colorectal disease</w:t>
            </w:r>
          </w:p>
        </w:tc>
        <w:tc>
          <w:tcPr>
            <w:tcW w:w="708" w:type="dxa"/>
          </w:tcPr>
          <w:p w14:paraId="0B5CAE6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37</w:t>
            </w:r>
          </w:p>
        </w:tc>
        <w:tc>
          <w:tcPr>
            <w:tcW w:w="567" w:type="dxa"/>
          </w:tcPr>
          <w:p w14:paraId="7D9C59D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w:t>
            </w:r>
          </w:p>
        </w:tc>
        <w:tc>
          <w:tcPr>
            <w:tcW w:w="709" w:type="dxa"/>
          </w:tcPr>
          <w:p w14:paraId="722EBF6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2263-2276</w:t>
            </w:r>
          </w:p>
        </w:tc>
        <w:tc>
          <w:tcPr>
            <w:tcW w:w="1701" w:type="dxa"/>
          </w:tcPr>
          <w:p w14:paraId="0671C4D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10.1007/s00384-022-04261-0</w:t>
            </w:r>
          </w:p>
        </w:tc>
      </w:tr>
      <w:tr w:rsidR="00BD188B" w:rsidRPr="00D518FF" w14:paraId="46EE223C" w14:textId="77777777" w:rsidTr="00A6108F">
        <w:trPr>
          <w:trHeight w:val="55"/>
        </w:trPr>
        <w:tc>
          <w:tcPr>
            <w:tcW w:w="988" w:type="dxa"/>
            <w:shd w:val="clear" w:color="auto" w:fill="EFFFE9"/>
          </w:tcPr>
          <w:p w14:paraId="6ABA12B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Wen 2020</w:t>
            </w:r>
          </w:p>
        </w:tc>
        <w:tc>
          <w:tcPr>
            <w:tcW w:w="4536" w:type="dxa"/>
            <w:shd w:val="clear" w:color="auto" w:fill="EFFFE9"/>
          </w:tcPr>
          <w:p w14:paraId="7F6C554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The efficacy and safety of probiotics for patients with constipation-predominant irritable bowel syndrome: A systematic review and meta-analysis based on seventeen randomized controlled trials</w:t>
            </w:r>
          </w:p>
        </w:tc>
        <w:tc>
          <w:tcPr>
            <w:tcW w:w="2835" w:type="dxa"/>
            <w:shd w:val="clear" w:color="auto" w:fill="EFFFE9"/>
          </w:tcPr>
          <w:p w14:paraId="7A10BFD0"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Wen, Y.; Li, J.; Long, Q.; Yue, C. C.; He, B.; Tang, X. G.</w:t>
            </w:r>
          </w:p>
        </w:tc>
        <w:tc>
          <w:tcPr>
            <w:tcW w:w="567" w:type="dxa"/>
            <w:shd w:val="clear" w:color="auto" w:fill="EFFFE9"/>
          </w:tcPr>
          <w:p w14:paraId="6F9B76C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2020</w:t>
            </w:r>
          </w:p>
        </w:tc>
        <w:tc>
          <w:tcPr>
            <w:tcW w:w="1701" w:type="dxa"/>
            <w:shd w:val="clear" w:color="auto" w:fill="EFFFE9"/>
          </w:tcPr>
          <w:p w14:paraId="3A28F056"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International Journal of Surgery</w:t>
            </w:r>
          </w:p>
        </w:tc>
        <w:tc>
          <w:tcPr>
            <w:tcW w:w="708" w:type="dxa"/>
            <w:shd w:val="clear" w:color="auto" w:fill="EFFFE9"/>
          </w:tcPr>
          <w:p w14:paraId="4F98DBB2"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79</w:t>
            </w:r>
          </w:p>
        </w:tc>
        <w:tc>
          <w:tcPr>
            <w:tcW w:w="567" w:type="dxa"/>
            <w:shd w:val="clear" w:color="auto" w:fill="EFFFE9"/>
          </w:tcPr>
          <w:p w14:paraId="36312E4E" w14:textId="77777777" w:rsidR="00FF3F59" w:rsidRPr="00D518FF" w:rsidRDefault="00FF3F59" w:rsidP="00023E7B">
            <w:pPr>
              <w:pStyle w:val="2024TABLETEXT"/>
              <w:framePr w:hSpace="0" w:wrap="auto" w:vAnchor="margin" w:yAlign="inline"/>
              <w:spacing w:line="240" w:lineRule="auto"/>
              <w:suppressOverlap w:val="0"/>
              <w:rPr>
                <w:sz w:val="16"/>
                <w:szCs w:val="16"/>
              </w:rPr>
            </w:pPr>
          </w:p>
        </w:tc>
        <w:tc>
          <w:tcPr>
            <w:tcW w:w="709" w:type="dxa"/>
            <w:shd w:val="clear" w:color="auto" w:fill="EFFFE9"/>
          </w:tcPr>
          <w:p w14:paraId="17CA3CB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111-119</w:t>
            </w:r>
          </w:p>
        </w:tc>
        <w:tc>
          <w:tcPr>
            <w:tcW w:w="1701" w:type="dxa"/>
            <w:shd w:val="clear" w:color="auto" w:fill="EFFFE9"/>
          </w:tcPr>
          <w:p w14:paraId="448895F8"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https://dx.doi.org/10.1016/j.ijsu.2020.04.063</w:t>
            </w:r>
          </w:p>
        </w:tc>
      </w:tr>
      <w:tr w:rsidR="00BD188B" w:rsidRPr="00D518FF" w14:paraId="7BBB7670" w14:textId="77777777" w:rsidTr="00CF6071">
        <w:trPr>
          <w:trHeight w:val="55"/>
        </w:trPr>
        <w:tc>
          <w:tcPr>
            <w:tcW w:w="988" w:type="dxa"/>
          </w:tcPr>
          <w:p w14:paraId="38A43B2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Xu 2021</w:t>
            </w:r>
          </w:p>
        </w:tc>
        <w:tc>
          <w:tcPr>
            <w:tcW w:w="4536" w:type="dxa"/>
          </w:tcPr>
          <w:p w14:paraId="0F7E1B7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of probiotic adjuvant therapy for irritable bowel syndrome in children: A systematic review and meta-analysis</w:t>
            </w:r>
          </w:p>
        </w:tc>
        <w:tc>
          <w:tcPr>
            <w:tcW w:w="2835" w:type="dxa"/>
          </w:tcPr>
          <w:p w14:paraId="73F064F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Xu, H. L.; Zou, L. L.; Chen, M. B.; Wang, H.; Shen, W. M.; Zheng, Q. H.; Cui, W. Y.</w:t>
            </w:r>
          </w:p>
        </w:tc>
        <w:tc>
          <w:tcPr>
            <w:tcW w:w="567" w:type="dxa"/>
          </w:tcPr>
          <w:p w14:paraId="685E558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2021</w:t>
            </w:r>
          </w:p>
        </w:tc>
        <w:tc>
          <w:tcPr>
            <w:tcW w:w="1701" w:type="dxa"/>
          </w:tcPr>
          <w:p w14:paraId="060441B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PloS one</w:t>
            </w:r>
          </w:p>
        </w:tc>
        <w:tc>
          <w:tcPr>
            <w:tcW w:w="708" w:type="dxa"/>
          </w:tcPr>
          <w:p w14:paraId="6C59ADE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16</w:t>
            </w:r>
          </w:p>
        </w:tc>
        <w:tc>
          <w:tcPr>
            <w:tcW w:w="567" w:type="dxa"/>
          </w:tcPr>
          <w:p w14:paraId="47710EA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w:t>
            </w:r>
          </w:p>
        </w:tc>
        <w:tc>
          <w:tcPr>
            <w:tcW w:w="709" w:type="dxa"/>
          </w:tcPr>
          <w:p w14:paraId="574CA64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e0255160</w:t>
            </w:r>
          </w:p>
        </w:tc>
        <w:tc>
          <w:tcPr>
            <w:tcW w:w="1701" w:type="dxa"/>
          </w:tcPr>
          <w:p w14:paraId="32943B8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10.1371/journal.pone.0255160</w:t>
            </w:r>
          </w:p>
        </w:tc>
      </w:tr>
      <w:tr w:rsidR="00BD188B" w:rsidRPr="00D518FF" w14:paraId="3AF69568" w14:textId="77777777" w:rsidTr="00CF6071">
        <w:trPr>
          <w:trHeight w:val="55"/>
        </w:trPr>
        <w:tc>
          <w:tcPr>
            <w:tcW w:w="988" w:type="dxa"/>
          </w:tcPr>
          <w:p w14:paraId="61BB97D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Yuan 2017</w:t>
            </w:r>
          </w:p>
        </w:tc>
        <w:tc>
          <w:tcPr>
            <w:tcW w:w="4536" w:type="dxa"/>
          </w:tcPr>
          <w:p w14:paraId="74BC84A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of Bifidobacterium infantis 35624 in patients with irritable bowel syndrome: a meta-analysis</w:t>
            </w:r>
          </w:p>
        </w:tc>
        <w:tc>
          <w:tcPr>
            <w:tcW w:w="2835" w:type="dxa"/>
          </w:tcPr>
          <w:p w14:paraId="7F39859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Yuan, F.; Ni, H.; Asche, C. V.; Kim, M.; Walayat, S.; Ren, J.</w:t>
            </w:r>
          </w:p>
        </w:tc>
        <w:tc>
          <w:tcPr>
            <w:tcW w:w="567" w:type="dxa"/>
          </w:tcPr>
          <w:p w14:paraId="5CC7793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2017</w:t>
            </w:r>
          </w:p>
        </w:tc>
        <w:tc>
          <w:tcPr>
            <w:tcW w:w="1701" w:type="dxa"/>
          </w:tcPr>
          <w:p w14:paraId="6B8291E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Current Medical Research and Opinion</w:t>
            </w:r>
          </w:p>
        </w:tc>
        <w:tc>
          <w:tcPr>
            <w:tcW w:w="708" w:type="dxa"/>
          </w:tcPr>
          <w:p w14:paraId="0B23C04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33</w:t>
            </w:r>
          </w:p>
        </w:tc>
        <w:tc>
          <w:tcPr>
            <w:tcW w:w="567" w:type="dxa"/>
          </w:tcPr>
          <w:p w14:paraId="759445B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7</w:t>
            </w:r>
          </w:p>
        </w:tc>
        <w:tc>
          <w:tcPr>
            <w:tcW w:w="709" w:type="dxa"/>
          </w:tcPr>
          <w:p w14:paraId="5443B38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1191-1197</w:t>
            </w:r>
          </w:p>
        </w:tc>
        <w:tc>
          <w:tcPr>
            <w:tcW w:w="1701" w:type="dxa"/>
          </w:tcPr>
          <w:p w14:paraId="444C376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10.1080/03007995.2017.1292230</w:t>
            </w:r>
          </w:p>
        </w:tc>
      </w:tr>
      <w:tr w:rsidR="00BD188B" w:rsidRPr="00D518FF" w14:paraId="59DF394C" w14:textId="77777777" w:rsidTr="00CF6071">
        <w:trPr>
          <w:trHeight w:val="55"/>
        </w:trPr>
        <w:tc>
          <w:tcPr>
            <w:tcW w:w="988" w:type="dxa"/>
          </w:tcPr>
          <w:p w14:paraId="20CE7D9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lastRenderedPageBreak/>
              <w:t>Zhang 2016</w:t>
            </w:r>
          </w:p>
        </w:tc>
        <w:tc>
          <w:tcPr>
            <w:tcW w:w="4536" w:type="dxa"/>
          </w:tcPr>
          <w:p w14:paraId="2CB4D64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Effects of probiotic type, dose and treatment duration on irritable bowel syndrome diagnosed by Rome III criteria: a meta-analysis</w:t>
            </w:r>
          </w:p>
        </w:tc>
        <w:tc>
          <w:tcPr>
            <w:tcW w:w="2835" w:type="dxa"/>
          </w:tcPr>
          <w:p w14:paraId="308D6C7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Zhang, Y.; Li, L.; Guo, C.; Mu, D.; Feng, B.; Zuo, X.; Li, Y.</w:t>
            </w:r>
          </w:p>
        </w:tc>
        <w:tc>
          <w:tcPr>
            <w:tcW w:w="567" w:type="dxa"/>
          </w:tcPr>
          <w:p w14:paraId="3C87B33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2016</w:t>
            </w:r>
          </w:p>
        </w:tc>
        <w:tc>
          <w:tcPr>
            <w:tcW w:w="1701" w:type="dxa"/>
          </w:tcPr>
          <w:p w14:paraId="3CF2A9C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BMC gastroenterology</w:t>
            </w:r>
          </w:p>
        </w:tc>
        <w:tc>
          <w:tcPr>
            <w:tcW w:w="708" w:type="dxa"/>
          </w:tcPr>
          <w:p w14:paraId="446839F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16</w:t>
            </w:r>
          </w:p>
        </w:tc>
        <w:tc>
          <w:tcPr>
            <w:tcW w:w="567" w:type="dxa"/>
          </w:tcPr>
          <w:p w14:paraId="6D84B08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09" w:type="dxa"/>
          </w:tcPr>
          <w:p w14:paraId="167588F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62</w:t>
            </w:r>
          </w:p>
        </w:tc>
        <w:tc>
          <w:tcPr>
            <w:tcW w:w="1701" w:type="dxa"/>
          </w:tcPr>
          <w:p w14:paraId="3614DFE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10.1186/s12876-016-0470-z</w:t>
            </w:r>
          </w:p>
        </w:tc>
      </w:tr>
    </w:tbl>
    <w:p w14:paraId="71E5AC56" w14:textId="05B8CBB5" w:rsidR="00B94E28" w:rsidRPr="004C6AA1" w:rsidRDefault="00B94E28" w:rsidP="004C6AA1">
      <w:pPr>
        <w:pStyle w:val="Caption"/>
        <w:spacing w:before="240"/>
        <w:rPr>
          <w:rFonts w:ascii="Aptos" w:hAnsi="Aptos"/>
        </w:rPr>
      </w:pPr>
      <w:bookmarkStart w:id="146" w:name="_Toc185254551"/>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5</w:t>
      </w:r>
      <w:r w:rsidR="00DC4767" w:rsidRPr="004C6AA1">
        <w:rPr>
          <w:rFonts w:ascii="Aptos" w:hAnsi="Aptos"/>
        </w:rPr>
        <w:fldChar w:fldCharType="end"/>
      </w:r>
      <w:r w:rsidRPr="004C6AA1">
        <w:rPr>
          <w:rFonts w:ascii="Aptos" w:hAnsi="Aptos"/>
        </w:rPr>
        <w:t xml:space="preserve">. </w:t>
      </w:r>
      <w:r w:rsidRPr="00D518FF">
        <w:rPr>
          <w:rFonts w:ascii="Aptos" w:hAnsi="Aptos"/>
        </w:rPr>
        <w:t>Characteristics of included reviews – Irritable bowel syndrome, probiotics</w:t>
      </w:r>
      <w:r w:rsidR="00A6108F">
        <w:rPr>
          <w:rFonts w:ascii="Aptos" w:hAnsi="Aptos"/>
        </w:rPr>
        <w:t xml:space="preserve"> (n=31)</w:t>
      </w:r>
      <w:r>
        <w:rPr>
          <w:rFonts w:ascii="Aptos" w:hAnsi="Aptos"/>
        </w:rPr>
        <w:t>.</w:t>
      </w:r>
      <w:bookmarkEnd w:id="146"/>
    </w:p>
    <w:tbl>
      <w:tblPr>
        <w:tblStyle w:val="TableGrid"/>
        <w:tblW w:w="14312" w:type="dxa"/>
        <w:tblLayout w:type="fixed"/>
        <w:tblCellMar>
          <w:top w:w="28" w:type="dxa"/>
          <w:left w:w="57" w:type="dxa"/>
          <w:bottom w:w="28" w:type="dxa"/>
          <w:right w:w="0" w:type="dxa"/>
        </w:tblCellMar>
        <w:tblLook w:val="04A0" w:firstRow="1" w:lastRow="0" w:firstColumn="1" w:lastColumn="0" w:noHBand="0" w:noVBand="1"/>
      </w:tblPr>
      <w:tblGrid>
        <w:gridCol w:w="846"/>
        <w:gridCol w:w="1134"/>
        <w:gridCol w:w="1843"/>
        <w:gridCol w:w="850"/>
        <w:gridCol w:w="992"/>
        <w:gridCol w:w="993"/>
        <w:gridCol w:w="1417"/>
        <w:gridCol w:w="709"/>
        <w:gridCol w:w="992"/>
        <w:gridCol w:w="992"/>
        <w:gridCol w:w="851"/>
        <w:gridCol w:w="1134"/>
        <w:gridCol w:w="1559"/>
      </w:tblGrid>
      <w:tr w:rsidR="005D73EA" w:rsidRPr="00D518FF" w14:paraId="30654E7E" w14:textId="77777777" w:rsidTr="003D0A3C">
        <w:trPr>
          <w:trHeight w:val="163"/>
        </w:trPr>
        <w:tc>
          <w:tcPr>
            <w:tcW w:w="846" w:type="dxa"/>
            <w:vMerge w:val="restart"/>
            <w:shd w:val="clear" w:color="auto" w:fill="D9D9D9" w:themeFill="background1" w:themeFillShade="D9"/>
          </w:tcPr>
          <w:p w14:paraId="0373C5AB" w14:textId="77777777" w:rsidR="005D73EA" w:rsidRPr="00D518FF" w:rsidRDefault="005D73EA" w:rsidP="00CF6071">
            <w:pPr>
              <w:pStyle w:val="2024TABLEHEADER"/>
              <w:spacing w:before="0" w:after="0" w:line="240" w:lineRule="auto"/>
              <w:rPr>
                <w:sz w:val="16"/>
                <w:szCs w:val="16"/>
              </w:rPr>
            </w:pPr>
            <w:r w:rsidRPr="00D518FF">
              <w:rPr>
                <w:sz w:val="16"/>
                <w:szCs w:val="16"/>
              </w:rPr>
              <w:t>Review ID</w:t>
            </w:r>
          </w:p>
        </w:tc>
        <w:tc>
          <w:tcPr>
            <w:tcW w:w="4819" w:type="dxa"/>
            <w:gridSpan w:val="4"/>
            <w:shd w:val="clear" w:color="auto" w:fill="D9D9D9" w:themeFill="background1" w:themeFillShade="D9"/>
          </w:tcPr>
          <w:p w14:paraId="0B72F0F7" w14:textId="77777777" w:rsidR="005D73EA" w:rsidRPr="00D518FF" w:rsidRDefault="005D73EA" w:rsidP="00CF6071">
            <w:pPr>
              <w:pStyle w:val="2024TABLEHEADER"/>
              <w:spacing w:before="0" w:after="0" w:line="240" w:lineRule="auto"/>
              <w:rPr>
                <w:sz w:val="16"/>
                <w:szCs w:val="16"/>
              </w:rPr>
            </w:pPr>
            <w:r w:rsidRPr="00D518FF">
              <w:rPr>
                <w:sz w:val="16"/>
                <w:szCs w:val="16"/>
              </w:rPr>
              <w:t>Review details</w:t>
            </w:r>
          </w:p>
        </w:tc>
        <w:tc>
          <w:tcPr>
            <w:tcW w:w="4111" w:type="dxa"/>
            <w:gridSpan w:val="4"/>
            <w:shd w:val="clear" w:color="auto" w:fill="D9D9D9" w:themeFill="background1" w:themeFillShade="D9"/>
          </w:tcPr>
          <w:p w14:paraId="5392DDEA" w14:textId="77777777" w:rsidR="005D73EA" w:rsidRPr="00D518FF" w:rsidRDefault="005D73EA" w:rsidP="00CF6071">
            <w:pPr>
              <w:pStyle w:val="2024TABLEHEADER"/>
              <w:spacing w:before="0" w:after="0" w:line="240" w:lineRule="auto"/>
              <w:rPr>
                <w:sz w:val="16"/>
                <w:szCs w:val="16"/>
              </w:rPr>
            </w:pPr>
            <w:r w:rsidRPr="00D518FF">
              <w:rPr>
                <w:sz w:val="16"/>
                <w:szCs w:val="16"/>
              </w:rPr>
              <w:t>Search details</w:t>
            </w:r>
          </w:p>
        </w:tc>
        <w:tc>
          <w:tcPr>
            <w:tcW w:w="1843" w:type="dxa"/>
            <w:gridSpan w:val="2"/>
            <w:shd w:val="clear" w:color="auto" w:fill="D9D9D9" w:themeFill="background1" w:themeFillShade="D9"/>
          </w:tcPr>
          <w:p w14:paraId="44583DF6" w14:textId="77777777" w:rsidR="005D73EA" w:rsidRPr="00D518FF" w:rsidRDefault="005D73EA" w:rsidP="00CF6071">
            <w:pPr>
              <w:pStyle w:val="2024TABLEHEADER"/>
              <w:spacing w:before="0" w:after="0" w:line="240" w:lineRule="auto"/>
              <w:rPr>
                <w:sz w:val="16"/>
                <w:szCs w:val="16"/>
              </w:rPr>
            </w:pPr>
            <w:r w:rsidRPr="00D518FF">
              <w:rPr>
                <w:sz w:val="16"/>
                <w:szCs w:val="16"/>
              </w:rPr>
              <w:t>Quality assessment</w:t>
            </w:r>
          </w:p>
        </w:tc>
        <w:tc>
          <w:tcPr>
            <w:tcW w:w="2693" w:type="dxa"/>
            <w:gridSpan w:val="2"/>
            <w:shd w:val="clear" w:color="auto" w:fill="D9D9D9" w:themeFill="background1" w:themeFillShade="D9"/>
          </w:tcPr>
          <w:p w14:paraId="084DEC0C" w14:textId="77777777" w:rsidR="005D73EA" w:rsidRPr="00D518FF" w:rsidRDefault="005D73EA" w:rsidP="00CF6071">
            <w:pPr>
              <w:pStyle w:val="2024TABLEHEADER"/>
              <w:spacing w:before="0" w:after="0" w:line="240" w:lineRule="auto"/>
              <w:rPr>
                <w:sz w:val="16"/>
                <w:szCs w:val="16"/>
              </w:rPr>
            </w:pPr>
            <w:r w:rsidRPr="00D518FF">
              <w:rPr>
                <w:sz w:val="16"/>
                <w:szCs w:val="16"/>
              </w:rPr>
              <w:t>Other</w:t>
            </w:r>
          </w:p>
        </w:tc>
      </w:tr>
      <w:tr w:rsidR="00866E11" w:rsidRPr="00D518FF" w14:paraId="7B017370" w14:textId="77777777" w:rsidTr="006418B8">
        <w:trPr>
          <w:trHeight w:val="163"/>
        </w:trPr>
        <w:tc>
          <w:tcPr>
            <w:tcW w:w="846" w:type="dxa"/>
            <w:vMerge/>
            <w:shd w:val="clear" w:color="auto" w:fill="D9D9D9" w:themeFill="background1" w:themeFillShade="D9"/>
          </w:tcPr>
          <w:p w14:paraId="39811236" w14:textId="77777777" w:rsidR="005D73EA" w:rsidRPr="00D518FF" w:rsidRDefault="005D73EA" w:rsidP="00CF6071">
            <w:pPr>
              <w:pStyle w:val="2024TABLEHEADER"/>
              <w:spacing w:before="0" w:after="0" w:line="240" w:lineRule="auto"/>
              <w:rPr>
                <w:sz w:val="16"/>
                <w:szCs w:val="16"/>
              </w:rPr>
            </w:pPr>
          </w:p>
        </w:tc>
        <w:tc>
          <w:tcPr>
            <w:tcW w:w="1134" w:type="dxa"/>
            <w:shd w:val="clear" w:color="auto" w:fill="D9D9D9" w:themeFill="background1" w:themeFillShade="D9"/>
          </w:tcPr>
          <w:p w14:paraId="27A484AD" w14:textId="77777777" w:rsidR="005D73EA" w:rsidRPr="00D518FF" w:rsidRDefault="005D73EA" w:rsidP="00CF6071">
            <w:pPr>
              <w:pStyle w:val="2024TABLEHEADER"/>
              <w:spacing w:before="0" w:after="0" w:line="240" w:lineRule="auto"/>
              <w:rPr>
                <w:sz w:val="16"/>
                <w:szCs w:val="16"/>
              </w:rPr>
            </w:pPr>
            <w:r w:rsidRPr="00D518FF">
              <w:rPr>
                <w:sz w:val="16"/>
                <w:szCs w:val="16"/>
              </w:rPr>
              <w:t>Review design</w:t>
            </w:r>
          </w:p>
        </w:tc>
        <w:tc>
          <w:tcPr>
            <w:tcW w:w="1843" w:type="dxa"/>
            <w:shd w:val="clear" w:color="auto" w:fill="D9D9D9" w:themeFill="background1" w:themeFillShade="D9"/>
          </w:tcPr>
          <w:p w14:paraId="6D829944" w14:textId="77777777" w:rsidR="005D73EA" w:rsidRPr="00D518FF" w:rsidRDefault="005D73EA" w:rsidP="00CF6071">
            <w:pPr>
              <w:pStyle w:val="2024TABLEHEADER"/>
              <w:spacing w:before="0" w:after="0" w:line="240" w:lineRule="auto"/>
              <w:rPr>
                <w:sz w:val="16"/>
                <w:szCs w:val="16"/>
              </w:rPr>
            </w:pPr>
            <w:r w:rsidRPr="00D518FF">
              <w:rPr>
                <w:sz w:val="16"/>
                <w:szCs w:val="16"/>
              </w:rPr>
              <w:t>Aim of the review (as reported by the SR)</w:t>
            </w:r>
          </w:p>
        </w:tc>
        <w:tc>
          <w:tcPr>
            <w:tcW w:w="850" w:type="dxa"/>
            <w:shd w:val="clear" w:color="auto" w:fill="D9D9D9" w:themeFill="background1" w:themeFillShade="D9"/>
          </w:tcPr>
          <w:p w14:paraId="463EBD4A" w14:textId="77777777" w:rsidR="005D73EA" w:rsidRPr="00D518FF" w:rsidRDefault="005D73EA" w:rsidP="00CF6071">
            <w:pPr>
              <w:pStyle w:val="2024TABLEHEADER"/>
              <w:spacing w:before="0" w:after="0" w:line="240" w:lineRule="auto"/>
              <w:rPr>
                <w:sz w:val="16"/>
                <w:szCs w:val="16"/>
              </w:rPr>
            </w:pPr>
            <w:r w:rsidRPr="00D518FF">
              <w:rPr>
                <w:sz w:val="16"/>
                <w:szCs w:val="16"/>
              </w:rPr>
              <w:t>Types of studies included</w:t>
            </w:r>
          </w:p>
        </w:tc>
        <w:tc>
          <w:tcPr>
            <w:tcW w:w="992" w:type="dxa"/>
            <w:shd w:val="clear" w:color="auto" w:fill="D9D9D9" w:themeFill="background1" w:themeFillShade="D9"/>
          </w:tcPr>
          <w:p w14:paraId="6FF095D3" w14:textId="37E5310B" w:rsidR="005D73EA" w:rsidRPr="00D518FF" w:rsidRDefault="005D73EA" w:rsidP="00CF6071">
            <w:pPr>
              <w:pStyle w:val="2024TABLEHEADER"/>
              <w:spacing w:before="0" w:after="0" w:line="240" w:lineRule="auto"/>
              <w:rPr>
                <w:sz w:val="16"/>
                <w:szCs w:val="16"/>
              </w:rPr>
            </w:pPr>
            <w:r w:rsidRPr="00D518FF">
              <w:rPr>
                <w:sz w:val="16"/>
                <w:szCs w:val="16"/>
              </w:rPr>
              <w:t>Outcomes relevant to the Overview^</w:t>
            </w:r>
          </w:p>
        </w:tc>
        <w:tc>
          <w:tcPr>
            <w:tcW w:w="993" w:type="dxa"/>
            <w:shd w:val="clear" w:color="auto" w:fill="D9D9D9" w:themeFill="background1" w:themeFillShade="D9"/>
          </w:tcPr>
          <w:p w14:paraId="7BB0A69A" w14:textId="77777777" w:rsidR="005D73EA" w:rsidRPr="00D518FF" w:rsidRDefault="005D73EA" w:rsidP="00CF6071">
            <w:pPr>
              <w:pStyle w:val="2024TABLEHEADER"/>
              <w:spacing w:before="0" w:after="0" w:line="240" w:lineRule="auto"/>
              <w:rPr>
                <w:sz w:val="16"/>
                <w:szCs w:val="16"/>
              </w:rPr>
            </w:pPr>
            <w:r w:rsidRPr="00D518FF">
              <w:rPr>
                <w:sz w:val="16"/>
                <w:szCs w:val="16"/>
              </w:rPr>
              <w:t># of databases searched</w:t>
            </w:r>
          </w:p>
        </w:tc>
        <w:tc>
          <w:tcPr>
            <w:tcW w:w="1417" w:type="dxa"/>
            <w:shd w:val="clear" w:color="auto" w:fill="D9D9D9" w:themeFill="background1" w:themeFillShade="D9"/>
          </w:tcPr>
          <w:p w14:paraId="42F451D0" w14:textId="77777777" w:rsidR="005D73EA" w:rsidRPr="00D518FF" w:rsidRDefault="005D73EA" w:rsidP="00CF6071">
            <w:pPr>
              <w:pStyle w:val="2024TABLEHEADER"/>
              <w:spacing w:before="0" w:after="0" w:line="240" w:lineRule="auto"/>
              <w:rPr>
                <w:sz w:val="16"/>
                <w:szCs w:val="16"/>
              </w:rPr>
            </w:pPr>
            <w:r w:rsidRPr="00D518FF">
              <w:rPr>
                <w:sz w:val="16"/>
                <w:szCs w:val="16"/>
              </w:rPr>
              <w:t>Names of databases searched</w:t>
            </w:r>
          </w:p>
        </w:tc>
        <w:tc>
          <w:tcPr>
            <w:tcW w:w="709" w:type="dxa"/>
            <w:shd w:val="clear" w:color="auto" w:fill="D9D9D9" w:themeFill="background1" w:themeFillShade="D9"/>
          </w:tcPr>
          <w:p w14:paraId="31F379BF" w14:textId="77777777" w:rsidR="005D73EA" w:rsidRPr="00D518FF" w:rsidRDefault="005D73EA" w:rsidP="00CF6071">
            <w:pPr>
              <w:pStyle w:val="2024TABLEHEADER"/>
              <w:spacing w:before="0" w:after="0" w:line="240" w:lineRule="auto"/>
              <w:rPr>
                <w:sz w:val="16"/>
                <w:szCs w:val="16"/>
              </w:rPr>
            </w:pPr>
            <w:r w:rsidRPr="00D518FF">
              <w:rPr>
                <w:sz w:val="16"/>
                <w:szCs w:val="16"/>
              </w:rPr>
              <w:t>Date of last search</w:t>
            </w:r>
          </w:p>
        </w:tc>
        <w:tc>
          <w:tcPr>
            <w:tcW w:w="992" w:type="dxa"/>
            <w:shd w:val="clear" w:color="auto" w:fill="D9D9D9" w:themeFill="background1" w:themeFillShade="D9"/>
          </w:tcPr>
          <w:p w14:paraId="64925E6A" w14:textId="77777777" w:rsidR="005D73EA" w:rsidRPr="00D518FF" w:rsidRDefault="005D73EA" w:rsidP="00CF6071">
            <w:pPr>
              <w:pStyle w:val="2024TABLEHEADER"/>
              <w:spacing w:before="0" w:after="0" w:line="240" w:lineRule="auto"/>
              <w:rPr>
                <w:sz w:val="16"/>
                <w:szCs w:val="16"/>
              </w:rPr>
            </w:pPr>
            <w:r w:rsidRPr="00D518FF">
              <w:rPr>
                <w:sz w:val="16"/>
                <w:szCs w:val="16"/>
              </w:rPr>
              <w:t xml:space="preserve">Search restrictions </w:t>
            </w:r>
          </w:p>
        </w:tc>
        <w:tc>
          <w:tcPr>
            <w:tcW w:w="992" w:type="dxa"/>
            <w:shd w:val="clear" w:color="auto" w:fill="D9D9D9" w:themeFill="background1" w:themeFillShade="D9"/>
          </w:tcPr>
          <w:p w14:paraId="5E3CF407" w14:textId="77777777" w:rsidR="005D73EA" w:rsidRPr="00D518FF" w:rsidRDefault="005D73EA" w:rsidP="00CF6071">
            <w:pPr>
              <w:pStyle w:val="2024TABLEHEADER"/>
              <w:spacing w:before="0" w:after="0" w:line="240" w:lineRule="auto"/>
              <w:rPr>
                <w:sz w:val="16"/>
                <w:szCs w:val="16"/>
              </w:rPr>
            </w:pPr>
            <w:r w:rsidRPr="00D518FF">
              <w:rPr>
                <w:sz w:val="16"/>
                <w:szCs w:val="16"/>
              </w:rPr>
              <w:t>RoB tool used</w:t>
            </w:r>
          </w:p>
        </w:tc>
        <w:tc>
          <w:tcPr>
            <w:tcW w:w="851" w:type="dxa"/>
            <w:shd w:val="clear" w:color="auto" w:fill="D9D9D9" w:themeFill="background1" w:themeFillShade="D9"/>
          </w:tcPr>
          <w:p w14:paraId="636AA37B" w14:textId="1C39EFB6" w:rsidR="005D73EA" w:rsidRPr="00D518FF" w:rsidRDefault="005D73EA" w:rsidP="00CF6071">
            <w:pPr>
              <w:pStyle w:val="2024TABLEHEADER"/>
              <w:spacing w:before="0" w:after="0" w:line="240" w:lineRule="auto"/>
              <w:rPr>
                <w:sz w:val="16"/>
                <w:szCs w:val="16"/>
              </w:rPr>
            </w:pPr>
            <w:r w:rsidRPr="00D518FF">
              <w:rPr>
                <w:sz w:val="16"/>
                <w:szCs w:val="16"/>
              </w:rPr>
              <w:t>Certainty of evidence</w:t>
            </w:r>
          </w:p>
        </w:tc>
        <w:tc>
          <w:tcPr>
            <w:tcW w:w="1134" w:type="dxa"/>
            <w:shd w:val="clear" w:color="auto" w:fill="D9D9D9" w:themeFill="background1" w:themeFillShade="D9"/>
          </w:tcPr>
          <w:p w14:paraId="0D0E97F4" w14:textId="77777777" w:rsidR="005D73EA" w:rsidRPr="00D518FF" w:rsidRDefault="005D73EA" w:rsidP="00CF6071">
            <w:pPr>
              <w:pStyle w:val="2024TABLEHEADER"/>
              <w:spacing w:before="0" w:after="0" w:line="240" w:lineRule="auto"/>
              <w:rPr>
                <w:sz w:val="16"/>
                <w:szCs w:val="16"/>
              </w:rPr>
            </w:pPr>
            <w:r w:rsidRPr="00D518FF">
              <w:rPr>
                <w:sz w:val="16"/>
                <w:szCs w:val="16"/>
              </w:rPr>
              <w:t>Conflicts of interest</w:t>
            </w:r>
          </w:p>
        </w:tc>
        <w:tc>
          <w:tcPr>
            <w:tcW w:w="1559" w:type="dxa"/>
            <w:shd w:val="clear" w:color="auto" w:fill="D9D9D9" w:themeFill="background1" w:themeFillShade="D9"/>
          </w:tcPr>
          <w:p w14:paraId="03E81F32" w14:textId="77777777" w:rsidR="005D73EA" w:rsidRPr="00D518FF" w:rsidRDefault="005D73EA" w:rsidP="00CF6071">
            <w:pPr>
              <w:pStyle w:val="2024TABLEHEADER"/>
              <w:spacing w:before="0" w:after="0" w:line="240" w:lineRule="auto"/>
              <w:rPr>
                <w:sz w:val="16"/>
                <w:szCs w:val="16"/>
              </w:rPr>
            </w:pPr>
            <w:r w:rsidRPr="00D518FF">
              <w:rPr>
                <w:sz w:val="16"/>
                <w:szCs w:val="16"/>
              </w:rPr>
              <w:t>Funding sources</w:t>
            </w:r>
          </w:p>
        </w:tc>
      </w:tr>
      <w:tr w:rsidR="00A6108F" w:rsidRPr="00D518FF" w14:paraId="31212CB1" w14:textId="77777777" w:rsidTr="00A6108F">
        <w:trPr>
          <w:trHeight w:val="345"/>
        </w:trPr>
        <w:tc>
          <w:tcPr>
            <w:tcW w:w="846" w:type="dxa"/>
            <w:shd w:val="clear" w:color="auto" w:fill="EFFFE9"/>
          </w:tcPr>
          <w:p w14:paraId="01B68B53"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Abboud 2020</w:t>
            </w:r>
          </w:p>
        </w:tc>
        <w:tc>
          <w:tcPr>
            <w:tcW w:w="1134" w:type="dxa"/>
            <w:shd w:val="clear" w:color="auto" w:fill="EFFFE9"/>
          </w:tcPr>
          <w:p w14:paraId="530B9763"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Systematic review (summarised narratively)</w:t>
            </w:r>
          </w:p>
        </w:tc>
        <w:tc>
          <w:tcPr>
            <w:tcW w:w="1843" w:type="dxa"/>
            <w:shd w:val="clear" w:color="auto" w:fill="EFFFE9"/>
          </w:tcPr>
          <w:p w14:paraId="7EBB9F8F" w14:textId="1877F5EC"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To investigate the literature and summarize the available evidence of RCTs on the various health effects of a combined supplementation of vitamin D and probiotics among children and adults.</w:t>
            </w:r>
          </w:p>
        </w:tc>
        <w:tc>
          <w:tcPr>
            <w:tcW w:w="850" w:type="dxa"/>
            <w:shd w:val="clear" w:color="auto" w:fill="EFFFE9"/>
          </w:tcPr>
          <w:p w14:paraId="7EE525AF" w14:textId="331265E6"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RCTs</w:t>
            </w:r>
          </w:p>
        </w:tc>
        <w:tc>
          <w:tcPr>
            <w:tcW w:w="992" w:type="dxa"/>
            <w:shd w:val="clear" w:color="auto" w:fill="EFFFE9"/>
          </w:tcPr>
          <w:p w14:paraId="37E3AAA1" w14:textId="2A70FE8C"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1</w:t>
            </w:r>
          </w:p>
        </w:tc>
        <w:tc>
          <w:tcPr>
            <w:tcW w:w="993" w:type="dxa"/>
            <w:shd w:val="clear" w:color="auto" w:fill="EFFFE9"/>
          </w:tcPr>
          <w:p w14:paraId="3415A64D"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7</w:t>
            </w:r>
          </w:p>
        </w:tc>
        <w:tc>
          <w:tcPr>
            <w:tcW w:w="1417" w:type="dxa"/>
            <w:shd w:val="clear" w:color="auto" w:fill="EFFFE9"/>
          </w:tcPr>
          <w:p w14:paraId="3D999A36" w14:textId="29B57189"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PubMed, MEDLINE, CINAHL, EMBASE, Cochrane Library, ClinicalTrials.gov, International Clinical Trials Registry Platform (ICTRP)</w:t>
            </w:r>
          </w:p>
        </w:tc>
        <w:tc>
          <w:tcPr>
            <w:tcW w:w="709" w:type="dxa"/>
            <w:shd w:val="clear" w:color="auto" w:fill="EFFFE9"/>
          </w:tcPr>
          <w:p w14:paraId="48BDD2F9" w14:textId="30D16B76"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Nov 2020</w:t>
            </w:r>
          </w:p>
        </w:tc>
        <w:tc>
          <w:tcPr>
            <w:tcW w:w="992" w:type="dxa"/>
            <w:shd w:val="clear" w:color="auto" w:fill="EFFFE9"/>
          </w:tcPr>
          <w:p w14:paraId="35536DA1"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shd w:val="clear" w:color="auto" w:fill="EFFFE9"/>
          </w:tcPr>
          <w:p w14:paraId="5CA184CA" w14:textId="6D146DC6"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shd w:val="clear" w:color="auto" w:fill="EFFFE9"/>
          </w:tcPr>
          <w:p w14:paraId="3B702847" w14:textId="55AF2808"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shd w:val="clear" w:color="auto" w:fill="EFFFE9"/>
          </w:tcPr>
          <w:p w14:paraId="58C5FF0A"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The authors declare that they have no competing interests.</w:t>
            </w:r>
          </w:p>
        </w:tc>
        <w:tc>
          <w:tcPr>
            <w:tcW w:w="1559" w:type="dxa"/>
            <w:shd w:val="clear" w:color="auto" w:fill="EFFFE9"/>
          </w:tcPr>
          <w:p w14:paraId="3ED5F4E8" w14:textId="04EA53D1"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College of Natural and Health Sciences, Zayed University, Dubai, United Arab Emirates. The funding body not</w:t>
            </w:r>
            <w:r w:rsidRPr="00D518FF" w:rsidDel="00BD188B">
              <w:rPr>
                <w:sz w:val="16"/>
                <w:szCs w:val="16"/>
              </w:rPr>
              <w:t xml:space="preserve"> </w:t>
            </w:r>
            <w:r w:rsidRPr="00D518FF">
              <w:rPr>
                <w:sz w:val="16"/>
                <w:szCs w:val="16"/>
              </w:rPr>
              <w:t>involved in the design of the study and collection, analysis, and interpretation of data or in writing the manuscript.</w:t>
            </w:r>
          </w:p>
        </w:tc>
      </w:tr>
      <w:tr w:rsidR="00F60E69" w:rsidRPr="00D518FF" w14:paraId="70286F9C" w14:textId="77777777" w:rsidTr="00A6108F">
        <w:trPr>
          <w:trHeight w:val="646"/>
        </w:trPr>
        <w:tc>
          <w:tcPr>
            <w:tcW w:w="846" w:type="dxa"/>
          </w:tcPr>
          <w:p w14:paraId="60BC55EB"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Asha 2020</w:t>
            </w:r>
          </w:p>
        </w:tc>
        <w:tc>
          <w:tcPr>
            <w:tcW w:w="1134" w:type="dxa"/>
          </w:tcPr>
          <w:p w14:paraId="34390D7C"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0BC72438" w14:textId="7E297732"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A comprehensive evaluation of the efficacy and safety of prebiotics, probiotics and synbiotics in the management of patients with IBS. </w:t>
            </w:r>
          </w:p>
        </w:tc>
        <w:tc>
          <w:tcPr>
            <w:tcW w:w="850" w:type="dxa"/>
          </w:tcPr>
          <w:p w14:paraId="71C52779" w14:textId="0635BDD4"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RCTs</w:t>
            </w:r>
          </w:p>
        </w:tc>
        <w:tc>
          <w:tcPr>
            <w:tcW w:w="992" w:type="dxa"/>
          </w:tcPr>
          <w:p w14:paraId="33883076"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1, 2, 3</w:t>
            </w:r>
          </w:p>
        </w:tc>
        <w:tc>
          <w:tcPr>
            <w:tcW w:w="993" w:type="dxa"/>
          </w:tcPr>
          <w:p w14:paraId="0AB8011A"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4</w:t>
            </w:r>
          </w:p>
        </w:tc>
        <w:tc>
          <w:tcPr>
            <w:tcW w:w="1417" w:type="dxa"/>
          </w:tcPr>
          <w:p w14:paraId="500EFAF1" w14:textId="4847187F"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MEDLINE, Embase, Cochrane Library, Google Scholar </w:t>
            </w:r>
          </w:p>
        </w:tc>
        <w:tc>
          <w:tcPr>
            <w:tcW w:w="709" w:type="dxa"/>
          </w:tcPr>
          <w:p w14:paraId="69BDC7BD" w14:textId="43C431F3"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Jun 2019</w:t>
            </w:r>
          </w:p>
        </w:tc>
        <w:tc>
          <w:tcPr>
            <w:tcW w:w="992" w:type="dxa"/>
          </w:tcPr>
          <w:p w14:paraId="30A495D9"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English- language, 2000-2019, minimum sample size was 50 patients</w:t>
            </w:r>
          </w:p>
        </w:tc>
        <w:tc>
          <w:tcPr>
            <w:tcW w:w="992" w:type="dxa"/>
          </w:tcPr>
          <w:p w14:paraId="351566CC" w14:textId="47456E23"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11156618" w14:textId="781C66E3"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7CFA7338"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559" w:type="dxa"/>
          </w:tcPr>
          <w:p w14:paraId="2F2316A4"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r>
      <w:tr w:rsidR="00B64B68" w:rsidRPr="00D518FF" w14:paraId="6D7BD128" w14:textId="77777777" w:rsidTr="00A6108F">
        <w:trPr>
          <w:trHeight w:val="646"/>
        </w:trPr>
        <w:tc>
          <w:tcPr>
            <w:tcW w:w="846" w:type="dxa"/>
          </w:tcPr>
          <w:p w14:paraId="5A4EB24D"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Connell 2018</w:t>
            </w:r>
          </w:p>
        </w:tc>
        <w:tc>
          <w:tcPr>
            <w:tcW w:w="1134" w:type="dxa"/>
          </w:tcPr>
          <w:p w14:paraId="181B0CC4"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60C5780B" w14:textId="1A5B6D45"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To quantify effects of VSL#3 on abdominal pain, stool consistency, overall</w:t>
            </w:r>
            <w:r w:rsidR="005340AF" w:rsidRPr="00D518FF">
              <w:rPr>
                <w:sz w:val="16"/>
                <w:szCs w:val="16"/>
              </w:rPr>
              <w:t xml:space="preserve"> </w:t>
            </w:r>
            <w:r w:rsidRPr="00D518FF">
              <w:rPr>
                <w:sz w:val="16"/>
                <w:szCs w:val="16"/>
              </w:rPr>
              <w:t>response, abdominal bloating, and quality of life (QOL) in IBS through meta-analysis.</w:t>
            </w:r>
          </w:p>
        </w:tc>
        <w:tc>
          <w:tcPr>
            <w:tcW w:w="850" w:type="dxa"/>
          </w:tcPr>
          <w:p w14:paraId="129B2AB8" w14:textId="26303529" w:rsidR="005D73E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5D73EA" w:rsidRPr="00D518FF">
              <w:rPr>
                <w:sz w:val="16"/>
                <w:szCs w:val="16"/>
              </w:rPr>
              <w:t>s</w:t>
            </w:r>
          </w:p>
        </w:tc>
        <w:tc>
          <w:tcPr>
            <w:tcW w:w="992" w:type="dxa"/>
          </w:tcPr>
          <w:p w14:paraId="65C29DD2"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1, 2, 3, 7 </w:t>
            </w:r>
          </w:p>
        </w:tc>
        <w:tc>
          <w:tcPr>
            <w:tcW w:w="993" w:type="dxa"/>
          </w:tcPr>
          <w:p w14:paraId="762D7E57"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4</w:t>
            </w:r>
          </w:p>
        </w:tc>
        <w:tc>
          <w:tcPr>
            <w:tcW w:w="1417" w:type="dxa"/>
          </w:tcPr>
          <w:p w14:paraId="4A54D5E0" w14:textId="0201E2D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MEDLINE</w:t>
            </w:r>
            <w:r w:rsidR="00B0301A" w:rsidRPr="00D518FF">
              <w:rPr>
                <w:sz w:val="16"/>
                <w:szCs w:val="16"/>
              </w:rPr>
              <w:t>,</w:t>
            </w:r>
            <w:r w:rsidRPr="00D518FF">
              <w:rPr>
                <w:sz w:val="16"/>
                <w:szCs w:val="16"/>
              </w:rPr>
              <w:t xml:space="preserve"> EMBASE, Web of</w:t>
            </w:r>
            <w:r w:rsidR="00B0301A" w:rsidRPr="00D518FF">
              <w:rPr>
                <w:sz w:val="16"/>
                <w:szCs w:val="16"/>
              </w:rPr>
              <w:t xml:space="preserve"> </w:t>
            </w:r>
            <w:r w:rsidRPr="00D518FF">
              <w:rPr>
                <w:sz w:val="16"/>
                <w:szCs w:val="16"/>
              </w:rPr>
              <w:t>Science, Scopus</w:t>
            </w:r>
          </w:p>
        </w:tc>
        <w:tc>
          <w:tcPr>
            <w:tcW w:w="709" w:type="dxa"/>
          </w:tcPr>
          <w:p w14:paraId="339DDF66" w14:textId="58BD1C34"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May</w:t>
            </w:r>
            <w:r w:rsidR="003D1BA0" w:rsidRPr="00D518FF">
              <w:rPr>
                <w:sz w:val="16"/>
                <w:szCs w:val="16"/>
              </w:rPr>
              <w:t xml:space="preserve"> 20</w:t>
            </w:r>
            <w:r w:rsidRPr="00D518FF">
              <w:rPr>
                <w:sz w:val="16"/>
                <w:szCs w:val="16"/>
              </w:rPr>
              <w:t>17</w:t>
            </w:r>
          </w:p>
        </w:tc>
        <w:tc>
          <w:tcPr>
            <w:tcW w:w="992" w:type="dxa"/>
          </w:tcPr>
          <w:p w14:paraId="4A900A8B" w14:textId="660A8F75"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No date limitations or language restrictions.</w:t>
            </w:r>
            <w:r w:rsidR="002E4806" w:rsidRPr="00D518FF">
              <w:rPr>
                <w:sz w:val="16"/>
                <w:szCs w:val="16"/>
              </w:rPr>
              <w:t xml:space="preserve"> Studies had to be free;</w:t>
            </w:r>
            <w:r w:rsidR="00EA17C9" w:rsidRPr="00D518FF">
              <w:rPr>
                <w:sz w:val="16"/>
                <w:szCs w:val="16"/>
              </w:rPr>
              <w:t xml:space="preserve"> </w:t>
            </w:r>
            <w:r w:rsidR="002E4806" w:rsidRPr="00D518FF">
              <w:rPr>
                <w:sz w:val="16"/>
                <w:szCs w:val="16"/>
              </w:rPr>
              <w:t xml:space="preserve">excluded if only one out of three keywords </w:t>
            </w:r>
            <w:r w:rsidR="002E4806" w:rsidRPr="00D518FF">
              <w:rPr>
                <w:sz w:val="16"/>
                <w:szCs w:val="16"/>
              </w:rPr>
              <w:lastRenderedPageBreak/>
              <w:t>were present in the title or abstract.</w:t>
            </w:r>
          </w:p>
        </w:tc>
        <w:tc>
          <w:tcPr>
            <w:tcW w:w="992" w:type="dxa"/>
          </w:tcPr>
          <w:p w14:paraId="12F16312"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lastRenderedPageBreak/>
              <w:t>Cochrane Risk of Bias Tool</w:t>
            </w:r>
          </w:p>
        </w:tc>
        <w:tc>
          <w:tcPr>
            <w:tcW w:w="851" w:type="dxa"/>
          </w:tcPr>
          <w:p w14:paraId="51726495"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GRADE</w:t>
            </w:r>
          </w:p>
        </w:tc>
        <w:tc>
          <w:tcPr>
            <w:tcW w:w="1134" w:type="dxa"/>
          </w:tcPr>
          <w:p w14:paraId="2C898711"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559" w:type="dxa"/>
          </w:tcPr>
          <w:p w14:paraId="330F4FF9" w14:textId="14F6E6D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AS is supported, in part, by grants KL2TR001106, and UL1TR001108 (A. Shekhar, PI) from the</w:t>
            </w:r>
            <w:r w:rsidRPr="00D518FF">
              <w:rPr>
                <w:sz w:val="16"/>
                <w:szCs w:val="16"/>
              </w:rPr>
              <w:br/>
              <w:t xml:space="preserve">National Institutes of Health, National Center for Advancing Translational </w:t>
            </w:r>
            <w:r w:rsidRPr="00D518FF">
              <w:rPr>
                <w:sz w:val="16"/>
                <w:szCs w:val="16"/>
              </w:rPr>
              <w:lastRenderedPageBreak/>
              <w:t>Sciences, Clinical and Translational</w:t>
            </w:r>
            <w:r w:rsidR="00EA17C9" w:rsidRPr="00D518FF">
              <w:rPr>
                <w:sz w:val="16"/>
                <w:szCs w:val="16"/>
              </w:rPr>
              <w:t xml:space="preserve"> </w:t>
            </w:r>
            <w:r w:rsidRPr="00D518FF">
              <w:rPr>
                <w:sz w:val="16"/>
                <w:szCs w:val="16"/>
              </w:rPr>
              <w:t>Sciences Award.</w:t>
            </w:r>
          </w:p>
        </w:tc>
      </w:tr>
      <w:tr w:rsidR="002F0C5A" w:rsidRPr="00D518FF" w14:paraId="5D26AA46" w14:textId="77777777" w:rsidTr="00A6108F">
        <w:trPr>
          <w:trHeight w:val="646"/>
        </w:trPr>
        <w:tc>
          <w:tcPr>
            <w:tcW w:w="846" w:type="dxa"/>
          </w:tcPr>
          <w:p w14:paraId="4213D33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lastRenderedPageBreak/>
              <w:t>Corbitt 2018</w:t>
            </w:r>
          </w:p>
        </w:tc>
        <w:tc>
          <w:tcPr>
            <w:tcW w:w="1134" w:type="dxa"/>
          </w:tcPr>
          <w:p w14:paraId="0D9B674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Systematic review</w:t>
            </w:r>
          </w:p>
        </w:tc>
        <w:tc>
          <w:tcPr>
            <w:tcW w:w="1843" w:type="dxa"/>
          </w:tcPr>
          <w:p w14:paraId="1DD52D3D" w14:textId="6DFDFBA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conduct a systematic review of these symptoms in CFS/ME, along with any evidence for probiotics as treatment.</w:t>
            </w:r>
          </w:p>
        </w:tc>
        <w:tc>
          <w:tcPr>
            <w:tcW w:w="850" w:type="dxa"/>
          </w:tcPr>
          <w:p w14:paraId="163543F8" w14:textId="5D35BA86"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Intervention-based research</w:t>
            </w:r>
          </w:p>
        </w:tc>
        <w:tc>
          <w:tcPr>
            <w:tcW w:w="992" w:type="dxa"/>
          </w:tcPr>
          <w:p w14:paraId="147D4D8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1, 3, 7</w:t>
            </w:r>
          </w:p>
        </w:tc>
        <w:tc>
          <w:tcPr>
            <w:tcW w:w="993" w:type="dxa"/>
          </w:tcPr>
          <w:p w14:paraId="2613CBA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4</w:t>
            </w:r>
          </w:p>
        </w:tc>
        <w:tc>
          <w:tcPr>
            <w:tcW w:w="1417" w:type="dxa"/>
          </w:tcPr>
          <w:p w14:paraId="60785B19" w14:textId="3BCFFD32"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Scopus, Medline, EMBASE</w:t>
            </w:r>
          </w:p>
        </w:tc>
        <w:tc>
          <w:tcPr>
            <w:tcW w:w="709" w:type="dxa"/>
          </w:tcPr>
          <w:p w14:paraId="044BA5FA" w14:textId="69EFEA6E" w:rsidR="002F0C5A" w:rsidRPr="00D518FF" w:rsidRDefault="00C904B1" w:rsidP="00CF6071">
            <w:pPr>
              <w:pStyle w:val="2024TABLETEXT"/>
              <w:framePr w:hSpace="0" w:wrap="auto" w:vAnchor="margin" w:yAlign="inline"/>
              <w:spacing w:line="240" w:lineRule="auto"/>
              <w:suppressOverlap w:val="0"/>
              <w:rPr>
                <w:sz w:val="16"/>
                <w:szCs w:val="16"/>
              </w:rPr>
            </w:pPr>
            <w:r w:rsidRPr="00D518FF">
              <w:rPr>
                <w:sz w:val="16"/>
                <w:szCs w:val="16"/>
              </w:rPr>
              <w:t xml:space="preserve">Jun </w:t>
            </w:r>
            <w:r w:rsidR="002F0C5A" w:rsidRPr="00D518FF">
              <w:rPr>
                <w:sz w:val="16"/>
                <w:szCs w:val="16"/>
              </w:rPr>
              <w:t>2017</w:t>
            </w:r>
          </w:p>
        </w:tc>
        <w:tc>
          <w:tcPr>
            <w:tcW w:w="992" w:type="dxa"/>
          </w:tcPr>
          <w:p w14:paraId="652B1DC4"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4221E00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Rosendal Scale</w:t>
            </w:r>
          </w:p>
        </w:tc>
        <w:tc>
          <w:tcPr>
            <w:tcW w:w="851" w:type="dxa"/>
          </w:tcPr>
          <w:p w14:paraId="289BBDF0" w14:textId="694B44B6"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79D27AC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declare that they have no conflicts of interest</w:t>
            </w:r>
          </w:p>
        </w:tc>
        <w:tc>
          <w:tcPr>
            <w:tcW w:w="1559" w:type="dxa"/>
          </w:tcPr>
          <w:p w14:paraId="1ABCEEE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r>
      <w:tr w:rsidR="00A6108F" w:rsidRPr="00D518FF" w14:paraId="6038315E" w14:textId="77777777" w:rsidTr="00A6108F">
        <w:trPr>
          <w:trHeight w:val="646"/>
        </w:trPr>
        <w:tc>
          <w:tcPr>
            <w:tcW w:w="846" w:type="dxa"/>
            <w:shd w:val="clear" w:color="auto" w:fill="EFFFE9"/>
          </w:tcPr>
          <w:p w14:paraId="2F5F37C4"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Ding 2019</w:t>
            </w:r>
          </w:p>
        </w:tc>
        <w:tc>
          <w:tcPr>
            <w:tcW w:w="1134" w:type="dxa"/>
            <w:shd w:val="clear" w:color="auto" w:fill="EFFFE9"/>
          </w:tcPr>
          <w:p w14:paraId="72EB291A"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Rapid systematic review</w:t>
            </w:r>
          </w:p>
        </w:tc>
        <w:tc>
          <w:tcPr>
            <w:tcW w:w="1843" w:type="dxa"/>
            <w:shd w:val="clear" w:color="auto" w:fill="EFFFE9"/>
          </w:tcPr>
          <w:p w14:paraId="4294AE8D" w14:textId="21AEC113"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To synthesize the best evidence on the use of probiotics in children with functional abdominal pain disorders (FAPD) </w:t>
            </w:r>
          </w:p>
        </w:tc>
        <w:tc>
          <w:tcPr>
            <w:tcW w:w="850" w:type="dxa"/>
            <w:shd w:val="clear" w:color="auto" w:fill="EFFFE9"/>
          </w:tcPr>
          <w:p w14:paraId="5CF92479" w14:textId="5CD86DD8"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RCTs</w:t>
            </w:r>
          </w:p>
        </w:tc>
        <w:tc>
          <w:tcPr>
            <w:tcW w:w="992" w:type="dxa"/>
            <w:shd w:val="clear" w:color="auto" w:fill="EFFFE9"/>
          </w:tcPr>
          <w:p w14:paraId="5CF91A36"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2, 5</w:t>
            </w:r>
          </w:p>
        </w:tc>
        <w:tc>
          <w:tcPr>
            <w:tcW w:w="993" w:type="dxa"/>
            <w:shd w:val="clear" w:color="auto" w:fill="EFFFE9"/>
          </w:tcPr>
          <w:p w14:paraId="5B6F64CE"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shd w:val="clear" w:color="auto" w:fill="EFFFE9"/>
          </w:tcPr>
          <w:p w14:paraId="5B7B0ED9" w14:textId="34015B3F"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MEDLINE, EMBASE, CINAHL, CENTRAL, Google Scholar </w:t>
            </w:r>
          </w:p>
        </w:tc>
        <w:tc>
          <w:tcPr>
            <w:tcW w:w="709" w:type="dxa"/>
            <w:shd w:val="clear" w:color="auto" w:fill="EFFFE9"/>
          </w:tcPr>
          <w:p w14:paraId="1AF576C6" w14:textId="33165F32"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Nov 2017</w:t>
            </w:r>
          </w:p>
        </w:tc>
        <w:tc>
          <w:tcPr>
            <w:tcW w:w="992" w:type="dxa"/>
            <w:shd w:val="clear" w:color="auto" w:fill="EFFFE9"/>
          </w:tcPr>
          <w:p w14:paraId="55DA3889"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1990 through November 2017; English</w:t>
            </w:r>
          </w:p>
        </w:tc>
        <w:tc>
          <w:tcPr>
            <w:tcW w:w="992" w:type="dxa"/>
            <w:shd w:val="clear" w:color="auto" w:fill="EFFFE9"/>
          </w:tcPr>
          <w:p w14:paraId="2FB7B8DC" w14:textId="5BC666CD"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shd w:val="clear" w:color="auto" w:fill="EFFFE9"/>
          </w:tcPr>
          <w:p w14:paraId="363BA8A3" w14:textId="68771AFB"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shd w:val="clear" w:color="auto" w:fill="EFFFE9"/>
          </w:tcPr>
          <w:p w14:paraId="29C15174" w14:textId="73CD614A"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No reported conflicts of interest.</w:t>
            </w:r>
          </w:p>
        </w:tc>
        <w:tc>
          <w:tcPr>
            <w:tcW w:w="1559" w:type="dxa"/>
            <w:shd w:val="clear" w:color="auto" w:fill="EFFFE9"/>
          </w:tcPr>
          <w:p w14:paraId="785E999E"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There are no funders to report for this submission.</w:t>
            </w:r>
          </w:p>
        </w:tc>
      </w:tr>
      <w:tr w:rsidR="002F0C5A" w:rsidRPr="00D518FF" w14:paraId="5A0E3EFE" w14:textId="77777777" w:rsidTr="00A6108F">
        <w:trPr>
          <w:trHeight w:val="646"/>
        </w:trPr>
        <w:tc>
          <w:tcPr>
            <w:tcW w:w="846" w:type="dxa"/>
          </w:tcPr>
          <w:p w14:paraId="66CABD6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Fatahi 2022</w:t>
            </w:r>
          </w:p>
        </w:tc>
        <w:tc>
          <w:tcPr>
            <w:tcW w:w="1134" w:type="dxa"/>
          </w:tcPr>
          <w:p w14:paraId="0AD246C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3FF333DD" w14:textId="0691209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investigate the overall effects of probiotic supplementation in reducing abdominal pain in paediatric patients with IBS</w:t>
            </w:r>
          </w:p>
        </w:tc>
        <w:tc>
          <w:tcPr>
            <w:tcW w:w="850" w:type="dxa"/>
          </w:tcPr>
          <w:p w14:paraId="701975C1" w14:textId="33C0A3EA"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1BC77077" w14:textId="3C1E7716"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2</w:t>
            </w:r>
          </w:p>
        </w:tc>
        <w:tc>
          <w:tcPr>
            <w:tcW w:w="993" w:type="dxa"/>
          </w:tcPr>
          <w:p w14:paraId="4D3248B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tcPr>
          <w:p w14:paraId="1D1D6DC1" w14:textId="7C4EDCC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Scopus, Embase, </w:t>
            </w:r>
            <w:r w:rsidR="004622EE" w:rsidRPr="00D518FF">
              <w:rPr>
                <w:sz w:val="16"/>
                <w:szCs w:val="16"/>
              </w:rPr>
              <w:t>PubMed</w:t>
            </w:r>
            <w:r w:rsidRPr="00D518FF">
              <w:rPr>
                <w:sz w:val="16"/>
                <w:szCs w:val="16"/>
              </w:rPr>
              <w:t>, Web of Science, Cochrane library</w:t>
            </w:r>
          </w:p>
        </w:tc>
        <w:tc>
          <w:tcPr>
            <w:tcW w:w="709" w:type="dxa"/>
          </w:tcPr>
          <w:p w14:paraId="0D083898" w14:textId="787983EE"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Apr</w:t>
            </w:r>
            <w:r w:rsidR="003D1BA0" w:rsidRPr="00D518FF">
              <w:rPr>
                <w:sz w:val="16"/>
                <w:szCs w:val="16"/>
              </w:rPr>
              <w:t xml:space="preserve"> 20</w:t>
            </w:r>
            <w:r w:rsidRPr="00D518FF">
              <w:rPr>
                <w:sz w:val="16"/>
                <w:szCs w:val="16"/>
              </w:rPr>
              <w:t>21</w:t>
            </w:r>
          </w:p>
        </w:tc>
        <w:tc>
          <w:tcPr>
            <w:tcW w:w="992" w:type="dxa"/>
          </w:tcPr>
          <w:p w14:paraId="0F6FCA88"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tcPr>
          <w:p w14:paraId="4EB9766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3C014E8D" w14:textId="585CE7D4"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192F42F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 of the authors had any personal or financial conflicts of interest.</w:t>
            </w:r>
          </w:p>
        </w:tc>
        <w:tc>
          <w:tcPr>
            <w:tcW w:w="1559" w:type="dxa"/>
          </w:tcPr>
          <w:p w14:paraId="45293CC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 of the authors had any personal or financial conflicts of interest.</w:t>
            </w:r>
          </w:p>
        </w:tc>
      </w:tr>
      <w:tr w:rsidR="002F0C5A" w:rsidRPr="00D518FF" w14:paraId="5D4AD989" w14:textId="77777777" w:rsidTr="00A6108F">
        <w:trPr>
          <w:trHeight w:val="646"/>
        </w:trPr>
        <w:tc>
          <w:tcPr>
            <w:tcW w:w="846" w:type="dxa"/>
          </w:tcPr>
          <w:p w14:paraId="6F936AC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Ford 2014</w:t>
            </w:r>
          </w:p>
        </w:tc>
        <w:tc>
          <w:tcPr>
            <w:tcW w:w="1134" w:type="dxa"/>
          </w:tcPr>
          <w:p w14:paraId="0574C36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6B789E7B" w14:textId="239F0B5A" w:rsidR="002F0C5A" w:rsidRPr="00D518FF" w:rsidRDefault="00F274FE" w:rsidP="00CF6071">
            <w:pPr>
              <w:pStyle w:val="2024TABLETEXT"/>
              <w:framePr w:hSpace="0" w:wrap="auto" w:vAnchor="margin" w:yAlign="inline"/>
              <w:spacing w:line="240" w:lineRule="auto"/>
              <w:suppressOverlap w:val="0"/>
              <w:rPr>
                <w:sz w:val="16"/>
                <w:szCs w:val="16"/>
              </w:rPr>
            </w:pPr>
            <w:r>
              <w:rPr>
                <w:sz w:val="16"/>
                <w:szCs w:val="16"/>
              </w:rPr>
              <w:t>T</w:t>
            </w:r>
            <w:r w:rsidR="002F0C5A" w:rsidRPr="00D518FF">
              <w:rPr>
                <w:sz w:val="16"/>
                <w:szCs w:val="16"/>
              </w:rPr>
              <w:t>o examine the efficacy of prebiotics, probiotics, and synbiotics in IBS and CIC.</w:t>
            </w:r>
          </w:p>
        </w:tc>
        <w:tc>
          <w:tcPr>
            <w:tcW w:w="850" w:type="dxa"/>
          </w:tcPr>
          <w:p w14:paraId="0D64B5A5" w14:textId="0CF73564"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6B993010"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w:t>
            </w:r>
          </w:p>
        </w:tc>
        <w:tc>
          <w:tcPr>
            <w:tcW w:w="993" w:type="dxa"/>
          </w:tcPr>
          <w:p w14:paraId="6ED5CDB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1B41177C" w14:textId="6E89923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MEDLINE, EMBASE</w:t>
            </w:r>
            <w:r w:rsidR="003D1BA0" w:rsidRPr="00D518FF">
              <w:rPr>
                <w:sz w:val="16"/>
                <w:szCs w:val="16"/>
              </w:rPr>
              <w:t xml:space="preserve">, </w:t>
            </w:r>
            <w:r w:rsidR="000D5184" w:rsidRPr="00D518FF">
              <w:rPr>
                <w:sz w:val="16"/>
                <w:szCs w:val="16"/>
              </w:rPr>
              <w:t>CENTRAL</w:t>
            </w:r>
          </w:p>
        </w:tc>
        <w:tc>
          <w:tcPr>
            <w:tcW w:w="709" w:type="dxa"/>
          </w:tcPr>
          <w:p w14:paraId="2B2EA03A" w14:textId="2EBC2094"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Dec</w:t>
            </w:r>
            <w:r w:rsidR="003D1BA0" w:rsidRPr="00D518FF">
              <w:rPr>
                <w:sz w:val="16"/>
                <w:szCs w:val="16"/>
              </w:rPr>
              <w:t xml:space="preserve"> 20</w:t>
            </w:r>
            <w:r w:rsidRPr="00D518FF">
              <w:rPr>
                <w:sz w:val="16"/>
                <w:szCs w:val="16"/>
              </w:rPr>
              <w:t>13</w:t>
            </w:r>
          </w:p>
        </w:tc>
        <w:tc>
          <w:tcPr>
            <w:tcW w:w="992" w:type="dxa"/>
          </w:tcPr>
          <w:p w14:paraId="36C5A30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tcPr>
          <w:p w14:paraId="570CABE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1C2B544C" w14:textId="6A02EBD9"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454DB4D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1559" w:type="dxa"/>
          </w:tcPr>
          <w:p w14:paraId="5120402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This work was supported by American College of Gastroenterology.</w:t>
            </w:r>
          </w:p>
        </w:tc>
      </w:tr>
      <w:tr w:rsidR="002F0C5A" w:rsidRPr="00D518FF" w14:paraId="5C819B27" w14:textId="77777777" w:rsidTr="00A6108F">
        <w:trPr>
          <w:trHeight w:val="646"/>
        </w:trPr>
        <w:tc>
          <w:tcPr>
            <w:tcW w:w="846" w:type="dxa"/>
          </w:tcPr>
          <w:p w14:paraId="22C1B47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Horvath 2011</w:t>
            </w:r>
          </w:p>
        </w:tc>
        <w:tc>
          <w:tcPr>
            <w:tcW w:w="1134" w:type="dxa"/>
          </w:tcPr>
          <w:p w14:paraId="7C341C4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762CD53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evaluate systematically the effect of Lactobacillus rhamnosus GG (LGG) for treating abdominal pain-related functional gastrointestinal disorders in children.</w:t>
            </w:r>
          </w:p>
        </w:tc>
        <w:tc>
          <w:tcPr>
            <w:tcW w:w="850" w:type="dxa"/>
          </w:tcPr>
          <w:p w14:paraId="30FC4C2A" w14:textId="4C316617"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5A02AF1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2, </w:t>
            </w:r>
          </w:p>
        </w:tc>
        <w:tc>
          <w:tcPr>
            <w:tcW w:w="993" w:type="dxa"/>
          </w:tcPr>
          <w:p w14:paraId="3404CCC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373158BF" w14:textId="706F2EEE" w:rsidR="002F0C5A" w:rsidRPr="00D518FF" w:rsidRDefault="000D5184" w:rsidP="00CF6071">
            <w:pPr>
              <w:pStyle w:val="2024TABLETEXT"/>
              <w:framePr w:hSpace="0" w:wrap="auto" w:vAnchor="margin" w:yAlign="inline"/>
              <w:spacing w:line="240" w:lineRule="auto"/>
              <w:suppressOverlap w:val="0"/>
              <w:rPr>
                <w:sz w:val="16"/>
                <w:szCs w:val="16"/>
              </w:rPr>
            </w:pPr>
            <w:r w:rsidRPr="00D518FF">
              <w:rPr>
                <w:sz w:val="16"/>
                <w:szCs w:val="16"/>
              </w:rPr>
              <w:t>CENTRAL</w:t>
            </w:r>
            <w:r w:rsidR="002F0C5A" w:rsidRPr="00D518FF">
              <w:rPr>
                <w:sz w:val="16"/>
                <w:szCs w:val="16"/>
              </w:rPr>
              <w:t>, MEDLINE</w:t>
            </w:r>
            <w:r w:rsidR="003D1BA0" w:rsidRPr="00D518FF">
              <w:rPr>
                <w:sz w:val="16"/>
                <w:szCs w:val="16"/>
              </w:rPr>
              <w:t xml:space="preserve">, </w:t>
            </w:r>
            <w:r w:rsidR="002F0C5A" w:rsidRPr="00D518FF">
              <w:rPr>
                <w:sz w:val="16"/>
                <w:szCs w:val="16"/>
              </w:rPr>
              <w:t>EMBASE</w:t>
            </w:r>
          </w:p>
        </w:tc>
        <w:tc>
          <w:tcPr>
            <w:tcW w:w="709" w:type="dxa"/>
          </w:tcPr>
          <w:p w14:paraId="7B26586C" w14:textId="746865FB"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Dec</w:t>
            </w:r>
            <w:r w:rsidR="003D1BA0" w:rsidRPr="00D518FF">
              <w:rPr>
                <w:sz w:val="16"/>
                <w:szCs w:val="16"/>
              </w:rPr>
              <w:t xml:space="preserve"> 20</w:t>
            </w:r>
            <w:r w:rsidRPr="00D518FF">
              <w:rPr>
                <w:sz w:val="16"/>
                <w:szCs w:val="16"/>
              </w:rPr>
              <w:t>10</w:t>
            </w:r>
          </w:p>
        </w:tc>
        <w:tc>
          <w:tcPr>
            <w:tcW w:w="992" w:type="dxa"/>
          </w:tcPr>
          <w:p w14:paraId="091B1A8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tcPr>
          <w:p w14:paraId="6FD65BA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0D87EE7E" w14:textId="75193F32"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32D507CE" w14:textId="7D4BD696"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H.</w:t>
            </w:r>
            <w:r w:rsidRPr="00D518FF" w:rsidDel="00F274FE">
              <w:rPr>
                <w:sz w:val="16"/>
                <w:szCs w:val="16"/>
              </w:rPr>
              <w:t xml:space="preserve"> </w:t>
            </w:r>
            <w:r w:rsidRPr="00D518FF">
              <w:rPr>
                <w:sz w:val="16"/>
                <w:szCs w:val="16"/>
              </w:rPr>
              <w:t xml:space="preserve">Szajewska and A. Horvath served as speakers for Dicopharm, the manufacturer of Lactobacillus GG. </w:t>
            </w:r>
          </w:p>
        </w:tc>
        <w:tc>
          <w:tcPr>
            <w:tcW w:w="1559" w:type="dxa"/>
          </w:tcPr>
          <w:p w14:paraId="31992DD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This study was funded in full by The Medical University of Warsaw.</w:t>
            </w:r>
          </w:p>
        </w:tc>
      </w:tr>
      <w:tr w:rsidR="002F0C5A" w:rsidRPr="00D518FF" w14:paraId="441CFECF" w14:textId="77777777" w:rsidTr="00A6108F">
        <w:trPr>
          <w:trHeight w:val="646"/>
        </w:trPr>
        <w:tc>
          <w:tcPr>
            <w:tcW w:w="846" w:type="dxa"/>
          </w:tcPr>
          <w:p w14:paraId="732A0A8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1134" w:type="dxa"/>
          </w:tcPr>
          <w:p w14:paraId="2EE28AF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43FA59A2" w14:textId="60CB1FC1" w:rsidR="002F0C5A" w:rsidRPr="00D518FF" w:rsidRDefault="00552B91" w:rsidP="00CF6071">
            <w:pPr>
              <w:pStyle w:val="2024TABLETEXT"/>
              <w:framePr w:hSpace="0" w:wrap="auto" w:vAnchor="margin" w:yAlign="inline"/>
              <w:spacing w:line="240" w:lineRule="auto"/>
              <w:suppressOverlap w:val="0"/>
              <w:rPr>
                <w:sz w:val="16"/>
                <w:szCs w:val="16"/>
              </w:rPr>
            </w:pPr>
            <w:r>
              <w:rPr>
                <w:sz w:val="16"/>
                <w:szCs w:val="16"/>
              </w:rPr>
              <w:t>To</w:t>
            </w:r>
            <w:r w:rsidR="002F0C5A" w:rsidRPr="00D518FF">
              <w:rPr>
                <w:sz w:val="16"/>
                <w:szCs w:val="16"/>
              </w:rPr>
              <w:t xml:space="preserve"> evaluate the efficacy of probiotics in alleviating symptoms in patients with irritable bowel syndrome.</w:t>
            </w:r>
          </w:p>
        </w:tc>
        <w:tc>
          <w:tcPr>
            <w:tcW w:w="850" w:type="dxa"/>
          </w:tcPr>
          <w:p w14:paraId="764D7A42" w14:textId="414BE232"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1558311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1, 2, 3</w:t>
            </w:r>
          </w:p>
        </w:tc>
        <w:tc>
          <w:tcPr>
            <w:tcW w:w="993" w:type="dxa"/>
          </w:tcPr>
          <w:p w14:paraId="735FDD40" w14:textId="641D423F" w:rsidR="002F0C5A" w:rsidRPr="00D518FF" w:rsidRDefault="00A67174"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tcPr>
          <w:p w14:paraId="3FB7CC4C" w14:textId="3E2F28F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MEDLINE, EMBASE, </w:t>
            </w:r>
            <w:r w:rsidR="00027D07" w:rsidRPr="00D518FF">
              <w:rPr>
                <w:sz w:val="16"/>
                <w:szCs w:val="16"/>
              </w:rPr>
              <w:t>CINAHL</w:t>
            </w:r>
            <w:r w:rsidRPr="00D518FF">
              <w:rPr>
                <w:sz w:val="16"/>
                <w:szCs w:val="16"/>
              </w:rPr>
              <w:t>, AME</w:t>
            </w:r>
            <w:r w:rsidR="003D1BA0" w:rsidRPr="00D518FF">
              <w:rPr>
                <w:sz w:val="16"/>
                <w:szCs w:val="16"/>
              </w:rPr>
              <w:t>D</w:t>
            </w:r>
            <w:r w:rsidRPr="00D518FF">
              <w:rPr>
                <w:sz w:val="16"/>
                <w:szCs w:val="16"/>
              </w:rPr>
              <w:t>, Cochrane Library</w:t>
            </w:r>
          </w:p>
        </w:tc>
        <w:tc>
          <w:tcPr>
            <w:tcW w:w="709" w:type="dxa"/>
          </w:tcPr>
          <w:p w14:paraId="0925569B" w14:textId="3242BB2F"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Aug</w:t>
            </w:r>
            <w:r w:rsidR="003D1BA0" w:rsidRPr="00D518FF">
              <w:rPr>
                <w:sz w:val="16"/>
                <w:szCs w:val="16"/>
              </w:rPr>
              <w:t xml:space="preserve"> 20</w:t>
            </w:r>
            <w:r w:rsidRPr="00D518FF">
              <w:rPr>
                <w:sz w:val="16"/>
                <w:szCs w:val="16"/>
              </w:rPr>
              <w:t>07</w:t>
            </w:r>
          </w:p>
        </w:tc>
        <w:tc>
          <w:tcPr>
            <w:tcW w:w="992" w:type="dxa"/>
          </w:tcPr>
          <w:p w14:paraId="7878275C" w14:textId="1C0A3F8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A high sensitivity "therapy" (trials) filter was </w:t>
            </w:r>
            <w:r w:rsidRPr="00D518FF">
              <w:rPr>
                <w:sz w:val="16"/>
                <w:szCs w:val="16"/>
              </w:rPr>
              <w:lastRenderedPageBreak/>
              <w:t>applied to the EMBASE search.</w:t>
            </w:r>
          </w:p>
        </w:tc>
        <w:tc>
          <w:tcPr>
            <w:tcW w:w="992" w:type="dxa"/>
          </w:tcPr>
          <w:p w14:paraId="348AF75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lastRenderedPageBreak/>
              <w:t>NR</w:t>
            </w:r>
          </w:p>
        </w:tc>
        <w:tc>
          <w:tcPr>
            <w:tcW w:w="851" w:type="dxa"/>
          </w:tcPr>
          <w:p w14:paraId="523EEB37" w14:textId="739CF919"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52D2826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declare that they have no competing interests.</w:t>
            </w:r>
          </w:p>
        </w:tc>
        <w:tc>
          <w:tcPr>
            <w:tcW w:w="1559" w:type="dxa"/>
          </w:tcPr>
          <w:p w14:paraId="70E2B3E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 funding was sought or obtained for the conduct of this study.</w:t>
            </w:r>
          </w:p>
        </w:tc>
      </w:tr>
      <w:tr w:rsidR="002F0C5A" w:rsidRPr="00D518FF" w14:paraId="7EF80723" w14:textId="77777777" w:rsidTr="00A6108F">
        <w:trPr>
          <w:trHeight w:val="646"/>
        </w:trPr>
        <w:tc>
          <w:tcPr>
            <w:tcW w:w="846" w:type="dxa"/>
          </w:tcPr>
          <w:p w14:paraId="27682D2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Huertas-Ceballos 2009</w:t>
            </w:r>
          </w:p>
        </w:tc>
        <w:tc>
          <w:tcPr>
            <w:tcW w:w="1134" w:type="dxa"/>
          </w:tcPr>
          <w:p w14:paraId="6298345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w:t>
            </w:r>
          </w:p>
        </w:tc>
        <w:tc>
          <w:tcPr>
            <w:tcW w:w="1843" w:type="dxa"/>
          </w:tcPr>
          <w:p w14:paraId="041CAFE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examine the effectiveness of dietary interventions in school-age children with RAP.</w:t>
            </w:r>
          </w:p>
        </w:tc>
        <w:tc>
          <w:tcPr>
            <w:tcW w:w="850" w:type="dxa"/>
          </w:tcPr>
          <w:p w14:paraId="5B959AB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Random or quasi-random interventions</w:t>
            </w:r>
          </w:p>
        </w:tc>
        <w:tc>
          <w:tcPr>
            <w:tcW w:w="992" w:type="dxa"/>
          </w:tcPr>
          <w:p w14:paraId="155C6DB7"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w:t>
            </w:r>
          </w:p>
        </w:tc>
        <w:tc>
          <w:tcPr>
            <w:tcW w:w="993" w:type="dxa"/>
          </w:tcPr>
          <w:p w14:paraId="15E9D129"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9</w:t>
            </w:r>
          </w:p>
        </w:tc>
        <w:tc>
          <w:tcPr>
            <w:tcW w:w="1417" w:type="dxa"/>
          </w:tcPr>
          <w:p w14:paraId="4609D6E7" w14:textId="6A44E9C0" w:rsidR="002F0C5A" w:rsidRPr="00D518FF" w:rsidRDefault="00A67174" w:rsidP="00CF6071">
            <w:pPr>
              <w:pStyle w:val="2024TABLETEXT"/>
              <w:framePr w:hSpace="0" w:wrap="auto" w:vAnchor="margin" w:yAlign="inline"/>
              <w:spacing w:line="240" w:lineRule="auto"/>
              <w:suppressOverlap w:val="0"/>
              <w:rPr>
                <w:sz w:val="16"/>
                <w:szCs w:val="16"/>
              </w:rPr>
            </w:pPr>
            <w:r w:rsidRPr="00D518FF">
              <w:rPr>
                <w:sz w:val="16"/>
                <w:szCs w:val="16"/>
              </w:rPr>
              <w:t>CENTRAL,</w:t>
            </w:r>
            <w:r w:rsidR="003D1BA0" w:rsidRPr="00D518FF">
              <w:rPr>
                <w:sz w:val="16"/>
                <w:szCs w:val="16"/>
              </w:rPr>
              <w:t xml:space="preserve"> </w:t>
            </w:r>
            <w:r w:rsidR="002F0C5A" w:rsidRPr="00D518FF">
              <w:rPr>
                <w:sz w:val="16"/>
                <w:szCs w:val="16"/>
              </w:rPr>
              <w:t>MEDLINE</w:t>
            </w:r>
            <w:r w:rsidR="003D1BA0" w:rsidRPr="00D518FF">
              <w:rPr>
                <w:sz w:val="16"/>
                <w:szCs w:val="16"/>
              </w:rPr>
              <w:t xml:space="preserve">, </w:t>
            </w:r>
            <w:r w:rsidR="002F0C5A" w:rsidRPr="00D518FF">
              <w:rPr>
                <w:sz w:val="16"/>
                <w:szCs w:val="16"/>
              </w:rPr>
              <w:t>EMBASE</w:t>
            </w:r>
            <w:r w:rsidR="003D1BA0" w:rsidRPr="00D518FF">
              <w:rPr>
                <w:sz w:val="16"/>
                <w:szCs w:val="16"/>
              </w:rPr>
              <w:t xml:space="preserve">, </w:t>
            </w:r>
            <w:r w:rsidR="00027D07" w:rsidRPr="00D518FF">
              <w:rPr>
                <w:sz w:val="16"/>
                <w:szCs w:val="16"/>
              </w:rPr>
              <w:t>CINAHL</w:t>
            </w:r>
            <w:r w:rsidR="003D1BA0" w:rsidRPr="00D518FF">
              <w:rPr>
                <w:sz w:val="16"/>
                <w:szCs w:val="16"/>
              </w:rPr>
              <w:t>,</w:t>
            </w:r>
            <w:r w:rsidR="002F0C5A" w:rsidRPr="00D518FF">
              <w:rPr>
                <w:sz w:val="16"/>
                <w:szCs w:val="16"/>
              </w:rPr>
              <w:br/>
              <w:t>Eric</w:t>
            </w:r>
            <w:r w:rsidR="003D1BA0" w:rsidRPr="00D518FF">
              <w:rPr>
                <w:sz w:val="16"/>
                <w:szCs w:val="16"/>
              </w:rPr>
              <w:t xml:space="preserve">, </w:t>
            </w:r>
            <w:r w:rsidR="004622EE" w:rsidRPr="00D518FF">
              <w:rPr>
                <w:sz w:val="16"/>
                <w:szCs w:val="16"/>
              </w:rPr>
              <w:t>PsycINFO</w:t>
            </w:r>
            <w:r w:rsidR="003D1BA0" w:rsidRPr="00D518FF">
              <w:rPr>
                <w:sz w:val="16"/>
                <w:szCs w:val="16"/>
              </w:rPr>
              <w:t>,</w:t>
            </w:r>
            <w:r w:rsidR="002F0C5A" w:rsidRPr="00D518FF">
              <w:rPr>
                <w:sz w:val="16"/>
                <w:szCs w:val="16"/>
              </w:rPr>
              <w:t xml:space="preserve"> Lilacs</w:t>
            </w:r>
            <w:r w:rsidR="003D1BA0" w:rsidRPr="00D518FF">
              <w:rPr>
                <w:sz w:val="16"/>
                <w:szCs w:val="16"/>
              </w:rPr>
              <w:t>,</w:t>
            </w:r>
            <w:r w:rsidR="002F0C5A" w:rsidRPr="00D518FF">
              <w:rPr>
                <w:sz w:val="16"/>
                <w:szCs w:val="16"/>
              </w:rPr>
              <w:t xml:space="preserve"> SIGLE</w:t>
            </w:r>
            <w:r w:rsidR="003D1BA0" w:rsidRPr="00D518FF">
              <w:rPr>
                <w:sz w:val="16"/>
                <w:szCs w:val="16"/>
              </w:rPr>
              <w:t xml:space="preserve">, </w:t>
            </w:r>
            <w:r w:rsidR="002F0C5A" w:rsidRPr="00D518FF">
              <w:rPr>
                <w:sz w:val="16"/>
                <w:szCs w:val="16"/>
              </w:rPr>
              <w:t>JICST</w:t>
            </w:r>
          </w:p>
        </w:tc>
        <w:tc>
          <w:tcPr>
            <w:tcW w:w="709" w:type="dxa"/>
          </w:tcPr>
          <w:p w14:paraId="028640E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737571E0"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7B9E9DE7"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0F1C9D88" w14:textId="5AE40590"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57D43290"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 known.</w:t>
            </w:r>
          </w:p>
        </w:tc>
        <w:tc>
          <w:tcPr>
            <w:tcW w:w="1559" w:type="dxa"/>
          </w:tcPr>
          <w:p w14:paraId="02A4951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External sources: DOH Cochrane Review Incentive Scheme 2006, UK.</w:t>
            </w:r>
          </w:p>
        </w:tc>
      </w:tr>
      <w:tr w:rsidR="00B64B68" w:rsidRPr="00D518FF" w14:paraId="0A78824A" w14:textId="77777777" w:rsidTr="00A6108F">
        <w:trPr>
          <w:trHeight w:val="646"/>
        </w:trPr>
        <w:tc>
          <w:tcPr>
            <w:tcW w:w="846" w:type="dxa"/>
          </w:tcPr>
          <w:p w14:paraId="0C36D8FC"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Hungin 2018</w:t>
            </w:r>
          </w:p>
        </w:tc>
        <w:tc>
          <w:tcPr>
            <w:tcW w:w="1134" w:type="dxa"/>
          </w:tcPr>
          <w:p w14:paraId="2F2EEAFA"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w:t>
            </w:r>
          </w:p>
        </w:tc>
        <w:tc>
          <w:tcPr>
            <w:tcW w:w="1843" w:type="dxa"/>
          </w:tcPr>
          <w:p w14:paraId="35F951D6"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To give clinicians a practical reference guide on the role of specified probiotics in managing particular lower gastrointestinal symptoms/problems by means of a systematic review-based consensus.</w:t>
            </w:r>
          </w:p>
        </w:tc>
        <w:tc>
          <w:tcPr>
            <w:tcW w:w="850" w:type="dxa"/>
          </w:tcPr>
          <w:p w14:paraId="38C5507D" w14:textId="5E8226F3" w:rsidR="005D73E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5D73EA" w:rsidRPr="00D518FF">
              <w:rPr>
                <w:sz w:val="16"/>
                <w:szCs w:val="16"/>
              </w:rPr>
              <w:t>s</w:t>
            </w:r>
          </w:p>
        </w:tc>
        <w:tc>
          <w:tcPr>
            <w:tcW w:w="992" w:type="dxa"/>
          </w:tcPr>
          <w:p w14:paraId="04ADABC6"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1, 2, 3, 6</w:t>
            </w:r>
          </w:p>
        </w:tc>
        <w:tc>
          <w:tcPr>
            <w:tcW w:w="993" w:type="dxa"/>
          </w:tcPr>
          <w:p w14:paraId="15A36EAC"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2</w:t>
            </w:r>
          </w:p>
        </w:tc>
        <w:tc>
          <w:tcPr>
            <w:tcW w:w="1417" w:type="dxa"/>
          </w:tcPr>
          <w:p w14:paraId="39D9889D" w14:textId="70C863FB"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Embase, MEDLINE </w:t>
            </w:r>
          </w:p>
        </w:tc>
        <w:tc>
          <w:tcPr>
            <w:tcW w:w="709" w:type="dxa"/>
          </w:tcPr>
          <w:p w14:paraId="695AB77D" w14:textId="52B0905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Jun</w:t>
            </w:r>
            <w:r w:rsidR="00E04E9F" w:rsidRPr="00D518FF">
              <w:rPr>
                <w:sz w:val="16"/>
                <w:szCs w:val="16"/>
              </w:rPr>
              <w:t xml:space="preserve"> 20</w:t>
            </w:r>
            <w:r w:rsidRPr="00D518FF">
              <w:rPr>
                <w:sz w:val="16"/>
                <w:szCs w:val="16"/>
              </w:rPr>
              <w:t>17</w:t>
            </w:r>
          </w:p>
        </w:tc>
        <w:tc>
          <w:tcPr>
            <w:tcW w:w="992" w:type="dxa"/>
          </w:tcPr>
          <w:p w14:paraId="583E290D"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63B9AE1D" w14:textId="70B455E9"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Critical Appraisal Skills Programme (CASP) Checklist for </w:t>
            </w:r>
            <w:r w:rsidR="004622EE" w:rsidRPr="00D518FF">
              <w:rPr>
                <w:sz w:val="16"/>
                <w:szCs w:val="16"/>
              </w:rPr>
              <w:t>RCT</w:t>
            </w:r>
            <w:r w:rsidR="00631DE5" w:rsidRPr="00D518FF">
              <w:rPr>
                <w:sz w:val="16"/>
                <w:szCs w:val="16"/>
              </w:rPr>
              <w:t>s</w:t>
            </w:r>
          </w:p>
        </w:tc>
        <w:tc>
          <w:tcPr>
            <w:tcW w:w="851" w:type="dxa"/>
          </w:tcPr>
          <w:p w14:paraId="655978EE"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GRADE</w:t>
            </w:r>
          </w:p>
        </w:tc>
        <w:tc>
          <w:tcPr>
            <w:tcW w:w="1134" w:type="dxa"/>
          </w:tcPr>
          <w:p w14:paraId="34813FF8" w14:textId="1268FBAE"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APSH, LA, PF, CL, JM, BF, K-AW and NdW are committee members of the ESPCG. ASPH has received financial support for the literature review and consensus development activities from Danone, and medical writing assistance from Oxford PharmaGenesis Ltd funded by Danone, for the submitted study. APSH has served as a speaker, a consultant and an advisory board member for </w:t>
            </w:r>
            <w:r w:rsidRPr="00D518FF">
              <w:rPr>
                <w:sz w:val="16"/>
                <w:szCs w:val="16"/>
              </w:rPr>
              <w:lastRenderedPageBreak/>
              <w:t xml:space="preserve">Allergan, Danone and Reckitt Benckiser, and has received research funding from Reckitt Benckiser. APSH is an employee of Durham University and a committee member of the Rome Foundation for functional GI disorders. CRM is an employee of Oxford PharmaGenesis Ltd, which has received project funding from Danone (for the submit- ted study), Amgen, Ardelyx, AstraZeneca, Bayer, Endostim, Isofol Medical, Shionogi, Shire, Takeda, Zealand Pharma, the Canadian Association </w:t>
            </w:r>
            <w:r w:rsidRPr="00D518FF">
              <w:rPr>
                <w:sz w:val="16"/>
                <w:szCs w:val="16"/>
              </w:rPr>
              <w:lastRenderedPageBreak/>
              <w:t xml:space="preserve">of Gastroenterology, the University of Bologna and the University of Durham. PW has acted as a consultant for, or received research grant support from, the following pharmaceutical companies in the last 5 years: Almirall Pharma, Boehringer-Ingelheim, Chr. Hansen, Danone Research, Ironwood Pharmaceuticals, Salix, Shire UK, Sucampo Pharmaceuticals and Allergan. CM is a Director and shareholder of Beacon Medical Communications Ltd (Brighton, UK), which has received </w:t>
            </w:r>
            <w:r w:rsidRPr="00D518FF">
              <w:rPr>
                <w:sz w:val="16"/>
                <w:szCs w:val="16"/>
              </w:rPr>
              <w:lastRenderedPageBreak/>
              <w:t xml:space="preserve">project funding from Oxford PharmaGenesis Ltd. OC is an employee of Oxford PharmaGenesis Ltd, which has received pro- ject funding from Danone (for the submitted study). LA is an employee of the Karolinska Institutet, and stockowner in Praktikertj€anst AB. PF has no conflict of interest. CL has received funding for Development of Functional Food Products with Encapsulated Active Ingredients (national project) and payment for participation in advisory panels from APR-Ibuprofen, MSD, Vianex, UCB, Leo and </w:t>
            </w:r>
            <w:r w:rsidRPr="00D518FF">
              <w:rPr>
                <w:sz w:val="16"/>
                <w:szCs w:val="16"/>
              </w:rPr>
              <w:lastRenderedPageBreak/>
              <w:t xml:space="preserve">Janssen. CL also holds the following patents: “Compositions of botanical extracts and their use” and “A water olive extract with metabolic and </w:t>
            </w:r>
            <w:r w:rsidR="00B436E9" w:rsidRPr="00D518FF">
              <w:rPr>
                <w:sz w:val="16"/>
                <w:szCs w:val="16"/>
              </w:rPr>
              <w:t xml:space="preserve">cardioprotective </w:t>
            </w:r>
            <w:r w:rsidRPr="00D518FF">
              <w:rPr>
                <w:sz w:val="16"/>
                <w:szCs w:val="16"/>
              </w:rPr>
              <w:t xml:space="preserve">properties”. JM has no conflict of interest. J-MPdF served as consultant and speaker for Metagenics Europe (food supplement) until 1 January 2015. BS has no conflict of interest. CW is an employee of Oxford PharmaGenesis Ltd, which has received project funding from Danone (for the submitted study), has shares in Oxford </w:t>
            </w:r>
            <w:r w:rsidRPr="00D518FF">
              <w:rPr>
                <w:sz w:val="16"/>
                <w:szCs w:val="16"/>
              </w:rPr>
              <w:lastRenderedPageBreak/>
              <w:t>PharmaGenesis Holdings Ltd, and is Director of several Oxford PharmaGenesis companies and trustee of a charity. NdW’s institution has received a grant from the ESPCG for the submitted study.</w:t>
            </w:r>
          </w:p>
        </w:tc>
        <w:tc>
          <w:tcPr>
            <w:tcW w:w="1559" w:type="dxa"/>
          </w:tcPr>
          <w:p w14:paraId="5D7FCA15" w14:textId="0BFD0E43" w:rsidR="005D73EA" w:rsidRPr="00D518FF" w:rsidRDefault="00527990" w:rsidP="00CF6071">
            <w:pPr>
              <w:pStyle w:val="2024TABLETEXT"/>
              <w:framePr w:hSpace="0" w:wrap="auto" w:vAnchor="margin" w:yAlign="inline"/>
              <w:spacing w:line="240" w:lineRule="auto"/>
              <w:suppressOverlap w:val="0"/>
              <w:rPr>
                <w:sz w:val="16"/>
                <w:szCs w:val="16"/>
              </w:rPr>
            </w:pPr>
            <w:r>
              <w:rPr>
                <w:sz w:val="16"/>
                <w:szCs w:val="16"/>
              </w:rPr>
              <w:lastRenderedPageBreak/>
              <w:t>S</w:t>
            </w:r>
            <w:r w:rsidR="005D73EA" w:rsidRPr="00D518FF">
              <w:rPr>
                <w:sz w:val="16"/>
                <w:szCs w:val="16"/>
              </w:rPr>
              <w:t xml:space="preserve">upported and facilitated by the ESPCG, which received an unrestricted grant from Danone (Paris, France). At the request of the ESPCG, support for the consensus was provided by Dr Catherine Mitchell, Oliver Cole and Dr Chris Winchester (Research Evaluation Unit, Oxford PharmaGenesis Ltd, Oxford, UK). The systematic literature searches and initial title/abstract screening were conducted by Dr Catherine Mitchell (Oxford PharmaGenesis Ltd). Oxford PharmaGenesis Ltd received project funding from Danone. The funding body had no input into the </w:t>
            </w:r>
            <w:r w:rsidR="005D73EA" w:rsidRPr="00D518FF">
              <w:rPr>
                <w:sz w:val="16"/>
                <w:szCs w:val="16"/>
              </w:rPr>
              <w:lastRenderedPageBreak/>
              <w:t>screening or analysis of retrieved references, the con- tent or conduct of the workshop, the grading of the evidence, voting on the statements or the decision to submit the manuscript for publication.</w:t>
            </w:r>
            <w:r w:rsidR="005D73EA" w:rsidRPr="00D518FF">
              <w:rPr>
                <w:sz w:val="16"/>
                <w:szCs w:val="16"/>
              </w:rPr>
              <w:br/>
            </w:r>
          </w:p>
        </w:tc>
      </w:tr>
      <w:tr w:rsidR="00F60E69" w:rsidRPr="00D518FF" w14:paraId="5118CA41" w14:textId="77777777" w:rsidTr="00A6108F">
        <w:trPr>
          <w:trHeight w:val="646"/>
        </w:trPr>
        <w:tc>
          <w:tcPr>
            <w:tcW w:w="846" w:type="dxa"/>
          </w:tcPr>
          <w:p w14:paraId="4C2B119F"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lastRenderedPageBreak/>
              <w:t>Konstantis 2023</w:t>
            </w:r>
          </w:p>
        </w:tc>
        <w:tc>
          <w:tcPr>
            <w:tcW w:w="1134" w:type="dxa"/>
          </w:tcPr>
          <w:p w14:paraId="2B4FD834"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31261BC2" w14:textId="6EED41DD" w:rsidR="00F60E69" w:rsidRPr="00D518FF" w:rsidRDefault="00F274FE" w:rsidP="00CF6071">
            <w:pPr>
              <w:pStyle w:val="2024TABLETEXT"/>
              <w:framePr w:hSpace="0" w:wrap="auto" w:vAnchor="margin" w:yAlign="inline"/>
              <w:spacing w:line="240" w:lineRule="auto"/>
              <w:suppressOverlap w:val="0"/>
              <w:rPr>
                <w:sz w:val="16"/>
                <w:szCs w:val="16"/>
              </w:rPr>
            </w:pPr>
            <w:r>
              <w:rPr>
                <w:sz w:val="16"/>
                <w:szCs w:val="16"/>
              </w:rPr>
              <w:t>T</w:t>
            </w:r>
            <w:r w:rsidR="00F60E69" w:rsidRPr="00D518FF">
              <w:rPr>
                <w:sz w:val="16"/>
                <w:szCs w:val="16"/>
              </w:rPr>
              <w:t>he aim of this study was to systematically review available clinical data about the benefit of probiotics in IBS-patients, which were categorized solely using the Rome IV criteria</w:t>
            </w:r>
          </w:p>
        </w:tc>
        <w:tc>
          <w:tcPr>
            <w:tcW w:w="850" w:type="dxa"/>
          </w:tcPr>
          <w:p w14:paraId="1E03A54A" w14:textId="245B4D90"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RCTs</w:t>
            </w:r>
          </w:p>
        </w:tc>
        <w:tc>
          <w:tcPr>
            <w:tcW w:w="992" w:type="dxa"/>
          </w:tcPr>
          <w:p w14:paraId="0CE8CA1F"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1,2, 3</w:t>
            </w:r>
          </w:p>
        </w:tc>
        <w:tc>
          <w:tcPr>
            <w:tcW w:w="993" w:type="dxa"/>
          </w:tcPr>
          <w:p w14:paraId="599ED09E"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3CB61092" w14:textId="020BAF62"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MEDLINE, Scopus, Cochrane</w:t>
            </w:r>
          </w:p>
        </w:tc>
        <w:tc>
          <w:tcPr>
            <w:tcW w:w="709" w:type="dxa"/>
          </w:tcPr>
          <w:p w14:paraId="2FA67C58" w14:textId="1553F87A"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Jan 2023</w:t>
            </w:r>
          </w:p>
        </w:tc>
        <w:tc>
          <w:tcPr>
            <w:tcW w:w="992" w:type="dxa"/>
          </w:tcPr>
          <w:p w14:paraId="20FD0480" w14:textId="79E6D196"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No time or language restrictions.</w:t>
            </w:r>
          </w:p>
        </w:tc>
        <w:tc>
          <w:tcPr>
            <w:tcW w:w="992" w:type="dxa"/>
          </w:tcPr>
          <w:p w14:paraId="25A275BF" w14:textId="1FF78275"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648BF2A8" w14:textId="656D9C2A"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67E901CD"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None declared</w:t>
            </w:r>
          </w:p>
        </w:tc>
        <w:tc>
          <w:tcPr>
            <w:tcW w:w="1559" w:type="dxa"/>
          </w:tcPr>
          <w:p w14:paraId="70F70F74"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None declared</w:t>
            </w:r>
          </w:p>
        </w:tc>
      </w:tr>
      <w:tr w:rsidR="00F60E69" w:rsidRPr="00D518FF" w14:paraId="2240EA52" w14:textId="77777777" w:rsidTr="00A6108F">
        <w:trPr>
          <w:trHeight w:val="646"/>
        </w:trPr>
        <w:tc>
          <w:tcPr>
            <w:tcW w:w="846" w:type="dxa"/>
          </w:tcPr>
          <w:p w14:paraId="3F13F5DB"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Korterink 2014</w:t>
            </w:r>
          </w:p>
        </w:tc>
        <w:tc>
          <w:tcPr>
            <w:tcW w:w="1134" w:type="dxa"/>
          </w:tcPr>
          <w:p w14:paraId="7BCBAF04"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50063233"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To evaluate the effect of different probiotic strains in the treatment of abdominal pain- and defecation-related FGID.</w:t>
            </w:r>
          </w:p>
        </w:tc>
        <w:tc>
          <w:tcPr>
            <w:tcW w:w="850" w:type="dxa"/>
          </w:tcPr>
          <w:p w14:paraId="18C0B136" w14:textId="769F954C"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RCTs</w:t>
            </w:r>
          </w:p>
        </w:tc>
        <w:tc>
          <w:tcPr>
            <w:tcW w:w="992" w:type="dxa"/>
          </w:tcPr>
          <w:p w14:paraId="335B2090"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2, 6, 7</w:t>
            </w:r>
          </w:p>
        </w:tc>
        <w:tc>
          <w:tcPr>
            <w:tcW w:w="993" w:type="dxa"/>
          </w:tcPr>
          <w:p w14:paraId="49FCF3C7"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4</w:t>
            </w:r>
          </w:p>
        </w:tc>
        <w:tc>
          <w:tcPr>
            <w:tcW w:w="1417" w:type="dxa"/>
          </w:tcPr>
          <w:p w14:paraId="0820ED5E" w14:textId="51702ACD"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CENTRAL, MEDLINE, EMBASE, CINAHL</w:t>
            </w:r>
          </w:p>
        </w:tc>
        <w:tc>
          <w:tcPr>
            <w:tcW w:w="709" w:type="dxa"/>
          </w:tcPr>
          <w:p w14:paraId="723EDAFB" w14:textId="5726DA14"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Jun 2013</w:t>
            </w:r>
          </w:p>
        </w:tc>
        <w:tc>
          <w:tcPr>
            <w:tcW w:w="992" w:type="dxa"/>
          </w:tcPr>
          <w:p w14:paraId="7063B2FC"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3BD66BA7" w14:textId="43C0758C"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2BECB41F" w14:textId="3E761E75"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32C6C38F"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559" w:type="dxa"/>
          </w:tcPr>
          <w:p w14:paraId="0E490491"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r>
      <w:tr w:rsidR="00A6108F" w:rsidRPr="00D518FF" w14:paraId="616D726A" w14:textId="77777777" w:rsidTr="00A6108F">
        <w:trPr>
          <w:trHeight w:val="646"/>
        </w:trPr>
        <w:tc>
          <w:tcPr>
            <w:tcW w:w="846" w:type="dxa"/>
            <w:shd w:val="clear" w:color="auto" w:fill="EFFFE9"/>
          </w:tcPr>
          <w:p w14:paraId="2F6A15BF"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Le Morvan 2021</w:t>
            </w:r>
          </w:p>
        </w:tc>
        <w:tc>
          <w:tcPr>
            <w:tcW w:w="1134" w:type="dxa"/>
            <w:shd w:val="clear" w:color="auto" w:fill="EFFFE9"/>
          </w:tcPr>
          <w:p w14:paraId="13D0FE95"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shd w:val="clear" w:color="auto" w:fill="EFFFE9"/>
          </w:tcPr>
          <w:p w14:paraId="53C34476" w14:textId="505EB205" w:rsidR="00F60E69" w:rsidRPr="00D518FF" w:rsidRDefault="00F274FE" w:rsidP="00CF6071">
            <w:pPr>
              <w:pStyle w:val="2024TABLETEXT"/>
              <w:framePr w:hSpace="0" w:wrap="auto" w:vAnchor="margin" w:yAlign="inline"/>
              <w:spacing w:line="240" w:lineRule="auto"/>
              <w:suppressOverlap w:val="0"/>
              <w:rPr>
                <w:sz w:val="16"/>
                <w:szCs w:val="16"/>
              </w:rPr>
            </w:pPr>
            <w:r w:rsidRPr="00D518FF">
              <w:rPr>
                <w:sz w:val="16"/>
                <w:szCs w:val="16"/>
              </w:rPr>
              <w:t xml:space="preserve">Providing </w:t>
            </w:r>
            <w:r w:rsidR="00F60E69" w:rsidRPr="00D518FF">
              <w:rPr>
                <w:sz w:val="16"/>
                <w:szCs w:val="16"/>
              </w:rPr>
              <w:t xml:space="preserve">a synthesis of the evidence regarding the effect of probiotics and paraprobiotics on </w:t>
            </w:r>
            <w:r>
              <w:rPr>
                <w:sz w:val="16"/>
                <w:szCs w:val="16"/>
              </w:rPr>
              <w:t>quality of life</w:t>
            </w:r>
            <w:r w:rsidR="00F60E69" w:rsidRPr="00D518FF">
              <w:rPr>
                <w:sz w:val="16"/>
                <w:szCs w:val="16"/>
              </w:rPr>
              <w:t xml:space="preserve">, psychiatric symptoms (anxiety and depression) and central functions—the latter defined as neurophysiological parameters measured, </w:t>
            </w:r>
            <w:r w:rsidR="00F60E69" w:rsidRPr="00D518FF">
              <w:rPr>
                <w:sz w:val="16"/>
                <w:szCs w:val="16"/>
              </w:rPr>
              <w:lastRenderedPageBreak/>
              <w:t>e.g., functional magnetic resonance imaging (</w:t>
            </w:r>
            <w:r w:rsidRPr="00D518FF">
              <w:rPr>
                <w:sz w:val="16"/>
                <w:szCs w:val="16"/>
              </w:rPr>
              <w:t>fmri</w:t>
            </w:r>
            <w:r w:rsidR="00F60E69" w:rsidRPr="00D518FF">
              <w:rPr>
                <w:sz w:val="16"/>
                <w:szCs w:val="16"/>
              </w:rPr>
              <w:t>)—in patients with IBS.</w:t>
            </w:r>
          </w:p>
        </w:tc>
        <w:tc>
          <w:tcPr>
            <w:tcW w:w="850" w:type="dxa"/>
            <w:shd w:val="clear" w:color="auto" w:fill="EFFFE9"/>
          </w:tcPr>
          <w:p w14:paraId="052654C3" w14:textId="30BF1478"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lastRenderedPageBreak/>
              <w:t>RCTs</w:t>
            </w:r>
          </w:p>
        </w:tc>
        <w:tc>
          <w:tcPr>
            <w:tcW w:w="992" w:type="dxa"/>
            <w:shd w:val="clear" w:color="auto" w:fill="EFFFE9"/>
          </w:tcPr>
          <w:p w14:paraId="2A8E73EA"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3, </w:t>
            </w:r>
          </w:p>
        </w:tc>
        <w:tc>
          <w:tcPr>
            <w:tcW w:w="993" w:type="dxa"/>
            <w:shd w:val="clear" w:color="auto" w:fill="EFFFE9"/>
          </w:tcPr>
          <w:p w14:paraId="36019EE4"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shd w:val="clear" w:color="auto" w:fill="EFFFE9"/>
          </w:tcPr>
          <w:p w14:paraId="77396438" w14:textId="088928C8"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PubMed, Web of Science, Cochrane Library </w:t>
            </w:r>
          </w:p>
        </w:tc>
        <w:tc>
          <w:tcPr>
            <w:tcW w:w="709" w:type="dxa"/>
            <w:shd w:val="clear" w:color="auto" w:fill="EFFFE9"/>
          </w:tcPr>
          <w:p w14:paraId="6FC6BEEA" w14:textId="10EE2945"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Apr 2021</w:t>
            </w:r>
          </w:p>
        </w:tc>
        <w:tc>
          <w:tcPr>
            <w:tcW w:w="992" w:type="dxa"/>
            <w:shd w:val="clear" w:color="auto" w:fill="EFFFE9"/>
          </w:tcPr>
          <w:p w14:paraId="3696F98A"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shd w:val="clear" w:color="auto" w:fill="EFFFE9"/>
          </w:tcPr>
          <w:p w14:paraId="58EFF793" w14:textId="0DC2D896"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shd w:val="clear" w:color="auto" w:fill="EFFFE9"/>
          </w:tcPr>
          <w:p w14:paraId="08F9B772" w14:textId="1887AA29"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shd w:val="clear" w:color="auto" w:fill="EFFFE9"/>
          </w:tcPr>
          <w:p w14:paraId="6EFF393F" w14:textId="1AA46D4F"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t xml:space="preserve">The authors C.L.M.d.S., S.E.C., M.K. and I.M. declare no conflict of interest. P.E. is a consultant of Alimentary Health, Aptiny, Arena, </w:t>
            </w:r>
            <w:r w:rsidRPr="00D518FF">
              <w:rPr>
                <w:sz w:val="16"/>
                <w:szCs w:val="16"/>
              </w:rPr>
              <w:lastRenderedPageBreak/>
              <w:t>Cemet, Indigo, SymbioPharm, and 4DPharma. He is also in the speaker boards of Alimentary Health, Biocodex, Biogen, Indigo, MDC, Medice, Merz, and Sanofi. The funders had no role in the design of the study; in the collection, analyses or interpretation of data; in the writing of the manuscript or in the decision to publish the results</w:t>
            </w:r>
          </w:p>
        </w:tc>
        <w:tc>
          <w:tcPr>
            <w:tcW w:w="1559" w:type="dxa"/>
            <w:shd w:val="clear" w:color="auto" w:fill="EFFFE9"/>
          </w:tcPr>
          <w:p w14:paraId="504425DD" w14:textId="77777777" w:rsidR="00F60E69" w:rsidRPr="00D518FF" w:rsidRDefault="00F60E69" w:rsidP="00CF6071">
            <w:pPr>
              <w:pStyle w:val="2024TABLETEXT"/>
              <w:framePr w:hSpace="0" w:wrap="auto" w:vAnchor="margin" w:yAlign="inline"/>
              <w:spacing w:line="240" w:lineRule="auto"/>
              <w:suppressOverlap w:val="0"/>
              <w:rPr>
                <w:sz w:val="16"/>
                <w:szCs w:val="16"/>
              </w:rPr>
            </w:pPr>
            <w:r w:rsidRPr="00D518FF">
              <w:rPr>
                <w:sz w:val="16"/>
                <w:szCs w:val="16"/>
              </w:rPr>
              <w:lastRenderedPageBreak/>
              <w:t>I.M. received a grant from the Ministry of Science at Baden-Württemberg and the European Social Fund.</w:t>
            </w:r>
          </w:p>
        </w:tc>
      </w:tr>
      <w:tr w:rsidR="00A6108F" w:rsidRPr="00D518FF" w14:paraId="259017DF" w14:textId="77777777" w:rsidTr="00A6108F">
        <w:trPr>
          <w:trHeight w:val="646"/>
        </w:trPr>
        <w:tc>
          <w:tcPr>
            <w:tcW w:w="846" w:type="dxa"/>
            <w:shd w:val="clear" w:color="auto" w:fill="EFFFE9"/>
          </w:tcPr>
          <w:p w14:paraId="3ECB324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Li 2020</w:t>
            </w:r>
          </w:p>
        </w:tc>
        <w:tc>
          <w:tcPr>
            <w:tcW w:w="1134" w:type="dxa"/>
            <w:shd w:val="clear" w:color="auto" w:fill="EFFFE9"/>
          </w:tcPr>
          <w:p w14:paraId="1454017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shd w:val="clear" w:color="auto" w:fill="EFFFE9"/>
          </w:tcPr>
          <w:p w14:paraId="75C8225D" w14:textId="04B3D80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To examine the efficacy of global IBS symptoms improvement, global symptoms scores, and individual symptom scores, such as abdominal pain and bloating. </w:t>
            </w:r>
          </w:p>
        </w:tc>
        <w:tc>
          <w:tcPr>
            <w:tcW w:w="850" w:type="dxa"/>
            <w:shd w:val="clear" w:color="auto" w:fill="EFFFE9"/>
          </w:tcPr>
          <w:p w14:paraId="19DB5395" w14:textId="4AD97E98"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shd w:val="clear" w:color="auto" w:fill="EFFFE9"/>
          </w:tcPr>
          <w:p w14:paraId="0E22301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w:t>
            </w:r>
          </w:p>
        </w:tc>
        <w:tc>
          <w:tcPr>
            <w:tcW w:w="993" w:type="dxa"/>
            <w:shd w:val="clear" w:color="auto" w:fill="EFFFE9"/>
          </w:tcPr>
          <w:p w14:paraId="509C3F6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shd w:val="clear" w:color="auto" w:fill="EFFFE9"/>
          </w:tcPr>
          <w:p w14:paraId="1538D964" w14:textId="16D49B6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Medline, Embase, </w:t>
            </w:r>
            <w:r w:rsidR="00A67174" w:rsidRPr="00D518FF">
              <w:rPr>
                <w:sz w:val="16"/>
                <w:szCs w:val="16"/>
              </w:rPr>
              <w:t>CENTRAL</w:t>
            </w:r>
            <w:r w:rsidRPr="00D518FF">
              <w:rPr>
                <w:sz w:val="16"/>
                <w:szCs w:val="16"/>
              </w:rPr>
              <w:t>, ClinicalTrials.gov trials register, Chinese Biomedical Literature Database</w:t>
            </w:r>
          </w:p>
        </w:tc>
        <w:tc>
          <w:tcPr>
            <w:tcW w:w="709" w:type="dxa"/>
            <w:shd w:val="clear" w:color="auto" w:fill="EFFFE9"/>
          </w:tcPr>
          <w:p w14:paraId="40F880AF" w14:textId="755B62D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Jan</w:t>
            </w:r>
            <w:r w:rsidR="00E04E9F" w:rsidRPr="00D518FF">
              <w:rPr>
                <w:sz w:val="16"/>
                <w:szCs w:val="16"/>
              </w:rPr>
              <w:t xml:space="preserve"> 20</w:t>
            </w:r>
            <w:r w:rsidRPr="00D518FF">
              <w:rPr>
                <w:sz w:val="16"/>
                <w:szCs w:val="16"/>
              </w:rPr>
              <w:t>19</w:t>
            </w:r>
          </w:p>
        </w:tc>
        <w:tc>
          <w:tcPr>
            <w:tcW w:w="992" w:type="dxa"/>
            <w:shd w:val="clear" w:color="auto" w:fill="EFFFE9"/>
          </w:tcPr>
          <w:p w14:paraId="186D8BA0"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shd w:val="clear" w:color="auto" w:fill="EFFFE9"/>
          </w:tcPr>
          <w:p w14:paraId="3D9228A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shd w:val="clear" w:color="auto" w:fill="EFFFE9"/>
          </w:tcPr>
          <w:p w14:paraId="2B2D8879" w14:textId="0071248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shd w:val="clear" w:color="auto" w:fill="EFFFE9"/>
          </w:tcPr>
          <w:p w14:paraId="0CD9579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declare that the research was conducted in the absence of any commercial or financial relationships that could be construed as a potential conflict of interest.</w:t>
            </w:r>
          </w:p>
        </w:tc>
        <w:tc>
          <w:tcPr>
            <w:tcW w:w="1559" w:type="dxa"/>
            <w:shd w:val="clear" w:color="auto" w:fill="EFFFE9"/>
          </w:tcPr>
          <w:p w14:paraId="0901CFD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This research was supported by the Youth Foundation of 960th Hospital of the PLA with a unique identifier of 2017QN03.</w:t>
            </w:r>
          </w:p>
        </w:tc>
      </w:tr>
      <w:tr w:rsidR="002F0C5A" w:rsidRPr="00D518FF" w14:paraId="4FCEBAEB" w14:textId="77777777" w:rsidTr="00A6108F">
        <w:trPr>
          <w:trHeight w:val="646"/>
        </w:trPr>
        <w:tc>
          <w:tcPr>
            <w:tcW w:w="846" w:type="dxa"/>
          </w:tcPr>
          <w:p w14:paraId="23F07D89"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lastRenderedPageBreak/>
              <w:t>Liang 2019</w:t>
            </w:r>
          </w:p>
        </w:tc>
        <w:tc>
          <w:tcPr>
            <w:tcW w:w="1134" w:type="dxa"/>
          </w:tcPr>
          <w:p w14:paraId="5C0CBB19"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Network meta analysis</w:t>
            </w:r>
          </w:p>
        </w:tc>
        <w:tc>
          <w:tcPr>
            <w:tcW w:w="1843" w:type="dxa"/>
          </w:tcPr>
          <w:p w14:paraId="6F728F1D" w14:textId="20C3178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differentiate the reasonable protocols by assessing the efficacy and safety through the combined way of traditional and network meta-analysis.</w:t>
            </w:r>
          </w:p>
        </w:tc>
        <w:tc>
          <w:tcPr>
            <w:tcW w:w="850" w:type="dxa"/>
          </w:tcPr>
          <w:p w14:paraId="18E92DFE" w14:textId="194620E9"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449636A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w:t>
            </w:r>
          </w:p>
        </w:tc>
        <w:tc>
          <w:tcPr>
            <w:tcW w:w="993" w:type="dxa"/>
          </w:tcPr>
          <w:p w14:paraId="51BC56A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tcPr>
          <w:p w14:paraId="4155FDCB" w14:textId="4DEC8FF3"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xml:space="preserve">, Medline, EMBASE, Web Of Science, </w:t>
            </w:r>
            <w:r w:rsidR="00A67174" w:rsidRPr="00D518FF">
              <w:rPr>
                <w:sz w:val="16"/>
                <w:szCs w:val="16"/>
              </w:rPr>
              <w:t>CENTRAL</w:t>
            </w:r>
            <w:r w:rsidR="002F0C5A" w:rsidRPr="00D518FF">
              <w:rPr>
                <w:sz w:val="16"/>
                <w:szCs w:val="16"/>
              </w:rPr>
              <w:t xml:space="preserve"> </w:t>
            </w:r>
          </w:p>
        </w:tc>
        <w:tc>
          <w:tcPr>
            <w:tcW w:w="709" w:type="dxa"/>
          </w:tcPr>
          <w:p w14:paraId="1AF63183" w14:textId="1337501C" w:rsidR="002F0C5A" w:rsidRPr="00D518FF" w:rsidRDefault="004A4C3C" w:rsidP="00CF6071">
            <w:pPr>
              <w:pStyle w:val="2024TABLETEXT"/>
              <w:framePr w:hSpace="0" w:wrap="auto" w:vAnchor="margin" w:yAlign="inline"/>
              <w:spacing w:line="240" w:lineRule="auto"/>
              <w:suppressOverlap w:val="0"/>
              <w:rPr>
                <w:sz w:val="16"/>
                <w:szCs w:val="16"/>
              </w:rPr>
            </w:pPr>
            <w:r>
              <w:rPr>
                <w:sz w:val="16"/>
              </w:rPr>
              <w:t>April 2019</w:t>
            </w:r>
          </w:p>
        </w:tc>
        <w:tc>
          <w:tcPr>
            <w:tcW w:w="992" w:type="dxa"/>
          </w:tcPr>
          <w:p w14:paraId="71D61D1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January 2006 to April 2019</w:t>
            </w:r>
          </w:p>
        </w:tc>
        <w:tc>
          <w:tcPr>
            <w:tcW w:w="992" w:type="dxa"/>
          </w:tcPr>
          <w:p w14:paraId="3E28006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1FA38C71" w14:textId="257E0171"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604F808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report no conflicts of interest</w:t>
            </w:r>
          </w:p>
        </w:tc>
        <w:tc>
          <w:tcPr>
            <w:tcW w:w="1559" w:type="dxa"/>
          </w:tcPr>
          <w:p w14:paraId="65036F39"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r>
      <w:tr w:rsidR="002F0C5A" w:rsidRPr="00D518FF" w14:paraId="0D236B96" w14:textId="77777777" w:rsidTr="00A6108F">
        <w:trPr>
          <w:trHeight w:val="646"/>
        </w:trPr>
        <w:tc>
          <w:tcPr>
            <w:tcW w:w="846" w:type="dxa"/>
          </w:tcPr>
          <w:p w14:paraId="48E5A1B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McFarland 2008</w:t>
            </w:r>
          </w:p>
        </w:tc>
        <w:tc>
          <w:tcPr>
            <w:tcW w:w="1134" w:type="dxa"/>
          </w:tcPr>
          <w:p w14:paraId="2C79A2E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Meta-analysis</w:t>
            </w:r>
          </w:p>
        </w:tc>
        <w:tc>
          <w:tcPr>
            <w:tcW w:w="1843" w:type="dxa"/>
          </w:tcPr>
          <w:p w14:paraId="516A4A75" w14:textId="38F7DAEE"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determine the overall efficacy of probiotics for IBS by comparing a common outcome in treated patients with a control group.</w:t>
            </w:r>
          </w:p>
        </w:tc>
        <w:tc>
          <w:tcPr>
            <w:tcW w:w="850" w:type="dxa"/>
          </w:tcPr>
          <w:p w14:paraId="75B75799" w14:textId="0A4A5F65"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15A87468"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w:t>
            </w:r>
          </w:p>
        </w:tc>
        <w:tc>
          <w:tcPr>
            <w:tcW w:w="993" w:type="dxa"/>
          </w:tcPr>
          <w:p w14:paraId="7A867BF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6</w:t>
            </w:r>
          </w:p>
        </w:tc>
        <w:tc>
          <w:tcPr>
            <w:tcW w:w="1417" w:type="dxa"/>
          </w:tcPr>
          <w:p w14:paraId="144DB54E" w14:textId="075B4B0D"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xml:space="preserve">, Medline, Google Scholar, </w:t>
            </w:r>
            <w:r w:rsidR="00A67174" w:rsidRPr="00D518FF">
              <w:rPr>
                <w:sz w:val="16"/>
                <w:szCs w:val="16"/>
              </w:rPr>
              <w:t>CENTRAL</w:t>
            </w:r>
            <w:r w:rsidR="002F0C5A" w:rsidRPr="00D518FF">
              <w:rPr>
                <w:sz w:val="16"/>
                <w:szCs w:val="16"/>
              </w:rPr>
              <w:t xml:space="preserve">, metaRegister of Controlled Trials, National Institutes of Health </w:t>
            </w:r>
          </w:p>
        </w:tc>
        <w:tc>
          <w:tcPr>
            <w:tcW w:w="709" w:type="dxa"/>
          </w:tcPr>
          <w:p w14:paraId="0431224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2007</w:t>
            </w:r>
          </w:p>
        </w:tc>
        <w:tc>
          <w:tcPr>
            <w:tcW w:w="992" w:type="dxa"/>
          </w:tcPr>
          <w:p w14:paraId="6BFC55A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1982-2007</w:t>
            </w:r>
          </w:p>
        </w:tc>
        <w:tc>
          <w:tcPr>
            <w:tcW w:w="992" w:type="dxa"/>
          </w:tcPr>
          <w:p w14:paraId="4A6DF3E7"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Linde Internal Validity Scale (LIVS)</w:t>
            </w:r>
          </w:p>
        </w:tc>
        <w:tc>
          <w:tcPr>
            <w:tcW w:w="851" w:type="dxa"/>
          </w:tcPr>
          <w:p w14:paraId="7732CCD7" w14:textId="11070AEF"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72E951D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559" w:type="dxa"/>
          </w:tcPr>
          <w:p w14:paraId="7BF550A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r>
      <w:tr w:rsidR="002F0C5A" w:rsidRPr="00D518FF" w14:paraId="3553E38D" w14:textId="77777777" w:rsidTr="00A6108F">
        <w:trPr>
          <w:trHeight w:val="646"/>
        </w:trPr>
        <w:tc>
          <w:tcPr>
            <w:tcW w:w="846" w:type="dxa"/>
          </w:tcPr>
          <w:p w14:paraId="22E3226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McFarland 2021</w:t>
            </w:r>
          </w:p>
        </w:tc>
        <w:tc>
          <w:tcPr>
            <w:tcW w:w="1134" w:type="dxa"/>
          </w:tcPr>
          <w:p w14:paraId="7EAB72C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125F2053" w14:textId="2E36D49E"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determine which probiotic strains are safe and effective for the treatment of IBS, accounting for both strain-specificity and based on probiotics with at least one confirmatory trial.</w:t>
            </w:r>
          </w:p>
        </w:tc>
        <w:tc>
          <w:tcPr>
            <w:tcW w:w="850" w:type="dxa"/>
          </w:tcPr>
          <w:p w14:paraId="6667D682" w14:textId="73A6B65A"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389D289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1, 2, 3</w:t>
            </w:r>
          </w:p>
        </w:tc>
        <w:tc>
          <w:tcPr>
            <w:tcW w:w="993" w:type="dxa"/>
          </w:tcPr>
          <w:p w14:paraId="002A3FB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6FDBC8D7" w14:textId="545AE92B"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Google Scholar</w:t>
            </w:r>
            <w:r w:rsidR="003D1BA0" w:rsidRPr="00D518FF">
              <w:rPr>
                <w:sz w:val="16"/>
                <w:szCs w:val="16"/>
              </w:rPr>
              <w:t xml:space="preserve">, </w:t>
            </w:r>
            <w:r w:rsidR="002F0C5A" w:rsidRPr="00D518FF">
              <w:rPr>
                <w:sz w:val="16"/>
                <w:szCs w:val="16"/>
              </w:rPr>
              <w:t xml:space="preserve">NIH registry of clinical trials </w:t>
            </w:r>
          </w:p>
        </w:tc>
        <w:tc>
          <w:tcPr>
            <w:tcW w:w="709" w:type="dxa"/>
          </w:tcPr>
          <w:p w14:paraId="5DB4CD20"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7C2E37C9"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This review is an update from a prior meta-analysis of pro- biotics for IBS, but includes trials and recommendations published in the subsequent 13 years</w:t>
            </w:r>
          </w:p>
        </w:tc>
        <w:tc>
          <w:tcPr>
            <w:tcW w:w="992" w:type="dxa"/>
          </w:tcPr>
          <w:p w14:paraId="141F213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0949225B" w14:textId="3650289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55B7B07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LVM is on the Scientific Advisory Board of Bio-K+ (Bio-K+, a Kerry company) and on the Biocodex Microbiome Board (Biocodex, France) and has received honoraria from Bio-K+ and Biocodex. TK and AK declared no conflicts of interest.</w:t>
            </w:r>
          </w:p>
        </w:tc>
        <w:tc>
          <w:tcPr>
            <w:tcW w:w="1559" w:type="dxa"/>
          </w:tcPr>
          <w:p w14:paraId="02F96993" w14:textId="5C857AD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This study was un-funded. All authors had access to the dataset and decided to submit for publication. This study did not require ethical approval.</w:t>
            </w:r>
          </w:p>
        </w:tc>
      </w:tr>
      <w:tr w:rsidR="002F0C5A" w:rsidRPr="00D518FF" w14:paraId="32D66003" w14:textId="77777777" w:rsidTr="00A6108F">
        <w:trPr>
          <w:trHeight w:val="646"/>
        </w:trPr>
        <w:tc>
          <w:tcPr>
            <w:tcW w:w="846" w:type="dxa"/>
          </w:tcPr>
          <w:p w14:paraId="6E4D661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Moayyedi 2010</w:t>
            </w:r>
          </w:p>
        </w:tc>
        <w:tc>
          <w:tcPr>
            <w:tcW w:w="1134" w:type="dxa"/>
          </w:tcPr>
          <w:p w14:paraId="2A51CD2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Systematic review</w:t>
            </w:r>
          </w:p>
        </w:tc>
        <w:tc>
          <w:tcPr>
            <w:tcW w:w="1843" w:type="dxa"/>
          </w:tcPr>
          <w:p w14:paraId="1F39354E" w14:textId="5CA54F7B"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evaluate the impact of probiotics on IBS and to explore potential reasons for heterogeneity in study findings.</w:t>
            </w:r>
          </w:p>
        </w:tc>
        <w:tc>
          <w:tcPr>
            <w:tcW w:w="850" w:type="dxa"/>
          </w:tcPr>
          <w:p w14:paraId="70BEB1C6" w14:textId="0AE4447C"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5EB6DAD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w:t>
            </w:r>
          </w:p>
        </w:tc>
        <w:tc>
          <w:tcPr>
            <w:tcW w:w="993" w:type="dxa"/>
          </w:tcPr>
          <w:p w14:paraId="27F71359"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4CAE069D" w14:textId="6188EAD1"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MEDLINE, EMBASE, Cochrane Controlled Trials Register</w:t>
            </w:r>
          </w:p>
        </w:tc>
        <w:tc>
          <w:tcPr>
            <w:tcW w:w="709" w:type="dxa"/>
          </w:tcPr>
          <w:p w14:paraId="4B40813D" w14:textId="4C08F8A5" w:rsidR="00DB10BB" w:rsidRPr="00D177D2" w:rsidRDefault="006161DE" w:rsidP="00CF6071">
            <w:pPr>
              <w:pStyle w:val="2024TABLETEXT"/>
              <w:framePr w:hSpace="0" w:wrap="auto" w:vAnchor="margin" w:yAlign="inline"/>
              <w:spacing w:line="240" w:lineRule="auto"/>
              <w:suppressOverlap w:val="0"/>
              <w:rPr>
                <w:sz w:val="16"/>
                <w:szCs w:val="16"/>
              </w:rPr>
            </w:pPr>
            <w:r w:rsidRPr="00D177D2">
              <w:rPr>
                <w:sz w:val="16"/>
                <w:szCs w:val="16"/>
              </w:rPr>
              <w:t>Dec 2013</w:t>
            </w:r>
          </w:p>
        </w:tc>
        <w:tc>
          <w:tcPr>
            <w:tcW w:w="992" w:type="dxa"/>
          </w:tcPr>
          <w:p w14:paraId="04AAD097"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Nil</w:t>
            </w:r>
          </w:p>
        </w:tc>
        <w:tc>
          <w:tcPr>
            <w:tcW w:w="992" w:type="dxa"/>
          </w:tcPr>
          <w:p w14:paraId="2810D2A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Jadad scale</w:t>
            </w:r>
          </w:p>
        </w:tc>
        <w:tc>
          <w:tcPr>
            <w:tcW w:w="851" w:type="dxa"/>
          </w:tcPr>
          <w:p w14:paraId="286E0113" w14:textId="4ED6D4F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1F2BF66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Declared (the declaration can be viewed on the Gut website at http://www.g</w:t>
            </w:r>
            <w:r w:rsidRPr="00D518FF">
              <w:rPr>
                <w:sz w:val="16"/>
                <w:szCs w:val="16"/>
              </w:rPr>
              <w:lastRenderedPageBreak/>
              <w:t>ut.bmj.com/supplemental).</w:t>
            </w:r>
          </w:p>
        </w:tc>
        <w:tc>
          <w:tcPr>
            <w:tcW w:w="1559" w:type="dxa"/>
          </w:tcPr>
          <w:p w14:paraId="74992968"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lastRenderedPageBreak/>
              <w:t>This study was supported by funding from the American College of Gastroenterology</w:t>
            </w:r>
          </w:p>
        </w:tc>
      </w:tr>
      <w:tr w:rsidR="002F0C5A" w:rsidRPr="00D518FF" w14:paraId="519B3A66" w14:textId="77777777" w:rsidTr="00A6108F">
        <w:trPr>
          <w:trHeight w:val="646"/>
        </w:trPr>
        <w:tc>
          <w:tcPr>
            <w:tcW w:w="846" w:type="dxa"/>
          </w:tcPr>
          <w:p w14:paraId="652E15D9"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Nikfar 2008</w:t>
            </w:r>
          </w:p>
        </w:tc>
        <w:tc>
          <w:tcPr>
            <w:tcW w:w="1134" w:type="dxa"/>
          </w:tcPr>
          <w:p w14:paraId="34091FF7"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Meta-analysis</w:t>
            </w:r>
          </w:p>
        </w:tc>
        <w:tc>
          <w:tcPr>
            <w:tcW w:w="1843" w:type="dxa"/>
          </w:tcPr>
          <w:p w14:paraId="5D1C236A" w14:textId="406D7B45"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evaluate whether probiotics improve symptoms in patients with irritable bowel syndrome.</w:t>
            </w:r>
          </w:p>
        </w:tc>
        <w:tc>
          <w:tcPr>
            <w:tcW w:w="850" w:type="dxa"/>
          </w:tcPr>
          <w:p w14:paraId="1B878DCD" w14:textId="6B140168"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3A57A15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w:t>
            </w:r>
          </w:p>
        </w:tc>
        <w:tc>
          <w:tcPr>
            <w:tcW w:w="993" w:type="dxa"/>
          </w:tcPr>
          <w:p w14:paraId="4ED5D628"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tcPr>
          <w:p w14:paraId="7C859BE9" w14:textId="3EB00058"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xml:space="preserve">, Embase, Scopus, Web of Science, </w:t>
            </w:r>
            <w:r w:rsidR="00A67174" w:rsidRPr="00D518FF">
              <w:rPr>
                <w:sz w:val="16"/>
                <w:szCs w:val="16"/>
              </w:rPr>
              <w:t>CENTRAL</w:t>
            </w:r>
            <w:r w:rsidR="002F0C5A" w:rsidRPr="00D518FF">
              <w:rPr>
                <w:sz w:val="16"/>
                <w:szCs w:val="16"/>
              </w:rPr>
              <w:t xml:space="preserve"> </w:t>
            </w:r>
          </w:p>
        </w:tc>
        <w:tc>
          <w:tcPr>
            <w:tcW w:w="709" w:type="dxa"/>
          </w:tcPr>
          <w:p w14:paraId="2CBB429D" w14:textId="010A1520"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Sep</w:t>
            </w:r>
            <w:r w:rsidR="00DB10BB" w:rsidRPr="00D518FF">
              <w:rPr>
                <w:sz w:val="16"/>
                <w:szCs w:val="16"/>
              </w:rPr>
              <w:t xml:space="preserve"> 20</w:t>
            </w:r>
            <w:r w:rsidRPr="00D518FF">
              <w:rPr>
                <w:sz w:val="16"/>
                <w:szCs w:val="16"/>
              </w:rPr>
              <w:t>07</w:t>
            </w:r>
          </w:p>
        </w:tc>
        <w:tc>
          <w:tcPr>
            <w:tcW w:w="992" w:type="dxa"/>
          </w:tcPr>
          <w:p w14:paraId="26F75C60"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Nil</w:t>
            </w:r>
          </w:p>
        </w:tc>
        <w:tc>
          <w:tcPr>
            <w:tcW w:w="992" w:type="dxa"/>
          </w:tcPr>
          <w:p w14:paraId="7A9F927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Jadad score</w:t>
            </w:r>
          </w:p>
        </w:tc>
        <w:tc>
          <w:tcPr>
            <w:tcW w:w="851" w:type="dxa"/>
          </w:tcPr>
          <w:p w14:paraId="56C28C90" w14:textId="7C5E949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0097461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559" w:type="dxa"/>
          </w:tcPr>
          <w:p w14:paraId="466952D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r>
      <w:tr w:rsidR="002F0C5A" w:rsidRPr="00D518FF" w14:paraId="4526DA31" w14:textId="77777777" w:rsidTr="00A6108F">
        <w:trPr>
          <w:trHeight w:val="646"/>
        </w:trPr>
        <w:tc>
          <w:tcPr>
            <w:tcW w:w="846" w:type="dxa"/>
          </w:tcPr>
          <w:p w14:paraId="4B1C46E0"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Niu 2020</w:t>
            </w:r>
          </w:p>
        </w:tc>
        <w:tc>
          <w:tcPr>
            <w:tcW w:w="1134" w:type="dxa"/>
          </w:tcPr>
          <w:p w14:paraId="16D7E7D4"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73E56B6E" w14:textId="709F0148"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evaluate the efficacy and safety of probiotics in patients with IBS.</w:t>
            </w:r>
          </w:p>
        </w:tc>
        <w:tc>
          <w:tcPr>
            <w:tcW w:w="850" w:type="dxa"/>
          </w:tcPr>
          <w:p w14:paraId="43575CBD" w14:textId="48ABC4BA"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098D8938"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w:t>
            </w:r>
          </w:p>
        </w:tc>
        <w:tc>
          <w:tcPr>
            <w:tcW w:w="993" w:type="dxa"/>
          </w:tcPr>
          <w:p w14:paraId="15D5D28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4</w:t>
            </w:r>
          </w:p>
        </w:tc>
        <w:tc>
          <w:tcPr>
            <w:tcW w:w="1417" w:type="dxa"/>
          </w:tcPr>
          <w:p w14:paraId="46FB67AE" w14:textId="04C787BA"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Cochrane Library, </w:t>
            </w:r>
            <w:r w:rsidR="004622EE" w:rsidRPr="00D518FF">
              <w:rPr>
                <w:sz w:val="16"/>
                <w:szCs w:val="16"/>
              </w:rPr>
              <w:t>PubMed</w:t>
            </w:r>
            <w:r w:rsidRPr="00D518FF">
              <w:rPr>
                <w:sz w:val="16"/>
                <w:szCs w:val="16"/>
              </w:rPr>
              <w:t>, EMBASE, Web of Science</w:t>
            </w:r>
          </w:p>
        </w:tc>
        <w:tc>
          <w:tcPr>
            <w:tcW w:w="709" w:type="dxa"/>
          </w:tcPr>
          <w:p w14:paraId="35C54CBD" w14:textId="7AD9285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Apr</w:t>
            </w:r>
            <w:r w:rsidR="00DB10BB" w:rsidRPr="00D518FF">
              <w:rPr>
                <w:sz w:val="16"/>
                <w:szCs w:val="16"/>
              </w:rPr>
              <w:t xml:space="preserve"> 20</w:t>
            </w:r>
            <w:r w:rsidRPr="00D518FF">
              <w:rPr>
                <w:sz w:val="16"/>
                <w:szCs w:val="16"/>
              </w:rPr>
              <w:t>19</w:t>
            </w:r>
          </w:p>
        </w:tc>
        <w:tc>
          <w:tcPr>
            <w:tcW w:w="992" w:type="dxa"/>
          </w:tcPr>
          <w:p w14:paraId="6D1DAFE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26F2D298"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Jadad scale</w:t>
            </w:r>
          </w:p>
        </w:tc>
        <w:tc>
          <w:tcPr>
            <w:tcW w:w="851" w:type="dxa"/>
          </w:tcPr>
          <w:p w14:paraId="4C85CD3C" w14:textId="49A32CA1"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441F6398"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declare no relevant conflict of interest.</w:t>
            </w:r>
          </w:p>
        </w:tc>
        <w:tc>
          <w:tcPr>
            <w:tcW w:w="1559" w:type="dxa"/>
          </w:tcPr>
          <w:p w14:paraId="033C8E2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There is no funding for this work.</w:t>
            </w:r>
          </w:p>
        </w:tc>
      </w:tr>
      <w:tr w:rsidR="002F0C5A" w:rsidRPr="00D518FF" w14:paraId="3F926794" w14:textId="77777777" w:rsidTr="00A6108F">
        <w:trPr>
          <w:trHeight w:val="646"/>
        </w:trPr>
        <w:tc>
          <w:tcPr>
            <w:tcW w:w="846" w:type="dxa"/>
          </w:tcPr>
          <w:p w14:paraId="7E8D6A1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Ortiz-Lucas 2013</w:t>
            </w:r>
          </w:p>
        </w:tc>
        <w:tc>
          <w:tcPr>
            <w:tcW w:w="1134" w:type="dxa"/>
          </w:tcPr>
          <w:p w14:paraId="122BA82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Meta-analysis</w:t>
            </w:r>
          </w:p>
        </w:tc>
        <w:tc>
          <w:tcPr>
            <w:tcW w:w="1843" w:type="dxa"/>
          </w:tcPr>
          <w:p w14:paraId="2FDDE79C" w14:textId="2139A7A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assess the efficacy of some probiotic species in alleviating characteristic IBS symptoms</w:t>
            </w:r>
          </w:p>
        </w:tc>
        <w:tc>
          <w:tcPr>
            <w:tcW w:w="850" w:type="dxa"/>
          </w:tcPr>
          <w:p w14:paraId="6F0B1B8B" w14:textId="1D1CFBC5"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182C9577"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2, 3, 6, 7</w:t>
            </w:r>
          </w:p>
        </w:tc>
        <w:tc>
          <w:tcPr>
            <w:tcW w:w="993" w:type="dxa"/>
          </w:tcPr>
          <w:p w14:paraId="016EB45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0F098411" w14:textId="77ED88E4"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Cochrane Library, EMBASE</w:t>
            </w:r>
          </w:p>
        </w:tc>
        <w:tc>
          <w:tcPr>
            <w:tcW w:w="709" w:type="dxa"/>
          </w:tcPr>
          <w:p w14:paraId="7B1C2976" w14:textId="6EA97ECC" w:rsidR="002F0C5A" w:rsidRPr="00D518FF" w:rsidRDefault="00DB10BB" w:rsidP="00CF6071">
            <w:pPr>
              <w:pStyle w:val="2024TABLETEXT"/>
              <w:framePr w:hSpace="0" w:wrap="auto" w:vAnchor="margin" w:yAlign="inline"/>
              <w:spacing w:line="240" w:lineRule="auto"/>
              <w:suppressOverlap w:val="0"/>
              <w:rPr>
                <w:sz w:val="16"/>
                <w:szCs w:val="16"/>
              </w:rPr>
            </w:pPr>
            <w:r w:rsidRPr="00D518FF">
              <w:rPr>
                <w:sz w:val="16"/>
                <w:szCs w:val="16"/>
              </w:rPr>
              <w:t xml:space="preserve">Jan </w:t>
            </w:r>
            <w:r w:rsidR="002F0C5A" w:rsidRPr="00D518FF">
              <w:rPr>
                <w:sz w:val="16"/>
                <w:szCs w:val="16"/>
              </w:rPr>
              <w:t>2012</w:t>
            </w:r>
          </w:p>
        </w:tc>
        <w:tc>
          <w:tcPr>
            <w:tcW w:w="992" w:type="dxa"/>
          </w:tcPr>
          <w:p w14:paraId="026F7C6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English or Spanish</w:t>
            </w:r>
          </w:p>
        </w:tc>
        <w:tc>
          <w:tcPr>
            <w:tcW w:w="992" w:type="dxa"/>
          </w:tcPr>
          <w:p w14:paraId="0A05610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Jadad scale</w:t>
            </w:r>
          </w:p>
        </w:tc>
        <w:tc>
          <w:tcPr>
            <w:tcW w:w="851" w:type="dxa"/>
          </w:tcPr>
          <w:p w14:paraId="0B690872" w14:textId="12EFD2AA"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5775A3E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559" w:type="dxa"/>
          </w:tcPr>
          <w:p w14:paraId="571E46E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r>
      <w:tr w:rsidR="002F0C5A" w:rsidRPr="00D518FF" w14:paraId="6346175F" w14:textId="77777777" w:rsidTr="00A6108F">
        <w:trPr>
          <w:trHeight w:val="646"/>
        </w:trPr>
        <w:tc>
          <w:tcPr>
            <w:tcW w:w="846" w:type="dxa"/>
          </w:tcPr>
          <w:p w14:paraId="6E9C6EE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Pratt 2020</w:t>
            </w:r>
          </w:p>
        </w:tc>
        <w:tc>
          <w:tcPr>
            <w:tcW w:w="1134" w:type="dxa"/>
          </w:tcPr>
          <w:p w14:paraId="02589C5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Systematic review</w:t>
            </w:r>
          </w:p>
        </w:tc>
        <w:tc>
          <w:tcPr>
            <w:tcW w:w="1843" w:type="dxa"/>
          </w:tcPr>
          <w:p w14:paraId="1C71B302" w14:textId="74E34C62"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systematically review human studies in which the efficacy of Bifidobacteria supplementation had been examined as a treatment for abdominal pain in IBS.</w:t>
            </w:r>
          </w:p>
        </w:tc>
        <w:tc>
          <w:tcPr>
            <w:tcW w:w="850" w:type="dxa"/>
          </w:tcPr>
          <w:p w14:paraId="50ED1690" w14:textId="462A314E"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3287840E" w14:textId="77724E91"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2</w:t>
            </w:r>
          </w:p>
        </w:tc>
        <w:tc>
          <w:tcPr>
            <w:tcW w:w="993" w:type="dxa"/>
          </w:tcPr>
          <w:p w14:paraId="13E1DC9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5AD8359D" w14:textId="773D179E"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MEDLINE, EMBASE</w:t>
            </w:r>
            <w:r w:rsidR="009C617B" w:rsidRPr="00D518FF">
              <w:rPr>
                <w:sz w:val="16"/>
                <w:szCs w:val="16"/>
              </w:rPr>
              <w:t xml:space="preserve">, </w:t>
            </w:r>
            <w:r w:rsidRPr="00D518FF">
              <w:rPr>
                <w:sz w:val="16"/>
                <w:szCs w:val="16"/>
              </w:rPr>
              <w:t xml:space="preserve">Cochrane Controlled Trials Register </w:t>
            </w:r>
          </w:p>
        </w:tc>
        <w:tc>
          <w:tcPr>
            <w:tcW w:w="709" w:type="dxa"/>
          </w:tcPr>
          <w:p w14:paraId="338DC10C" w14:textId="7DC00DD8"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May</w:t>
            </w:r>
            <w:r w:rsidR="00DB10BB" w:rsidRPr="00D518FF">
              <w:rPr>
                <w:sz w:val="16"/>
                <w:szCs w:val="16"/>
              </w:rPr>
              <w:t xml:space="preserve"> 20</w:t>
            </w:r>
            <w:r w:rsidRPr="00D518FF">
              <w:rPr>
                <w:sz w:val="16"/>
                <w:szCs w:val="16"/>
              </w:rPr>
              <w:t>19</w:t>
            </w:r>
          </w:p>
        </w:tc>
        <w:tc>
          <w:tcPr>
            <w:tcW w:w="992" w:type="dxa"/>
          </w:tcPr>
          <w:p w14:paraId="6033AA3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tcPr>
          <w:p w14:paraId="39171844"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460AB953" w14:textId="3BA1F9D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24749014"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declare that they have no competing</w:t>
            </w:r>
          </w:p>
        </w:tc>
        <w:tc>
          <w:tcPr>
            <w:tcW w:w="1559" w:type="dxa"/>
          </w:tcPr>
          <w:p w14:paraId="26C80A7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This study was funded by the School of Food Science and Nutrition, University of Leeds.</w:t>
            </w:r>
          </w:p>
        </w:tc>
      </w:tr>
      <w:tr w:rsidR="002F0C5A" w:rsidRPr="00D518FF" w14:paraId="428720D8" w14:textId="77777777" w:rsidTr="00A6108F">
        <w:trPr>
          <w:trHeight w:val="646"/>
        </w:trPr>
        <w:tc>
          <w:tcPr>
            <w:tcW w:w="846" w:type="dxa"/>
          </w:tcPr>
          <w:p w14:paraId="12FB94C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Ritchie 2012</w:t>
            </w:r>
          </w:p>
        </w:tc>
        <w:tc>
          <w:tcPr>
            <w:tcW w:w="1134" w:type="dxa"/>
          </w:tcPr>
          <w:p w14:paraId="5887FE3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Meta-analysis</w:t>
            </w:r>
          </w:p>
        </w:tc>
        <w:tc>
          <w:tcPr>
            <w:tcW w:w="1843" w:type="dxa"/>
          </w:tcPr>
          <w:p w14:paraId="742FA4D2" w14:textId="58F2392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To: (i) determine the overall effect of probiotics on diseases of the gastrointestinal tract that have previously been shown to be affected by probiotics, (ii) determine whether certain diseases respond to probiotics more than others (iii) determine whether different species and species combinations differed in their overall effect size, and to (iv) determine whether </w:t>
            </w:r>
            <w:r w:rsidRPr="00D518FF">
              <w:rPr>
                <w:sz w:val="16"/>
                <w:szCs w:val="16"/>
              </w:rPr>
              <w:lastRenderedPageBreak/>
              <w:t>efficacy differs based on dosage, length of treatment, and age group.</w:t>
            </w:r>
          </w:p>
        </w:tc>
        <w:tc>
          <w:tcPr>
            <w:tcW w:w="850" w:type="dxa"/>
          </w:tcPr>
          <w:p w14:paraId="62D2F244" w14:textId="63207285"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lastRenderedPageBreak/>
              <w:t>RCT</w:t>
            </w:r>
            <w:r w:rsidR="002F0C5A" w:rsidRPr="00D518FF">
              <w:rPr>
                <w:sz w:val="16"/>
                <w:szCs w:val="16"/>
              </w:rPr>
              <w:t>s</w:t>
            </w:r>
          </w:p>
        </w:tc>
        <w:tc>
          <w:tcPr>
            <w:tcW w:w="992" w:type="dxa"/>
          </w:tcPr>
          <w:p w14:paraId="51A4FCC9" w14:textId="4BE004A4"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w:t>
            </w:r>
          </w:p>
        </w:tc>
        <w:tc>
          <w:tcPr>
            <w:tcW w:w="993" w:type="dxa"/>
          </w:tcPr>
          <w:p w14:paraId="41827BF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6</w:t>
            </w:r>
          </w:p>
        </w:tc>
        <w:tc>
          <w:tcPr>
            <w:tcW w:w="1417" w:type="dxa"/>
          </w:tcPr>
          <w:p w14:paraId="45D9ACFC" w14:textId="75203B03"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Medline, Google Scholar, Embase, Biological Abstracts, Science Direct</w:t>
            </w:r>
          </w:p>
        </w:tc>
        <w:tc>
          <w:tcPr>
            <w:tcW w:w="709" w:type="dxa"/>
          </w:tcPr>
          <w:p w14:paraId="4ACE109E" w14:textId="6C1ED414"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Jan</w:t>
            </w:r>
            <w:r w:rsidR="00DB10BB" w:rsidRPr="00D518FF">
              <w:rPr>
                <w:sz w:val="16"/>
                <w:szCs w:val="16"/>
              </w:rPr>
              <w:t xml:space="preserve"> 20</w:t>
            </w:r>
            <w:r w:rsidRPr="00D518FF">
              <w:rPr>
                <w:sz w:val="16"/>
                <w:szCs w:val="16"/>
              </w:rPr>
              <w:t>11</w:t>
            </w:r>
          </w:p>
        </w:tc>
        <w:tc>
          <w:tcPr>
            <w:tcW w:w="992" w:type="dxa"/>
          </w:tcPr>
          <w:p w14:paraId="5E606BC4"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tcPr>
          <w:p w14:paraId="34132D66" w14:textId="5B5C1EA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Jadad scale</w:t>
            </w:r>
          </w:p>
        </w:tc>
        <w:tc>
          <w:tcPr>
            <w:tcW w:w="851" w:type="dxa"/>
          </w:tcPr>
          <w:p w14:paraId="5EC16ACF" w14:textId="748627A4"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3D2B6F5A" w14:textId="781029C2"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have declared that no competing interests exist.</w:t>
            </w:r>
          </w:p>
        </w:tc>
        <w:tc>
          <w:tcPr>
            <w:tcW w:w="1559" w:type="dxa"/>
          </w:tcPr>
          <w:p w14:paraId="465B959A" w14:textId="06AEB5D8" w:rsidR="002F0C5A" w:rsidRPr="00D518FF" w:rsidRDefault="006418B8" w:rsidP="00CF6071">
            <w:pPr>
              <w:pStyle w:val="2024TABLETEXT"/>
              <w:framePr w:hSpace="0" w:wrap="auto" w:vAnchor="margin" w:yAlign="inline"/>
              <w:spacing w:line="240" w:lineRule="auto"/>
              <w:suppressOverlap w:val="0"/>
              <w:rPr>
                <w:sz w:val="16"/>
                <w:szCs w:val="16"/>
              </w:rPr>
            </w:pPr>
            <w:r>
              <w:rPr>
                <w:sz w:val="16"/>
                <w:szCs w:val="16"/>
              </w:rPr>
              <w:t>S</w:t>
            </w:r>
            <w:r w:rsidR="002F0C5A" w:rsidRPr="00D518FF">
              <w:rPr>
                <w:sz w:val="16"/>
                <w:szCs w:val="16"/>
              </w:rPr>
              <w:t>upported by a National Sciences and Engineering Research Council of Canada (NSERC) Discovery Grant to Tamara Romanuk. The funders had no role in study design, data collection and analysis, decision to publish, or preparation of the manuscript.</w:t>
            </w:r>
          </w:p>
        </w:tc>
      </w:tr>
      <w:tr w:rsidR="00B64B68" w:rsidRPr="00D518FF" w14:paraId="0DC6B828" w14:textId="77777777" w:rsidTr="00A6108F">
        <w:trPr>
          <w:trHeight w:val="646"/>
        </w:trPr>
        <w:tc>
          <w:tcPr>
            <w:tcW w:w="846" w:type="dxa"/>
          </w:tcPr>
          <w:p w14:paraId="5503C786"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Shang 2022</w:t>
            </w:r>
          </w:p>
        </w:tc>
        <w:tc>
          <w:tcPr>
            <w:tcW w:w="1134" w:type="dxa"/>
          </w:tcPr>
          <w:p w14:paraId="0D0A3D58"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5CE00E64" w14:textId="2367EAE0" w:rsidR="005D73EA" w:rsidRPr="00D518FF" w:rsidRDefault="00F274FE" w:rsidP="00CF6071">
            <w:pPr>
              <w:pStyle w:val="2024TABLETEXT"/>
              <w:framePr w:hSpace="0" w:wrap="auto" w:vAnchor="margin" w:yAlign="inline"/>
              <w:spacing w:line="240" w:lineRule="auto"/>
              <w:suppressOverlap w:val="0"/>
              <w:rPr>
                <w:sz w:val="16"/>
                <w:szCs w:val="16"/>
              </w:rPr>
            </w:pPr>
            <w:r>
              <w:rPr>
                <w:sz w:val="16"/>
                <w:szCs w:val="16"/>
              </w:rPr>
              <w:t>T</w:t>
            </w:r>
            <w:r w:rsidR="005D73EA" w:rsidRPr="00D518FF">
              <w:rPr>
                <w:sz w:val="16"/>
                <w:szCs w:val="16"/>
              </w:rPr>
              <w:t>o investigate the effectiveness and safety of probiotics in IBS-C patients</w:t>
            </w:r>
            <w:r>
              <w:rPr>
                <w:sz w:val="16"/>
                <w:szCs w:val="16"/>
              </w:rPr>
              <w:t>.</w:t>
            </w:r>
          </w:p>
        </w:tc>
        <w:tc>
          <w:tcPr>
            <w:tcW w:w="850" w:type="dxa"/>
          </w:tcPr>
          <w:p w14:paraId="1A94FFBA" w14:textId="2B90EBB8" w:rsidR="005D73E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5D73EA" w:rsidRPr="00D518FF">
              <w:rPr>
                <w:sz w:val="16"/>
                <w:szCs w:val="16"/>
              </w:rPr>
              <w:t>s</w:t>
            </w:r>
          </w:p>
        </w:tc>
        <w:tc>
          <w:tcPr>
            <w:tcW w:w="992" w:type="dxa"/>
          </w:tcPr>
          <w:p w14:paraId="61233D8A"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2, 3, 7</w:t>
            </w:r>
          </w:p>
        </w:tc>
        <w:tc>
          <w:tcPr>
            <w:tcW w:w="993" w:type="dxa"/>
          </w:tcPr>
          <w:p w14:paraId="1FFCAF1A"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tcPr>
          <w:p w14:paraId="3BD6355D" w14:textId="325AC67B" w:rsidR="005D73E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5D73EA" w:rsidRPr="00D518FF">
              <w:rPr>
                <w:sz w:val="16"/>
                <w:szCs w:val="16"/>
              </w:rPr>
              <w:t xml:space="preserve">, Embase, the Cochrane Library, Web of Science, China Biology Medicine (CBM) </w:t>
            </w:r>
          </w:p>
        </w:tc>
        <w:tc>
          <w:tcPr>
            <w:tcW w:w="709" w:type="dxa"/>
          </w:tcPr>
          <w:p w14:paraId="23C9FE1D" w14:textId="75BAEE8F"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Mar</w:t>
            </w:r>
            <w:r w:rsidR="00DB10BB" w:rsidRPr="00D518FF">
              <w:rPr>
                <w:sz w:val="16"/>
                <w:szCs w:val="16"/>
              </w:rPr>
              <w:t xml:space="preserve"> 20</w:t>
            </w:r>
            <w:r w:rsidRPr="00D518FF">
              <w:rPr>
                <w:sz w:val="16"/>
                <w:szCs w:val="16"/>
              </w:rPr>
              <w:t>22</w:t>
            </w:r>
          </w:p>
        </w:tc>
        <w:tc>
          <w:tcPr>
            <w:tcW w:w="992" w:type="dxa"/>
          </w:tcPr>
          <w:p w14:paraId="17266366"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36BFF0C2"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7C841EDC"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GRADE</w:t>
            </w:r>
          </w:p>
        </w:tc>
        <w:tc>
          <w:tcPr>
            <w:tcW w:w="1134" w:type="dxa"/>
          </w:tcPr>
          <w:p w14:paraId="73A0DCB3"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The authors declare no conflict of interest.</w:t>
            </w:r>
          </w:p>
        </w:tc>
        <w:tc>
          <w:tcPr>
            <w:tcW w:w="1559" w:type="dxa"/>
          </w:tcPr>
          <w:p w14:paraId="7D3FA5C0" w14:textId="5FCB2186" w:rsidR="005D73EA" w:rsidRPr="00D518FF" w:rsidRDefault="00A57D6E" w:rsidP="00CF6071">
            <w:pPr>
              <w:pStyle w:val="2024TABLETEXT"/>
              <w:framePr w:hSpace="0" w:wrap="auto" w:vAnchor="margin" w:yAlign="inline"/>
              <w:spacing w:line="240" w:lineRule="auto"/>
              <w:suppressOverlap w:val="0"/>
              <w:rPr>
                <w:sz w:val="16"/>
                <w:szCs w:val="16"/>
              </w:rPr>
            </w:pPr>
            <w:r>
              <w:rPr>
                <w:sz w:val="16"/>
                <w:szCs w:val="16"/>
              </w:rPr>
              <w:t>S</w:t>
            </w:r>
            <w:r w:rsidR="005D73EA" w:rsidRPr="00D518FF">
              <w:rPr>
                <w:sz w:val="16"/>
                <w:szCs w:val="16"/>
              </w:rPr>
              <w:t>upported by the National Natural Science Foundation of China (Project No. 72074103); the Gansu Special Project of Soft Science (20CX9ZA109); the Fundamental Research Funds for the Central Universities: lzujbky-2021-ct06, lzujbky-2021-kb22.</w:t>
            </w:r>
          </w:p>
        </w:tc>
      </w:tr>
      <w:tr w:rsidR="002F0C5A" w:rsidRPr="00D518FF" w14:paraId="1477A9BD" w14:textId="77777777" w:rsidTr="00A6108F">
        <w:trPr>
          <w:trHeight w:val="646"/>
        </w:trPr>
        <w:tc>
          <w:tcPr>
            <w:tcW w:w="846" w:type="dxa"/>
          </w:tcPr>
          <w:p w14:paraId="1B937E52"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Sun 2020</w:t>
            </w:r>
          </w:p>
        </w:tc>
        <w:tc>
          <w:tcPr>
            <w:tcW w:w="1134" w:type="dxa"/>
          </w:tcPr>
          <w:p w14:paraId="0461D494"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3824DB80" w14:textId="4F456B69"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identify the efficacy and safety of probiotics in the treatment of IBS.</w:t>
            </w:r>
          </w:p>
        </w:tc>
        <w:tc>
          <w:tcPr>
            <w:tcW w:w="850" w:type="dxa"/>
          </w:tcPr>
          <w:p w14:paraId="79059E01" w14:textId="7FE68D16"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678B8AC4"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1, 2, 3</w:t>
            </w:r>
          </w:p>
        </w:tc>
        <w:tc>
          <w:tcPr>
            <w:tcW w:w="993" w:type="dxa"/>
          </w:tcPr>
          <w:p w14:paraId="6F576B8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4</w:t>
            </w:r>
          </w:p>
        </w:tc>
        <w:tc>
          <w:tcPr>
            <w:tcW w:w="1417" w:type="dxa"/>
          </w:tcPr>
          <w:p w14:paraId="07C4EA38" w14:textId="1F5EE85A"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MEDLINE, CENTRAL, </w:t>
            </w:r>
            <w:r w:rsidR="00027D07" w:rsidRPr="00D518FF">
              <w:rPr>
                <w:sz w:val="16"/>
                <w:szCs w:val="16"/>
              </w:rPr>
              <w:t>CINAHL</w:t>
            </w:r>
            <w:r w:rsidRPr="00D518FF">
              <w:rPr>
                <w:sz w:val="16"/>
                <w:szCs w:val="16"/>
              </w:rPr>
              <w:t xml:space="preserve">, Embase </w:t>
            </w:r>
          </w:p>
        </w:tc>
        <w:tc>
          <w:tcPr>
            <w:tcW w:w="709" w:type="dxa"/>
          </w:tcPr>
          <w:p w14:paraId="285A2775" w14:textId="170476A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Feb</w:t>
            </w:r>
            <w:r w:rsidR="00DB10BB" w:rsidRPr="00D518FF">
              <w:rPr>
                <w:sz w:val="16"/>
                <w:szCs w:val="16"/>
              </w:rPr>
              <w:t xml:space="preserve"> 20</w:t>
            </w:r>
            <w:r w:rsidRPr="00D518FF">
              <w:rPr>
                <w:sz w:val="16"/>
                <w:szCs w:val="16"/>
              </w:rPr>
              <w:t>19</w:t>
            </w:r>
          </w:p>
        </w:tc>
        <w:tc>
          <w:tcPr>
            <w:tcW w:w="992" w:type="dxa"/>
          </w:tcPr>
          <w:p w14:paraId="25A8876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tcPr>
          <w:p w14:paraId="4D6024D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7C72D19A" w14:textId="41EA4935"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5BDFFE4D" w14:textId="08DC2221"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 commercial or associative interest that represents a conflict of interest in connection with the work submitted.</w:t>
            </w:r>
          </w:p>
        </w:tc>
        <w:tc>
          <w:tcPr>
            <w:tcW w:w="1559" w:type="dxa"/>
          </w:tcPr>
          <w:p w14:paraId="3B2BA577" w14:textId="35367FE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National Natural Science Foundation of China (NSFC) (NO.81573779)</w:t>
            </w:r>
          </w:p>
        </w:tc>
      </w:tr>
      <w:tr w:rsidR="00B64B68" w:rsidRPr="00D518FF" w14:paraId="3BE8354D" w14:textId="77777777" w:rsidTr="00A6108F">
        <w:trPr>
          <w:trHeight w:val="646"/>
        </w:trPr>
        <w:tc>
          <w:tcPr>
            <w:tcW w:w="846" w:type="dxa"/>
          </w:tcPr>
          <w:p w14:paraId="4DB77387"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Wang 2022</w:t>
            </w:r>
          </w:p>
        </w:tc>
        <w:tc>
          <w:tcPr>
            <w:tcW w:w="1134" w:type="dxa"/>
          </w:tcPr>
          <w:p w14:paraId="11D7E0E8"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21DBD61C" w14:textId="4420EB02" w:rsidR="005D73EA" w:rsidRPr="00D518FF" w:rsidRDefault="00B64B68" w:rsidP="00CF6071">
            <w:pPr>
              <w:pStyle w:val="2024TABLETEXT"/>
              <w:framePr w:hSpace="0" w:wrap="auto" w:vAnchor="margin" w:yAlign="inline"/>
              <w:spacing w:line="240" w:lineRule="auto"/>
              <w:suppressOverlap w:val="0"/>
              <w:rPr>
                <w:sz w:val="16"/>
                <w:szCs w:val="16"/>
              </w:rPr>
            </w:pPr>
            <w:r w:rsidRPr="00D518FF">
              <w:rPr>
                <w:sz w:val="16"/>
                <w:szCs w:val="16"/>
              </w:rPr>
              <w:t>T</w:t>
            </w:r>
            <w:r w:rsidR="005D73EA" w:rsidRPr="00D518FF">
              <w:rPr>
                <w:sz w:val="16"/>
                <w:szCs w:val="16"/>
              </w:rPr>
              <w:t>o assess the efficacy and safety of probiotics for the treatment of adult IBS-D patients</w:t>
            </w:r>
          </w:p>
        </w:tc>
        <w:tc>
          <w:tcPr>
            <w:tcW w:w="850" w:type="dxa"/>
          </w:tcPr>
          <w:p w14:paraId="09B1C1FF" w14:textId="326B09A2" w:rsidR="005D73E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5D73EA" w:rsidRPr="00D518FF">
              <w:rPr>
                <w:sz w:val="16"/>
                <w:szCs w:val="16"/>
              </w:rPr>
              <w:t>s</w:t>
            </w:r>
          </w:p>
        </w:tc>
        <w:tc>
          <w:tcPr>
            <w:tcW w:w="992" w:type="dxa"/>
          </w:tcPr>
          <w:p w14:paraId="036C149B"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1, 2, 3, 6</w:t>
            </w:r>
          </w:p>
        </w:tc>
        <w:tc>
          <w:tcPr>
            <w:tcW w:w="993" w:type="dxa"/>
          </w:tcPr>
          <w:p w14:paraId="645F1DED"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8</w:t>
            </w:r>
          </w:p>
        </w:tc>
        <w:tc>
          <w:tcPr>
            <w:tcW w:w="1417" w:type="dxa"/>
          </w:tcPr>
          <w:p w14:paraId="300BFFF7" w14:textId="1C631D9C" w:rsidR="005D73E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5D73EA" w:rsidRPr="00D518FF">
              <w:rPr>
                <w:sz w:val="16"/>
                <w:szCs w:val="16"/>
              </w:rPr>
              <w:t>, Web of Science, Cochrane Library, Embase, CNKI, CBM, VIP, Wanfang Data</w:t>
            </w:r>
          </w:p>
        </w:tc>
        <w:tc>
          <w:tcPr>
            <w:tcW w:w="709" w:type="dxa"/>
          </w:tcPr>
          <w:p w14:paraId="57676BAA" w14:textId="37D46EA5"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Aug 2021</w:t>
            </w:r>
          </w:p>
        </w:tc>
        <w:tc>
          <w:tcPr>
            <w:tcW w:w="992" w:type="dxa"/>
          </w:tcPr>
          <w:p w14:paraId="359A36CB"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None</w:t>
            </w:r>
          </w:p>
        </w:tc>
        <w:tc>
          <w:tcPr>
            <w:tcW w:w="992" w:type="dxa"/>
          </w:tcPr>
          <w:p w14:paraId="7834E202"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1FCF65E2"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GRADE</w:t>
            </w:r>
          </w:p>
        </w:tc>
        <w:tc>
          <w:tcPr>
            <w:tcW w:w="1134" w:type="dxa"/>
          </w:tcPr>
          <w:p w14:paraId="72844C04"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The authors declare no competing interests.</w:t>
            </w:r>
          </w:p>
        </w:tc>
        <w:tc>
          <w:tcPr>
            <w:tcW w:w="1559" w:type="dxa"/>
          </w:tcPr>
          <w:p w14:paraId="58652924" w14:textId="0D06C655" w:rsidR="005D73EA" w:rsidRPr="00D518FF" w:rsidRDefault="00A57D6E" w:rsidP="00CF6071">
            <w:pPr>
              <w:pStyle w:val="2024TABLETEXT"/>
              <w:framePr w:hSpace="0" w:wrap="auto" w:vAnchor="margin" w:yAlign="inline"/>
              <w:spacing w:line="240" w:lineRule="auto"/>
              <w:suppressOverlap w:val="0"/>
              <w:rPr>
                <w:sz w:val="16"/>
                <w:szCs w:val="16"/>
              </w:rPr>
            </w:pPr>
            <w:r>
              <w:rPr>
                <w:sz w:val="16"/>
                <w:szCs w:val="16"/>
              </w:rPr>
              <w:t>S</w:t>
            </w:r>
            <w:r w:rsidR="005D73EA" w:rsidRPr="00D518FF">
              <w:rPr>
                <w:sz w:val="16"/>
                <w:szCs w:val="16"/>
              </w:rPr>
              <w:t xml:space="preserve">upported by the National Natural Science Foundation of China: “Reporting Quality Assessment and Key Methods Research for Network Meta-analysis about Acupuncture” (Grant Number: 82004203); and the Fundamental Research Funds for the Central </w:t>
            </w:r>
            <w:r w:rsidR="005D73EA" w:rsidRPr="00D518FF">
              <w:rPr>
                <w:sz w:val="16"/>
                <w:szCs w:val="16"/>
              </w:rPr>
              <w:lastRenderedPageBreak/>
              <w:t>Universities: lzujbky-2021-ct06, lzujbky-2021-kb22.</w:t>
            </w:r>
          </w:p>
        </w:tc>
      </w:tr>
      <w:tr w:rsidR="00A6108F" w:rsidRPr="00D518FF" w14:paraId="3D6F241E" w14:textId="77777777" w:rsidTr="00A6108F">
        <w:trPr>
          <w:trHeight w:val="646"/>
        </w:trPr>
        <w:tc>
          <w:tcPr>
            <w:tcW w:w="846" w:type="dxa"/>
            <w:shd w:val="clear" w:color="auto" w:fill="EFFFE9"/>
          </w:tcPr>
          <w:p w14:paraId="5651A20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lastRenderedPageBreak/>
              <w:t>Wen 2020</w:t>
            </w:r>
          </w:p>
        </w:tc>
        <w:tc>
          <w:tcPr>
            <w:tcW w:w="1134" w:type="dxa"/>
            <w:shd w:val="clear" w:color="auto" w:fill="EFFFE9"/>
          </w:tcPr>
          <w:p w14:paraId="14C2360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systematic review and meta-analysis</w:t>
            </w:r>
          </w:p>
        </w:tc>
        <w:tc>
          <w:tcPr>
            <w:tcW w:w="1843" w:type="dxa"/>
            <w:shd w:val="clear" w:color="auto" w:fill="EFFFE9"/>
          </w:tcPr>
          <w:p w14:paraId="799F363B" w14:textId="68497AA4"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evaluate the efficacy and safety of probiotics in patients with IBS-C</w:t>
            </w:r>
          </w:p>
        </w:tc>
        <w:tc>
          <w:tcPr>
            <w:tcW w:w="850" w:type="dxa"/>
            <w:shd w:val="clear" w:color="auto" w:fill="EFFFE9"/>
          </w:tcPr>
          <w:p w14:paraId="6BF05C28" w14:textId="4C1EB3F7"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shd w:val="clear" w:color="auto" w:fill="EFFFE9"/>
          </w:tcPr>
          <w:p w14:paraId="7F0C6BE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6, 7</w:t>
            </w:r>
          </w:p>
        </w:tc>
        <w:tc>
          <w:tcPr>
            <w:tcW w:w="993" w:type="dxa"/>
            <w:shd w:val="clear" w:color="auto" w:fill="EFFFE9"/>
          </w:tcPr>
          <w:p w14:paraId="1A957DF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4</w:t>
            </w:r>
          </w:p>
        </w:tc>
        <w:tc>
          <w:tcPr>
            <w:tcW w:w="1417" w:type="dxa"/>
            <w:shd w:val="clear" w:color="auto" w:fill="EFFFE9"/>
          </w:tcPr>
          <w:p w14:paraId="740EA4AD" w14:textId="2173B068"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Cochrane Library, </w:t>
            </w:r>
            <w:r w:rsidR="004622EE" w:rsidRPr="00D518FF">
              <w:rPr>
                <w:sz w:val="16"/>
                <w:szCs w:val="16"/>
              </w:rPr>
              <w:t>PubMed</w:t>
            </w:r>
            <w:r w:rsidRPr="00D518FF">
              <w:rPr>
                <w:sz w:val="16"/>
                <w:szCs w:val="16"/>
              </w:rPr>
              <w:t xml:space="preserve">, </w:t>
            </w:r>
            <w:r w:rsidR="009C617B" w:rsidRPr="00D518FF">
              <w:rPr>
                <w:sz w:val="16"/>
                <w:szCs w:val="16"/>
              </w:rPr>
              <w:t>EMBASE,</w:t>
            </w:r>
            <w:r w:rsidRPr="00D518FF">
              <w:rPr>
                <w:sz w:val="16"/>
                <w:szCs w:val="16"/>
              </w:rPr>
              <w:t xml:space="preserve"> Web of Science</w:t>
            </w:r>
          </w:p>
        </w:tc>
        <w:tc>
          <w:tcPr>
            <w:tcW w:w="709" w:type="dxa"/>
            <w:shd w:val="clear" w:color="auto" w:fill="EFFFE9"/>
          </w:tcPr>
          <w:p w14:paraId="70D07E46" w14:textId="6E434B3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May 2019</w:t>
            </w:r>
          </w:p>
        </w:tc>
        <w:tc>
          <w:tcPr>
            <w:tcW w:w="992" w:type="dxa"/>
            <w:shd w:val="clear" w:color="auto" w:fill="EFFFE9"/>
          </w:tcPr>
          <w:p w14:paraId="0989462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shd w:val="clear" w:color="auto" w:fill="EFFFE9"/>
          </w:tcPr>
          <w:p w14:paraId="72562B3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Jadad scale</w:t>
            </w:r>
          </w:p>
        </w:tc>
        <w:tc>
          <w:tcPr>
            <w:tcW w:w="851" w:type="dxa"/>
            <w:shd w:val="clear" w:color="auto" w:fill="EFFFE9"/>
          </w:tcPr>
          <w:p w14:paraId="6EC43138" w14:textId="6F376C78"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shd w:val="clear" w:color="auto" w:fill="EFFFE9"/>
          </w:tcPr>
          <w:p w14:paraId="77A12E8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declare no relevant conflict of interest.</w:t>
            </w:r>
          </w:p>
        </w:tc>
        <w:tc>
          <w:tcPr>
            <w:tcW w:w="1559" w:type="dxa"/>
            <w:shd w:val="clear" w:color="auto" w:fill="EFFFE9"/>
          </w:tcPr>
          <w:p w14:paraId="7D839EC7"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 funding.</w:t>
            </w:r>
          </w:p>
        </w:tc>
      </w:tr>
      <w:tr w:rsidR="002F0C5A" w:rsidRPr="00D518FF" w14:paraId="3C18470A" w14:textId="77777777" w:rsidTr="00A6108F">
        <w:trPr>
          <w:trHeight w:val="646"/>
        </w:trPr>
        <w:tc>
          <w:tcPr>
            <w:tcW w:w="846" w:type="dxa"/>
          </w:tcPr>
          <w:p w14:paraId="6BC9550F"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Xu 2021</w:t>
            </w:r>
          </w:p>
        </w:tc>
        <w:tc>
          <w:tcPr>
            <w:tcW w:w="1134" w:type="dxa"/>
          </w:tcPr>
          <w:p w14:paraId="25D1093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Systematic review and meta-analysis </w:t>
            </w:r>
          </w:p>
        </w:tc>
        <w:tc>
          <w:tcPr>
            <w:tcW w:w="1843" w:type="dxa"/>
          </w:tcPr>
          <w:p w14:paraId="5F5AC0D1" w14:textId="3868F93C"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systematically evaluate the efficacy of probiotics in children with IBS</w:t>
            </w:r>
          </w:p>
        </w:tc>
        <w:tc>
          <w:tcPr>
            <w:tcW w:w="850" w:type="dxa"/>
          </w:tcPr>
          <w:p w14:paraId="37A40338" w14:textId="5EFEDED2"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2A1C4766"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1, 2</w:t>
            </w:r>
          </w:p>
        </w:tc>
        <w:tc>
          <w:tcPr>
            <w:tcW w:w="993" w:type="dxa"/>
          </w:tcPr>
          <w:p w14:paraId="19EBD58B"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5</w:t>
            </w:r>
          </w:p>
        </w:tc>
        <w:tc>
          <w:tcPr>
            <w:tcW w:w="1417" w:type="dxa"/>
          </w:tcPr>
          <w:p w14:paraId="076C05E6" w14:textId="26AA4B9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Web of Science, </w:t>
            </w:r>
            <w:r w:rsidR="004622EE" w:rsidRPr="00D518FF">
              <w:rPr>
                <w:sz w:val="16"/>
                <w:szCs w:val="16"/>
              </w:rPr>
              <w:t>PubMed</w:t>
            </w:r>
            <w:r w:rsidRPr="00D518FF">
              <w:rPr>
                <w:sz w:val="16"/>
                <w:szCs w:val="16"/>
              </w:rPr>
              <w:t>, Cochrane Library, Embase, and Clinical Trials</w:t>
            </w:r>
          </w:p>
        </w:tc>
        <w:tc>
          <w:tcPr>
            <w:tcW w:w="709" w:type="dxa"/>
          </w:tcPr>
          <w:p w14:paraId="562AF835" w14:textId="6E23817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Jan</w:t>
            </w:r>
            <w:r w:rsidR="009C617B" w:rsidRPr="00D518FF">
              <w:rPr>
                <w:sz w:val="16"/>
                <w:szCs w:val="16"/>
              </w:rPr>
              <w:t xml:space="preserve"> 20</w:t>
            </w:r>
            <w:r w:rsidRPr="00D518FF">
              <w:rPr>
                <w:sz w:val="16"/>
                <w:szCs w:val="16"/>
              </w:rPr>
              <w:t>21</w:t>
            </w:r>
          </w:p>
        </w:tc>
        <w:tc>
          <w:tcPr>
            <w:tcW w:w="992" w:type="dxa"/>
          </w:tcPr>
          <w:p w14:paraId="4980F72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English</w:t>
            </w:r>
          </w:p>
        </w:tc>
        <w:tc>
          <w:tcPr>
            <w:tcW w:w="992" w:type="dxa"/>
          </w:tcPr>
          <w:p w14:paraId="73973EBA"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0C4E6D6B" w14:textId="5B3FB4B5"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37C8617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The authors have declared that no competing interests exist.</w:t>
            </w:r>
          </w:p>
        </w:tc>
        <w:tc>
          <w:tcPr>
            <w:tcW w:w="1559" w:type="dxa"/>
          </w:tcPr>
          <w:p w14:paraId="1D50B40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This work was funded by the Changzhou Applied Basic Research Project (no. CJ20200005 to WMS), Changzhou City, Jiangsu Province, China.</w:t>
            </w:r>
          </w:p>
        </w:tc>
      </w:tr>
      <w:tr w:rsidR="002F0C5A" w:rsidRPr="00D518FF" w14:paraId="3BCED24D" w14:textId="77777777" w:rsidTr="00A6108F">
        <w:trPr>
          <w:trHeight w:val="646"/>
        </w:trPr>
        <w:tc>
          <w:tcPr>
            <w:tcW w:w="846" w:type="dxa"/>
          </w:tcPr>
          <w:p w14:paraId="0A6A2F31"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Yuan 2017</w:t>
            </w:r>
          </w:p>
        </w:tc>
        <w:tc>
          <w:tcPr>
            <w:tcW w:w="1134" w:type="dxa"/>
          </w:tcPr>
          <w:p w14:paraId="26A11523"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Meta-analysis</w:t>
            </w:r>
          </w:p>
        </w:tc>
        <w:tc>
          <w:tcPr>
            <w:tcW w:w="1843" w:type="dxa"/>
          </w:tcPr>
          <w:p w14:paraId="0CB4AB3F" w14:textId="25F1D695"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To assess the combined effect of B. infantis on reducing the symptom severity of IBS based on the published data</w:t>
            </w:r>
            <w:r w:rsidR="00DB10BB" w:rsidRPr="00D518FF">
              <w:rPr>
                <w:sz w:val="16"/>
                <w:szCs w:val="16"/>
              </w:rPr>
              <w:t>.</w:t>
            </w:r>
          </w:p>
        </w:tc>
        <w:tc>
          <w:tcPr>
            <w:tcW w:w="850" w:type="dxa"/>
          </w:tcPr>
          <w:p w14:paraId="0A1A46F6" w14:textId="72DADED1"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2F0C5A" w:rsidRPr="00D518FF">
              <w:rPr>
                <w:sz w:val="16"/>
                <w:szCs w:val="16"/>
              </w:rPr>
              <w:t>s</w:t>
            </w:r>
          </w:p>
        </w:tc>
        <w:tc>
          <w:tcPr>
            <w:tcW w:w="992" w:type="dxa"/>
          </w:tcPr>
          <w:p w14:paraId="2D211240" w14:textId="632A1A8D"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2</w:t>
            </w:r>
          </w:p>
        </w:tc>
        <w:tc>
          <w:tcPr>
            <w:tcW w:w="993" w:type="dxa"/>
          </w:tcPr>
          <w:p w14:paraId="68C5F4A5"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0D473E27" w14:textId="61498423" w:rsidR="002F0C5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PubMed</w:t>
            </w:r>
            <w:r w:rsidR="002F0C5A" w:rsidRPr="00D518FF">
              <w:rPr>
                <w:sz w:val="16"/>
                <w:szCs w:val="16"/>
              </w:rPr>
              <w:t>, Cochrane Library, EMBASE</w:t>
            </w:r>
          </w:p>
        </w:tc>
        <w:tc>
          <w:tcPr>
            <w:tcW w:w="709" w:type="dxa"/>
          </w:tcPr>
          <w:p w14:paraId="01281A57" w14:textId="5C5F28A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Dec</w:t>
            </w:r>
            <w:r w:rsidR="009C617B" w:rsidRPr="00D518FF">
              <w:rPr>
                <w:sz w:val="16"/>
                <w:szCs w:val="16"/>
              </w:rPr>
              <w:t xml:space="preserve"> 20</w:t>
            </w:r>
            <w:r w:rsidRPr="00D518FF">
              <w:rPr>
                <w:sz w:val="16"/>
                <w:szCs w:val="16"/>
              </w:rPr>
              <w:t>16</w:t>
            </w:r>
          </w:p>
        </w:tc>
        <w:tc>
          <w:tcPr>
            <w:tcW w:w="992" w:type="dxa"/>
          </w:tcPr>
          <w:p w14:paraId="7A87299C"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2E5433BE"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Jadad scale</w:t>
            </w:r>
          </w:p>
        </w:tc>
        <w:tc>
          <w:tcPr>
            <w:tcW w:w="851" w:type="dxa"/>
          </w:tcPr>
          <w:p w14:paraId="6F51DECE" w14:textId="65080E0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32DD7C6C" w14:textId="62D0DDE3"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No significant relationships with or financial interests in any commercial companies related to this study or article. CMRO peer reviewers on this manuscript have no relevant financial or other relationships to disclose.</w:t>
            </w:r>
          </w:p>
        </w:tc>
        <w:tc>
          <w:tcPr>
            <w:tcW w:w="1559" w:type="dxa"/>
          </w:tcPr>
          <w:p w14:paraId="75FB112D" w14:textId="77777777" w:rsidR="002F0C5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 xml:space="preserve">This study was not funded. </w:t>
            </w:r>
          </w:p>
        </w:tc>
      </w:tr>
      <w:tr w:rsidR="00B64B68" w:rsidRPr="00D518FF" w14:paraId="18B20855" w14:textId="77777777" w:rsidTr="00A6108F">
        <w:trPr>
          <w:trHeight w:val="646"/>
        </w:trPr>
        <w:tc>
          <w:tcPr>
            <w:tcW w:w="846" w:type="dxa"/>
          </w:tcPr>
          <w:p w14:paraId="08669D7B"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Zhang 2016</w:t>
            </w:r>
          </w:p>
        </w:tc>
        <w:tc>
          <w:tcPr>
            <w:tcW w:w="1134" w:type="dxa"/>
          </w:tcPr>
          <w:p w14:paraId="63B4326D"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Meta-analysis</w:t>
            </w:r>
          </w:p>
        </w:tc>
        <w:tc>
          <w:tcPr>
            <w:tcW w:w="1843" w:type="dxa"/>
          </w:tcPr>
          <w:p w14:paraId="12FF6906" w14:textId="74499968" w:rsidR="005D73EA" w:rsidRPr="00D518FF" w:rsidRDefault="00B64B68" w:rsidP="00CF6071">
            <w:pPr>
              <w:pStyle w:val="2024TABLETEXT"/>
              <w:framePr w:hSpace="0" w:wrap="auto" w:vAnchor="margin" w:yAlign="inline"/>
              <w:spacing w:line="240" w:lineRule="auto"/>
              <w:suppressOverlap w:val="0"/>
              <w:rPr>
                <w:sz w:val="16"/>
                <w:szCs w:val="16"/>
              </w:rPr>
            </w:pPr>
            <w:r w:rsidRPr="00D518FF">
              <w:rPr>
                <w:sz w:val="16"/>
                <w:szCs w:val="16"/>
              </w:rPr>
              <w:t>T</w:t>
            </w:r>
            <w:r w:rsidR="005D73EA" w:rsidRPr="00D518FF">
              <w:rPr>
                <w:sz w:val="16"/>
                <w:szCs w:val="16"/>
              </w:rPr>
              <w:t xml:space="preserve">o assess the efficacy of different probiotic types, doses and treatment durations in IBS patients diagnosed by Rome III criteria via a meta-analysis of </w:t>
            </w:r>
            <w:r w:rsidR="004622EE" w:rsidRPr="00D518FF">
              <w:rPr>
                <w:sz w:val="16"/>
                <w:szCs w:val="16"/>
              </w:rPr>
              <w:t>RCT</w:t>
            </w:r>
            <w:r w:rsidR="005D73EA" w:rsidRPr="00D518FF">
              <w:rPr>
                <w:sz w:val="16"/>
                <w:szCs w:val="16"/>
              </w:rPr>
              <w:t>s.</w:t>
            </w:r>
          </w:p>
        </w:tc>
        <w:tc>
          <w:tcPr>
            <w:tcW w:w="850" w:type="dxa"/>
          </w:tcPr>
          <w:p w14:paraId="6B6CD475" w14:textId="790CE9C8" w:rsidR="005D73EA" w:rsidRPr="00D518FF" w:rsidRDefault="004622EE" w:rsidP="00CF6071">
            <w:pPr>
              <w:pStyle w:val="2024TABLETEXT"/>
              <w:framePr w:hSpace="0" w:wrap="auto" w:vAnchor="margin" w:yAlign="inline"/>
              <w:spacing w:line="240" w:lineRule="auto"/>
              <w:suppressOverlap w:val="0"/>
              <w:rPr>
                <w:sz w:val="16"/>
                <w:szCs w:val="16"/>
              </w:rPr>
            </w:pPr>
            <w:r w:rsidRPr="00D518FF">
              <w:rPr>
                <w:sz w:val="16"/>
                <w:szCs w:val="16"/>
              </w:rPr>
              <w:t>RCT</w:t>
            </w:r>
            <w:r w:rsidR="005D73EA" w:rsidRPr="00D518FF">
              <w:rPr>
                <w:sz w:val="16"/>
                <w:szCs w:val="16"/>
              </w:rPr>
              <w:t>s</w:t>
            </w:r>
          </w:p>
        </w:tc>
        <w:tc>
          <w:tcPr>
            <w:tcW w:w="992" w:type="dxa"/>
          </w:tcPr>
          <w:p w14:paraId="491F7F12"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1, 2, 3</w:t>
            </w:r>
          </w:p>
        </w:tc>
        <w:tc>
          <w:tcPr>
            <w:tcW w:w="993" w:type="dxa"/>
          </w:tcPr>
          <w:p w14:paraId="585AA509"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3</w:t>
            </w:r>
          </w:p>
        </w:tc>
        <w:tc>
          <w:tcPr>
            <w:tcW w:w="1417" w:type="dxa"/>
          </w:tcPr>
          <w:p w14:paraId="287A3FC2" w14:textId="49A764C3"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 xml:space="preserve">Medline, EMBASE, </w:t>
            </w:r>
            <w:r w:rsidR="00E73898" w:rsidRPr="00D518FF">
              <w:rPr>
                <w:sz w:val="16"/>
                <w:szCs w:val="16"/>
              </w:rPr>
              <w:t>CENTRAL</w:t>
            </w:r>
          </w:p>
        </w:tc>
        <w:tc>
          <w:tcPr>
            <w:tcW w:w="709" w:type="dxa"/>
          </w:tcPr>
          <w:p w14:paraId="74ECC81F" w14:textId="35D15B5E"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Oct</w:t>
            </w:r>
            <w:r w:rsidR="009C617B" w:rsidRPr="00D518FF">
              <w:rPr>
                <w:sz w:val="16"/>
                <w:szCs w:val="16"/>
              </w:rPr>
              <w:t xml:space="preserve"> 20</w:t>
            </w:r>
            <w:r w:rsidRPr="00D518FF">
              <w:rPr>
                <w:sz w:val="16"/>
                <w:szCs w:val="16"/>
              </w:rPr>
              <w:t>15</w:t>
            </w:r>
          </w:p>
        </w:tc>
        <w:tc>
          <w:tcPr>
            <w:tcW w:w="992" w:type="dxa"/>
          </w:tcPr>
          <w:p w14:paraId="3AC63483"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992" w:type="dxa"/>
          </w:tcPr>
          <w:p w14:paraId="60D96AF7"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851" w:type="dxa"/>
          </w:tcPr>
          <w:p w14:paraId="0FE97CB8" w14:textId="71207AB9" w:rsidR="005D73EA" w:rsidRPr="00D518FF" w:rsidRDefault="002F0C5A" w:rsidP="00CF6071">
            <w:pPr>
              <w:pStyle w:val="2024TABLETEXT"/>
              <w:framePr w:hSpace="0" w:wrap="auto" w:vAnchor="margin" w:yAlign="inline"/>
              <w:spacing w:line="240" w:lineRule="auto"/>
              <w:suppressOverlap w:val="0"/>
              <w:rPr>
                <w:sz w:val="16"/>
                <w:szCs w:val="16"/>
              </w:rPr>
            </w:pPr>
            <w:r w:rsidRPr="00D518FF">
              <w:rPr>
                <w:sz w:val="16"/>
                <w:szCs w:val="16"/>
              </w:rPr>
              <w:t>NR</w:t>
            </w:r>
          </w:p>
        </w:tc>
        <w:tc>
          <w:tcPr>
            <w:tcW w:w="1134" w:type="dxa"/>
          </w:tcPr>
          <w:p w14:paraId="0B626368"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The authors declare that they have no competing interests.</w:t>
            </w:r>
          </w:p>
        </w:tc>
        <w:tc>
          <w:tcPr>
            <w:tcW w:w="1559" w:type="dxa"/>
          </w:tcPr>
          <w:p w14:paraId="588C47F9" w14:textId="77777777" w:rsidR="005D73EA" w:rsidRPr="00D518FF" w:rsidRDefault="005D73EA" w:rsidP="00CF6071">
            <w:pPr>
              <w:pStyle w:val="2024TABLETEXT"/>
              <w:framePr w:hSpace="0" w:wrap="auto" w:vAnchor="margin" w:yAlign="inline"/>
              <w:spacing w:line="240" w:lineRule="auto"/>
              <w:suppressOverlap w:val="0"/>
              <w:rPr>
                <w:sz w:val="16"/>
                <w:szCs w:val="16"/>
              </w:rPr>
            </w:pPr>
            <w:r w:rsidRPr="00D518FF">
              <w:rPr>
                <w:sz w:val="16"/>
                <w:szCs w:val="16"/>
              </w:rPr>
              <w:t>This study was supported by the National Natural Science Foundation of China, grant numbers 81330012 and 81370495.</w:t>
            </w:r>
          </w:p>
        </w:tc>
      </w:tr>
    </w:tbl>
    <w:p w14:paraId="6791D2B9" w14:textId="171C68FD" w:rsidR="008D3EC0" w:rsidRPr="00D518FF" w:rsidRDefault="008D3EC0" w:rsidP="00AA72BD">
      <w:pPr>
        <w:pStyle w:val="2024TABLEFOOTER"/>
        <w:spacing w:line="240" w:lineRule="auto"/>
        <w:rPr>
          <w:szCs w:val="16"/>
        </w:rPr>
      </w:pPr>
      <w:r w:rsidRPr="00D518FF">
        <w:rPr>
          <w:szCs w:val="16"/>
        </w:rPr>
        <w:lastRenderedPageBreak/>
        <w:t>Abbreviations:</w:t>
      </w:r>
      <w:r w:rsidR="00A9261B" w:rsidRPr="00D518FF">
        <w:rPr>
          <w:szCs w:val="16"/>
        </w:rPr>
        <w:t xml:space="preserve"> </w:t>
      </w:r>
      <w:r w:rsidR="009C5B40" w:rsidRPr="00D518FF">
        <w:rPr>
          <w:szCs w:val="16"/>
        </w:rPr>
        <w:t xml:space="preserve">CENTRAL=Cochrane Central Register of Controlled Trials; </w:t>
      </w:r>
      <w:r w:rsidR="00A9261B" w:rsidRPr="00D518FF">
        <w:rPr>
          <w:szCs w:val="16"/>
        </w:rPr>
        <w:t>CINAHL=Cumulative Index of Nursing and Allied Health Literature;</w:t>
      </w:r>
      <w:r w:rsidRPr="00D518FF">
        <w:rPr>
          <w:szCs w:val="16"/>
        </w:rPr>
        <w:t xml:space="preserve"> </w:t>
      </w:r>
      <w:r w:rsidR="00751542" w:rsidRPr="00D518FF">
        <w:rPr>
          <w:szCs w:val="16"/>
        </w:rPr>
        <w:t xml:space="preserve">IBS=irritable bowel syndrome, </w:t>
      </w:r>
      <w:r w:rsidR="002F0C5A" w:rsidRPr="00D518FF">
        <w:rPr>
          <w:szCs w:val="16"/>
        </w:rPr>
        <w:t xml:space="preserve">NR=Not reported; </w:t>
      </w:r>
      <w:r w:rsidR="004622EE" w:rsidRPr="00D518FF">
        <w:rPr>
          <w:szCs w:val="16"/>
        </w:rPr>
        <w:t>RCT</w:t>
      </w:r>
      <w:r w:rsidR="002F0C5A" w:rsidRPr="00D518FF">
        <w:rPr>
          <w:szCs w:val="16"/>
        </w:rPr>
        <w:t>=randomised controlled trial</w:t>
      </w:r>
      <w:r w:rsidR="00751542" w:rsidRPr="00D518FF">
        <w:rPr>
          <w:szCs w:val="16"/>
        </w:rPr>
        <w:t>, GRADE=Grading of Recommendations Assessment, Development and Evaluation, QoL=quality of life</w:t>
      </w:r>
      <w:r w:rsidR="00C479D5">
        <w:rPr>
          <w:szCs w:val="16"/>
        </w:rPr>
        <w:t xml:space="preserve">; </w:t>
      </w:r>
    </w:p>
    <w:p w14:paraId="604E0249" w14:textId="77777777" w:rsidR="008D3EC0" w:rsidRPr="00D518FF" w:rsidRDefault="008D3EC0" w:rsidP="00AA72BD">
      <w:pPr>
        <w:pStyle w:val="2024TABLEFOOTER"/>
        <w:spacing w:line="240" w:lineRule="auto"/>
        <w:rPr>
          <w:szCs w:val="16"/>
        </w:rPr>
      </w:pPr>
    </w:p>
    <w:p w14:paraId="2BBA86C2" w14:textId="77777777" w:rsidR="008D3EC0" w:rsidRPr="00D518FF" w:rsidRDefault="008D3EC0" w:rsidP="00AA72BD">
      <w:pPr>
        <w:pStyle w:val="2024TABLEFOOTER"/>
        <w:spacing w:line="240" w:lineRule="auto"/>
        <w:rPr>
          <w:szCs w:val="16"/>
        </w:rPr>
      </w:pPr>
      <w:r w:rsidRPr="00D518FF">
        <w:rPr>
          <w:szCs w:val="16"/>
        </w:rPr>
        <w:t>^Outcome domains identified as part of the Outcome Prioritisation Exercise:</w:t>
      </w:r>
    </w:p>
    <w:p w14:paraId="13869702" w14:textId="77777777" w:rsidR="00873BDC" w:rsidRPr="00D518FF" w:rsidRDefault="00873BDC" w:rsidP="003F5774">
      <w:pPr>
        <w:pStyle w:val="2024TABLEFOOTER"/>
        <w:numPr>
          <w:ilvl w:val="0"/>
          <w:numId w:val="2"/>
        </w:numPr>
        <w:spacing w:line="240" w:lineRule="auto"/>
        <w:rPr>
          <w:szCs w:val="16"/>
        </w:rPr>
      </w:pPr>
      <w:r w:rsidRPr="00D518FF">
        <w:rPr>
          <w:szCs w:val="16"/>
        </w:rPr>
        <w:t>Global improvement of IBS</w:t>
      </w:r>
    </w:p>
    <w:p w14:paraId="2D5BEA6A" w14:textId="77777777" w:rsidR="00873BDC" w:rsidRPr="00D518FF" w:rsidRDefault="00873BDC" w:rsidP="003F5774">
      <w:pPr>
        <w:pStyle w:val="2024TABLEFOOTER"/>
        <w:numPr>
          <w:ilvl w:val="0"/>
          <w:numId w:val="2"/>
        </w:numPr>
        <w:spacing w:line="240" w:lineRule="auto"/>
        <w:rPr>
          <w:szCs w:val="16"/>
        </w:rPr>
      </w:pPr>
      <w:r w:rsidRPr="00D518FF">
        <w:rPr>
          <w:szCs w:val="16"/>
        </w:rPr>
        <w:t>Abdominal pain burden</w:t>
      </w:r>
    </w:p>
    <w:p w14:paraId="3A3CB14F" w14:textId="77777777" w:rsidR="00873BDC" w:rsidRPr="00D518FF" w:rsidRDefault="00873BDC" w:rsidP="003F5774">
      <w:pPr>
        <w:pStyle w:val="2024TABLEFOOTER"/>
        <w:numPr>
          <w:ilvl w:val="0"/>
          <w:numId w:val="2"/>
        </w:numPr>
        <w:spacing w:line="240" w:lineRule="auto"/>
        <w:rPr>
          <w:szCs w:val="16"/>
        </w:rPr>
      </w:pPr>
      <w:r w:rsidRPr="00D518FF">
        <w:rPr>
          <w:szCs w:val="16"/>
        </w:rPr>
        <w:t>Health-related quality of life</w:t>
      </w:r>
    </w:p>
    <w:p w14:paraId="456B0482" w14:textId="77777777" w:rsidR="00873BDC" w:rsidRPr="00D518FF" w:rsidRDefault="00873BDC" w:rsidP="003F5774">
      <w:pPr>
        <w:pStyle w:val="2024TABLEFOOTER"/>
        <w:numPr>
          <w:ilvl w:val="0"/>
          <w:numId w:val="2"/>
        </w:numPr>
        <w:spacing w:line="240" w:lineRule="auto"/>
        <w:rPr>
          <w:szCs w:val="16"/>
        </w:rPr>
      </w:pPr>
      <w:r w:rsidRPr="00D518FF">
        <w:rPr>
          <w:szCs w:val="16"/>
        </w:rPr>
        <w:t>Number of recurrent episodes</w:t>
      </w:r>
    </w:p>
    <w:p w14:paraId="3598BCC7" w14:textId="77777777" w:rsidR="00873BDC" w:rsidRPr="00D518FF" w:rsidRDefault="00873BDC" w:rsidP="003F5774">
      <w:pPr>
        <w:pStyle w:val="2024TABLEFOOTER"/>
        <w:numPr>
          <w:ilvl w:val="0"/>
          <w:numId w:val="2"/>
        </w:numPr>
        <w:spacing w:line="240" w:lineRule="auto"/>
        <w:rPr>
          <w:szCs w:val="16"/>
        </w:rPr>
      </w:pPr>
      <w:r w:rsidRPr="00D518FF">
        <w:rPr>
          <w:szCs w:val="16"/>
        </w:rPr>
        <w:t>Functioning</w:t>
      </w:r>
    </w:p>
    <w:p w14:paraId="3F8EF80F" w14:textId="77777777" w:rsidR="00873BDC" w:rsidRPr="00D518FF" w:rsidRDefault="00873BDC" w:rsidP="003F5774">
      <w:pPr>
        <w:pStyle w:val="2024TABLEFOOTER"/>
        <w:numPr>
          <w:ilvl w:val="0"/>
          <w:numId w:val="2"/>
        </w:numPr>
        <w:spacing w:line="240" w:lineRule="auto"/>
        <w:rPr>
          <w:szCs w:val="16"/>
        </w:rPr>
      </w:pPr>
      <w:r w:rsidRPr="00D518FF">
        <w:rPr>
          <w:szCs w:val="16"/>
        </w:rPr>
        <w:t>Stool frequency, bowel transit time</w:t>
      </w:r>
    </w:p>
    <w:p w14:paraId="3E8DC7CF" w14:textId="0E943EF7" w:rsidR="00873BDC" w:rsidRPr="00D518FF" w:rsidRDefault="00873BDC" w:rsidP="003F5774">
      <w:pPr>
        <w:pStyle w:val="2024TABLEFOOTER"/>
        <w:numPr>
          <w:ilvl w:val="0"/>
          <w:numId w:val="2"/>
        </w:numPr>
        <w:spacing w:line="240" w:lineRule="auto"/>
        <w:rPr>
          <w:szCs w:val="16"/>
        </w:rPr>
      </w:pPr>
      <w:r w:rsidRPr="00D518FF">
        <w:rPr>
          <w:szCs w:val="16"/>
        </w:rPr>
        <w:t>Stool consistency</w:t>
      </w:r>
    </w:p>
    <w:p w14:paraId="0D8FA0B5" w14:textId="594C5616" w:rsidR="0022416A" w:rsidRPr="00A740A6" w:rsidRDefault="00BF1AD7" w:rsidP="00A740A6">
      <w:pPr>
        <w:pStyle w:val="heading2numbers"/>
      </w:pPr>
      <w:bookmarkStart w:id="147" w:name="_Toc185254647"/>
      <w:r w:rsidRPr="00A740A6">
        <w:rPr>
          <w:rStyle w:val="Heading1Char"/>
          <w:rFonts w:ascii="Aptos" w:eastAsia="Calibri" w:hAnsi="Aptos"/>
          <w:bCs w:val="0"/>
          <w:color w:val="C00000"/>
          <w:sz w:val="28"/>
          <w:szCs w:val="26"/>
        </w:rPr>
        <w:t>Insomnia/sleeping disorders, magnesium</w:t>
      </w:r>
      <w:bookmarkEnd w:id="147"/>
    </w:p>
    <w:p w14:paraId="5A346CFD" w14:textId="31C7A1B7" w:rsidR="00C657B9" w:rsidRPr="004C6AA1" w:rsidRDefault="00C657B9" w:rsidP="004C6AA1">
      <w:pPr>
        <w:pStyle w:val="Caption"/>
        <w:spacing w:before="240"/>
        <w:rPr>
          <w:rFonts w:ascii="Aptos" w:hAnsi="Aptos"/>
        </w:rPr>
      </w:pPr>
      <w:bookmarkStart w:id="148" w:name="_Toc185254552"/>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6</w:t>
      </w:r>
      <w:r w:rsidR="00DC4767" w:rsidRPr="004C6AA1">
        <w:rPr>
          <w:rFonts w:ascii="Aptos" w:hAnsi="Aptos"/>
        </w:rPr>
        <w:fldChar w:fldCharType="end"/>
      </w:r>
      <w:r w:rsidRPr="004C6AA1">
        <w:rPr>
          <w:rFonts w:ascii="Aptos" w:hAnsi="Aptos"/>
        </w:rPr>
        <w:t xml:space="preserve">. </w:t>
      </w:r>
      <w:r w:rsidRPr="00D518FF">
        <w:rPr>
          <w:rFonts w:ascii="Aptos" w:hAnsi="Aptos"/>
        </w:rPr>
        <w:t>Citation details of included reviews – insomnia/sleeping disorders, magnesium (n=4)</w:t>
      </w:r>
      <w:r>
        <w:rPr>
          <w:rFonts w:ascii="Aptos" w:hAnsi="Aptos"/>
        </w:rPr>
        <w:t>.</w:t>
      </w:r>
      <w:bookmarkEnd w:id="148"/>
    </w:p>
    <w:tbl>
      <w:tblPr>
        <w:tblStyle w:val="TableGrid"/>
        <w:tblW w:w="14312" w:type="dxa"/>
        <w:tblLayout w:type="fixed"/>
        <w:tblCellMar>
          <w:top w:w="28" w:type="dxa"/>
          <w:left w:w="57" w:type="dxa"/>
          <w:bottom w:w="28" w:type="dxa"/>
          <w:right w:w="28" w:type="dxa"/>
        </w:tblCellMar>
        <w:tblLook w:val="04A0" w:firstRow="1" w:lastRow="0" w:firstColumn="1" w:lastColumn="0" w:noHBand="0" w:noVBand="1"/>
      </w:tblPr>
      <w:tblGrid>
        <w:gridCol w:w="988"/>
        <w:gridCol w:w="3969"/>
        <w:gridCol w:w="2976"/>
        <w:gridCol w:w="567"/>
        <w:gridCol w:w="1843"/>
        <w:gridCol w:w="709"/>
        <w:gridCol w:w="709"/>
        <w:gridCol w:w="708"/>
        <w:gridCol w:w="1843"/>
      </w:tblGrid>
      <w:tr w:rsidR="00FF3F59" w:rsidRPr="00D518FF" w14:paraId="102EE6D2" w14:textId="77777777" w:rsidTr="003D0A3C">
        <w:trPr>
          <w:trHeight w:val="61"/>
          <w:tblHeader/>
        </w:trPr>
        <w:tc>
          <w:tcPr>
            <w:tcW w:w="988" w:type="dxa"/>
            <w:shd w:val="clear" w:color="auto" w:fill="D9D9D9" w:themeFill="background1" w:themeFillShade="D9"/>
          </w:tcPr>
          <w:p w14:paraId="19AA7D20"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969" w:type="dxa"/>
            <w:shd w:val="clear" w:color="auto" w:fill="D9D9D9" w:themeFill="background1" w:themeFillShade="D9"/>
            <w:noWrap/>
            <w:hideMark/>
          </w:tcPr>
          <w:p w14:paraId="3C8EF79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976" w:type="dxa"/>
            <w:shd w:val="clear" w:color="auto" w:fill="D9D9D9" w:themeFill="background1" w:themeFillShade="D9"/>
            <w:noWrap/>
            <w:hideMark/>
          </w:tcPr>
          <w:p w14:paraId="53BE0459"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3BB99AA8"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843" w:type="dxa"/>
            <w:shd w:val="clear" w:color="auto" w:fill="D9D9D9" w:themeFill="background1" w:themeFillShade="D9"/>
            <w:noWrap/>
            <w:hideMark/>
          </w:tcPr>
          <w:p w14:paraId="5A6EEE14"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6CB0674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709" w:type="dxa"/>
            <w:shd w:val="clear" w:color="auto" w:fill="D9D9D9" w:themeFill="background1" w:themeFillShade="D9"/>
            <w:noWrap/>
            <w:hideMark/>
          </w:tcPr>
          <w:p w14:paraId="467806B5"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708" w:type="dxa"/>
            <w:shd w:val="clear" w:color="auto" w:fill="D9D9D9" w:themeFill="background1" w:themeFillShade="D9"/>
            <w:noWrap/>
            <w:hideMark/>
          </w:tcPr>
          <w:p w14:paraId="05A632D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843" w:type="dxa"/>
            <w:shd w:val="clear" w:color="auto" w:fill="D9D9D9" w:themeFill="background1" w:themeFillShade="D9"/>
            <w:noWrap/>
            <w:hideMark/>
          </w:tcPr>
          <w:p w14:paraId="53F8F07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230E21EB" w14:textId="77777777" w:rsidTr="003D0A3C">
        <w:trPr>
          <w:trHeight w:val="55"/>
        </w:trPr>
        <w:tc>
          <w:tcPr>
            <w:tcW w:w="988" w:type="dxa"/>
          </w:tcPr>
          <w:p w14:paraId="7259BFF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Chan 2021</w:t>
            </w:r>
          </w:p>
        </w:tc>
        <w:tc>
          <w:tcPr>
            <w:tcW w:w="3969" w:type="dxa"/>
          </w:tcPr>
          <w:p w14:paraId="7826FB2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of dietary supplements on improving sleep quality: a systematic review and meta-analysis</w:t>
            </w:r>
          </w:p>
        </w:tc>
        <w:tc>
          <w:tcPr>
            <w:tcW w:w="2976" w:type="dxa"/>
          </w:tcPr>
          <w:p w14:paraId="0A7D70C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Chan, V.; Lo, K.</w:t>
            </w:r>
          </w:p>
        </w:tc>
        <w:tc>
          <w:tcPr>
            <w:tcW w:w="567" w:type="dxa"/>
          </w:tcPr>
          <w:p w14:paraId="095BDD3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2021</w:t>
            </w:r>
          </w:p>
        </w:tc>
        <w:tc>
          <w:tcPr>
            <w:tcW w:w="1843" w:type="dxa"/>
          </w:tcPr>
          <w:p w14:paraId="2441F11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Postgraduate medical journal</w:t>
            </w:r>
          </w:p>
        </w:tc>
        <w:tc>
          <w:tcPr>
            <w:tcW w:w="709" w:type="dxa"/>
          </w:tcPr>
          <w:p w14:paraId="10CB4AC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98</w:t>
            </w:r>
          </w:p>
        </w:tc>
        <w:tc>
          <w:tcPr>
            <w:tcW w:w="709" w:type="dxa"/>
          </w:tcPr>
          <w:p w14:paraId="6200E0C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708" w:type="dxa"/>
          </w:tcPr>
          <w:p w14:paraId="56BC116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1158</w:t>
            </w:r>
          </w:p>
        </w:tc>
        <w:tc>
          <w:tcPr>
            <w:tcW w:w="1843" w:type="dxa"/>
          </w:tcPr>
          <w:p w14:paraId="07F37CF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10.1136/postgradmedj-2020-139319</w:t>
            </w:r>
          </w:p>
        </w:tc>
      </w:tr>
      <w:tr w:rsidR="00FF3F59" w:rsidRPr="00D518FF" w14:paraId="7A8FF6D4" w14:textId="77777777" w:rsidTr="00A6108F">
        <w:trPr>
          <w:trHeight w:val="55"/>
        </w:trPr>
        <w:tc>
          <w:tcPr>
            <w:tcW w:w="988" w:type="dxa"/>
            <w:shd w:val="clear" w:color="auto" w:fill="EFFFE9"/>
          </w:tcPr>
          <w:p w14:paraId="7037F675" w14:textId="77777777" w:rsidR="00FF3F59" w:rsidRPr="00D518FF" w:rsidRDefault="00FF3F59" w:rsidP="00023E7B">
            <w:pPr>
              <w:rPr>
                <w:rFonts w:ascii="Aptos" w:hAnsi="Aptos" w:cs="Arial"/>
                <w:sz w:val="16"/>
                <w:szCs w:val="16"/>
              </w:rPr>
            </w:pPr>
            <w:r w:rsidRPr="00D518FF">
              <w:rPr>
                <w:rFonts w:ascii="Aptos" w:hAnsi="Aptos" w:cs="Arial"/>
                <w:sz w:val="16"/>
                <w:szCs w:val="16"/>
              </w:rPr>
              <w:t>Mah 2021</w:t>
            </w:r>
          </w:p>
        </w:tc>
        <w:tc>
          <w:tcPr>
            <w:tcW w:w="3969" w:type="dxa"/>
            <w:shd w:val="clear" w:color="auto" w:fill="EFFFE9"/>
          </w:tcPr>
          <w:p w14:paraId="2DF6C849" w14:textId="77777777" w:rsidR="00FF3F59" w:rsidRPr="00D518FF" w:rsidRDefault="00FF3F59" w:rsidP="00023E7B">
            <w:pPr>
              <w:rPr>
                <w:rFonts w:ascii="Aptos" w:hAnsi="Aptos" w:cs="Arial"/>
                <w:sz w:val="16"/>
                <w:szCs w:val="16"/>
              </w:rPr>
            </w:pPr>
            <w:r w:rsidRPr="00D518FF">
              <w:rPr>
                <w:rFonts w:ascii="Aptos" w:hAnsi="Aptos" w:cs="Arial"/>
                <w:sz w:val="16"/>
                <w:szCs w:val="16"/>
              </w:rPr>
              <w:t>Oral magnesium supplementation for insomnia in older adults: a Systematic Review &amp; Meta-Analysis</w:t>
            </w:r>
          </w:p>
        </w:tc>
        <w:tc>
          <w:tcPr>
            <w:tcW w:w="2976" w:type="dxa"/>
            <w:shd w:val="clear" w:color="auto" w:fill="EFFFE9"/>
          </w:tcPr>
          <w:p w14:paraId="6F6E7401" w14:textId="77777777" w:rsidR="00FF3F59" w:rsidRPr="00D518FF" w:rsidRDefault="00FF3F59" w:rsidP="00023E7B">
            <w:pPr>
              <w:rPr>
                <w:rFonts w:ascii="Aptos" w:hAnsi="Aptos" w:cs="Arial"/>
                <w:sz w:val="16"/>
                <w:szCs w:val="16"/>
              </w:rPr>
            </w:pPr>
            <w:r w:rsidRPr="00D518FF">
              <w:rPr>
                <w:rFonts w:ascii="Aptos" w:hAnsi="Aptos" w:cs="Arial"/>
                <w:sz w:val="16"/>
                <w:szCs w:val="16"/>
              </w:rPr>
              <w:t>Mah, J.; Pitre, T.</w:t>
            </w:r>
          </w:p>
        </w:tc>
        <w:tc>
          <w:tcPr>
            <w:tcW w:w="567" w:type="dxa"/>
            <w:shd w:val="clear" w:color="auto" w:fill="EFFFE9"/>
          </w:tcPr>
          <w:p w14:paraId="7B65423F" w14:textId="77777777" w:rsidR="00FF3F59" w:rsidRPr="00D518FF" w:rsidRDefault="00FF3F59" w:rsidP="00023E7B">
            <w:pPr>
              <w:rPr>
                <w:rFonts w:ascii="Aptos" w:hAnsi="Aptos" w:cs="Arial"/>
                <w:sz w:val="16"/>
                <w:szCs w:val="16"/>
              </w:rPr>
            </w:pPr>
            <w:r w:rsidRPr="00D518FF">
              <w:rPr>
                <w:rFonts w:ascii="Aptos" w:hAnsi="Aptos" w:cs="Arial"/>
                <w:sz w:val="16"/>
                <w:szCs w:val="16"/>
              </w:rPr>
              <w:t>2021</w:t>
            </w:r>
          </w:p>
        </w:tc>
        <w:tc>
          <w:tcPr>
            <w:tcW w:w="1843" w:type="dxa"/>
            <w:shd w:val="clear" w:color="auto" w:fill="EFFFE9"/>
          </w:tcPr>
          <w:p w14:paraId="76AB5CB3" w14:textId="77777777" w:rsidR="00FF3F59" w:rsidRPr="00D518FF" w:rsidRDefault="00FF3F59" w:rsidP="00023E7B">
            <w:pPr>
              <w:rPr>
                <w:rFonts w:ascii="Aptos" w:hAnsi="Aptos" w:cs="Arial"/>
                <w:sz w:val="16"/>
                <w:szCs w:val="16"/>
              </w:rPr>
            </w:pPr>
            <w:r w:rsidRPr="00D518FF">
              <w:rPr>
                <w:rFonts w:ascii="Aptos" w:hAnsi="Aptos" w:cs="Arial"/>
                <w:sz w:val="16"/>
                <w:szCs w:val="16"/>
              </w:rPr>
              <w:t>BMC Complementary Medicine and Therapies</w:t>
            </w:r>
          </w:p>
        </w:tc>
        <w:tc>
          <w:tcPr>
            <w:tcW w:w="709" w:type="dxa"/>
            <w:shd w:val="clear" w:color="auto" w:fill="EFFFE9"/>
          </w:tcPr>
          <w:p w14:paraId="27103BEF" w14:textId="77777777" w:rsidR="00FF3F59" w:rsidRPr="00D518FF" w:rsidRDefault="00FF3F59" w:rsidP="00023E7B">
            <w:pPr>
              <w:rPr>
                <w:rFonts w:ascii="Aptos" w:hAnsi="Aptos" w:cs="Arial"/>
                <w:sz w:val="16"/>
                <w:szCs w:val="16"/>
              </w:rPr>
            </w:pPr>
            <w:r w:rsidRPr="00D518FF">
              <w:rPr>
                <w:rFonts w:ascii="Aptos" w:hAnsi="Aptos" w:cs="Arial"/>
                <w:sz w:val="16"/>
                <w:szCs w:val="16"/>
              </w:rPr>
              <w:t>21</w:t>
            </w:r>
          </w:p>
        </w:tc>
        <w:tc>
          <w:tcPr>
            <w:tcW w:w="709" w:type="dxa"/>
            <w:shd w:val="clear" w:color="auto" w:fill="EFFFE9"/>
          </w:tcPr>
          <w:p w14:paraId="34D811DF" w14:textId="77777777" w:rsidR="00FF3F59" w:rsidRPr="00D518FF" w:rsidRDefault="00FF3F59" w:rsidP="00023E7B">
            <w:pPr>
              <w:rPr>
                <w:rFonts w:ascii="Aptos" w:hAnsi="Aptos" w:cs="Arial"/>
                <w:sz w:val="16"/>
                <w:szCs w:val="16"/>
              </w:rPr>
            </w:pPr>
            <w:r w:rsidRPr="00D518FF">
              <w:rPr>
                <w:rFonts w:ascii="Aptos" w:hAnsi="Aptos" w:cs="Arial"/>
                <w:sz w:val="16"/>
                <w:szCs w:val="16"/>
              </w:rPr>
              <w:t>1</w:t>
            </w:r>
          </w:p>
        </w:tc>
        <w:tc>
          <w:tcPr>
            <w:tcW w:w="708" w:type="dxa"/>
            <w:shd w:val="clear" w:color="auto" w:fill="EFFFE9"/>
          </w:tcPr>
          <w:p w14:paraId="60326DE1" w14:textId="77777777" w:rsidR="00FF3F59" w:rsidRPr="00D518FF" w:rsidRDefault="00FF3F59" w:rsidP="00023E7B">
            <w:pPr>
              <w:rPr>
                <w:rFonts w:ascii="Aptos" w:hAnsi="Aptos" w:cs="Arial"/>
                <w:sz w:val="16"/>
                <w:szCs w:val="16"/>
              </w:rPr>
            </w:pPr>
            <w:r w:rsidRPr="00D518FF">
              <w:rPr>
                <w:rFonts w:ascii="Aptos" w:hAnsi="Aptos" w:cs="Arial"/>
                <w:sz w:val="16"/>
                <w:szCs w:val="16"/>
              </w:rPr>
              <w:t>125</w:t>
            </w:r>
          </w:p>
        </w:tc>
        <w:tc>
          <w:tcPr>
            <w:tcW w:w="1843" w:type="dxa"/>
            <w:shd w:val="clear" w:color="auto" w:fill="EFFFE9"/>
          </w:tcPr>
          <w:p w14:paraId="09AE30BA" w14:textId="77777777" w:rsidR="00FF3F59" w:rsidRPr="00D518FF" w:rsidRDefault="00FF3F59">
            <w:pPr>
              <w:rPr>
                <w:rFonts w:ascii="Aptos" w:hAnsi="Aptos" w:cs="Arial"/>
                <w:sz w:val="16"/>
                <w:szCs w:val="16"/>
              </w:rPr>
            </w:pPr>
            <w:r w:rsidRPr="00D518FF">
              <w:rPr>
                <w:rFonts w:ascii="Aptos" w:hAnsi="Aptos" w:cs="Arial"/>
                <w:sz w:val="16"/>
                <w:szCs w:val="16"/>
              </w:rPr>
              <w:t>https://dx.doi.org/10.1186/s12906-021-03297-z</w:t>
            </w:r>
          </w:p>
        </w:tc>
      </w:tr>
      <w:tr w:rsidR="00FF3F59" w:rsidRPr="00D518FF" w14:paraId="13BA3F5F" w14:textId="77777777" w:rsidTr="00A6108F">
        <w:trPr>
          <w:trHeight w:val="55"/>
        </w:trPr>
        <w:tc>
          <w:tcPr>
            <w:tcW w:w="988" w:type="dxa"/>
            <w:shd w:val="clear" w:color="auto" w:fill="EFFFE9"/>
          </w:tcPr>
          <w:p w14:paraId="7FFD2A1C" w14:textId="77777777" w:rsidR="00FF3F59" w:rsidRPr="00D518FF" w:rsidRDefault="00FF3F59" w:rsidP="00023E7B">
            <w:pPr>
              <w:rPr>
                <w:rFonts w:ascii="Aptos" w:hAnsi="Aptos" w:cs="Arial"/>
                <w:sz w:val="16"/>
                <w:szCs w:val="16"/>
              </w:rPr>
            </w:pPr>
            <w:r w:rsidRPr="00D518FF">
              <w:rPr>
                <w:rFonts w:ascii="Aptos" w:hAnsi="Aptos" w:cs="Arial"/>
                <w:sz w:val="16"/>
                <w:szCs w:val="16"/>
              </w:rPr>
              <w:t>Samara 2020</w:t>
            </w:r>
          </w:p>
        </w:tc>
        <w:tc>
          <w:tcPr>
            <w:tcW w:w="3969" w:type="dxa"/>
            <w:shd w:val="clear" w:color="auto" w:fill="EFFFE9"/>
          </w:tcPr>
          <w:p w14:paraId="2E456132" w14:textId="77777777" w:rsidR="00FF3F59" w:rsidRPr="00D518FF" w:rsidRDefault="00FF3F59" w:rsidP="00023E7B">
            <w:pPr>
              <w:rPr>
                <w:rFonts w:ascii="Aptos" w:hAnsi="Aptos" w:cs="Arial"/>
                <w:sz w:val="16"/>
                <w:szCs w:val="16"/>
              </w:rPr>
            </w:pPr>
            <w:r w:rsidRPr="00D518FF">
              <w:rPr>
                <w:rFonts w:ascii="Aptos" w:hAnsi="Aptos" w:cs="Arial"/>
                <w:sz w:val="16"/>
                <w:szCs w:val="16"/>
              </w:rPr>
              <w:t>Network meta-analysis of the efficacy and safety of drugs, psychotherapy and other treatments for elderly people with insomnia</w:t>
            </w:r>
          </w:p>
        </w:tc>
        <w:tc>
          <w:tcPr>
            <w:tcW w:w="2976" w:type="dxa"/>
            <w:shd w:val="clear" w:color="auto" w:fill="EFFFE9"/>
          </w:tcPr>
          <w:p w14:paraId="36AE79BB" w14:textId="77777777" w:rsidR="00FF3F59" w:rsidRPr="00D518FF" w:rsidRDefault="00FF3F59" w:rsidP="00023E7B">
            <w:pPr>
              <w:rPr>
                <w:rFonts w:ascii="Aptos" w:hAnsi="Aptos" w:cs="Arial"/>
                <w:sz w:val="16"/>
                <w:szCs w:val="16"/>
              </w:rPr>
            </w:pPr>
            <w:r w:rsidRPr="00D518FF">
              <w:rPr>
                <w:rFonts w:ascii="Aptos" w:hAnsi="Aptos" w:cs="Arial"/>
                <w:sz w:val="16"/>
                <w:szCs w:val="16"/>
              </w:rPr>
              <w:t>Samara, M. T., Huhn, M., Chiocchia, V., Schneider-Thoma, J., Wiegand, M., Salanti, G., &amp; Leucht, S.</w:t>
            </w:r>
          </w:p>
        </w:tc>
        <w:tc>
          <w:tcPr>
            <w:tcW w:w="567" w:type="dxa"/>
            <w:shd w:val="clear" w:color="auto" w:fill="EFFFE9"/>
          </w:tcPr>
          <w:p w14:paraId="5E80C81C" w14:textId="77777777" w:rsidR="00FF3F59" w:rsidRPr="00D518FF" w:rsidRDefault="00FF3F59" w:rsidP="00023E7B">
            <w:pPr>
              <w:rPr>
                <w:rFonts w:ascii="Aptos" w:hAnsi="Aptos" w:cs="Arial"/>
                <w:sz w:val="16"/>
                <w:szCs w:val="16"/>
              </w:rPr>
            </w:pPr>
            <w:r w:rsidRPr="00D518FF">
              <w:rPr>
                <w:rFonts w:ascii="Aptos" w:hAnsi="Aptos" w:cs="Arial"/>
                <w:sz w:val="16"/>
                <w:szCs w:val="16"/>
              </w:rPr>
              <w:t>2020</w:t>
            </w:r>
          </w:p>
        </w:tc>
        <w:tc>
          <w:tcPr>
            <w:tcW w:w="1843" w:type="dxa"/>
            <w:shd w:val="clear" w:color="auto" w:fill="EFFFE9"/>
          </w:tcPr>
          <w:p w14:paraId="0D89B776" w14:textId="77777777" w:rsidR="00FF3F59" w:rsidRPr="00D518FF" w:rsidRDefault="00FF3F59" w:rsidP="00023E7B">
            <w:pPr>
              <w:rPr>
                <w:rFonts w:ascii="Aptos" w:hAnsi="Aptos" w:cs="Arial"/>
                <w:sz w:val="16"/>
                <w:szCs w:val="16"/>
              </w:rPr>
            </w:pPr>
            <w:r w:rsidRPr="00D518FF">
              <w:rPr>
                <w:rFonts w:ascii="Aptos" w:hAnsi="Aptos" w:cs="Arial"/>
                <w:sz w:val="16"/>
                <w:szCs w:val="16"/>
              </w:rPr>
              <w:t>Acta Psychiatr Scand</w:t>
            </w:r>
          </w:p>
        </w:tc>
        <w:tc>
          <w:tcPr>
            <w:tcW w:w="709" w:type="dxa"/>
            <w:shd w:val="clear" w:color="auto" w:fill="EFFFE9"/>
          </w:tcPr>
          <w:p w14:paraId="774FE2CF" w14:textId="77777777" w:rsidR="00FF3F59" w:rsidRPr="00D518FF" w:rsidRDefault="00FF3F59" w:rsidP="00023E7B">
            <w:pPr>
              <w:rPr>
                <w:rFonts w:ascii="Aptos" w:hAnsi="Aptos" w:cs="Arial"/>
                <w:sz w:val="16"/>
                <w:szCs w:val="16"/>
              </w:rPr>
            </w:pPr>
            <w:r w:rsidRPr="00D518FF">
              <w:rPr>
                <w:rFonts w:ascii="Aptos" w:hAnsi="Aptos" w:cs="Arial"/>
                <w:sz w:val="16"/>
                <w:szCs w:val="16"/>
              </w:rPr>
              <w:t>142</w:t>
            </w:r>
          </w:p>
        </w:tc>
        <w:tc>
          <w:tcPr>
            <w:tcW w:w="709" w:type="dxa"/>
            <w:shd w:val="clear" w:color="auto" w:fill="EFFFE9"/>
          </w:tcPr>
          <w:p w14:paraId="4EBD2133" w14:textId="77777777" w:rsidR="00FF3F59" w:rsidRPr="00D518FF" w:rsidRDefault="00FF3F59" w:rsidP="00023E7B">
            <w:pPr>
              <w:rPr>
                <w:rFonts w:ascii="Aptos" w:hAnsi="Aptos" w:cs="Arial"/>
                <w:sz w:val="16"/>
                <w:szCs w:val="16"/>
              </w:rPr>
            </w:pPr>
            <w:r w:rsidRPr="00D518FF">
              <w:rPr>
                <w:rFonts w:ascii="Aptos" w:hAnsi="Aptos" w:cs="Arial"/>
                <w:sz w:val="16"/>
                <w:szCs w:val="16"/>
              </w:rPr>
              <w:t>1</w:t>
            </w:r>
          </w:p>
        </w:tc>
        <w:tc>
          <w:tcPr>
            <w:tcW w:w="708" w:type="dxa"/>
            <w:shd w:val="clear" w:color="auto" w:fill="EFFFE9"/>
          </w:tcPr>
          <w:p w14:paraId="48AF8110" w14:textId="77777777" w:rsidR="00FF3F59" w:rsidRPr="00D518FF" w:rsidRDefault="00FF3F59" w:rsidP="00023E7B">
            <w:pPr>
              <w:rPr>
                <w:rFonts w:ascii="Aptos" w:hAnsi="Aptos" w:cs="Arial"/>
                <w:sz w:val="16"/>
                <w:szCs w:val="16"/>
              </w:rPr>
            </w:pPr>
            <w:r w:rsidRPr="00D518FF">
              <w:rPr>
                <w:rFonts w:ascii="Aptos" w:hAnsi="Aptos" w:cs="Arial"/>
                <w:sz w:val="16"/>
                <w:szCs w:val="16"/>
              </w:rPr>
              <w:t>6-17</w:t>
            </w:r>
          </w:p>
        </w:tc>
        <w:tc>
          <w:tcPr>
            <w:tcW w:w="1843" w:type="dxa"/>
            <w:shd w:val="clear" w:color="auto" w:fill="EFFFE9"/>
          </w:tcPr>
          <w:p w14:paraId="0FF70CFF" w14:textId="77777777" w:rsidR="00FF3F59" w:rsidRPr="00D518FF" w:rsidRDefault="00FF3F59">
            <w:pPr>
              <w:rPr>
                <w:rFonts w:ascii="Aptos" w:hAnsi="Aptos" w:cs="Arial"/>
                <w:sz w:val="16"/>
                <w:szCs w:val="16"/>
              </w:rPr>
            </w:pPr>
            <w:r w:rsidRPr="00D518FF">
              <w:rPr>
                <w:rFonts w:ascii="Aptos" w:hAnsi="Aptos" w:cs="Arial"/>
                <w:sz w:val="16"/>
                <w:szCs w:val="16"/>
              </w:rPr>
              <w:t>10.1111/acps.13201</w:t>
            </w:r>
          </w:p>
        </w:tc>
      </w:tr>
      <w:tr w:rsidR="00FF3F59" w:rsidRPr="00D518FF" w14:paraId="22330676" w14:textId="77777777" w:rsidTr="00A6108F">
        <w:trPr>
          <w:trHeight w:val="55"/>
        </w:trPr>
        <w:tc>
          <w:tcPr>
            <w:tcW w:w="988" w:type="dxa"/>
            <w:shd w:val="clear" w:color="auto" w:fill="EFFFE9"/>
          </w:tcPr>
          <w:p w14:paraId="6B1DE3D8" w14:textId="77777777" w:rsidR="00FF3F59" w:rsidRPr="00D518FF" w:rsidRDefault="00FF3F59" w:rsidP="00023E7B">
            <w:pPr>
              <w:rPr>
                <w:rFonts w:ascii="Aptos" w:hAnsi="Aptos" w:cs="Arial"/>
                <w:sz w:val="16"/>
                <w:szCs w:val="16"/>
              </w:rPr>
            </w:pPr>
            <w:r w:rsidRPr="00D518FF">
              <w:rPr>
                <w:rFonts w:ascii="Aptos" w:hAnsi="Aptos" w:cs="Arial"/>
                <w:sz w:val="16"/>
                <w:szCs w:val="16"/>
              </w:rPr>
              <w:t>Zhan 2023</w:t>
            </w:r>
          </w:p>
        </w:tc>
        <w:tc>
          <w:tcPr>
            <w:tcW w:w="3969" w:type="dxa"/>
            <w:shd w:val="clear" w:color="auto" w:fill="EFFFE9"/>
          </w:tcPr>
          <w:p w14:paraId="74BAC87B" w14:textId="77777777" w:rsidR="00FF3F59" w:rsidRPr="00D518FF" w:rsidRDefault="00FF3F59" w:rsidP="00023E7B">
            <w:pPr>
              <w:rPr>
                <w:rFonts w:ascii="Aptos" w:hAnsi="Aptos" w:cs="Arial"/>
                <w:sz w:val="16"/>
                <w:szCs w:val="16"/>
              </w:rPr>
            </w:pPr>
            <w:r w:rsidRPr="00D518FF">
              <w:rPr>
                <w:rFonts w:ascii="Aptos" w:hAnsi="Aptos" w:cs="Arial"/>
                <w:sz w:val="16"/>
                <w:szCs w:val="16"/>
              </w:rPr>
              <w:t>Comparative efficacy and safety of multiple wake-promoting agents for the treatment of excessive daytime sleepiness in narcolepsy: A network meta-analysis</w:t>
            </w:r>
          </w:p>
        </w:tc>
        <w:tc>
          <w:tcPr>
            <w:tcW w:w="2976" w:type="dxa"/>
            <w:shd w:val="clear" w:color="auto" w:fill="EFFFE9"/>
          </w:tcPr>
          <w:p w14:paraId="3CAA0FFE" w14:textId="77777777" w:rsidR="00FF3F59" w:rsidRPr="00D518FF" w:rsidRDefault="00FF3F59" w:rsidP="00023E7B">
            <w:pPr>
              <w:rPr>
                <w:rFonts w:ascii="Aptos" w:hAnsi="Aptos" w:cs="Arial"/>
                <w:sz w:val="16"/>
                <w:szCs w:val="16"/>
              </w:rPr>
            </w:pPr>
            <w:r w:rsidRPr="00D518FF">
              <w:rPr>
                <w:rFonts w:ascii="Aptos" w:hAnsi="Aptos" w:cs="Arial"/>
                <w:sz w:val="16"/>
                <w:szCs w:val="16"/>
              </w:rPr>
              <w:t>Shuqin Zhan1, Hui Ye2, Ning Li1, Yimeng Zhang1, Yueyang Cheng1, Yuanqing Wang1,3, Shimin Hu 1, Yue Hou1</w:t>
            </w:r>
          </w:p>
        </w:tc>
        <w:tc>
          <w:tcPr>
            <w:tcW w:w="567" w:type="dxa"/>
            <w:shd w:val="clear" w:color="auto" w:fill="EFFFE9"/>
          </w:tcPr>
          <w:p w14:paraId="6334601C" w14:textId="77777777" w:rsidR="00FF3F59" w:rsidRPr="00D518FF" w:rsidRDefault="00FF3F59" w:rsidP="00023E7B">
            <w:pPr>
              <w:rPr>
                <w:rFonts w:ascii="Aptos" w:hAnsi="Aptos" w:cs="Arial"/>
                <w:sz w:val="16"/>
                <w:szCs w:val="16"/>
              </w:rPr>
            </w:pPr>
            <w:r w:rsidRPr="00D518FF">
              <w:rPr>
                <w:rFonts w:ascii="Aptos" w:hAnsi="Aptos" w:cs="Arial"/>
                <w:sz w:val="16"/>
                <w:szCs w:val="16"/>
              </w:rPr>
              <w:t>2023</w:t>
            </w:r>
          </w:p>
        </w:tc>
        <w:tc>
          <w:tcPr>
            <w:tcW w:w="1843" w:type="dxa"/>
            <w:shd w:val="clear" w:color="auto" w:fill="EFFFE9"/>
          </w:tcPr>
          <w:p w14:paraId="6B57EE08" w14:textId="77777777" w:rsidR="00FF3F59" w:rsidRPr="00D518FF" w:rsidRDefault="00FF3F59" w:rsidP="00023E7B">
            <w:pPr>
              <w:rPr>
                <w:rFonts w:ascii="Aptos" w:hAnsi="Aptos" w:cs="Arial"/>
                <w:sz w:val="16"/>
                <w:szCs w:val="16"/>
              </w:rPr>
            </w:pPr>
            <w:r w:rsidRPr="00D518FF">
              <w:rPr>
                <w:rFonts w:ascii="Aptos" w:hAnsi="Aptos" w:cs="Arial"/>
                <w:sz w:val="16"/>
                <w:szCs w:val="16"/>
              </w:rPr>
              <w:t xml:space="preserve">Nature and Science of Sleep </w:t>
            </w:r>
          </w:p>
        </w:tc>
        <w:tc>
          <w:tcPr>
            <w:tcW w:w="709" w:type="dxa"/>
            <w:shd w:val="clear" w:color="auto" w:fill="EFFFE9"/>
          </w:tcPr>
          <w:p w14:paraId="27539D46" w14:textId="77777777" w:rsidR="00FF3F59" w:rsidRPr="00D518FF" w:rsidRDefault="00FF3F59" w:rsidP="00023E7B">
            <w:pPr>
              <w:rPr>
                <w:rFonts w:ascii="Aptos" w:hAnsi="Aptos" w:cs="Arial"/>
                <w:sz w:val="16"/>
                <w:szCs w:val="16"/>
              </w:rPr>
            </w:pPr>
            <w:r w:rsidRPr="00D518FF">
              <w:rPr>
                <w:rFonts w:ascii="Aptos" w:hAnsi="Aptos" w:cs="Arial"/>
                <w:sz w:val="16"/>
                <w:szCs w:val="16"/>
              </w:rPr>
              <w:t>15</w:t>
            </w:r>
          </w:p>
        </w:tc>
        <w:tc>
          <w:tcPr>
            <w:tcW w:w="709" w:type="dxa"/>
            <w:shd w:val="clear" w:color="auto" w:fill="EFFFE9"/>
          </w:tcPr>
          <w:p w14:paraId="4DC53D5A" w14:textId="77777777" w:rsidR="00FF3F59" w:rsidRPr="00D518FF" w:rsidRDefault="00FF3F59" w:rsidP="00023E7B">
            <w:pPr>
              <w:rPr>
                <w:rFonts w:ascii="Aptos" w:hAnsi="Aptos" w:cs="Arial"/>
                <w:sz w:val="16"/>
                <w:szCs w:val="16"/>
              </w:rPr>
            </w:pPr>
          </w:p>
        </w:tc>
        <w:tc>
          <w:tcPr>
            <w:tcW w:w="708" w:type="dxa"/>
            <w:shd w:val="clear" w:color="auto" w:fill="EFFFE9"/>
          </w:tcPr>
          <w:p w14:paraId="22CF8502" w14:textId="77777777" w:rsidR="00FF3F59" w:rsidRPr="00D518FF" w:rsidRDefault="00FF3F59" w:rsidP="00023E7B">
            <w:pPr>
              <w:rPr>
                <w:rFonts w:ascii="Aptos" w:hAnsi="Aptos" w:cs="Arial"/>
                <w:sz w:val="16"/>
                <w:szCs w:val="16"/>
              </w:rPr>
            </w:pPr>
            <w:r w:rsidRPr="00D518FF">
              <w:rPr>
                <w:rFonts w:ascii="Aptos" w:hAnsi="Aptos" w:cs="Arial"/>
                <w:sz w:val="16"/>
                <w:szCs w:val="16"/>
              </w:rPr>
              <w:t>217-230</w:t>
            </w:r>
          </w:p>
        </w:tc>
        <w:tc>
          <w:tcPr>
            <w:tcW w:w="1843" w:type="dxa"/>
            <w:shd w:val="clear" w:color="auto" w:fill="EFFFE9"/>
          </w:tcPr>
          <w:p w14:paraId="0E2E5301" w14:textId="77777777" w:rsidR="00FF3F59" w:rsidRPr="00D518FF" w:rsidRDefault="00FF3F59">
            <w:pPr>
              <w:rPr>
                <w:rFonts w:ascii="Aptos" w:hAnsi="Aptos" w:cs="Arial"/>
                <w:sz w:val="16"/>
                <w:szCs w:val="16"/>
              </w:rPr>
            </w:pPr>
            <w:r w:rsidRPr="00D518FF">
              <w:rPr>
                <w:rFonts w:ascii="Aptos" w:hAnsi="Aptos" w:cs="Arial"/>
                <w:sz w:val="16"/>
                <w:szCs w:val="16"/>
              </w:rPr>
              <w:t>10.2147/NSS.S404113</w:t>
            </w:r>
          </w:p>
        </w:tc>
      </w:tr>
    </w:tbl>
    <w:p w14:paraId="1A8BA015" w14:textId="77777777" w:rsidR="00FF3F59" w:rsidRPr="00D518FF" w:rsidRDefault="00FF3F59" w:rsidP="00FF3F59">
      <w:pPr>
        <w:pStyle w:val="2024TABLECAPTION"/>
        <w:spacing w:before="120"/>
        <w:rPr>
          <w:rFonts w:ascii="Aptos" w:hAnsi="Aptos"/>
        </w:rPr>
      </w:pPr>
    </w:p>
    <w:p w14:paraId="14D6CD6E" w14:textId="0C45CA83" w:rsidR="00C657B9" w:rsidRPr="004C6AA1" w:rsidRDefault="00C657B9" w:rsidP="004C6AA1">
      <w:pPr>
        <w:pStyle w:val="Caption"/>
        <w:spacing w:before="240"/>
        <w:rPr>
          <w:rFonts w:ascii="Aptos" w:hAnsi="Aptos"/>
        </w:rPr>
      </w:pPr>
      <w:bookmarkStart w:id="149" w:name="_Toc185254553"/>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7</w:t>
      </w:r>
      <w:r w:rsidR="00DC4767" w:rsidRPr="004C6AA1">
        <w:rPr>
          <w:rFonts w:ascii="Aptos" w:hAnsi="Aptos"/>
        </w:rPr>
        <w:fldChar w:fldCharType="end"/>
      </w:r>
      <w:r w:rsidRPr="004C6AA1">
        <w:rPr>
          <w:rFonts w:ascii="Aptos" w:hAnsi="Aptos"/>
        </w:rPr>
        <w:t xml:space="preserve">. </w:t>
      </w:r>
      <w:r w:rsidRPr="00D518FF">
        <w:rPr>
          <w:rFonts w:ascii="Aptos" w:hAnsi="Aptos"/>
        </w:rPr>
        <w:t>Characteristics of included reviews – Insomnia/sleeping disorders, magnesium</w:t>
      </w:r>
      <w:r w:rsidR="00A6108F">
        <w:rPr>
          <w:rFonts w:ascii="Aptos" w:hAnsi="Aptos"/>
        </w:rPr>
        <w:t xml:space="preserve"> (n=4)</w:t>
      </w:r>
      <w:r>
        <w:rPr>
          <w:rFonts w:ascii="Aptos" w:hAnsi="Aptos"/>
        </w:rPr>
        <w:t>.</w:t>
      </w:r>
      <w:bookmarkEnd w:id="149"/>
    </w:p>
    <w:tbl>
      <w:tblPr>
        <w:tblStyle w:val="TableGrid"/>
        <w:tblW w:w="14170" w:type="dxa"/>
        <w:tblLayout w:type="fixed"/>
        <w:tblCellMar>
          <w:top w:w="28" w:type="dxa"/>
          <w:left w:w="57" w:type="dxa"/>
          <w:bottom w:w="28" w:type="dxa"/>
          <w:right w:w="0" w:type="dxa"/>
        </w:tblCellMar>
        <w:tblLook w:val="04A0" w:firstRow="1" w:lastRow="0" w:firstColumn="1" w:lastColumn="0" w:noHBand="0" w:noVBand="1"/>
      </w:tblPr>
      <w:tblGrid>
        <w:gridCol w:w="706"/>
        <w:gridCol w:w="954"/>
        <w:gridCol w:w="1556"/>
        <w:gridCol w:w="811"/>
        <w:gridCol w:w="934"/>
        <w:gridCol w:w="934"/>
        <w:gridCol w:w="1400"/>
        <w:gridCol w:w="830"/>
        <w:gridCol w:w="1067"/>
        <w:gridCol w:w="868"/>
        <w:gridCol w:w="992"/>
        <w:gridCol w:w="1134"/>
        <w:gridCol w:w="1984"/>
      </w:tblGrid>
      <w:tr w:rsidR="00F306BC" w:rsidRPr="00D518FF" w14:paraId="2D582D18" w14:textId="77777777" w:rsidTr="003D0A3C">
        <w:trPr>
          <w:trHeight w:val="163"/>
        </w:trPr>
        <w:tc>
          <w:tcPr>
            <w:tcW w:w="706" w:type="dxa"/>
            <w:vMerge w:val="restart"/>
            <w:shd w:val="clear" w:color="auto" w:fill="D9D9D9" w:themeFill="background1" w:themeFillShade="D9"/>
          </w:tcPr>
          <w:p w14:paraId="3E504A07" w14:textId="77777777" w:rsidR="005D73EA" w:rsidRPr="00D518FF" w:rsidRDefault="005D73EA" w:rsidP="003D0A3C">
            <w:pPr>
              <w:pStyle w:val="2024TABLEHEADER"/>
              <w:spacing w:before="0" w:after="0" w:line="240" w:lineRule="auto"/>
              <w:rPr>
                <w:sz w:val="16"/>
                <w:szCs w:val="16"/>
              </w:rPr>
            </w:pPr>
            <w:r w:rsidRPr="00D518FF">
              <w:rPr>
                <w:sz w:val="16"/>
                <w:szCs w:val="16"/>
              </w:rPr>
              <w:t>Review ID</w:t>
            </w:r>
          </w:p>
        </w:tc>
        <w:tc>
          <w:tcPr>
            <w:tcW w:w="4255" w:type="dxa"/>
            <w:gridSpan w:val="4"/>
            <w:shd w:val="clear" w:color="auto" w:fill="D9D9D9" w:themeFill="background1" w:themeFillShade="D9"/>
          </w:tcPr>
          <w:p w14:paraId="2934D4AC" w14:textId="77777777" w:rsidR="005D73EA" w:rsidRPr="00D518FF" w:rsidRDefault="005D73EA" w:rsidP="003D0A3C">
            <w:pPr>
              <w:pStyle w:val="2024TABLEHEADER"/>
              <w:spacing w:before="0" w:after="0" w:line="240" w:lineRule="auto"/>
              <w:rPr>
                <w:sz w:val="16"/>
                <w:szCs w:val="16"/>
              </w:rPr>
            </w:pPr>
            <w:r w:rsidRPr="00D518FF">
              <w:rPr>
                <w:sz w:val="16"/>
                <w:szCs w:val="16"/>
              </w:rPr>
              <w:t>Review details</w:t>
            </w:r>
          </w:p>
        </w:tc>
        <w:tc>
          <w:tcPr>
            <w:tcW w:w="4231" w:type="dxa"/>
            <w:gridSpan w:val="4"/>
            <w:shd w:val="clear" w:color="auto" w:fill="D9D9D9" w:themeFill="background1" w:themeFillShade="D9"/>
          </w:tcPr>
          <w:p w14:paraId="6ACF9410" w14:textId="77777777" w:rsidR="005D73EA" w:rsidRPr="00D518FF" w:rsidRDefault="005D73EA" w:rsidP="003D0A3C">
            <w:pPr>
              <w:pStyle w:val="2024TABLEHEADER"/>
              <w:spacing w:before="0" w:after="0" w:line="240" w:lineRule="auto"/>
              <w:rPr>
                <w:sz w:val="16"/>
                <w:szCs w:val="16"/>
              </w:rPr>
            </w:pPr>
            <w:r w:rsidRPr="00D518FF">
              <w:rPr>
                <w:sz w:val="16"/>
                <w:szCs w:val="16"/>
              </w:rPr>
              <w:t>Search details</w:t>
            </w:r>
          </w:p>
        </w:tc>
        <w:tc>
          <w:tcPr>
            <w:tcW w:w="1860" w:type="dxa"/>
            <w:gridSpan w:val="2"/>
            <w:shd w:val="clear" w:color="auto" w:fill="D9D9D9" w:themeFill="background1" w:themeFillShade="D9"/>
          </w:tcPr>
          <w:p w14:paraId="387011E4" w14:textId="77777777" w:rsidR="005D73EA" w:rsidRPr="00D518FF" w:rsidRDefault="005D73EA" w:rsidP="003D0A3C">
            <w:pPr>
              <w:pStyle w:val="2024TABLEHEADER"/>
              <w:spacing w:before="0" w:after="0" w:line="240" w:lineRule="auto"/>
              <w:rPr>
                <w:sz w:val="16"/>
                <w:szCs w:val="16"/>
              </w:rPr>
            </w:pPr>
            <w:r w:rsidRPr="00D518FF">
              <w:rPr>
                <w:sz w:val="16"/>
                <w:szCs w:val="16"/>
              </w:rPr>
              <w:t>Quality assessment</w:t>
            </w:r>
          </w:p>
        </w:tc>
        <w:tc>
          <w:tcPr>
            <w:tcW w:w="3118" w:type="dxa"/>
            <w:gridSpan w:val="2"/>
            <w:shd w:val="clear" w:color="auto" w:fill="D9D9D9" w:themeFill="background1" w:themeFillShade="D9"/>
          </w:tcPr>
          <w:p w14:paraId="3E6B16D8" w14:textId="77777777" w:rsidR="005D73EA" w:rsidRPr="00D518FF" w:rsidRDefault="005D73EA" w:rsidP="003D0A3C">
            <w:pPr>
              <w:pStyle w:val="2024TABLEHEADER"/>
              <w:spacing w:before="0" w:after="0" w:line="240" w:lineRule="auto"/>
              <w:rPr>
                <w:sz w:val="16"/>
                <w:szCs w:val="16"/>
              </w:rPr>
            </w:pPr>
            <w:r w:rsidRPr="00D518FF">
              <w:rPr>
                <w:sz w:val="16"/>
                <w:szCs w:val="16"/>
              </w:rPr>
              <w:t>Other</w:t>
            </w:r>
          </w:p>
        </w:tc>
      </w:tr>
      <w:tr w:rsidR="00F274FE" w:rsidRPr="00D518FF" w14:paraId="6BCB6F4C" w14:textId="77777777" w:rsidTr="003D0A3C">
        <w:trPr>
          <w:trHeight w:val="163"/>
        </w:trPr>
        <w:tc>
          <w:tcPr>
            <w:tcW w:w="706" w:type="dxa"/>
            <w:vMerge/>
            <w:shd w:val="clear" w:color="auto" w:fill="D9D9D9" w:themeFill="background1" w:themeFillShade="D9"/>
          </w:tcPr>
          <w:p w14:paraId="2AC6B648" w14:textId="77777777" w:rsidR="005D73EA" w:rsidRPr="00D518FF" w:rsidRDefault="005D73EA" w:rsidP="003D0A3C">
            <w:pPr>
              <w:pStyle w:val="Caption1"/>
              <w:spacing w:before="0" w:after="0"/>
              <w:rPr>
                <w:rFonts w:ascii="Aptos" w:hAnsi="Aptos"/>
                <w:sz w:val="16"/>
                <w:szCs w:val="16"/>
              </w:rPr>
            </w:pPr>
          </w:p>
        </w:tc>
        <w:tc>
          <w:tcPr>
            <w:tcW w:w="954" w:type="dxa"/>
            <w:shd w:val="clear" w:color="auto" w:fill="D9D9D9" w:themeFill="background1" w:themeFillShade="D9"/>
          </w:tcPr>
          <w:p w14:paraId="244BA35A" w14:textId="77777777" w:rsidR="005D73EA" w:rsidRPr="00D518FF" w:rsidRDefault="005D73EA" w:rsidP="003D0A3C">
            <w:pPr>
              <w:pStyle w:val="Caption1"/>
              <w:spacing w:before="0" w:after="0"/>
              <w:rPr>
                <w:rFonts w:ascii="Aptos" w:hAnsi="Aptos"/>
                <w:sz w:val="16"/>
                <w:szCs w:val="16"/>
              </w:rPr>
            </w:pPr>
            <w:r w:rsidRPr="00D518FF">
              <w:rPr>
                <w:rFonts w:ascii="Aptos" w:hAnsi="Aptos"/>
                <w:sz w:val="16"/>
                <w:szCs w:val="16"/>
              </w:rPr>
              <w:t>Review design</w:t>
            </w:r>
          </w:p>
        </w:tc>
        <w:tc>
          <w:tcPr>
            <w:tcW w:w="1556" w:type="dxa"/>
            <w:shd w:val="clear" w:color="auto" w:fill="D9D9D9" w:themeFill="background1" w:themeFillShade="D9"/>
          </w:tcPr>
          <w:p w14:paraId="04C67A35" w14:textId="77777777" w:rsidR="005D73EA" w:rsidRPr="00D518FF" w:rsidRDefault="005D73EA" w:rsidP="003D0A3C">
            <w:pPr>
              <w:pStyle w:val="2024TABLEHEADER"/>
              <w:spacing w:before="0" w:after="0" w:line="240" w:lineRule="auto"/>
              <w:rPr>
                <w:sz w:val="16"/>
                <w:szCs w:val="16"/>
              </w:rPr>
            </w:pPr>
            <w:r w:rsidRPr="00D518FF">
              <w:rPr>
                <w:sz w:val="16"/>
                <w:szCs w:val="16"/>
              </w:rPr>
              <w:t>Aim of the review (as reported by the SR)</w:t>
            </w:r>
          </w:p>
        </w:tc>
        <w:tc>
          <w:tcPr>
            <w:tcW w:w="811" w:type="dxa"/>
            <w:shd w:val="clear" w:color="auto" w:fill="D9D9D9" w:themeFill="background1" w:themeFillShade="D9"/>
          </w:tcPr>
          <w:p w14:paraId="4D4AF3CF" w14:textId="77777777" w:rsidR="005D73EA" w:rsidRPr="00D518FF" w:rsidRDefault="005D73EA" w:rsidP="003D0A3C">
            <w:pPr>
              <w:pStyle w:val="2024TABLEHEADER"/>
              <w:spacing w:before="0" w:after="0" w:line="240" w:lineRule="auto"/>
              <w:rPr>
                <w:sz w:val="16"/>
                <w:szCs w:val="16"/>
              </w:rPr>
            </w:pPr>
            <w:r w:rsidRPr="00D518FF">
              <w:rPr>
                <w:sz w:val="16"/>
                <w:szCs w:val="16"/>
              </w:rPr>
              <w:t>Types of studies included</w:t>
            </w:r>
          </w:p>
        </w:tc>
        <w:tc>
          <w:tcPr>
            <w:tcW w:w="934" w:type="dxa"/>
            <w:shd w:val="clear" w:color="auto" w:fill="D9D9D9" w:themeFill="background1" w:themeFillShade="D9"/>
          </w:tcPr>
          <w:p w14:paraId="4F781AA6" w14:textId="7103E9C3" w:rsidR="005D73EA" w:rsidRPr="00D518FF" w:rsidRDefault="005D73EA" w:rsidP="003D0A3C">
            <w:pPr>
              <w:pStyle w:val="2024TABLEHEADER"/>
              <w:spacing w:before="0" w:after="0" w:line="240" w:lineRule="auto"/>
              <w:rPr>
                <w:sz w:val="16"/>
                <w:szCs w:val="16"/>
              </w:rPr>
            </w:pPr>
            <w:r w:rsidRPr="00D518FF">
              <w:rPr>
                <w:sz w:val="16"/>
                <w:szCs w:val="16"/>
              </w:rPr>
              <w:t>Outcomes relevant to the Overview^</w:t>
            </w:r>
          </w:p>
        </w:tc>
        <w:tc>
          <w:tcPr>
            <w:tcW w:w="934" w:type="dxa"/>
            <w:shd w:val="clear" w:color="auto" w:fill="D9D9D9" w:themeFill="background1" w:themeFillShade="D9"/>
          </w:tcPr>
          <w:p w14:paraId="4DA332F6" w14:textId="77777777" w:rsidR="005D73EA" w:rsidRPr="00D518FF" w:rsidRDefault="005D73EA" w:rsidP="003D0A3C">
            <w:pPr>
              <w:pStyle w:val="2024TABLEHEADER"/>
              <w:spacing w:before="0" w:after="0" w:line="240" w:lineRule="auto"/>
              <w:rPr>
                <w:sz w:val="16"/>
                <w:szCs w:val="16"/>
              </w:rPr>
            </w:pPr>
            <w:r w:rsidRPr="00D518FF">
              <w:rPr>
                <w:sz w:val="16"/>
                <w:szCs w:val="16"/>
              </w:rPr>
              <w:t># of databases searched</w:t>
            </w:r>
          </w:p>
        </w:tc>
        <w:tc>
          <w:tcPr>
            <w:tcW w:w="1400" w:type="dxa"/>
            <w:shd w:val="clear" w:color="auto" w:fill="D9D9D9" w:themeFill="background1" w:themeFillShade="D9"/>
          </w:tcPr>
          <w:p w14:paraId="08E6ED59" w14:textId="77777777" w:rsidR="005D73EA" w:rsidRPr="00D518FF" w:rsidRDefault="005D73EA" w:rsidP="003D0A3C">
            <w:pPr>
              <w:pStyle w:val="2024TABLEHEADER"/>
              <w:spacing w:before="0" w:after="0" w:line="240" w:lineRule="auto"/>
              <w:rPr>
                <w:sz w:val="16"/>
                <w:szCs w:val="16"/>
              </w:rPr>
            </w:pPr>
            <w:r w:rsidRPr="00D518FF">
              <w:rPr>
                <w:sz w:val="16"/>
                <w:szCs w:val="16"/>
              </w:rPr>
              <w:t>Names of databases searched</w:t>
            </w:r>
          </w:p>
        </w:tc>
        <w:tc>
          <w:tcPr>
            <w:tcW w:w="830" w:type="dxa"/>
            <w:shd w:val="clear" w:color="auto" w:fill="D9D9D9" w:themeFill="background1" w:themeFillShade="D9"/>
          </w:tcPr>
          <w:p w14:paraId="1E2C2AFA" w14:textId="77777777" w:rsidR="005D73EA" w:rsidRPr="00D518FF" w:rsidRDefault="005D73EA" w:rsidP="003D0A3C">
            <w:pPr>
              <w:pStyle w:val="2024TABLEHEADER"/>
              <w:spacing w:before="0" w:after="0" w:line="240" w:lineRule="auto"/>
              <w:rPr>
                <w:sz w:val="16"/>
                <w:szCs w:val="16"/>
              </w:rPr>
            </w:pPr>
            <w:r w:rsidRPr="00D518FF">
              <w:rPr>
                <w:sz w:val="16"/>
                <w:szCs w:val="16"/>
              </w:rPr>
              <w:t>Date of last search</w:t>
            </w:r>
          </w:p>
        </w:tc>
        <w:tc>
          <w:tcPr>
            <w:tcW w:w="1067" w:type="dxa"/>
            <w:shd w:val="clear" w:color="auto" w:fill="D9D9D9" w:themeFill="background1" w:themeFillShade="D9"/>
          </w:tcPr>
          <w:p w14:paraId="1F7982C7" w14:textId="77777777" w:rsidR="005D73EA" w:rsidRPr="00D518FF" w:rsidRDefault="005D73EA" w:rsidP="003D0A3C">
            <w:pPr>
              <w:pStyle w:val="2024TABLEHEADER"/>
              <w:spacing w:before="0" w:after="0" w:line="240" w:lineRule="auto"/>
              <w:rPr>
                <w:sz w:val="16"/>
                <w:szCs w:val="16"/>
              </w:rPr>
            </w:pPr>
            <w:r w:rsidRPr="00D518FF">
              <w:rPr>
                <w:sz w:val="16"/>
                <w:szCs w:val="16"/>
              </w:rPr>
              <w:t xml:space="preserve">Search restrictions </w:t>
            </w:r>
          </w:p>
        </w:tc>
        <w:tc>
          <w:tcPr>
            <w:tcW w:w="868" w:type="dxa"/>
            <w:shd w:val="clear" w:color="auto" w:fill="D9D9D9" w:themeFill="background1" w:themeFillShade="D9"/>
          </w:tcPr>
          <w:p w14:paraId="139ACA7D" w14:textId="77777777" w:rsidR="005D73EA" w:rsidRPr="00D518FF" w:rsidRDefault="005D73EA" w:rsidP="003D0A3C">
            <w:pPr>
              <w:pStyle w:val="2024TABLEHEADER"/>
              <w:spacing w:before="0" w:after="0" w:line="240" w:lineRule="auto"/>
              <w:rPr>
                <w:sz w:val="16"/>
                <w:szCs w:val="16"/>
              </w:rPr>
            </w:pPr>
            <w:r w:rsidRPr="00D518FF">
              <w:rPr>
                <w:sz w:val="16"/>
                <w:szCs w:val="16"/>
              </w:rPr>
              <w:t>RoB tool used</w:t>
            </w:r>
          </w:p>
        </w:tc>
        <w:tc>
          <w:tcPr>
            <w:tcW w:w="992" w:type="dxa"/>
            <w:shd w:val="clear" w:color="auto" w:fill="D9D9D9" w:themeFill="background1" w:themeFillShade="D9"/>
          </w:tcPr>
          <w:p w14:paraId="3456C7BF" w14:textId="77777777" w:rsidR="005D73EA" w:rsidRPr="00D518FF" w:rsidRDefault="005D73EA" w:rsidP="003D0A3C">
            <w:pPr>
              <w:pStyle w:val="2024TABLEHEADER"/>
              <w:spacing w:before="0" w:after="0" w:line="240" w:lineRule="auto"/>
              <w:rPr>
                <w:sz w:val="16"/>
                <w:szCs w:val="16"/>
              </w:rPr>
            </w:pPr>
            <w:r w:rsidRPr="00D518FF">
              <w:rPr>
                <w:sz w:val="16"/>
                <w:szCs w:val="16"/>
              </w:rPr>
              <w:t>Certainty of evidence reported</w:t>
            </w:r>
          </w:p>
        </w:tc>
        <w:tc>
          <w:tcPr>
            <w:tcW w:w="1134" w:type="dxa"/>
            <w:shd w:val="clear" w:color="auto" w:fill="D9D9D9" w:themeFill="background1" w:themeFillShade="D9"/>
          </w:tcPr>
          <w:p w14:paraId="0039B5EB" w14:textId="77777777" w:rsidR="005D73EA" w:rsidRPr="00D518FF" w:rsidRDefault="005D73EA" w:rsidP="003D0A3C">
            <w:pPr>
              <w:pStyle w:val="2024TABLEHEADER"/>
              <w:spacing w:before="0" w:after="0" w:line="240" w:lineRule="auto"/>
              <w:rPr>
                <w:sz w:val="16"/>
                <w:szCs w:val="16"/>
              </w:rPr>
            </w:pPr>
            <w:r w:rsidRPr="00D518FF">
              <w:rPr>
                <w:sz w:val="16"/>
                <w:szCs w:val="16"/>
              </w:rPr>
              <w:t>Conflicts of interest</w:t>
            </w:r>
          </w:p>
        </w:tc>
        <w:tc>
          <w:tcPr>
            <w:tcW w:w="1984" w:type="dxa"/>
            <w:shd w:val="clear" w:color="auto" w:fill="D9D9D9" w:themeFill="background1" w:themeFillShade="D9"/>
          </w:tcPr>
          <w:p w14:paraId="4104AF72" w14:textId="77777777" w:rsidR="005D73EA" w:rsidRPr="00D518FF" w:rsidRDefault="005D73EA" w:rsidP="003D0A3C">
            <w:pPr>
              <w:pStyle w:val="2024TABLEHEADER"/>
              <w:spacing w:before="0" w:after="0" w:line="240" w:lineRule="auto"/>
              <w:rPr>
                <w:sz w:val="16"/>
                <w:szCs w:val="16"/>
              </w:rPr>
            </w:pPr>
            <w:r w:rsidRPr="00D518FF">
              <w:rPr>
                <w:sz w:val="16"/>
                <w:szCs w:val="16"/>
              </w:rPr>
              <w:t>Funding sources</w:t>
            </w:r>
          </w:p>
        </w:tc>
      </w:tr>
      <w:tr w:rsidR="00F306BC" w:rsidRPr="00D518FF" w14:paraId="2A99531C" w14:textId="77777777" w:rsidTr="003D0A3C">
        <w:trPr>
          <w:trHeight w:val="345"/>
        </w:trPr>
        <w:tc>
          <w:tcPr>
            <w:tcW w:w="706" w:type="dxa"/>
          </w:tcPr>
          <w:p w14:paraId="76799863" w14:textId="527C5F5F"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Chan 2021</w:t>
            </w:r>
          </w:p>
        </w:tc>
        <w:tc>
          <w:tcPr>
            <w:tcW w:w="954" w:type="dxa"/>
          </w:tcPr>
          <w:p w14:paraId="31D80FD1" w14:textId="445A6269"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Systematic review and meta-analysis</w:t>
            </w:r>
          </w:p>
        </w:tc>
        <w:tc>
          <w:tcPr>
            <w:tcW w:w="1556" w:type="dxa"/>
          </w:tcPr>
          <w:p w14:paraId="48E39686" w14:textId="21654D02"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 xml:space="preserve">To summarise up-to-date research evidence and to identify the types of </w:t>
            </w:r>
            <w:r w:rsidRPr="00D518FF">
              <w:rPr>
                <w:sz w:val="16"/>
                <w:szCs w:val="16"/>
              </w:rPr>
              <w:lastRenderedPageBreak/>
              <w:t>dietary supplement that improve subjective sleep quality.</w:t>
            </w:r>
          </w:p>
        </w:tc>
        <w:tc>
          <w:tcPr>
            <w:tcW w:w="811" w:type="dxa"/>
          </w:tcPr>
          <w:p w14:paraId="5E126519" w14:textId="72927FC0"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lastRenderedPageBreak/>
              <w:t>RCTs</w:t>
            </w:r>
          </w:p>
        </w:tc>
        <w:tc>
          <w:tcPr>
            <w:tcW w:w="934" w:type="dxa"/>
          </w:tcPr>
          <w:p w14:paraId="02BD68CC" w14:textId="2CD0506D"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2</w:t>
            </w:r>
          </w:p>
        </w:tc>
        <w:tc>
          <w:tcPr>
            <w:tcW w:w="934" w:type="dxa"/>
          </w:tcPr>
          <w:p w14:paraId="3769FF20" w14:textId="75D51B4E"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4</w:t>
            </w:r>
          </w:p>
        </w:tc>
        <w:tc>
          <w:tcPr>
            <w:tcW w:w="1400" w:type="dxa"/>
          </w:tcPr>
          <w:p w14:paraId="786D3E20" w14:textId="26562C01"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Ovid Emcare, Ovid MEDLINE (R) and Epub Ahead of Print, In-</w:t>
            </w:r>
            <w:r w:rsidRPr="00D518FF">
              <w:rPr>
                <w:sz w:val="16"/>
                <w:szCs w:val="16"/>
              </w:rPr>
              <w:lastRenderedPageBreak/>
              <w:t>Process &amp; Other Non-Indexed Citations, APA PsycINFO</w:t>
            </w:r>
          </w:p>
        </w:tc>
        <w:tc>
          <w:tcPr>
            <w:tcW w:w="830" w:type="dxa"/>
          </w:tcPr>
          <w:p w14:paraId="11F537C1" w14:textId="647A1C08"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lastRenderedPageBreak/>
              <w:t>Jun 2020</w:t>
            </w:r>
          </w:p>
        </w:tc>
        <w:tc>
          <w:tcPr>
            <w:tcW w:w="1067" w:type="dxa"/>
          </w:tcPr>
          <w:p w14:paraId="0768B0C6" w14:textId="75F26BCE"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NR</w:t>
            </w:r>
          </w:p>
        </w:tc>
        <w:tc>
          <w:tcPr>
            <w:tcW w:w="868" w:type="dxa"/>
          </w:tcPr>
          <w:p w14:paraId="56523E3F" w14:textId="77DC17E9"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992" w:type="dxa"/>
          </w:tcPr>
          <w:p w14:paraId="2C2AD812" w14:textId="25CCFF97"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Not conducted</w:t>
            </w:r>
          </w:p>
        </w:tc>
        <w:tc>
          <w:tcPr>
            <w:tcW w:w="1134" w:type="dxa"/>
          </w:tcPr>
          <w:p w14:paraId="02AFF493" w14:textId="447610F5"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None declared</w:t>
            </w:r>
          </w:p>
        </w:tc>
        <w:tc>
          <w:tcPr>
            <w:tcW w:w="1984" w:type="dxa"/>
          </w:tcPr>
          <w:p w14:paraId="33464A33" w14:textId="00755D53"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 xml:space="preserve">The authors have not declared a specific grant for this research from any funding agency in the </w:t>
            </w:r>
            <w:r w:rsidRPr="00D518FF">
              <w:rPr>
                <w:sz w:val="16"/>
                <w:szCs w:val="16"/>
              </w:rPr>
              <w:lastRenderedPageBreak/>
              <w:t xml:space="preserve">public, commercial or not-for-profit sectors. </w:t>
            </w:r>
          </w:p>
        </w:tc>
      </w:tr>
      <w:tr w:rsidR="00F306BC" w:rsidRPr="00D518FF" w14:paraId="1C6448EB" w14:textId="77777777" w:rsidTr="00A6108F">
        <w:trPr>
          <w:trHeight w:val="646"/>
        </w:trPr>
        <w:tc>
          <w:tcPr>
            <w:tcW w:w="706" w:type="dxa"/>
            <w:shd w:val="clear" w:color="auto" w:fill="EFFFE9"/>
          </w:tcPr>
          <w:p w14:paraId="571615B6" w14:textId="08638F04"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lastRenderedPageBreak/>
              <w:t>Mah 2021</w:t>
            </w:r>
          </w:p>
        </w:tc>
        <w:tc>
          <w:tcPr>
            <w:tcW w:w="954" w:type="dxa"/>
            <w:shd w:val="clear" w:color="auto" w:fill="EFFFE9"/>
          </w:tcPr>
          <w:p w14:paraId="054BDE55" w14:textId="072DCC7D"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Systematic review and meta-analysis</w:t>
            </w:r>
          </w:p>
        </w:tc>
        <w:tc>
          <w:tcPr>
            <w:tcW w:w="1556" w:type="dxa"/>
            <w:shd w:val="clear" w:color="auto" w:fill="EFFFE9"/>
          </w:tcPr>
          <w:p w14:paraId="4A9D15FB" w14:textId="55F0265E"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To assess the effects and safety of oral magnesium supplementation for older adults with insomnia.</w:t>
            </w:r>
          </w:p>
        </w:tc>
        <w:tc>
          <w:tcPr>
            <w:tcW w:w="811" w:type="dxa"/>
            <w:shd w:val="clear" w:color="auto" w:fill="EFFFE9"/>
          </w:tcPr>
          <w:p w14:paraId="07611361" w14:textId="0A4DAB6D"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RCTs</w:t>
            </w:r>
          </w:p>
        </w:tc>
        <w:tc>
          <w:tcPr>
            <w:tcW w:w="934" w:type="dxa"/>
            <w:shd w:val="clear" w:color="auto" w:fill="EFFFE9"/>
          </w:tcPr>
          <w:p w14:paraId="323137DF" w14:textId="6FE3F050"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1, 2, 4</w:t>
            </w:r>
          </w:p>
        </w:tc>
        <w:tc>
          <w:tcPr>
            <w:tcW w:w="934" w:type="dxa"/>
            <w:shd w:val="clear" w:color="auto" w:fill="EFFFE9"/>
          </w:tcPr>
          <w:p w14:paraId="2539325E" w14:textId="701EA8E8"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6</w:t>
            </w:r>
          </w:p>
        </w:tc>
        <w:tc>
          <w:tcPr>
            <w:tcW w:w="1400" w:type="dxa"/>
            <w:shd w:val="clear" w:color="auto" w:fill="EFFFE9"/>
          </w:tcPr>
          <w:p w14:paraId="1E4DF726" w14:textId="6342BBD9"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MEDLINE, EMBASE, Allied and Complementary Medicine, clinicaltrials.gov</w:t>
            </w:r>
          </w:p>
        </w:tc>
        <w:tc>
          <w:tcPr>
            <w:tcW w:w="830" w:type="dxa"/>
            <w:shd w:val="clear" w:color="auto" w:fill="EFFFE9"/>
          </w:tcPr>
          <w:p w14:paraId="300F2CB8" w14:textId="518E4C4A"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Oct 2020</w:t>
            </w:r>
          </w:p>
        </w:tc>
        <w:tc>
          <w:tcPr>
            <w:tcW w:w="1067" w:type="dxa"/>
            <w:shd w:val="clear" w:color="auto" w:fill="EFFFE9"/>
          </w:tcPr>
          <w:p w14:paraId="5133665C" w14:textId="71B5B260"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NR</w:t>
            </w:r>
          </w:p>
        </w:tc>
        <w:tc>
          <w:tcPr>
            <w:tcW w:w="868" w:type="dxa"/>
            <w:shd w:val="clear" w:color="auto" w:fill="EFFFE9"/>
          </w:tcPr>
          <w:p w14:paraId="3BEAB741" w14:textId="5B119C75"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992" w:type="dxa"/>
            <w:shd w:val="clear" w:color="auto" w:fill="EFFFE9"/>
          </w:tcPr>
          <w:p w14:paraId="36851EAB" w14:textId="14B79D9C"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GRADE</w:t>
            </w:r>
          </w:p>
        </w:tc>
        <w:tc>
          <w:tcPr>
            <w:tcW w:w="1134" w:type="dxa"/>
            <w:shd w:val="clear" w:color="auto" w:fill="EFFFE9"/>
          </w:tcPr>
          <w:p w14:paraId="2BF648BC" w14:textId="4DAC0BB8"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None declared</w:t>
            </w:r>
          </w:p>
        </w:tc>
        <w:tc>
          <w:tcPr>
            <w:tcW w:w="1984" w:type="dxa"/>
            <w:shd w:val="clear" w:color="auto" w:fill="EFFFE9"/>
          </w:tcPr>
          <w:p w14:paraId="22511A22" w14:textId="4B50F8D9"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The authors have not declared a specific grant for this research from any funding agency in the public, commercial or not-for-profit sectors.</w:t>
            </w:r>
          </w:p>
        </w:tc>
      </w:tr>
      <w:tr w:rsidR="00F306BC" w:rsidRPr="00D518FF" w14:paraId="0B38AAD6" w14:textId="77777777" w:rsidTr="00A6108F">
        <w:trPr>
          <w:trHeight w:val="646"/>
        </w:trPr>
        <w:tc>
          <w:tcPr>
            <w:tcW w:w="706" w:type="dxa"/>
            <w:shd w:val="clear" w:color="auto" w:fill="EFFFE9"/>
          </w:tcPr>
          <w:p w14:paraId="04D36E5C" w14:textId="6E723536"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Samara 2020</w:t>
            </w:r>
          </w:p>
        </w:tc>
        <w:tc>
          <w:tcPr>
            <w:tcW w:w="954" w:type="dxa"/>
            <w:shd w:val="clear" w:color="auto" w:fill="EFFFE9"/>
          </w:tcPr>
          <w:p w14:paraId="3E3D6FD3" w14:textId="0CA5BDE4"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Systematic review and network meta-analysis</w:t>
            </w:r>
          </w:p>
        </w:tc>
        <w:tc>
          <w:tcPr>
            <w:tcW w:w="1556" w:type="dxa"/>
            <w:shd w:val="clear" w:color="auto" w:fill="EFFFE9"/>
          </w:tcPr>
          <w:p w14:paraId="55F7D887" w14:textId="53C324E5"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To conduct a comprehensive systematic review of all currently avail- able treatment options and assess their relative effects via network meta-analysis (NMA).</w:t>
            </w:r>
          </w:p>
        </w:tc>
        <w:tc>
          <w:tcPr>
            <w:tcW w:w="811" w:type="dxa"/>
            <w:shd w:val="clear" w:color="auto" w:fill="EFFFE9"/>
          </w:tcPr>
          <w:p w14:paraId="203A9BF2" w14:textId="475A3081"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RCTs</w:t>
            </w:r>
          </w:p>
        </w:tc>
        <w:tc>
          <w:tcPr>
            <w:tcW w:w="934" w:type="dxa"/>
            <w:shd w:val="clear" w:color="auto" w:fill="EFFFE9"/>
          </w:tcPr>
          <w:p w14:paraId="037D51C8" w14:textId="56EC88F9"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1, 2, 4</w:t>
            </w:r>
          </w:p>
        </w:tc>
        <w:tc>
          <w:tcPr>
            <w:tcW w:w="934" w:type="dxa"/>
            <w:shd w:val="clear" w:color="auto" w:fill="EFFFE9"/>
          </w:tcPr>
          <w:p w14:paraId="79B72857" w14:textId="6288F6E6"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7</w:t>
            </w:r>
          </w:p>
        </w:tc>
        <w:tc>
          <w:tcPr>
            <w:tcW w:w="1400" w:type="dxa"/>
            <w:shd w:val="clear" w:color="auto" w:fill="EFFFE9"/>
          </w:tcPr>
          <w:p w14:paraId="029384C6" w14:textId="308A4DCC"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MEDLINE, Embase, PsycINFO, CENTRAL, Cochrane Database of Systematic Reviews (CDSR), ClinicalTrials.gov, WHO ICTRP</w:t>
            </w:r>
          </w:p>
        </w:tc>
        <w:tc>
          <w:tcPr>
            <w:tcW w:w="830" w:type="dxa"/>
            <w:shd w:val="clear" w:color="auto" w:fill="EFFFE9"/>
          </w:tcPr>
          <w:p w14:paraId="70595A72" w14:textId="44D74C39"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May 2019</w:t>
            </w:r>
          </w:p>
        </w:tc>
        <w:tc>
          <w:tcPr>
            <w:tcW w:w="1067" w:type="dxa"/>
            <w:shd w:val="clear" w:color="auto" w:fill="EFFFE9"/>
          </w:tcPr>
          <w:p w14:paraId="2EEFC24D" w14:textId="2A97CADD"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NR</w:t>
            </w:r>
          </w:p>
        </w:tc>
        <w:tc>
          <w:tcPr>
            <w:tcW w:w="868" w:type="dxa"/>
            <w:shd w:val="clear" w:color="auto" w:fill="EFFFE9"/>
          </w:tcPr>
          <w:p w14:paraId="3EFDCA2E" w14:textId="5202B6BF"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992" w:type="dxa"/>
            <w:shd w:val="clear" w:color="auto" w:fill="EFFFE9"/>
          </w:tcPr>
          <w:p w14:paraId="2942281F" w14:textId="27A53D24"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Not conducted</w:t>
            </w:r>
          </w:p>
        </w:tc>
        <w:tc>
          <w:tcPr>
            <w:tcW w:w="1134" w:type="dxa"/>
            <w:shd w:val="clear" w:color="auto" w:fill="EFFFE9"/>
          </w:tcPr>
          <w:p w14:paraId="6A09E5D5" w14:textId="364C9D1E"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MH has received speaker’s honoraria from Janssen. GS was invited to participate in two scientific meetings about the use of real world evidence by Merck (2019) and Biogen (2018). In the last 3 years SL has received honoraria as a consultant or for lectures for LB Pharma, Otsuka, Lundbeck, Boehringer Ingelheim, LTS Lohmann, Janssen, John- son&amp;Johnson, TEVA, MSD, Sandoz, SanofiAventis</w:t>
            </w:r>
            <w:r w:rsidRPr="00D518FF">
              <w:rPr>
                <w:sz w:val="16"/>
                <w:szCs w:val="16"/>
              </w:rPr>
              <w:lastRenderedPageBreak/>
              <w:t>, Angelini, Sunovion, Recordati and Geodon Richter. MTS, VC, JST and MW have no conflicts of interest.</w:t>
            </w:r>
          </w:p>
        </w:tc>
        <w:tc>
          <w:tcPr>
            <w:tcW w:w="1984" w:type="dxa"/>
            <w:shd w:val="clear" w:color="auto" w:fill="EFFFE9"/>
          </w:tcPr>
          <w:p w14:paraId="18C2FB8A" w14:textId="732DF1B9"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lastRenderedPageBreak/>
              <w:t xml:space="preserve">This work has been supported by a grant from the German Federal Ministry of Education and Research (Bundesminis- terium fu€r Bildung und Forschung; Grant number: 01GL1731). VC and GS have been supported by a grant from the Swiss National Science Foundation 179185. </w:t>
            </w:r>
          </w:p>
        </w:tc>
      </w:tr>
      <w:tr w:rsidR="00F306BC" w:rsidRPr="00D518FF" w14:paraId="185927F9" w14:textId="77777777" w:rsidTr="00A6108F">
        <w:trPr>
          <w:trHeight w:val="646"/>
        </w:trPr>
        <w:tc>
          <w:tcPr>
            <w:tcW w:w="706" w:type="dxa"/>
            <w:shd w:val="clear" w:color="auto" w:fill="EFFFE9"/>
          </w:tcPr>
          <w:p w14:paraId="5A51C32A" w14:textId="2E7051A1"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Zhan 2023</w:t>
            </w:r>
          </w:p>
        </w:tc>
        <w:tc>
          <w:tcPr>
            <w:tcW w:w="954" w:type="dxa"/>
            <w:shd w:val="clear" w:color="auto" w:fill="EFFFE9"/>
          </w:tcPr>
          <w:p w14:paraId="0DB9167A" w14:textId="19FFE12D"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Network meta-analysis</w:t>
            </w:r>
          </w:p>
        </w:tc>
        <w:tc>
          <w:tcPr>
            <w:tcW w:w="1556" w:type="dxa"/>
            <w:shd w:val="clear" w:color="auto" w:fill="EFFFE9"/>
          </w:tcPr>
          <w:p w14:paraId="109FEF3C" w14:textId="4F7C7E54"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To systematically update the comparative efficacy and detailed safety analysis of approved wake-promoting agents in narcolepsy.</w:t>
            </w:r>
          </w:p>
        </w:tc>
        <w:tc>
          <w:tcPr>
            <w:tcW w:w="811" w:type="dxa"/>
            <w:shd w:val="clear" w:color="auto" w:fill="EFFFE9"/>
          </w:tcPr>
          <w:p w14:paraId="62A98B04" w14:textId="2978DF38"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Double-blind RCTs</w:t>
            </w:r>
          </w:p>
        </w:tc>
        <w:tc>
          <w:tcPr>
            <w:tcW w:w="934" w:type="dxa"/>
            <w:shd w:val="clear" w:color="auto" w:fill="EFFFE9"/>
          </w:tcPr>
          <w:p w14:paraId="1D46F777" w14:textId="46926072"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6</w:t>
            </w:r>
          </w:p>
        </w:tc>
        <w:tc>
          <w:tcPr>
            <w:tcW w:w="934" w:type="dxa"/>
            <w:shd w:val="clear" w:color="auto" w:fill="EFFFE9"/>
          </w:tcPr>
          <w:p w14:paraId="46904FFF" w14:textId="1C4E5302"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7</w:t>
            </w:r>
          </w:p>
        </w:tc>
        <w:tc>
          <w:tcPr>
            <w:tcW w:w="1400" w:type="dxa"/>
            <w:shd w:val="clear" w:color="auto" w:fill="EFFFE9"/>
          </w:tcPr>
          <w:p w14:paraId="2959B338" w14:textId="1A0D89B8"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 xml:space="preserve">PubMed, Embase, CENTRAL, World Health Organization International Trials Registry Platform search portal, United States FDA website, EMA website, ClinicalTrials.gov </w:t>
            </w:r>
          </w:p>
        </w:tc>
        <w:tc>
          <w:tcPr>
            <w:tcW w:w="830" w:type="dxa"/>
            <w:shd w:val="clear" w:color="auto" w:fill="EFFFE9"/>
          </w:tcPr>
          <w:p w14:paraId="713D2D0E" w14:textId="14690FF8"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May 2022</w:t>
            </w:r>
          </w:p>
        </w:tc>
        <w:tc>
          <w:tcPr>
            <w:tcW w:w="1067" w:type="dxa"/>
            <w:shd w:val="clear" w:color="auto" w:fill="EFFFE9"/>
          </w:tcPr>
          <w:p w14:paraId="52F65763" w14:textId="292C3AF7"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NR</w:t>
            </w:r>
          </w:p>
        </w:tc>
        <w:tc>
          <w:tcPr>
            <w:tcW w:w="868" w:type="dxa"/>
            <w:shd w:val="clear" w:color="auto" w:fill="EFFFE9"/>
          </w:tcPr>
          <w:p w14:paraId="4F8360FB" w14:textId="1D965272"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Cochrane Risk of Bias Tool</w:t>
            </w:r>
          </w:p>
        </w:tc>
        <w:tc>
          <w:tcPr>
            <w:tcW w:w="992" w:type="dxa"/>
            <w:shd w:val="clear" w:color="auto" w:fill="EFFFE9"/>
          </w:tcPr>
          <w:p w14:paraId="7E2C6C39" w14:textId="13A1054B"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Not conducted</w:t>
            </w:r>
          </w:p>
        </w:tc>
        <w:tc>
          <w:tcPr>
            <w:tcW w:w="1134" w:type="dxa"/>
            <w:shd w:val="clear" w:color="auto" w:fill="EFFFE9"/>
          </w:tcPr>
          <w:p w14:paraId="0940CE42" w14:textId="2354D6B4"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Hui Ye is an employee of Ignis Therapeutics. The authors report no other potential conflicts of interest in this work.</w:t>
            </w:r>
          </w:p>
        </w:tc>
        <w:tc>
          <w:tcPr>
            <w:tcW w:w="1984" w:type="dxa"/>
            <w:shd w:val="clear" w:color="auto" w:fill="EFFFE9"/>
          </w:tcPr>
          <w:p w14:paraId="16355DB8" w14:textId="449F32C7" w:rsidR="00F60E69" w:rsidRPr="00D518FF" w:rsidRDefault="00F60E69" w:rsidP="003D0A3C">
            <w:pPr>
              <w:pStyle w:val="2024TABLETEXT"/>
              <w:framePr w:hSpace="0" w:wrap="auto" w:vAnchor="margin" w:yAlign="inline"/>
              <w:spacing w:line="240" w:lineRule="auto"/>
              <w:suppressOverlap w:val="0"/>
              <w:rPr>
                <w:sz w:val="16"/>
                <w:szCs w:val="16"/>
              </w:rPr>
            </w:pPr>
            <w:r w:rsidRPr="00D518FF">
              <w:rPr>
                <w:sz w:val="16"/>
                <w:szCs w:val="16"/>
              </w:rPr>
              <w:t>The current work was supported by National Natural Science Foundation of China (Grant No. 81571294), National Key R&amp;D program of China (Grant No. 2021YFC2501400), and Research Fund for Chinese Sleep Research Society (Grant</w:t>
            </w:r>
            <w:r w:rsidRPr="00D518FF">
              <w:rPr>
                <w:sz w:val="16"/>
                <w:szCs w:val="16"/>
              </w:rPr>
              <w:br/>
              <w:t>No. ZS-KY-2022-01).</w:t>
            </w:r>
          </w:p>
        </w:tc>
      </w:tr>
    </w:tbl>
    <w:p w14:paraId="7B739C53" w14:textId="2E8E5B74" w:rsidR="00873BDC" w:rsidRPr="00D518FF" w:rsidRDefault="00873BDC" w:rsidP="00AA72BD">
      <w:pPr>
        <w:pStyle w:val="2024TABLEFOOTER"/>
        <w:spacing w:line="240" w:lineRule="auto"/>
        <w:rPr>
          <w:szCs w:val="16"/>
        </w:rPr>
      </w:pPr>
      <w:r w:rsidRPr="00D518FF">
        <w:rPr>
          <w:szCs w:val="16"/>
        </w:rPr>
        <w:t xml:space="preserve">Abbreviations: </w:t>
      </w:r>
      <w:r w:rsidR="009C5B40" w:rsidRPr="00D518FF">
        <w:rPr>
          <w:szCs w:val="16"/>
        </w:rPr>
        <w:t xml:space="preserve">CENTRAL=Cochrane Central Register of Controlled Trials; </w:t>
      </w:r>
      <w:r w:rsidR="00A9261B" w:rsidRPr="00D518FF">
        <w:rPr>
          <w:szCs w:val="16"/>
        </w:rPr>
        <w:t xml:space="preserve">CINAHL=Cumulative Index of Nursing and Allied Health Literature; </w:t>
      </w:r>
      <w:r w:rsidR="00751542" w:rsidRPr="00D518FF">
        <w:rPr>
          <w:szCs w:val="16"/>
        </w:rPr>
        <w:t xml:space="preserve">NR=Not reported; </w:t>
      </w:r>
      <w:r w:rsidR="004622EE" w:rsidRPr="00D518FF">
        <w:rPr>
          <w:szCs w:val="16"/>
        </w:rPr>
        <w:t>RCT</w:t>
      </w:r>
      <w:r w:rsidR="00751542" w:rsidRPr="00D518FF">
        <w:rPr>
          <w:szCs w:val="16"/>
        </w:rPr>
        <w:t>=randomised controlled trial, GRADE=Grading of Recommendations Assessment, Development and Evaluation</w:t>
      </w:r>
    </w:p>
    <w:p w14:paraId="1D4122E0" w14:textId="77777777" w:rsidR="00873BDC" w:rsidRPr="00D518FF" w:rsidRDefault="00873BDC" w:rsidP="00AA72BD">
      <w:pPr>
        <w:pStyle w:val="2024TABLEFOOTER"/>
        <w:spacing w:line="240" w:lineRule="auto"/>
        <w:rPr>
          <w:szCs w:val="16"/>
        </w:rPr>
      </w:pPr>
    </w:p>
    <w:p w14:paraId="66E3B57A" w14:textId="77777777" w:rsidR="00873BDC" w:rsidRPr="00D518FF" w:rsidRDefault="00873BDC" w:rsidP="00AA72BD">
      <w:pPr>
        <w:pStyle w:val="2024TABLEFOOTER"/>
        <w:spacing w:line="240" w:lineRule="auto"/>
        <w:rPr>
          <w:szCs w:val="16"/>
        </w:rPr>
      </w:pPr>
      <w:r w:rsidRPr="00D518FF">
        <w:rPr>
          <w:szCs w:val="16"/>
        </w:rPr>
        <w:t>^Outcome domains identified as part of the Outcome Prioritisation Exercise:</w:t>
      </w:r>
    </w:p>
    <w:p w14:paraId="001A8C5F" w14:textId="77777777" w:rsidR="00E47171" w:rsidRPr="00D518FF" w:rsidRDefault="00E47171" w:rsidP="003F5774">
      <w:pPr>
        <w:pStyle w:val="2024TABLEFOOTER"/>
        <w:numPr>
          <w:ilvl w:val="0"/>
          <w:numId w:val="13"/>
        </w:numPr>
        <w:spacing w:line="240" w:lineRule="auto"/>
        <w:rPr>
          <w:szCs w:val="16"/>
        </w:rPr>
      </w:pPr>
      <w:r w:rsidRPr="00D518FF">
        <w:rPr>
          <w:szCs w:val="16"/>
        </w:rPr>
        <w:t>Improvement in clinical levels of insomnia</w:t>
      </w:r>
    </w:p>
    <w:p w14:paraId="1587CBEA" w14:textId="77777777" w:rsidR="00E47171" w:rsidRPr="00D518FF" w:rsidRDefault="00E47171" w:rsidP="003F5774">
      <w:pPr>
        <w:pStyle w:val="2024TABLEFOOTER"/>
        <w:numPr>
          <w:ilvl w:val="0"/>
          <w:numId w:val="13"/>
        </w:numPr>
        <w:spacing w:line="240" w:lineRule="auto"/>
        <w:rPr>
          <w:szCs w:val="16"/>
        </w:rPr>
      </w:pPr>
      <w:r w:rsidRPr="00D518FF">
        <w:rPr>
          <w:szCs w:val="16"/>
        </w:rPr>
        <w:t>Global improvement in sleep quality or quantity (subjective)</w:t>
      </w:r>
    </w:p>
    <w:p w14:paraId="15A69AB7" w14:textId="77777777" w:rsidR="00E47171" w:rsidRPr="00D518FF" w:rsidRDefault="00E47171" w:rsidP="003F5774">
      <w:pPr>
        <w:pStyle w:val="2024TABLEFOOTER"/>
        <w:numPr>
          <w:ilvl w:val="0"/>
          <w:numId w:val="13"/>
        </w:numPr>
        <w:spacing w:line="240" w:lineRule="auto"/>
        <w:rPr>
          <w:szCs w:val="16"/>
        </w:rPr>
      </w:pPr>
      <w:r w:rsidRPr="00D518FF">
        <w:rPr>
          <w:szCs w:val="16"/>
        </w:rPr>
        <w:t>Global improvement in sleep quality or quantity (objective)</w:t>
      </w:r>
    </w:p>
    <w:p w14:paraId="338A23FF" w14:textId="77777777" w:rsidR="00E47171" w:rsidRPr="00D518FF" w:rsidRDefault="00E47171" w:rsidP="003F5774">
      <w:pPr>
        <w:pStyle w:val="2024TABLEFOOTER"/>
        <w:numPr>
          <w:ilvl w:val="0"/>
          <w:numId w:val="13"/>
        </w:numPr>
        <w:spacing w:line="240" w:lineRule="auto"/>
        <w:rPr>
          <w:szCs w:val="16"/>
        </w:rPr>
      </w:pPr>
      <w:r w:rsidRPr="00D518FF">
        <w:rPr>
          <w:szCs w:val="16"/>
        </w:rPr>
        <w:t>Improvement in individual sleep parameters (Sleep onset latency, Total sleep duration, Total wake</w:t>
      </w:r>
      <w:r w:rsidRPr="00D518FF">
        <w:rPr>
          <w:rFonts w:ascii="Cambria Math" w:hAnsi="Cambria Math" w:cs="Cambria Math"/>
          <w:szCs w:val="16"/>
        </w:rPr>
        <w:t>‐</w:t>
      </w:r>
      <w:r w:rsidRPr="00D518FF">
        <w:rPr>
          <w:szCs w:val="16"/>
        </w:rPr>
        <w:t>time, Wake after sleep onset (WASO), Nocturnal and early morning wakening, Sleep efficiency (ratio of time asleep to time in bed), parasomnias)</w:t>
      </w:r>
    </w:p>
    <w:p w14:paraId="5593BE8A" w14:textId="77777777" w:rsidR="00E47171" w:rsidRPr="00D518FF" w:rsidRDefault="00E47171" w:rsidP="003F5774">
      <w:pPr>
        <w:pStyle w:val="2024TABLEFOOTER"/>
        <w:numPr>
          <w:ilvl w:val="0"/>
          <w:numId w:val="13"/>
        </w:numPr>
        <w:spacing w:line="240" w:lineRule="auto"/>
        <w:rPr>
          <w:szCs w:val="16"/>
        </w:rPr>
      </w:pPr>
      <w:r w:rsidRPr="00D518FF">
        <w:rPr>
          <w:szCs w:val="16"/>
        </w:rPr>
        <w:t>Quality of life</w:t>
      </w:r>
    </w:p>
    <w:p w14:paraId="20019C6F" w14:textId="77777777" w:rsidR="00E47171" w:rsidRPr="00D518FF" w:rsidRDefault="00E47171" w:rsidP="003F5774">
      <w:pPr>
        <w:pStyle w:val="2024TABLEFOOTER"/>
        <w:numPr>
          <w:ilvl w:val="0"/>
          <w:numId w:val="13"/>
        </w:numPr>
        <w:spacing w:line="240" w:lineRule="auto"/>
        <w:rPr>
          <w:szCs w:val="16"/>
        </w:rPr>
      </w:pPr>
      <w:r w:rsidRPr="00D518FF">
        <w:rPr>
          <w:szCs w:val="16"/>
        </w:rPr>
        <w:t>Daytime functioning</w:t>
      </w:r>
    </w:p>
    <w:p w14:paraId="60CAC2CD" w14:textId="25380A6F" w:rsidR="00FD1BEE" w:rsidRPr="00D518FF" w:rsidRDefault="00E47171" w:rsidP="003F5774">
      <w:pPr>
        <w:pStyle w:val="2024TABLEFOOTER"/>
        <w:numPr>
          <w:ilvl w:val="0"/>
          <w:numId w:val="13"/>
        </w:numPr>
        <w:spacing w:line="240" w:lineRule="auto"/>
        <w:rPr>
          <w:szCs w:val="16"/>
        </w:rPr>
      </w:pPr>
      <w:r w:rsidRPr="00D518FF">
        <w:rPr>
          <w:szCs w:val="16"/>
        </w:rPr>
        <w:t>Fatigue</w:t>
      </w:r>
    </w:p>
    <w:p w14:paraId="4C1B92EE" w14:textId="3365A6A3" w:rsidR="00E47171" w:rsidRPr="00A740A6" w:rsidRDefault="00497C24" w:rsidP="00A740A6">
      <w:pPr>
        <w:pStyle w:val="heading2numbers"/>
        <w:rPr>
          <w:rStyle w:val="Heading1Char"/>
          <w:rFonts w:ascii="Aptos" w:eastAsia="Calibri" w:hAnsi="Aptos"/>
          <w:bCs w:val="0"/>
          <w:color w:val="C00000"/>
          <w:sz w:val="28"/>
          <w:szCs w:val="26"/>
        </w:rPr>
      </w:pPr>
      <w:bookmarkStart w:id="150" w:name="_Toc185254648"/>
      <w:r w:rsidRPr="00A740A6">
        <w:rPr>
          <w:rStyle w:val="Heading1Char"/>
          <w:rFonts w:ascii="Aptos" w:eastAsia="Calibri" w:hAnsi="Aptos"/>
          <w:bCs w:val="0"/>
          <w:color w:val="C00000"/>
          <w:sz w:val="28"/>
          <w:szCs w:val="26"/>
        </w:rPr>
        <w:t xml:space="preserve">Depression (including post-natal), </w:t>
      </w:r>
      <w:r w:rsidR="00C16441" w:rsidRPr="00A740A6">
        <w:rPr>
          <w:rStyle w:val="Heading1Char"/>
          <w:rFonts w:ascii="Aptos" w:eastAsia="Calibri" w:hAnsi="Aptos"/>
          <w:bCs w:val="0"/>
          <w:color w:val="C00000"/>
          <w:sz w:val="28"/>
          <w:szCs w:val="26"/>
        </w:rPr>
        <w:t>o</w:t>
      </w:r>
      <w:r w:rsidRPr="00A740A6">
        <w:rPr>
          <w:rStyle w:val="Heading1Char"/>
          <w:rFonts w:ascii="Aptos" w:eastAsia="Calibri" w:hAnsi="Aptos"/>
          <w:bCs w:val="0"/>
          <w:color w:val="C00000"/>
          <w:sz w:val="28"/>
          <w:szCs w:val="26"/>
        </w:rPr>
        <w:t>mega-3</w:t>
      </w:r>
      <w:r w:rsidR="0021231C">
        <w:rPr>
          <w:rStyle w:val="Heading1Char"/>
          <w:rFonts w:ascii="Aptos" w:eastAsia="Calibri" w:hAnsi="Aptos"/>
          <w:bCs w:val="0"/>
          <w:color w:val="C00000"/>
          <w:sz w:val="28"/>
          <w:szCs w:val="26"/>
        </w:rPr>
        <w:t xml:space="preserve"> </w:t>
      </w:r>
      <w:r w:rsidR="0021231C">
        <w:t>fatty acids</w:t>
      </w:r>
      <w:bookmarkEnd w:id="150"/>
    </w:p>
    <w:p w14:paraId="6D112FF7" w14:textId="1F916C89" w:rsidR="00C657B9" w:rsidRPr="004C6AA1" w:rsidRDefault="00C657B9" w:rsidP="004C6AA1">
      <w:pPr>
        <w:pStyle w:val="Caption"/>
        <w:spacing w:before="240"/>
        <w:rPr>
          <w:rFonts w:ascii="Aptos" w:hAnsi="Aptos"/>
        </w:rPr>
      </w:pPr>
      <w:bookmarkStart w:id="151" w:name="_Toc185254554"/>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8</w:t>
      </w:r>
      <w:r w:rsidR="00DC4767" w:rsidRPr="004C6AA1">
        <w:rPr>
          <w:rFonts w:ascii="Aptos" w:hAnsi="Aptos"/>
        </w:rPr>
        <w:fldChar w:fldCharType="end"/>
      </w:r>
      <w:r w:rsidRPr="004C6AA1">
        <w:rPr>
          <w:rFonts w:ascii="Aptos" w:hAnsi="Aptos"/>
        </w:rPr>
        <w:t xml:space="preserve">. </w:t>
      </w:r>
      <w:r w:rsidRPr="00D518FF">
        <w:rPr>
          <w:rFonts w:ascii="Aptos" w:hAnsi="Aptos"/>
        </w:rPr>
        <w:t>Citation details of included reviews – depression (including post-natal), omega-3 (n=26)</w:t>
      </w:r>
      <w:r>
        <w:rPr>
          <w:rFonts w:ascii="Aptos" w:hAnsi="Aptos"/>
        </w:rPr>
        <w:t>.</w:t>
      </w:r>
      <w:bookmarkEnd w:id="151"/>
    </w:p>
    <w:tbl>
      <w:tblPr>
        <w:tblW w:w="140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28" w:type="dxa"/>
        </w:tblCellMar>
        <w:tblLook w:val="04A0" w:firstRow="1" w:lastRow="0" w:firstColumn="1" w:lastColumn="0" w:noHBand="0" w:noVBand="1"/>
      </w:tblPr>
      <w:tblGrid>
        <w:gridCol w:w="993"/>
        <w:gridCol w:w="3543"/>
        <w:gridCol w:w="3428"/>
        <w:gridCol w:w="530"/>
        <w:gridCol w:w="1571"/>
        <w:gridCol w:w="817"/>
        <w:gridCol w:w="663"/>
        <w:gridCol w:w="795"/>
        <w:gridCol w:w="1694"/>
      </w:tblGrid>
      <w:tr w:rsidR="00FF3F59" w:rsidRPr="00D518FF" w14:paraId="33351991" w14:textId="77777777" w:rsidTr="00552B91">
        <w:trPr>
          <w:trHeight w:val="60"/>
        </w:trPr>
        <w:tc>
          <w:tcPr>
            <w:tcW w:w="993" w:type="dxa"/>
            <w:shd w:val="clear" w:color="auto" w:fill="D9D9D9" w:themeFill="background1" w:themeFillShade="D9"/>
            <w:noWrap/>
          </w:tcPr>
          <w:p w14:paraId="7E2A980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543" w:type="dxa"/>
            <w:shd w:val="clear" w:color="auto" w:fill="D9D9D9" w:themeFill="background1" w:themeFillShade="D9"/>
            <w:noWrap/>
          </w:tcPr>
          <w:p w14:paraId="43182DB3"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3428" w:type="dxa"/>
            <w:shd w:val="clear" w:color="auto" w:fill="D9D9D9" w:themeFill="background1" w:themeFillShade="D9"/>
            <w:noWrap/>
          </w:tcPr>
          <w:p w14:paraId="119DF2F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30" w:type="dxa"/>
            <w:shd w:val="clear" w:color="auto" w:fill="D9D9D9" w:themeFill="background1" w:themeFillShade="D9"/>
            <w:noWrap/>
          </w:tcPr>
          <w:p w14:paraId="737F87E8"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571" w:type="dxa"/>
            <w:shd w:val="clear" w:color="auto" w:fill="D9D9D9" w:themeFill="background1" w:themeFillShade="D9"/>
            <w:noWrap/>
          </w:tcPr>
          <w:p w14:paraId="7E8DD1B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817" w:type="dxa"/>
            <w:shd w:val="clear" w:color="auto" w:fill="D9D9D9" w:themeFill="background1" w:themeFillShade="D9"/>
            <w:noWrap/>
          </w:tcPr>
          <w:p w14:paraId="21B3D5EB"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663" w:type="dxa"/>
            <w:shd w:val="clear" w:color="auto" w:fill="D9D9D9" w:themeFill="background1" w:themeFillShade="D9"/>
            <w:noWrap/>
          </w:tcPr>
          <w:p w14:paraId="0B2249E7"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795" w:type="dxa"/>
            <w:shd w:val="clear" w:color="auto" w:fill="D9D9D9" w:themeFill="background1" w:themeFillShade="D9"/>
            <w:noWrap/>
          </w:tcPr>
          <w:p w14:paraId="3D79D8D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694" w:type="dxa"/>
            <w:shd w:val="clear" w:color="auto" w:fill="D9D9D9" w:themeFill="background1" w:themeFillShade="D9"/>
            <w:noWrap/>
          </w:tcPr>
          <w:p w14:paraId="06818E19"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55BFFCB2" w14:textId="77777777" w:rsidTr="00552B91">
        <w:trPr>
          <w:trHeight w:val="311"/>
        </w:trPr>
        <w:tc>
          <w:tcPr>
            <w:tcW w:w="993" w:type="dxa"/>
            <w:shd w:val="clear" w:color="auto" w:fill="auto"/>
            <w:noWrap/>
            <w:hideMark/>
          </w:tcPr>
          <w:p w14:paraId="1722AA4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Appleton 2015</w:t>
            </w:r>
          </w:p>
        </w:tc>
        <w:tc>
          <w:tcPr>
            <w:tcW w:w="3543" w:type="dxa"/>
            <w:shd w:val="clear" w:color="auto" w:fill="auto"/>
            <w:noWrap/>
            <w:hideMark/>
          </w:tcPr>
          <w:p w14:paraId="27EABD5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Omega-3 fatty acids for depression in adults</w:t>
            </w:r>
          </w:p>
        </w:tc>
        <w:tc>
          <w:tcPr>
            <w:tcW w:w="3428" w:type="dxa"/>
            <w:shd w:val="clear" w:color="auto" w:fill="auto"/>
            <w:noWrap/>
            <w:hideMark/>
          </w:tcPr>
          <w:p w14:paraId="736E3C6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Appleton, K. M.; Sallis, H. M.; Perry, R.; Ness, A. R.; Churchill, R.</w:t>
            </w:r>
          </w:p>
        </w:tc>
        <w:tc>
          <w:tcPr>
            <w:tcW w:w="530" w:type="dxa"/>
            <w:shd w:val="clear" w:color="auto" w:fill="auto"/>
            <w:noWrap/>
            <w:hideMark/>
          </w:tcPr>
          <w:p w14:paraId="6710CD3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2015</w:t>
            </w:r>
          </w:p>
        </w:tc>
        <w:tc>
          <w:tcPr>
            <w:tcW w:w="1571" w:type="dxa"/>
            <w:shd w:val="clear" w:color="auto" w:fill="auto"/>
            <w:noWrap/>
            <w:hideMark/>
          </w:tcPr>
          <w:p w14:paraId="0A9D394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Cochrane Database Syst Rev</w:t>
            </w:r>
          </w:p>
        </w:tc>
        <w:tc>
          <w:tcPr>
            <w:tcW w:w="817" w:type="dxa"/>
            <w:shd w:val="clear" w:color="auto" w:fill="auto"/>
            <w:noWrap/>
            <w:hideMark/>
          </w:tcPr>
          <w:p w14:paraId="4CAC310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2015</w:t>
            </w:r>
          </w:p>
        </w:tc>
        <w:tc>
          <w:tcPr>
            <w:tcW w:w="663" w:type="dxa"/>
            <w:shd w:val="clear" w:color="auto" w:fill="auto"/>
            <w:noWrap/>
            <w:hideMark/>
          </w:tcPr>
          <w:p w14:paraId="04E12B7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w:t>
            </w:r>
          </w:p>
        </w:tc>
        <w:tc>
          <w:tcPr>
            <w:tcW w:w="795" w:type="dxa"/>
            <w:shd w:val="clear" w:color="auto" w:fill="auto"/>
            <w:noWrap/>
            <w:hideMark/>
          </w:tcPr>
          <w:p w14:paraId="4D4D32D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Cd004692</w:t>
            </w:r>
          </w:p>
        </w:tc>
        <w:tc>
          <w:tcPr>
            <w:tcW w:w="1694" w:type="dxa"/>
            <w:shd w:val="clear" w:color="auto" w:fill="auto"/>
            <w:noWrap/>
            <w:hideMark/>
          </w:tcPr>
          <w:p w14:paraId="25A5692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10.1002/14651858.CD004692.pub4</w:t>
            </w:r>
          </w:p>
        </w:tc>
      </w:tr>
      <w:tr w:rsidR="00FF3F59" w:rsidRPr="00D518FF" w14:paraId="399202E7" w14:textId="77777777" w:rsidTr="00552B91">
        <w:trPr>
          <w:trHeight w:val="311"/>
        </w:trPr>
        <w:tc>
          <w:tcPr>
            <w:tcW w:w="993" w:type="dxa"/>
            <w:shd w:val="clear" w:color="auto" w:fill="auto"/>
            <w:noWrap/>
            <w:hideMark/>
          </w:tcPr>
          <w:p w14:paraId="414E185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lastRenderedPageBreak/>
              <w:t>Appleton 2016</w:t>
            </w:r>
          </w:p>
        </w:tc>
        <w:tc>
          <w:tcPr>
            <w:tcW w:w="3543" w:type="dxa"/>
            <w:shd w:val="clear" w:color="auto" w:fill="auto"/>
            <w:noWrap/>
            <w:hideMark/>
          </w:tcPr>
          <w:p w14:paraId="6C08E67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œâ-3 Fatty acids for major depressive disorder in adults: an abridged Cochrane review</w:t>
            </w:r>
          </w:p>
        </w:tc>
        <w:tc>
          <w:tcPr>
            <w:tcW w:w="3428" w:type="dxa"/>
            <w:shd w:val="clear" w:color="auto" w:fill="auto"/>
            <w:noWrap/>
            <w:hideMark/>
          </w:tcPr>
          <w:p w14:paraId="2C7D94A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Appleton, K. M.; Sallis, H. M.; Perry, R.; Ness, A. R.; Churchill, R.</w:t>
            </w:r>
          </w:p>
        </w:tc>
        <w:tc>
          <w:tcPr>
            <w:tcW w:w="530" w:type="dxa"/>
            <w:shd w:val="clear" w:color="auto" w:fill="auto"/>
            <w:noWrap/>
            <w:hideMark/>
          </w:tcPr>
          <w:p w14:paraId="68BBD00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2016</w:t>
            </w:r>
          </w:p>
        </w:tc>
        <w:tc>
          <w:tcPr>
            <w:tcW w:w="1571" w:type="dxa"/>
            <w:shd w:val="clear" w:color="auto" w:fill="auto"/>
            <w:noWrap/>
            <w:hideMark/>
          </w:tcPr>
          <w:p w14:paraId="0827CFA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BMJ open</w:t>
            </w:r>
          </w:p>
        </w:tc>
        <w:tc>
          <w:tcPr>
            <w:tcW w:w="817" w:type="dxa"/>
            <w:shd w:val="clear" w:color="auto" w:fill="auto"/>
            <w:noWrap/>
            <w:hideMark/>
          </w:tcPr>
          <w:p w14:paraId="7A569F0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6</w:t>
            </w:r>
          </w:p>
        </w:tc>
        <w:tc>
          <w:tcPr>
            <w:tcW w:w="663" w:type="dxa"/>
            <w:shd w:val="clear" w:color="auto" w:fill="auto"/>
            <w:noWrap/>
            <w:hideMark/>
          </w:tcPr>
          <w:p w14:paraId="681F831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w:t>
            </w:r>
          </w:p>
        </w:tc>
        <w:tc>
          <w:tcPr>
            <w:tcW w:w="795" w:type="dxa"/>
            <w:shd w:val="clear" w:color="auto" w:fill="auto"/>
            <w:noWrap/>
            <w:hideMark/>
          </w:tcPr>
          <w:p w14:paraId="1BF5085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e010172</w:t>
            </w:r>
          </w:p>
        </w:tc>
        <w:tc>
          <w:tcPr>
            <w:tcW w:w="1694" w:type="dxa"/>
            <w:shd w:val="clear" w:color="auto" w:fill="auto"/>
            <w:noWrap/>
            <w:hideMark/>
          </w:tcPr>
          <w:p w14:paraId="224E86B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10.1136/bmjopen-2015-010172</w:t>
            </w:r>
          </w:p>
        </w:tc>
      </w:tr>
      <w:tr w:rsidR="00FF3F59" w:rsidRPr="00D518FF" w14:paraId="1C2B9F2F" w14:textId="77777777" w:rsidTr="00A6108F">
        <w:trPr>
          <w:trHeight w:val="311"/>
        </w:trPr>
        <w:tc>
          <w:tcPr>
            <w:tcW w:w="993" w:type="dxa"/>
            <w:shd w:val="clear" w:color="auto" w:fill="EFFFE9"/>
            <w:noWrap/>
            <w:hideMark/>
          </w:tcPr>
          <w:p w14:paraId="31862026"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Appleton 2021</w:t>
            </w:r>
          </w:p>
        </w:tc>
        <w:tc>
          <w:tcPr>
            <w:tcW w:w="3543" w:type="dxa"/>
            <w:shd w:val="clear" w:color="auto" w:fill="EFFFE9"/>
            <w:noWrap/>
            <w:hideMark/>
          </w:tcPr>
          <w:p w14:paraId="018C2F8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Omega-3 fatty acids for depression in adults</w:t>
            </w:r>
          </w:p>
        </w:tc>
        <w:tc>
          <w:tcPr>
            <w:tcW w:w="3428" w:type="dxa"/>
            <w:shd w:val="clear" w:color="auto" w:fill="EFFFE9"/>
            <w:noWrap/>
            <w:hideMark/>
          </w:tcPr>
          <w:p w14:paraId="7A08A3E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Appleton, K. M.; Voyias, P. D.; Sallis, H. M.; Dawson, S.; Ness, A. R.; Churchill, R.; Perry, R.</w:t>
            </w:r>
          </w:p>
        </w:tc>
        <w:tc>
          <w:tcPr>
            <w:tcW w:w="530" w:type="dxa"/>
            <w:shd w:val="clear" w:color="auto" w:fill="EFFFE9"/>
            <w:noWrap/>
            <w:hideMark/>
          </w:tcPr>
          <w:p w14:paraId="388424BE"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2021</w:t>
            </w:r>
          </w:p>
        </w:tc>
        <w:tc>
          <w:tcPr>
            <w:tcW w:w="1571" w:type="dxa"/>
            <w:shd w:val="clear" w:color="auto" w:fill="EFFFE9"/>
            <w:noWrap/>
            <w:hideMark/>
          </w:tcPr>
          <w:p w14:paraId="408253F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Cochrane Database Syst Rev</w:t>
            </w:r>
          </w:p>
        </w:tc>
        <w:tc>
          <w:tcPr>
            <w:tcW w:w="817" w:type="dxa"/>
            <w:shd w:val="clear" w:color="auto" w:fill="EFFFE9"/>
            <w:noWrap/>
            <w:hideMark/>
          </w:tcPr>
          <w:p w14:paraId="62DC9E8C"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11</w:t>
            </w:r>
          </w:p>
        </w:tc>
        <w:tc>
          <w:tcPr>
            <w:tcW w:w="663" w:type="dxa"/>
            <w:shd w:val="clear" w:color="auto" w:fill="EFFFE9"/>
            <w:noWrap/>
            <w:hideMark/>
          </w:tcPr>
          <w:p w14:paraId="44BB3CF2"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11</w:t>
            </w:r>
          </w:p>
        </w:tc>
        <w:tc>
          <w:tcPr>
            <w:tcW w:w="795" w:type="dxa"/>
            <w:shd w:val="clear" w:color="auto" w:fill="EFFFE9"/>
            <w:noWrap/>
            <w:hideMark/>
          </w:tcPr>
          <w:p w14:paraId="5E1DF2D1"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CD004692</w:t>
            </w:r>
          </w:p>
        </w:tc>
        <w:tc>
          <w:tcPr>
            <w:tcW w:w="1694" w:type="dxa"/>
            <w:shd w:val="clear" w:color="auto" w:fill="EFFFE9"/>
            <w:noWrap/>
            <w:hideMark/>
          </w:tcPr>
          <w:p w14:paraId="3DF9332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10.1002/14651858.CD004692.pub5</w:t>
            </w:r>
          </w:p>
        </w:tc>
      </w:tr>
      <w:tr w:rsidR="00FF3F59" w:rsidRPr="00D518FF" w14:paraId="50BD4158" w14:textId="77777777" w:rsidTr="00552B91">
        <w:trPr>
          <w:trHeight w:val="311"/>
        </w:trPr>
        <w:tc>
          <w:tcPr>
            <w:tcW w:w="993" w:type="dxa"/>
            <w:shd w:val="clear" w:color="auto" w:fill="auto"/>
            <w:noWrap/>
            <w:hideMark/>
          </w:tcPr>
          <w:p w14:paraId="50867CE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Bae 2018</w:t>
            </w:r>
          </w:p>
        </w:tc>
        <w:tc>
          <w:tcPr>
            <w:tcW w:w="3543" w:type="dxa"/>
            <w:shd w:val="clear" w:color="auto" w:fill="auto"/>
            <w:noWrap/>
            <w:hideMark/>
          </w:tcPr>
          <w:p w14:paraId="527297E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Systematic review and meta-analysis of omega-3-fatty acids in elderly patients with depression</w:t>
            </w:r>
          </w:p>
        </w:tc>
        <w:tc>
          <w:tcPr>
            <w:tcW w:w="3428" w:type="dxa"/>
            <w:shd w:val="clear" w:color="auto" w:fill="auto"/>
            <w:noWrap/>
            <w:hideMark/>
          </w:tcPr>
          <w:p w14:paraId="113AB85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Bae, J. H., &amp; Kim, G.</w:t>
            </w:r>
          </w:p>
        </w:tc>
        <w:tc>
          <w:tcPr>
            <w:tcW w:w="530" w:type="dxa"/>
            <w:shd w:val="clear" w:color="auto" w:fill="auto"/>
            <w:noWrap/>
            <w:hideMark/>
          </w:tcPr>
          <w:p w14:paraId="14BF7EC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2018</w:t>
            </w:r>
          </w:p>
        </w:tc>
        <w:tc>
          <w:tcPr>
            <w:tcW w:w="1571" w:type="dxa"/>
            <w:shd w:val="clear" w:color="auto" w:fill="auto"/>
            <w:noWrap/>
            <w:hideMark/>
          </w:tcPr>
          <w:p w14:paraId="116FA4F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Nutrition Research</w:t>
            </w:r>
          </w:p>
        </w:tc>
        <w:tc>
          <w:tcPr>
            <w:tcW w:w="817" w:type="dxa"/>
            <w:shd w:val="clear" w:color="auto" w:fill="auto"/>
            <w:noWrap/>
            <w:hideMark/>
          </w:tcPr>
          <w:p w14:paraId="03173C5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50</w:t>
            </w:r>
          </w:p>
        </w:tc>
        <w:tc>
          <w:tcPr>
            <w:tcW w:w="663" w:type="dxa"/>
            <w:shd w:val="clear" w:color="auto" w:fill="auto"/>
            <w:noWrap/>
            <w:hideMark/>
          </w:tcPr>
          <w:p w14:paraId="2D72B57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795" w:type="dxa"/>
            <w:shd w:val="clear" w:color="auto" w:fill="auto"/>
            <w:noWrap/>
            <w:hideMark/>
          </w:tcPr>
          <w:p w14:paraId="24A76FB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1-9</w:t>
            </w:r>
          </w:p>
        </w:tc>
        <w:tc>
          <w:tcPr>
            <w:tcW w:w="1694" w:type="dxa"/>
            <w:shd w:val="clear" w:color="auto" w:fill="auto"/>
            <w:noWrap/>
            <w:hideMark/>
          </w:tcPr>
          <w:p w14:paraId="4676A5A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doi: 10.1016/j.nutres.2017.10.013</w:t>
            </w:r>
          </w:p>
        </w:tc>
      </w:tr>
      <w:tr w:rsidR="00FF3F59" w:rsidRPr="00D518FF" w14:paraId="5DA68F36" w14:textId="77777777" w:rsidTr="00552B91">
        <w:trPr>
          <w:trHeight w:val="311"/>
        </w:trPr>
        <w:tc>
          <w:tcPr>
            <w:tcW w:w="993" w:type="dxa"/>
            <w:shd w:val="clear" w:color="auto" w:fill="auto"/>
            <w:noWrap/>
            <w:hideMark/>
          </w:tcPr>
          <w:p w14:paraId="0780B2B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Bai 2018</w:t>
            </w:r>
          </w:p>
        </w:tc>
        <w:tc>
          <w:tcPr>
            <w:tcW w:w="3543" w:type="dxa"/>
            <w:shd w:val="clear" w:color="auto" w:fill="auto"/>
            <w:noWrap/>
            <w:hideMark/>
          </w:tcPr>
          <w:p w14:paraId="6F55304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Omega-3 polyunsaturated fatty acids and reduction of depressive symptoms in older adults: A systematic review and meta-analysis</w:t>
            </w:r>
          </w:p>
        </w:tc>
        <w:tc>
          <w:tcPr>
            <w:tcW w:w="3428" w:type="dxa"/>
            <w:shd w:val="clear" w:color="auto" w:fill="auto"/>
            <w:noWrap/>
            <w:hideMark/>
          </w:tcPr>
          <w:p w14:paraId="322B1D0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Bai, Z. G.; Bo, A.; Wu, S. J.; Gai, Q. Y.; Chi, I.</w:t>
            </w:r>
          </w:p>
        </w:tc>
        <w:tc>
          <w:tcPr>
            <w:tcW w:w="530" w:type="dxa"/>
            <w:shd w:val="clear" w:color="auto" w:fill="auto"/>
            <w:noWrap/>
            <w:hideMark/>
          </w:tcPr>
          <w:p w14:paraId="3B0505E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2018</w:t>
            </w:r>
          </w:p>
        </w:tc>
        <w:tc>
          <w:tcPr>
            <w:tcW w:w="1571" w:type="dxa"/>
            <w:shd w:val="clear" w:color="auto" w:fill="auto"/>
            <w:noWrap/>
            <w:hideMark/>
          </w:tcPr>
          <w:p w14:paraId="4ABF8A5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J Affect Disord</w:t>
            </w:r>
          </w:p>
        </w:tc>
        <w:tc>
          <w:tcPr>
            <w:tcW w:w="817" w:type="dxa"/>
            <w:shd w:val="clear" w:color="auto" w:fill="auto"/>
            <w:noWrap/>
            <w:hideMark/>
          </w:tcPr>
          <w:p w14:paraId="312BF4C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241</w:t>
            </w:r>
          </w:p>
        </w:tc>
        <w:tc>
          <w:tcPr>
            <w:tcW w:w="663" w:type="dxa"/>
            <w:shd w:val="clear" w:color="auto" w:fill="auto"/>
            <w:noWrap/>
            <w:hideMark/>
          </w:tcPr>
          <w:p w14:paraId="7E59DB0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795" w:type="dxa"/>
            <w:shd w:val="clear" w:color="auto" w:fill="auto"/>
            <w:noWrap/>
            <w:hideMark/>
          </w:tcPr>
          <w:p w14:paraId="5834242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241-248</w:t>
            </w:r>
          </w:p>
        </w:tc>
        <w:tc>
          <w:tcPr>
            <w:tcW w:w="1694" w:type="dxa"/>
            <w:shd w:val="clear" w:color="auto" w:fill="auto"/>
            <w:noWrap/>
            <w:hideMark/>
          </w:tcPr>
          <w:p w14:paraId="635C0E8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10.1016/j.jad.2018.07.057</w:t>
            </w:r>
          </w:p>
        </w:tc>
      </w:tr>
      <w:tr w:rsidR="00FF3F59" w:rsidRPr="00D518FF" w14:paraId="7C885CA5" w14:textId="77777777" w:rsidTr="00552B91">
        <w:trPr>
          <w:trHeight w:val="311"/>
        </w:trPr>
        <w:tc>
          <w:tcPr>
            <w:tcW w:w="993" w:type="dxa"/>
            <w:shd w:val="clear" w:color="auto" w:fill="auto"/>
            <w:noWrap/>
            <w:hideMark/>
          </w:tcPr>
          <w:p w14:paraId="59D0E49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Bai 2020</w:t>
            </w:r>
          </w:p>
        </w:tc>
        <w:tc>
          <w:tcPr>
            <w:tcW w:w="3543" w:type="dxa"/>
            <w:shd w:val="clear" w:color="auto" w:fill="auto"/>
            <w:noWrap/>
            <w:hideMark/>
          </w:tcPr>
          <w:p w14:paraId="3DDEEDE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and safety of anti-inflammatory agents for the treatment of major depressive disorder: a systematic review and meta-analysis of randomised controlled trials</w:t>
            </w:r>
          </w:p>
        </w:tc>
        <w:tc>
          <w:tcPr>
            <w:tcW w:w="3428" w:type="dxa"/>
            <w:shd w:val="clear" w:color="auto" w:fill="auto"/>
            <w:noWrap/>
            <w:hideMark/>
          </w:tcPr>
          <w:p w14:paraId="2C5A218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Bai, S.; Guo, W.; Feng, Y.; Deng, H.; Li, G.; Nie, H.; Guo, G.; Yu, H.; Ma, Y.; Wang, J.; Chen, S.; Jing, J.; Yang, J.; Tang, Y.; Tang, Z.</w:t>
            </w:r>
          </w:p>
        </w:tc>
        <w:tc>
          <w:tcPr>
            <w:tcW w:w="530" w:type="dxa"/>
            <w:shd w:val="clear" w:color="auto" w:fill="auto"/>
            <w:noWrap/>
            <w:hideMark/>
          </w:tcPr>
          <w:p w14:paraId="18C4BA4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571" w:type="dxa"/>
            <w:shd w:val="clear" w:color="auto" w:fill="auto"/>
            <w:noWrap/>
            <w:hideMark/>
          </w:tcPr>
          <w:p w14:paraId="4E2B93F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Journal of neurology, neurosurgery, and psychiatry</w:t>
            </w:r>
          </w:p>
        </w:tc>
        <w:tc>
          <w:tcPr>
            <w:tcW w:w="817" w:type="dxa"/>
            <w:shd w:val="clear" w:color="auto" w:fill="auto"/>
            <w:noWrap/>
            <w:hideMark/>
          </w:tcPr>
          <w:p w14:paraId="78D7E72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91</w:t>
            </w:r>
          </w:p>
        </w:tc>
        <w:tc>
          <w:tcPr>
            <w:tcW w:w="663" w:type="dxa"/>
            <w:shd w:val="clear" w:color="auto" w:fill="auto"/>
            <w:noWrap/>
            <w:hideMark/>
          </w:tcPr>
          <w:p w14:paraId="0DCAE7F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95" w:type="dxa"/>
            <w:shd w:val="clear" w:color="auto" w:fill="auto"/>
            <w:noWrap/>
            <w:hideMark/>
          </w:tcPr>
          <w:p w14:paraId="3C325FE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21-32</w:t>
            </w:r>
          </w:p>
        </w:tc>
        <w:tc>
          <w:tcPr>
            <w:tcW w:w="1694" w:type="dxa"/>
            <w:shd w:val="clear" w:color="auto" w:fill="auto"/>
            <w:noWrap/>
            <w:hideMark/>
          </w:tcPr>
          <w:p w14:paraId="7396D57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10.1136/jnnp-2019-320912</w:t>
            </w:r>
          </w:p>
        </w:tc>
      </w:tr>
      <w:tr w:rsidR="00FF3F59" w:rsidRPr="00D518FF" w14:paraId="3B98FEC5" w14:textId="77777777" w:rsidTr="00552B91">
        <w:trPr>
          <w:trHeight w:val="311"/>
        </w:trPr>
        <w:tc>
          <w:tcPr>
            <w:tcW w:w="993" w:type="dxa"/>
            <w:shd w:val="clear" w:color="auto" w:fill="auto"/>
            <w:noWrap/>
            <w:hideMark/>
          </w:tcPr>
          <w:p w14:paraId="1657101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Chowdhury 2020</w:t>
            </w:r>
          </w:p>
        </w:tc>
        <w:tc>
          <w:tcPr>
            <w:tcW w:w="3543" w:type="dxa"/>
            <w:shd w:val="clear" w:color="auto" w:fill="auto"/>
            <w:noWrap/>
            <w:hideMark/>
          </w:tcPr>
          <w:p w14:paraId="2512113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Effect of supplementary omega-3 fatty acids on pregnant women with complications and pregnancy outcomes: review from literature</w:t>
            </w:r>
          </w:p>
        </w:tc>
        <w:tc>
          <w:tcPr>
            <w:tcW w:w="3428" w:type="dxa"/>
            <w:shd w:val="clear" w:color="auto" w:fill="auto"/>
            <w:noWrap/>
            <w:hideMark/>
          </w:tcPr>
          <w:p w14:paraId="412B14F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Chowdhury, M. H.; Ghosh, S.; Kabir, M. R.; Mamun, M. A. A.; Islam, M. S.</w:t>
            </w:r>
          </w:p>
        </w:tc>
        <w:tc>
          <w:tcPr>
            <w:tcW w:w="530" w:type="dxa"/>
            <w:shd w:val="clear" w:color="auto" w:fill="auto"/>
            <w:noWrap/>
            <w:hideMark/>
          </w:tcPr>
          <w:p w14:paraId="2CCF309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571" w:type="dxa"/>
            <w:shd w:val="clear" w:color="auto" w:fill="auto"/>
            <w:noWrap/>
            <w:hideMark/>
          </w:tcPr>
          <w:p w14:paraId="23884FA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Journal of Maternal-Fetal and Neonatal Medicine</w:t>
            </w:r>
          </w:p>
        </w:tc>
        <w:tc>
          <w:tcPr>
            <w:tcW w:w="817" w:type="dxa"/>
            <w:shd w:val="clear" w:color="auto" w:fill="auto"/>
          </w:tcPr>
          <w:p w14:paraId="3F63722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35</w:t>
            </w:r>
          </w:p>
        </w:tc>
        <w:tc>
          <w:tcPr>
            <w:tcW w:w="663" w:type="dxa"/>
            <w:shd w:val="clear" w:color="auto" w:fill="auto"/>
          </w:tcPr>
          <w:p w14:paraId="651E675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13</w:t>
            </w:r>
          </w:p>
        </w:tc>
        <w:tc>
          <w:tcPr>
            <w:tcW w:w="795" w:type="dxa"/>
            <w:shd w:val="clear" w:color="auto" w:fill="auto"/>
            <w:noWrap/>
            <w:hideMark/>
          </w:tcPr>
          <w:p w14:paraId="5A6FE23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2564-2580</w:t>
            </w:r>
          </w:p>
        </w:tc>
        <w:tc>
          <w:tcPr>
            <w:tcW w:w="1694" w:type="dxa"/>
            <w:shd w:val="clear" w:color="auto" w:fill="auto"/>
            <w:noWrap/>
            <w:hideMark/>
          </w:tcPr>
          <w:p w14:paraId="1145BE0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https://dx.doi.org/10.1080/14767058.2020.1786522</w:t>
            </w:r>
          </w:p>
        </w:tc>
      </w:tr>
      <w:tr w:rsidR="00FF3F59" w:rsidRPr="00D518FF" w14:paraId="655D907C" w14:textId="77777777" w:rsidTr="00552B91">
        <w:trPr>
          <w:trHeight w:val="311"/>
        </w:trPr>
        <w:tc>
          <w:tcPr>
            <w:tcW w:w="993" w:type="dxa"/>
            <w:shd w:val="clear" w:color="auto" w:fill="auto"/>
            <w:noWrap/>
            <w:hideMark/>
          </w:tcPr>
          <w:p w14:paraId="7772A3A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Farooq 2020</w:t>
            </w:r>
          </w:p>
        </w:tc>
        <w:tc>
          <w:tcPr>
            <w:tcW w:w="3543" w:type="dxa"/>
            <w:shd w:val="clear" w:color="auto" w:fill="auto"/>
            <w:noWrap/>
            <w:hideMark/>
          </w:tcPr>
          <w:p w14:paraId="03FE3B6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Pharmacological interventions for prevention of depression in high risk conditions: Systematic review and meta-analysis</w:t>
            </w:r>
          </w:p>
        </w:tc>
        <w:tc>
          <w:tcPr>
            <w:tcW w:w="3428" w:type="dxa"/>
            <w:shd w:val="clear" w:color="auto" w:fill="auto"/>
            <w:noWrap/>
            <w:hideMark/>
          </w:tcPr>
          <w:p w14:paraId="4B3AB01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Farooq, S.; Singh, S. P.; Burke, D.; Naeem, F.; Ayub, M.</w:t>
            </w:r>
          </w:p>
        </w:tc>
        <w:tc>
          <w:tcPr>
            <w:tcW w:w="530" w:type="dxa"/>
            <w:shd w:val="clear" w:color="auto" w:fill="auto"/>
            <w:noWrap/>
            <w:hideMark/>
          </w:tcPr>
          <w:p w14:paraId="258361D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571" w:type="dxa"/>
            <w:shd w:val="clear" w:color="auto" w:fill="auto"/>
            <w:noWrap/>
            <w:hideMark/>
          </w:tcPr>
          <w:p w14:paraId="3C4D410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Journal of Affective Disorders</w:t>
            </w:r>
          </w:p>
        </w:tc>
        <w:tc>
          <w:tcPr>
            <w:tcW w:w="817" w:type="dxa"/>
            <w:shd w:val="clear" w:color="auto" w:fill="auto"/>
            <w:noWrap/>
            <w:hideMark/>
          </w:tcPr>
          <w:p w14:paraId="7AC3C3A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269</w:t>
            </w:r>
          </w:p>
        </w:tc>
        <w:tc>
          <w:tcPr>
            <w:tcW w:w="663" w:type="dxa"/>
            <w:shd w:val="clear" w:color="auto" w:fill="auto"/>
            <w:noWrap/>
            <w:hideMark/>
          </w:tcPr>
          <w:p w14:paraId="4335433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795" w:type="dxa"/>
            <w:shd w:val="clear" w:color="auto" w:fill="auto"/>
            <w:noWrap/>
            <w:hideMark/>
          </w:tcPr>
          <w:p w14:paraId="6D6090A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58-69</w:t>
            </w:r>
          </w:p>
        </w:tc>
        <w:tc>
          <w:tcPr>
            <w:tcW w:w="1694" w:type="dxa"/>
            <w:shd w:val="clear" w:color="auto" w:fill="auto"/>
            <w:noWrap/>
            <w:hideMark/>
          </w:tcPr>
          <w:p w14:paraId="2C9B858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10.1016/j.jad.2020.03.024</w:t>
            </w:r>
          </w:p>
        </w:tc>
      </w:tr>
      <w:tr w:rsidR="00FF3F59" w:rsidRPr="00D518FF" w14:paraId="4B098351" w14:textId="77777777" w:rsidTr="00552B91">
        <w:trPr>
          <w:trHeight w:val="311"/>
        </w:trPr>
        <w:tc>
          <w:tcPr>
            <w:tcW w:w="993" w:type="dxa"/>
            <w:shd w:val="clear" w:color="auto" w:fill="auto"/>
            <w:noWrap/>
            <w:hideMark/>
          </w:tcPr>
          <w:p w14:paraId="517CD11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Gabriel 2022</w:t>
            </w:r>
          </w:p>
        </w:tc>
        <w:tc>
          <w:tcPr>
            <w:tcW w:w="3543" w:type="dxa"/>
            <w:shd w:val="clear" w:color="auto" w:fill="auto"/>
            <w:noWrap/>
            <w:hideMark/>
          </w:tcPr>
          <w:p w14:paraId="3C6E5CB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Nutrition and bipolar disorder: a systematic review</w:t>
            </w:r>
          </w:p>
        </w:tc>
        <w:tc>
          <w:tcPr>
            <w:tcW w:w="3428" w:type="dxa"/>
            <w:shd w:val="clear" w:color="auto" w:fill="auto"/>
            <w:noWrap/>
            <w:hideMark/>
          </w:tcPr>
          <w:p w14:paraId="70E7878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Gabriel, F. C.; Oliveira, M.; Martella, B. M.; Berk, M.; Brietzke, E.; Jacka, F. N.; Lafer, B.</w:t>
            </w:r>
          </w:p>
        </w:tc>
        <w:tc>
          <w:tcPr>
            <w:tcW w:w="530" w:type="dxa"/>
            <w:shd w:val="clear" w:color="auto" w:fill="auto"/>
            <w:noWrap/>
            <w:hideMark/>
          </w:tcPr>
          <w:p w14:paraId="7D476F4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2022</w:t>
            </w:r>
          </w:p>
        </w:tc>
        <w:tc>
          <w:tcPr>
            <w:tcW w:w="1571" w:type="dxa"/>
            <w:shd w:val="clear" w:color="auto" w:fill="auto"/>
            <w:noWrap/>
            <w:hideMark/>
          </w:tcPr>
          <w:p w14:paraId="3885E9C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Nutritional neuroscience</w:t>
            </w:r>
          </w:p>
        </w:tc>
        <w:tc>
          <w:tcPr>
            <w:tcW w:w="817" w:type="dxa"/>
            <w:shd w:val="clear" w:color="auto" w:fill="auto"/>
          </w:tcPr>
          <w:p w14:paraId="0465C35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26</w:t>
            </w:r>
          </w:p>
        </w:tc>
        <w:tc>
          <w:tcPr>
            <w:tcW w:w="663" w:type="dxa"/>
            <w:shd w:val="clear" w:color="auto" w:fill="auto"/>
            <w:noWrap/>
            <w:hideMark/>
          </w:tcPr>
          <w:p w14:paraId="4F04CBB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7</w:t>
            </w:r>
          </w:p>
        </w:tc>
        <w:tc>
          <w:tcPr>
            <w:tcW w:w="795" w:type="dxa"/>
            <w:shd w:val="clear" w:color="auto" w:fill="auto"/>
            <w:noWrap/>
            <w:hideMark/>
          </w:tcPr>
          <w:p w14:paraId="0607C17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637-651</w:t>
            </w:r>
          </w:p>
        </w:tc>
        <w:tc>
          <w:tcPr>
            <w:tcW w:w="1694" w:type="dxa"/>
            <w:shd w:val="clear" w:color="auto" w:fill="auto"/>
            <w:noWrap/>
            <w:hideMark/>
          </w:tcPr>
          <w:p w14:paraId="7294A1A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10.1080/1028415X.2022.2077031</w:t>
            </w:r>
          </w:p>
        </w:tc>
      </w:tr>
      <w:tr w:rsidR="00FF3F59" w:rsidRPr="00D518FF" w14:paraId="303BC5E5" w14:textId="77777777" w:rsidTr="00552B91">
        <w:trPr>
          <w:trHeight w:val="311"/>
        </w:trPr>
        <w:tc>
          <w:tcPr>
            <w:tcW w:w="993" w:type="dxa"/>
            <w:shd w:val="clear" w:color="auto" w:fill="auto"/>
            <w:noWrap/>
            <w:hideMark/>
          </w:tcPr>
          <w:p w14:paraId="46FF8E9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Liao 2019</w:t>
            </w:r>
          </w:p>
        </w:tc>
        <w:tc>
          <w:tcPr>
            <w:tcW w:w="3543" w:type="dxa"/>
            <w:shd w:val="clear" w:color="auto" w:fill="auto"/>
            <w:noWrap/>
            <w:hideMark/>
          </w:tcPr>
          <w:p w14:paraId="550D503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Efficacy of omega-3 PUFAs in depression: A meta-analysis</w:t>
            </w:r>
          </w:p>
        </w:tc>
        <w:tc>
          <w:tcPr>
            <w:tcW w:w="3428" w:type="dxa"/>
            <w:shd w:val="clear" w:color="auto" w:fill="auto"/>
            <w:noWrap/>
            <w:hideMark/>
          </w:tcPr>
          <w:p w14:paraId="7ACABA9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Liao, Y.; Xie, B.; Zhang, H.; He, Q.; Guo, L.; Subramanieapillai, M.; Fan, B.; Lu, C.; McIntyre, R. S.</w:t>
            </w:r>
          </w:p>
        </w:tc>
        <w:tc>
          <w:tcPr>
            <w:tcW w:w="530" w:type="dxa"/>
            <w:shd w:val="clear" w:color="auto" w:fill="auto"/>
            <w:noWrap/>
            <w:hideMark/>
          </w:tcPr>
          <w:p w14:paraId="4E64718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2019</w:t>
            </w:r>
          </w:p>
        </w:tc>
        <w:tc>
          <w:tcPr>
            <w:tcW w:w="1571" w:type="dxa"/>
            <w:shd w:val="clear" w:color="auto" w:fill="auto"/>
            <w:noWrap/>
            <w:hideMark/>
          </w:tcPr>
          <w:p w14:paraId="7E63C62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Transl Psychiatry</w:t>
            </w:r>
          </w:p>
        </w:tc>
        <w:tc>
          <w:tcPr>
            <w:tcW w:w="817" w:type="dxa"/>
            <w:shd w:val="clear" w:color="auto" w:fill="auto"/>
            <w:noWrap/>
            <w:hideMark/>
          </w:tcPr>
          <w:p w14:paraId="54B64B1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9</w:t>
            </w:r>
          </w:p>
        </w:tc>
        <w:tc>
          <w:tcPr>
            <w:tcW w:w="663" w:type="dxa"/>
            <w:shd w:val="clear" w:color="auto" w:fill="auto"/>
            <w:noWrap/>
            <w:hideMark/>
          </w:tcPr>
          <w:p w14:paraId="706AB74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95" w:type="dxa"/>
            <w:shd w:val="clear" w:color="auto" w:fill="auto"/>
            <w:noWrap/>
            <w:hideMark/>
          </w:tcPr>
          <w:p w14:paraId="4906BC9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190</w:t>
            </w:r>
          </w:p>
        </w:tc>
        <w:tc>
          <w:tcPr>
            <w:tcW w:w="1694" w:type="dxa"/>
            <w:shd w:val="clear" w:color="auto" w:fill="auto"/>
            <w:noWrap/>
            <w:hideMark/>
          </w:tcPr>
          <w:p w14:paraId="227CFE7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10.1038/s41398-019-0515-5</w:t>
            </w:r>
          </w:p>
        </w:tc>
      </w:tr>
      <w:tr w:rsidR="00FF3F59" w:rsidRPr="00D518FF" w14:paraId="0AC8BF26" w14:textId="77777777" w:rsidTr="00552B91">
        <w:trPr>
          <w:trHeight w:val="311"/>
        </w:trPr>
        <w:tc>
          <w:tcPr>
            <w:tcW w:w="993" w:type="dxa"/>
            <w:shd w:val="clear" w:color="auto" w:fill="auto"/>
            <w:noWrap/>
          </w:tcPr>
          <w:p w14:paraId="0023BCC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Miller 2013</w:t>
            </w:r>
          </w:p>
        </w:tc>
        <w:tc>
          <w:tcPr>
            <w:tcW w:w="3543" w:type="dxa"/>
            <w:shd w:val="clear" w:color="auto" w:fill="auto"/>
            <w:noWrap/>
          </w:tcPr>
          <w:p w14:paraId="760E0F4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Dietary supplements for preventing postnatal depression</w:t>
            </w:r>
          </w:p>
        </w:tc>
        <w:tc>
          <w:tcPr>
            <w:tcW w:w="3428" w:type="dxa"/>
            <w:shd w:val="clear" w:color="auto" w:fill="auto"/>
            <w:noWrap/>
          </w:tcPr>
          <w:p w14:paraId="146D3A1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Brendan, J. Miller; Linda, Murray; Michael, M. Beckmann; Terrence, Kent; Bonnie, Macfarlane</w:t>
            </w:r>
          </w:p>
        </w:tc>
        <w:tc>
          <w:tcPr>
            <w:tcW w:w="530" w:type="dxa"/>
            <w:shd w:val="clear" w:color="auto" w:fill="auto"/>
            <w:noWrap/>
          </w:tcPr>
          <w:p w14:paraId="3D59583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2013</w:t>
            </w:r>
          </w:p>
        </w:tc>
        <w:tc>
          <w:tcPr>
            <w:tcW w:w="1571" w:type="dxa"/>
            <w:shd w:val="clear" w:color="auto" w:fill="auto"/>
            <w:noWrap/>
          </w:tcPr>
          <w:p w14:paraId="279B39F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Cochrane Database of Systematic Reviews</w:t>
            </w:r>
          </w:p>
        </w:tc>
        <w:tc>
          <w:tcPr>
            <w:tcW w:w="817" w:type="dxa"/>
            <w:shd w:val="clear" w:color="auto" w:fill="auto"/>
            <w:noWrap/>
          </w:tcPr>
          <w:p w14:paraId="090B5A6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w:t>
            </w:r>
          </w:p>
        </w:tc>
        <w:tc>
          <w:tcPr>
            <w:tcW w:w="663" w:type="dxa"/>
            <w:shd w:val="clear" w:color="auto" w:fill="auto"/>
            <w:noWrap/>
          </w:tcPr>
          <w:p w14:paraId="1396DDB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w:t>
            </w:r>
          </w:p>
        </w:tc>
        <w:tc>
          <w:tcPr>
            <w:tcW w:w="795" w:type="dxa"/>
            <w:shd w:val="clear" w:color="auto" w:fill="auto"/>
            <w:noWrap/>
          </w:tcPr>
          <w:p w14:paraId="1DC4318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CD009104</w:t>
            </w:r>
          </w:p>
        </w:tc>
        <w:tc>
          <w:tcPr>
            <w:tcW w:w="1694" w:type="dxa"/>
            <w:shd w:val="clear" w:color="auto" w:fill="auto"/>
            <w:noWrap/>
          </w:tcPr>
          <w:p w14:paraId="0AAC306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10.1002/14651858.CD009104.pub2</w:t>
            </w:r>
          </w:p>
        </w:tc>
      </w:tr>
      <w:tr w:rsidR="00FF3F59" w:rsidRPr="00D518FF" w14:paraId="1649A151" w14:textId="77777777" w:rsidTr="00552B91">
        <w:trPr>
          <w:trHeight w:val="311"/>
        </w:trPr>
        <w:tc>
          <w:tcPr>
            <w:tcW w:w="993" w:type="dxa"/>
            <w:shd w:val="clear" w:color="auto" w:fill="auto"/>
            <w:noWrap/>
            <w:hideMark/>
          </w:tcPr>
          <w:p w14:paraId="5259DA5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Mocking 2016</w:t>
            </w:r>
          </w:p>
        </w:tc>
        <w:tc>
          <w:tcPr>
            <w:tcW w:w="3543" w:type="dxa"/>
            <w:shd w:val="clear" w:color="auto" w:fill="auto"/>
            <w:noWrap/>
            <w:hideMark/>
          </w:tcPr>
          <w:p w14:paraId="5C1A04A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Meta-analysis and meta-regression of omega-3 polyunsaturated fatty acid supplementation for major depressive disorder</w:t>
            </w:r>
          </w:p>
        </w:tc>
        <w:tc>
          <w:tcPr>
            <w:tcW w:w="3428" w:type="dxa"/>
            <w:shd w:val="clear" w:color="auto" w:fill="auto"/>
            <w:noWrap/>
            <w:hideMark/>
          </w:tcPr>
          <w:p w14:paraId="6D31A50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Mocking, R. J. T.; Harmsen, I.; Assies, J.; Koeter, M. W. J.; Ruhe, H. G.; Schene, A. H.</w:t>
            </w:r>
          </w:p>
        </w:tc>
        <w:tc>
          <w:tcPr>
            <w:tcW w:w="530" w:type="dxa"/>
            <w:shd w:val="clear" w:color="auto" w:fill="auto"/>
            <w:noWrap/>
            <w:hideMark/>
          </w:tcPr>
          <w:p w14:paraId="2495E5E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2016</w:t>
            </w:r>
          </w:p>
        </w:tc>
        <w:tc>
          <w:tcPr>
            <w:tcW w:w="1571" w:type="dxa"/>
            <w:shd w:val="clear" w:color="auto" w:fill="auto"/>
            <w:noWrap/>
            <w:hideMark/>
          </w:tcPr>
          <w:p w14:paraId="25A0897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Translational Psychiatry</w:t>
            </w:r>
          </w:p>
        </w:tc>
        <w:tc>
          <w:tcPr>
            <w:tcW w:w="817" w:type="dxa"/>
            <w:shd w:val="clear" w:color="auto" w:fill="auto"/>
            <w:noWrap/>
            <w:hideMark/>
          </w:tcPr>
          <w:p w14:paraId="1AC71BF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6</w:t>
            </w:r>
          </w:p>
        </w:tc>
        <w:tc>
          <w:tcPr>
            <w:tcW w:w="663" w:type="dxa"/>
            <w:shd w:val="clear" w:color="auto" w:fill="auto"/>
            <w:noWrap/>
            <w:hideMark/>
          </w:tcPr>
          <w:p w14:paraId="6389666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w:t>
            </w:r>
          </w:p>
        </w:tc>
        <w:tc>
          <w:tcPr>
            <w:tcW w:w="795" w:type="dxa"/>
            <w:shd w:val="clear" w:color="auto" w:fill="auto"/>
            <w:noWrap/>
            <w:hideMark/>
          </w:tcPr>
          <w:p w14:paraId="2929EDF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e756</w:t>
            </w:r>
          </w:p>
        </w:tc>
        <w:tc>
          <w:tcPr>
            <w:tcW w:w="1694" w:type="dxa"/>
            <w:shd w:val="clear" w:color="auto" w:fill="auto"/>
            <w:noWrap/>
            <w:hideMark/>
          </w:tcPr>
          <w:p w14:paraId="489BA65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https://dx.doi.org/10.1038/tp.2016.29</w:t>
            </w:r>
          </w:p>
        </w:tc>
      </w:tr>
      <w:tr w:rsidR="00FF3F59" w:rsidRPr="00D518FF" w14:paraId="72BDEA3A" w14:textId="77777777" w:rsidTr="00552B91">
        <w:trPr>
          <w:trHeight w:val="311"/>
        </w:trPr>
        <w:tc>
          <w:tcPr>
            <w:tcW w:w="993" w:type="dxa"/>
            <w:shd w:val="clear" w:color="auto" w:fill="auto"/>
            <w:noWrap/>
            <w:hideMark/>
          </w:tcPr>
          <w:p w14:paraId="21BE530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Mocking 2020</w:t>
            </w:r>
          </w:p>
        </w:tc>
        <w:tc>
          <w:tcPr>
            <w:tcW w:w="3543" w:type="dxa"/>
            <w:shd w:val="clear" w:color="auto" w:fill="auto"/>
            <w:noWrap/>
            <w:hideMark/>
          </w:tcPr>
          <w:p w14:paraId="1D83182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Omega-3 Fatty Acid Supplementation for Perinatal Depression: A Meta-Analysis</w:t>
            </w:r>
          </w:p>
        </w:tc>
        <w:tc>
          <w:tcPr>
            <w:tcW w:w="3428" w:type="dxa"/>
            <w:shd w:val="clear" w:color="auto" w:fill="auto"/>
            <w:noWrap/>
            <w:hideMark/>
          </w:tcPr>
          <w:p w14:paraId="4942018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Mocking, R. J. T.; Steijn, K.; Roos, C.; Assies, J.; Bergink, V.; Ruh√©, H. G.; Schene, A. H.</w:t>
            </w:r>
          </w:p>
        </w:tc>
        <w:tc>
          <w:tcPr>
            <w:tcW w:w="530" w:type="dxa"/>
            <w:shd w:val="clear" w:color="auto" w:fill="auto"/>
            <w:noWrap/>
            <w:hideMark/>
          </w:tcPr>
          <w:p w14:paraId="044294A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571" w:type="dxa"/>
            <w:shd w:val="clear" w:color="auto" w:fill="auto"/>
            <w:noWrap/>
            <w:hideMark/>
          </w:tcPr>
          <w:p w14:paraId="094EA6D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J Clin Psychiatry</w:t>
            </w:r>
          </w:p>
        </w:tc>
        <w:tc>
          <w:tcPr>
            <w:tcW w:w="817" w:type="dxa"/>
            <w:shd w:val="clear" w:color="auto" w:fill="auto"/>
            <w:noWrap/>
            <w:hideMark/>
          </w:tcPr>
          <w:p w14:paraId="296422F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81</w:t>
            </w:r>
          </w:p>
        </w:tc>
        <w:tc>
          <w:tcPr>
            <w:tcW w:w="663" w:type="dxa"/>
            <w:shd w:val="clear" w:color="auto" w:fill="auto"/>
            <w:noWrap/>
            <w:hideMark/>
          </w:tcPr>
          <w:p w14:paraId="019EE7F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5</w:t>
            </w:r>
          </w:p>
        </w:tc>
        <w:tc>
          <w:tcPr>
            <w:tcW w:w="795" w:type="dxa"/>
            <w:shd w:val="clear" w:color="auto" w:fill="auto"/>
            <w:noWrap/>
            <w:hideMark/>
          </w:tcPr>
          <w:p w14:paraId="48353D4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19r13106</w:t>
            </w:r>
          </w:p>
        </w:tc>
        <w:tc>
          <w:tcPr>
            <w:tcW w:w="1694" w:type="dxa"/>
            <w:shd w:val="clear" w:color="auto" w:fill="auto"/>
            <w:noWrap/>
            <w:hideMark/>
          </w:tcPr>
          <w:p w14:paraId="3D7CAB2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10.4088/JCP.19r13106</w:t>
            </w:r>
          </w:p>
        </w:tc>
      </w:tr>
      <w:tr w:rsidR="00FF3F59" w:rsidRPr="00D518FF" w14:paraId="6866E45F" w14:textId="77777777" w:rsidTr="00552B91">
        <w:trPr>
          <w:trHeight w:val="311"/>
        </w:trPr>
        <w:tc>
          <w:tcPr>
            <w:tcW w:w="993" w:type="dxa"/>
            <w:shd w:val="clear" w:color="auto" w:fill="auto"/>
            <w:noWrap/>
            <w:hideMark/>
          </w:tcPr>
          <w:p w14:paraId="7ACF99B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Morrell 2016</w:t>
            </w:r>
          </w:p>
        </w:tc>
        <w:tc>
          <w:tcPr>
            <w:tcW w:w="3543" w:type="dxa"/>
            <w:shd w:val="clear" w:color="auto" w:fill="auto"/>
            <w:noWrap/>
            <w:hideMark/>
          </w:tcPr>
          <w:p w14:paraId="55B7AFE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 systematic review, evidence synthesis and meta-analysis of quantitative and qualitative studies evaluating the clinical effectiveness, the cost-effectiveness, safety and acceptability of interventions to prevent postnatal depression</w:t>
            </w:r>
          </w:p>
        </w:tc>
        <w:tc>
          <w:tcPr>
            <w:tcW w:w="3428" w:type="dxa"/>
            <w:shd w:val="clear" w:color="auto" w:fill="auto"/>
            <w:noWrap/>
            <w:hideMark/>
          </w:tcPr>
          <w:p w14:paraId="02E54A7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Morrell, C. J.; Sutcliffe, P.; Booth, A.; Stevens, J.; Scope, A.; Stevenson, M.; Harvey, R.; Bessey, A.; Cantrell, A.; Dennis, C. L.; Ren, S.; Ragonesi, M.; Barkham, M.; Churchill, D.; Henshaw, C.; Newstead, J.; Slade, P.; Spiby, H.; Stewart-Brown, S.</w:t>
            </w:r>
          </w:p>
        </w:tc>
        <w:tc>
          <w:tcPr>
            <w:tcW w:w="530" w:type="dxa"/>
            <w:shd w:val="clear" w:color="auto" w:fill="auto"/>
            <w:noWrap/>
            <w:hideMark/>
          </w:tcPr>
          <w:p w14:paraId="3166FE5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2016</w:t>
            </w:r>
          </w:p>
        </w:tc>
        <w:tc>
          <w:tcPr>
            <w:tcW w:w="1571" w:type="dxa"/>
            <w:shd w:val="clear" w:color="auto" w:fill="auto"/>
            <w:noWrap/>
            <w:hideMark/>
          </w:tcPr>
          <w:p w14:paraId="573734A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Health Technology Assessment</w:t>
            </w:r>
          </w:p>
        </w:tc>
        <w:tc>
          <w:tcPr>
            <w:tcW w:w="817" w:type="dxa"/>
            <w:shd w:val="clear" w:color="auto" w:fill="auto"/>
            <w:noWrap/>
            <w:hideMark/>
          </w:tcPr>
          <w:p w14:paraId="7BEBE99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w:t>
            </w:r>
          </w:p>
        </w:tc>
        <w:tc>
          <w:tcPr>
            <w:tcW w:w="663" w:type="dxa"/>
            <w:shd w:val="clear" w:color="auto" w:fill="auto"/>
            <w:noWrap/>
            <w:hideMark/>
          </w:tcPr>
          <w:p w14:paraId="246D60E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37</w:t>
            </w:r>
          </w:p>
        </w:tc>
        <w:tc>
          <w:tcPr>
            <w:tcW w:w="795" w:type="dxa"/>
            <w:shd w:val="clear" w:color="auto" w:fill="auto"/>
            <w:noWrap/>
            <w:hideMark/>
          </w:tcPr>
          <w:p w14:paraId="132A90E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1-414</w:t>
            </w:r>
          </w:p>
        </w:tc>
        <w:tc>
          <w:tcPr>
            <w:tcW w:w="1694" w:type="dxa"/>
            <w:shd w:val="clear" w:color="auto" w:fill="auto"/>
            <w:noWrap/>
            <w:hideMark/>
          </w:tcPr>
          <w:p w14:paraId="6305966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https://dx.doi.org/10.3310/hta20370</w:t>
            </w:r>
          </w:p>
        </w:tc>
      </w:tr>
      <w:tr w:rsidR="00FF3F59" w:rsidRPr="00D518FF" w14:paraId="6CFD66D4" w14:textId="77777777" w:rsidTr="00552B91">
        <w:trPr>
          <w:trHeight w:val="311"/>
        </w:trPr>
        <w:tc>
          <w:tcPr>
            <w:tcW w:w="993" w:type="dxa"/>
            <w:shd w:val="clear" w:color="auto" w:fill="auto"/>
            <w:noWrap/>
            <w:hideMark/>
          </w:tcPr>
          <w:p w14:paraId="4E54083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Newberry 2016</w:t>
            </w:r>
          </w:p>
        </w:tc>
        <w:tc>
          <w:tcPr>
            <w:tcW w:w="3543" w:type="dxa"/>
            <w:shd w:val="clear" w:color="auto" w:fill="auto"/>
            <w:noWrap/>
            <w:hideMark/>
          </w:tcPr>
          <w:p w14:paraId="08CD3CC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Omega-3 Fatty Acids and Maternal and Child Health: An Updated Systematic Review</w:t>
            </w:r>
          </w:p>
        </w:tc>
        <w:tc>
          <w:tcPr>
            <w:tcW w:w="3428" w:type="dxa"/>
            <w:shd w:val="clear" w:color="auto" w:fill="auto"/>
            <w:noWrap/>
            <w:hideMark/>
          </w:tcPr>
          <w:p w14:paraId="44A109E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 xml:space="preserve">Newberry, S. J.; Chung, M.; Booth, M.; Maglione, M. A.; Tang, A. M.; O'Hanlon, C. E.; Wang, D. D.; Okunogbe, A.; Huang, C.; Motala, A.; Trimmer, </w:t>
            </w:r>
            <w:r w:rsidRPr="00D518FF">
              <w:rPr>
                <w:rFonts w:ascii="Aptos" w:hAnsi="Aptos" w:cs="Arial"/>
                <w:sz w:val="16"/>
                <w:szCs w:val="16"/>
              </w:rPr>
              <w:lastRenderedPageBreak/>
              <w:t>M.; Dudley, W.; Shanman, R.; Coker, T. R.; Shekelle, P. G.</w:t>
            </w:r>
          </w:p>
        </w:tc>
        <w:tc>
          <w:tcPr>
            <w:tcW w:w="530" w:type="dxa"/>
            <w:shd w:val="clear" w:color="auto" w:fill="auto"/>
            <w:noWrap/>
            <w:hideMark/>
          </w:tcPr>
          <w:p w14:paraId="7106204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lastRenderedPageBreak/>
              <w:t>2016</w:t>
            </w:r>
          </w:p>
        </w:tc>
        <w:tc>
          <w:tcPr>
            <w:tcW w:w="1571" w:type="dxa"/>
            <w:shd w:val="clear" w:color="auto" w:fill="auto"/>
            <w:noWrap/>
            <w:hideMark/>
          </w:tcPr>
          <w:p w14:paraId="1310846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Evidence report/technology assessment</w:t>
            </w:r>
          </w:p>
        </w:tc>
        <w:tc>
          <w:tcPr>
            <w:tcW w:w="817" w:type="dxa"/>
            <w:shd w:val="clear" w:color="auto" w:fill="auto"/>
          </w:tcPr>
          <w:p w14:paraId="7BB44A2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663" w:type="dxa"/>
            <w:shd w:val="clear" w:color="auto" w:fill="auto"/>
            <w:noWrap/>
            <w:hideMark/>
          </w:tcPr>
          <w:p w14:paraId="4E8D486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224</w:t>
            </w:r>
          </w:p>
        </w:tc>
        <w:tc>
          <w:tcPr>
            <w:tcW w:w="795" w:type="dxa"/>
            <w:shd w:val="clear" w:color="auto" w:fill="auto"/>
            <w:noWrap/>
            <w:hideMark/>
          </w:tcPr>
          <w:p w14:paraId="1D1F850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1-826</w:t>
            </w:r>
          </w:p>
        </w:tc>
        <w:tc>
          <w:tcPr>
            <w:tcW w:w="1694" w:type="dxa"/>
            <w:shd w:val="clear" w:color="auto" w:fill="auto"/>
            <w:noWrap/>
            <w:hideMark/>
          </w:tcPr>
          <w:p w14:paraId="5D3FA08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10.23970/AHRQEPCERTA224</w:t>
            </w:r>
          </w:p>
        </w:tc>
      </w:tr>
      <w:tr w:rsidR="00FF3F59" w:rsidRPr="00D518FF" w14:paraId="37B362A5" w14:textId="77777777" w:rsidTr="00552B91">
        <w:trPr>
          <w:trHeight w:val="311"/>
        </w:trPr>
        <w:tc>
          <w:tcPr>
            <w:tcW w:w="993" w:type="dxa"/>
            <w:shd w:val="clear" w:color="auto" w:fill="auto"/>
            <w:noWrap/>
            <w:hideMark/>
          </w:tcPr>
          <w:p w14:paraId="505EB76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Saccone 2016</w:t>
            </w:r>
          </w:p>
        </w:tc>
        <w:tc>
          <w:tcPr>
            <w:tcW w:w="3543" w:type="dxa"/>
            <w:shd w:val="clear" w:color="auto" w:fill="auto"/>
            <w:noWrap/>
            <w:hideMark/>
          </w:tcPr>
          <w:p w14:paraId="5CAF6CF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Omega-3 long-chain polyunsaturated fatty acids and fish oil supplementation during pregnancy: Which evidence?</w:t>
            </w:r>
          </w:p>
        </w:tc>
        <w:tc>
          <w:tcPr>
            <w:tcW w:w="3428" w:type="dxa"/>
            <w:shd w:val="clear" w:color="auto" w:fill="auto"/>
            <w:noWrap/>
            <w:hideMark/>
          </w:tcPr>
          <w:p w14:paraId="50F5466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Saccone, G.; Saccone, I.; Berghella, V.</w:t>
            </w:r>
          </w:p>
        </w:tc>
        <w:tc>
          <w:tcPr>
            <w:tcW w:w="530" w:type="dxa"/>
            <w:shd w:val="clear" w:color="auto" w:fill="auto"/>
            <w:noWrap/>
            <w:hideMark/>
          </w:tcPr>
          <w:p w14:paraId="6C9AE07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2016</w:t>
            </w:r>
          </w:p>
        </w:tc>
        <w:tc>
          <w:tcPr>
            <w:tcW w:w="1571" w:type="dxa"/>
            <w:shd w:val="clear" w:color="auto" w:fill="auto"/>
            <w:noWrap/>
            <w:hideMark/>
          </w:tcPr>
          <w:p w14:paraId="0CA2298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Journal of Maternal-Fetal and Neonatal Medicine</w:t>
            </w:r>
          </w:p>
        </w:tc>
        <w:tc>
          <w:tcPr>
            <w:tcW w:w="817" w:type="dxa"/>
            <w:shd w:val="clear" w:color="auto" w:fill="auto"/>
            <w:noWrap/>
            <w:hideMark/>
          </w:tcPr>
          <w:p w14:paraId="441FA98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29</w:t>
            </w:r>
          </w:p>
        </w:tc>
        <w:tc>
          <w:tcPr>
            <w:tcW w:w="663" w:type="dxa"/>
            <w:shd w:val="clear" w:color="auto" w:fill="auto"/>
            <w:noWrap/>
            <w:hideMark/>
          </w:tcPr>
          <w:p w14:paraId="0DB8AF6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15</w:t>
            </w:r>
          </w:p>
        </w:tc>
        <w:tc>
          <w:tcPr>
            <w:tcW w:w="795" w:type="dxa"/>
            <w:shd w:val="clear" w:color="auto" w:fill="auto"/>
            <w:noWrap/>
            <w:hideMark/>
          </w:tcPr>
          <w:p w14:paraId="012E2E8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2389-2397</w:t>
            </w:r>
          </w:p>
        </w:tc>
        <w:tc>
          <w:tcPr>
            <w:tcW w:w="1694" w:type="dxa"/>
            <w:shd w:val="clear" w:color="auto" w:fill="auto"/>
            <w:noWrap/>
            <w:hideMark/>
          </w:tcPr>
          <w:p w14:paraId="63BBD3A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https://dx.doi.org/10.3109/14767058.2015.1086742</w:t>
            </w:r>
          </w:p>
        </w:tc>
      </w:tr>
      <w:tr w:rsidR="00FF3F59" w:rsidRPr="00D518FF" w14:paraId="36849C17" w14:textId="77777777" w:rsidTr="00552B91">
        <w:trPr>
          <w:trHeight w:val="311"/>
        </w:trPr>
        <w:tc>
          <w:tcPr>
            <w:tcW w:w="993" w:type="dxa"/>
            <w:shd w:val="clear" w:color="auto" w:fill="auto"/>
            <w:noWrap/>
            <w:hideMark/>
          </w:tcPr>
          <w:p w14:paraId="77DC22F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Sarris 2012</w:t>
            </w:r>
          </w:p>
        </w:tc>
        <w:tc>
          <w:tcPr>
            <w:tcW w:w="3543" w:type="dxa"/>
            <w:shd w:val="clear" w:color="auto" w:fill="auto"/>
            <w:noWrap/>
            <w:hideMark/>
          </w:tcPr>
          <w:p w14:paraId="533735F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Omega-3 for bipolar disorder: meta-analyses of use in mania and bipolar depression</w:t>
            </w:r>
          </w:p>
        </w:tc>
        <w:tc>
          <w:tcPr>
            <w:tcW w:w="3428" w:type="dxa"/>
            <w:shd w:val="clear" w:color="auto" w:fill="auto"/>
            <w:noWrap/>
            <w:hideMark/>
          </w:tcPr>
          <w:p w14:paraId="081D96C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Sarris, J.; Mischoulon, D.; Schweitzer, I.</w:t>
            </w:r>
          </w:p>
        </w:tc>
        <w:tc>
          <w:tcPr>
            <w:tcW w:w="530" w:type="dxa"/>
            <w:shd w:val="clear" w:color="auto" w:fill="auto"/>
            <w:noWrap/>
            <w:hideMark/>
          </w:tcPr>
          <w:p w14:paraId="722F030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2012</w:t>
            </w:r>
          </w:p>
        </w:tc>
        <w:tc>
          <w:tcPr>
            <w:tcW w:w="1571" w:type="dxa"/>
            <w:shd w:val="clear" w:color="auto" w:fill="auto"/>
            <w:noWrap/>
            <w:hideMark/>
          </w:tcPr>
          <w:p w14:paraId="1094D5A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The Journal of clinical psychiatry</w:t>
            </w:r>
          </w:p>
        </w:tc>
        <w:tc>
          <w:tcPr>
            <w:tcW w:w="817" w:type="dxa"/>
            <w:shd w:val="clear" w:color="auto" w:fill="auto"/>
            <w:noWrap/>
            <w:hideMark/>
          </w:tcPr>
          <w:p w14:paraId="38D4351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73</w:t>
            </w:r>
          </w:p>
        </w:tc>
        <w:tc>
          <w:tcPr>
            <w:tcW w:w="663" w:type="dxa"/>
            <w:shd w:val="clear" w:color="auto" w:fill="auto"/>
            <w:noWrap/>
            <w:hideMark/>
          </w:tcPr>
          <w:p w14:paraId="4006792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95" w:type="dxa"/>
            <w:shd w:val="clear" w:color="auto" w:fill="auto"/>
            <w:noWrap/>
            <w:hideMark/>
          </w:tcPr>
          <w:p w14:paraId="5362519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81-6</w:t>
            </w:r>
          </w:p>
        </w:tc>
        <w:tc>
          <w:tcPr>
            <w:tcW w:w="1694" w:type="dxa"/>
            <w:shd w:val="clear" w:color="auto" w:fill="auto"/>
            <w:noWrap/>
            <w:hideMark/>
          </w:tcPr>
          <w:p w14:paraId="7DE0DCD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10.4088/JCP.10r06710</w:t>
            </w:r>
          </w:p>
        </w:tc>
      </w:tr>
      <w:tr w:rsidR="00FF3F59" w:rsidRPr="00D518FF" w14:paraId="5EE8A3B4" w14:textId="77777777" w:rsidTr="00A6108F">
        <w:trPr>
          <w:trHeight w:val="311"/>
        </w:trPr>
        <w:tc>
          <w:tcPr>
            <w:tcW w:w="993" w:type="dxa"/>
            <w:shd w:val="clear" w:color="auto" w:fill="EFFFE9"/>
            <w:noWrap/>
            <w:hideMark/>
          </w:tcPr>
          <w:p w14:paraId="1864E790"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Suradom 2021</w:t>
            </w:r>
          </w:p>
        </w:tc>
        <w:tc>
          <w:tcPr>
            <w:tcW w:w="3543" w:type="dxa"/>
            <w:shd w:val="clear" w:color="auto" w:fill="EFFFE9"/>
            <w:noWrap/>
            <w:hideMark/>
          </w:tcPr>
          <w:p w14:paraId="7214448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Omega-3 polyunsaturated fatty acid (n-3 PUFA) supplementation for prevention and treatment of perinatal depression: a systematic review and meta-analysis of randomized-controlled trials</w:t>
            </w:r>
          </w:p>
        </w:tc>
        <w:tc>
          <w:tcPr>
            <w:tcW w:w="3428" w:type="dxa"/>
            <w:shd w:val="clear" w:color="auto" w:fill="EFFFE9"/>
            <w:noWrap/>
            <w:hideMark/>
          </w:tcPr>
          <w:p w14:paraId="0E968268"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Suradom, C.; Suttajit, S.; Oon-Arom, A.; Maneeton, B.; Srisurapanont, M.</w:t>
            </w:r>
          </w:p>
        </w:tc>
        <w:tc>
          <w:tcPr>
            <w:tcW w:w="530" w:type="dxa"/>
            <w:shd w:val="clear" w:color="auto" w:fill="EFFFE9"/>
            <w:noWrap/>
            <w:hideMark/>
          </w:tcPr>
          <w:p w14:paraId="3F1597A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2021</w:t>
            </w:r>
          </w:p>
        </w:tc>
        <w:tc>
          <w:tcPr>
            <w:tcW w:w="1571" w:type="dxa"/>
            <w:shd w:val="clear" w:color="auto" w:fill="EFFFE9"/>
            <w:noWrap/>
            <w:hideMark/>
          </w:tcPr>
          <w:p w14:paraId="3A672979"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Nord J Psychiatry</w:t>
            </w:r>
          </w:p>
        </w:tc>
        <w:tc>
          <w:tcPr>
            <w:tcW w:w="817" w:type="dxa"/>
            <w:shd w:val="clear" w:color="auto" w:fill="EFFFE9"/>
            <w:noWrap/>
            <w:hideMark/>
          </w:tcPr>
          <w:p w14:paraId="22AED7F5"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75</w:t>
            </w:r>
          </w:p>
        </w:tc>
        <w:tc>
          <w:tcPr>
            <w:tcW w:w="663" w:type="dxa"/>
            <w:shd w:val="clear" w:color="auto" w:fill="EFFFE9"/>
            <w:noWrap/>
            <w:hideMark/>
          </w:tcPr>
          <w:p w14:paraId="289F930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4</w:t>
            </w:r>
          </w:p>
        </w:tc>
        <w:tc>
          <w:tcPr>
            <w:tcW w:w="795" w:type="dxa"/>
            <w:shd w:val="clear" w:color="auto" w:fill="EFFFE9"/>
            <w:noWrap/>
            <w:hideMark/>
          </w:tcPr>
          <w:p w14:paraId="0CD8D9F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239-246</w:t>
            </w:r>
          </w:p>
        </w:tc>
        <w:tc>
          <w:tcPr>
            <w:tcW w:w="1694" w:type="dxa"/>
            <w:shd w:val="clear" w:color="auto" w:fill="EFFFE9"/>
            <w:noWrap/>
            <w:hideMark/>
          </w:tcPr>
          <w:p w14:paraId="762E07A8"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10.1080/08039488.2020.1843710</w:t>
            </w:r>
          </w:p>
        </w:tc>
      </w:tr>
      <w:tr w:rsidR="00FF3F59" w:rsidRPr="00D518FF" w14:paraId="2E1F2FC2" w14:textId="77777777" w:rsidTr="00552B91">
        <w:trPr>
          <w:trHeight w:val="311"/>
        </w:trPr>
        <w:tc>
          <w:tcPr>
            <w:tcW w:w="993" w:type="dxa"/>
            <w:shd w:val="clear" w:color="auto" w:fill="auto"/>
            <w:noWrap/>
            <w:hideMark/>
          </w:tcPr>
          <w:p w14:paraId="1DDD0AF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Troeung 2013</w:t>
            </w:r>
          </w:p>
        </w:tc>
        <w:tc>
          <w:tcPr>
            <w:tcW w:w="3543" w:type="dxa"/>
            <w:shd w:val="clear" w:color="auto" w:fill="auto"/>
            <w:noWrap/>
            <w:hideMark/>
          </w:tcPr>
          <w:p w14:paraId="43FB09D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 meta-analysis of randomised placebo-controlled treatment trials for depression and anxiety in Parkinson's disease</w:t>
            </w:r>
          </w:p>
        </w:tc>
        <w:tc>
          <w:tcPr>
            <w:tcW w:w="3428" w:type="dxa"/>
            <w:shd w:val="clear" w:color="auto" w:fill="auto"/>
            <w:noWrap/>
            <w:hideMark/>
          </w:tcPr>
          <w:p w14:paraId="10B4471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Troeung, L.; Egan, S. J.; Gasson, N.</w:t>
            </w:r>
          </w:p>
        </w:tc>
        <w:tc>
          <w:tcPr>
            <w:tcW w:w="530" w:type="dxa"/>
            <w:shd w:val="clear" w:color="auto" w:fill="auto"/>
            <w:noWrap/>
            <w:hideMark/>
          </w:tcPr>
          <w:p w14:paraId="6F18A8C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2013</w:t>
            </w:r>
          </w:p>
        </w:tc>
        <w:tc>
          <w:tcPr>
            <w:tcW w:w="1571" w:type="dxa"/>
            <w:shd w:val="clear" w:color="auto" w:fill="auto"/>
            <w:noWrap/>
            <w:hideMark/>
          </w:tcPr>
          <w:p w14:paraId="200FCF8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PloS one</w:t>
            </w:r>
          </w:p>
        </w:tc>
        <w:tc>
          <w:tcPr>
            <w:tcW w:w="817" w:type="dxa"/>
            <w:shd w:val="clear" w:color="auto" w:fill="auto"/>
            <w:noWrap/>
            <w:hideMark/>
          </w:tcPr>
          <w:p w14:paraId="199A5EC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w:t>
            </w:r>
          </w:p>
        </w:tc>
        <w:tc>
          <w:tcPr>
            <w:tcW w:w="663" w:type="dxa"/>
            <w:shd w:val="clear" w:color="auto" w:fill="auto"/>
            <w:noWrap/>
            <w:hideMark/>
          </w:tcPr>
          <w:p w14:paraId="5232596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w:t>
            </w:r>
          </w:p>
        </w:tc>
        <w:tc>
          <w:tcPr>
            <w:tcW w:w="795" w:type="dxa"/>
            <w:shd w:val="clear" w:color="auto" w:fill="auto"/>
            <w:noWrap/>
            <w:hideMark/>
          </w:tcPr>
          <w:p w14:paraId="709D645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e79510</w:t>
            </w:r>
          </w:p>
        </w:tc>
        <w:tc>
          <w:tcPr>
            <w:tcW w:w="1694" w:type="dxa"/>
            <w:shd w:val="clear" w:color="auto" w:fill="auto"/>
            <w:noWrap/>
            <w:hideMark/>
          </w:tcPr>
          <w:p w14:paraId="612045B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https://dx.doi.org/10.1371/journal.pone.0079510</w:t>
            </w:r>
          </w:p>
        </w:tc>
      </w:tr>
      <w:tr w:rsidR="00FF3F59" w:rsidRPr="00D518FF" w14:paraId="46DA9F16" w14:textId="77777777" w:rsidTr="00552B91">
        <w:trPr>
          <w:trHeight w:val="311"/>
        </w:trPr>
        <w:tc>
          <w:tcPr>
            <w:tcW w:w="993" w:type="dxa"/>
            <w:shd w:val="clear" w:color="auto" w:fill="auto"/>
            <w:noWrap/>
            <w:hideMark/>
          </w:tcPr>
          <w:p w14:paraId="7D77FAB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Tsai 2023</w:t>
            </w:r>
          </w:p>
        </w:tc>
        <w:tc>
          <w:tcPr>
            <w:tcW w:w="3543" w:type="dxa"/>
            <w:shd w:val="clear" w:color="auto" w:fill="auto"/>
            <w:noWrap/>
            <w:hideMark/>
          </w:tcPr>
          <w:p w14:paraId="7EDB3FF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Dietary Interventions for Perinatal Depression and Anxiety: A Systematic Review and Meta-Analysis</w:t>
            </w:r>
          </w:p>
        </w:tc>
        <w:tc>
          <w:tcPr>
            <w:tcW w:w="3428" w:type="dxa"/>
            <w:shd w:val="clear" w:color="auto" w:fill="auto"/>
            <w:noWrap/>
            <w:hideMark/>
          </w:tcPr>
          <w:p w14:paraId="3C329537"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Tsai, Z., Shah, N., Tahir, U., Mortaji, N., Owais, S., Perreault, M., &amp; Van Lieshout, R. J.</w:t>
            </w:r>
          </w:p>
        </w:tc>
        <w:tc>
          <w:tcPr>
            <w:tcW w:w="530" w:type="dxa"/>
            <w:shd w:val="clear" w:color="auto" w:fill="auto"/>
          </w:tcPr>
          <w:p w14:paraId="7B9343C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2023</w:t>
            </w:r>
          </w:p>
        </w:tc>
        <w:tc>
          <w:tcPr>
            <w:tcW w:w="1571" w:type="dxa"/>
            <w:shd w:val="clear" w:color="auto" w:fill="auto"/>
          </w:tcPr>
          <w:p w14:paraId="5B9B4F14" w14:textId="77777777" w:rsidR="00FF3F59" w:rsidRPr="00D518FF" w:rsidRDefault="00FF3F59">
            <w:pPr>
              <w:shd w:val="clear" w:color="auto" w:fill="FFFFFF"/>
              <w:rPr>
                <w:rFonts w:ascii="Aptos" w:hAnsi="Aptos" w:cs="Arial"/>
                <w:sz w:val="16"/>
                <w:szCs w:val="16"/>
              </w:rPr>
            </w:pPr>
            <w:r w:rsidRPr="00D518FF">
              <w:rPr>
                <w:rFonts w:ascii="Aptos" w:hAnsi="Aptos" w:cs="Arial"/>
                <w:sz w:val="16"/>
                <w:szCs w:val="16"/>
              </w:rPr>
              <w:t>Am J Clin Nutr</w:t>
            </w:r>
          </w:p>
        </w:tc>
        <w:tc>
          <w:tcPr>
            <w:tcW w:w="817" w:type="dxa"/>
            <w:shd w:val="clear" w:color="auto" w:fill="auto"/>
          </w:tcPr>
          <w:p w14:paraId="703597C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117</w:t>
            </w:r>
          </w:p>
        </w:tc>
        <w:tc>
          <w:tcPr>
            <w:tcW w:w="663" w:type="dxa"/>
            <w:shd w:val="clear" w:color="auto" w:fill="auto"/>
          </w:tcPr>
          <w:p w14:paraId="530D254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6</w:t>
            </w:r>
          </w:p>
        </w:tc>
        <w:tc>
          <w:tcPr>
            <w:tcW w:w="795" w:type="dxa"/>
            <w:shd w:val="clear" w:color="auto" w:fill="auto"/>
          </w:tcPr>
          <w:p w14:paraId="3A5D042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1130-1142</w:t>
            </w:r>
          </w:p>
        </w:tc>
        <w:tc>
          <w:tcPr>
            <w:tcW w:w="1694" w:type="dxa"/>
            <w:shd w:val="clear" w:color="auto" w:fill="auto"/>
          </w:tcPr>
          <w:p w14:paraId="1D75AF8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10.1016/j.ajcnut.2023.03.025</w:t>
            </w:r>
          </w:p>
        </w:tc>
      </w:tr>
      <w:tr w:rsidR="00A03699" w:rsidRPr="00D518FF" w14:paraId="7823AF7C" w14:textId="77777777" w:rsidTr="00552B91">
        <w:trPr>
          <w:trHeight w:val="311"/>
        </w:trPr>
        <w:tc>
          <w:tcPr>
            <w:tcW w:w="993" w:type="dxa"/>
            <w:shd w:val="clear" w:color="auto" w:fill="auto"/>
            <w:noWrap/>
          </w:tcPr>
          <w:p w14:paraId="6E8B7A94" w14:textId="0F1C314E" w:rsidR="00A03699" w:rsidRPr="00D518FF" w:rsidRDefault="00085483">
            <w:pPr>
              <w:pStyle w:val="NormalWeb"/>
              <w:shd w:val="clear" w:color="auto" w:fill="FFFFFF"/>
              <w:spacing w:before="0" w:beforeAutospacing="0" w:after="0" w:afterAutospacing="0"/>
              <w:rPr>
                <w:rFonts w:ascii="Aptos" w:hAnsi="Aptos" w:cs="Arial"/>
                <w:sz w:val="16"/>
                <w:szCs w:val="16"/>
              </w:rPr>
            </w:pPr>
            <w:r>
              <w:rPr>
                <w:rFonts w:ascii="Aptos" w:hAnsi="Aptos" w:cs="Arial"/>
                <w:sz w:val="16"/>
                <w:szCs w:val="16"/>
              </w:rPr>
              <w:t>Tung 2023</w:t>
            </w:r>
          </w:p>
        </w:tc>
        <w:tc>
          <w:tcPr>
            <w:tcW w:w="3543" w:type="dxa"/>
            <w:shd w:val="clear" w:color="auto" w:fill="auto"/>
            <w:noWrap/>
          </w:tcPr>
          <w:p w14:paraId="77EA789F" w14:textId="70C63900" w:rsidR="00A03699" w:rsidRPr="00D518FF" w:rsidRDefault="00344597">
            <w:pPr>
              <w:pStyle w:val="NormalWeb"/>
              <w:shd w:val="clear" w:color="auto" w:fill="FFFFFF"/>
              <w:spacing w:before="0" w:beforeAutospacing="0" w:after="0" w:afterAutospacing="0"/>
              <w:rPr>
                <w:rFonts w:ascii="Aptos" w:hAnsi="Aptos" w:cs="Arial"/>
                <w:sz w:val="16"/>
                <w:szCs w:val="16"/>
              </w:rPr>
            </w:pPr>
            <w:r w:rsidRPr="00E77295">
              <w:rPr>
                <w:rFonts w:ascii="Aptos" w:hAnsi="Aptos" w:cs="Arial"/>
                <w:sz w:val="16"/>
                <w:szCs w:val="16"/>
              </w:rPr>
              <w:t>Maternal n-3 PUFA Intake During Pregnancy and Perinatal Mental Health Problems: A Systematic Review of Recent Evidence.</w:t>
            </w:r>
          </w:p>
        </w:tc>
        <w:tc>
          <w:tcPr>
            <w:tcW w:w="3428" w:type="dxa"/>
            <w:shd w:val="clear" w:color="auto" w:fill="auto"/>
            <w:noWrap/>
          </w:tcPr>
          <w:p w14:paraId="79226B83" w14:textId="2DCA4B24" w:rsidR="00A03699" w:rsidRPr="00D518FF" w:rsidRDefault="00085483">
            <w:pPr>
              <w:pStyle w:val="NormalWeb"/>
              <w:shd w:val="clear" w:color="auto" w:fill="FFFFFF"/>
              <w:spacing w:before="0" w:beforeAutospacing="0" w:after="0" w:afterAutospacing="0"/>
              <w:rPr>
                <w:rFonts w:ascii="Aptos" w:hAnsi="Aptos" w:cs="Arial"/>
                <w:sz w:val="16"/>
                <w:szCs w:val="16"/>
              </w:rPr>
            </w:pPr>
            <w:r w:rsidRPr="00E77295">
              <w:rPr>
                <w:rFonts w:ascii="Aptos" w:hAnsi="Aptos" w:cs="Arial"/>
                <w:sz w:val="16"/>
                <w:szCs w:val="16"/>
              </w:rPr>
              <w:t>Tung, K.T.S., Wong, R.S. &amp; Mak, R.T.W.</w:t>
            </w:r>
          </w:p>
        </w:tc>
        <w:tc>
          <w:tcPr>
            <w:tcW w:w="530" w:type="dxa"/>
            <w:shd w:val="clear" w:color="auto" w:fill="auto"/>
          </w:tcPr>
          <w:p w14:paraId="38837541" w14:textId="2A28B692" w:rsidR="00A03699" w:rsidRPr="00D518FF" w:rsidRDefault="00E315CC">
            <w:pPr>
              <w:pStyle w:val="NormalWeb"/>
              <w:shd w:val="clear" w:color="auto" w:fill="FFFFFF"/>
              <w:spacing w:before="0" w:beforeAutospacing="0" w:after="0" w:afterAutospacing="0"/>
              <w:rPr>
                <w:rFonts w:ascii="Aptos" w:hAnsi="Aptos" w:cs="Arial"/>
                <w:sz w:val="16"/>
                <w:szCs w:val="16"/>
              </w:rPr>
            </w:pPr>
            <w:r>
              <w:rPr>
                <w:rFonts w:ascii="Aptos" w:hAnsi="Aptos" w:cs="Arial"/>
                <w:sz w:val="16"/>
                <w:szCs w:val="16"/>
              </w:rPr>
              <w:t>2023</w:t>
            </w:r>
          </w:p>
        </w:tc>
        <w:tc>
          <w:tcPr>
            <w:tcW w:w="1571" w:type="dxa"/>
            <w:shd w:val="clear" w:color="auto" w:fill="auto"/>
          </w:tcPr>
          <w:p w14:paraId="26361169" w14:textId="1780E6C8" w:rsidR="00A03699" w:rsidRPr="00D518FF" w:rsidRDefault="00E315CC">
            <w:pPr>
              <w:shd w:val="clear" w:color="auto" w:fill="FFFFFF"/>
              <w:rPr>
                <w:rFonts w:ascii="Aptos" w:hAnsi="Aptos" w:cs="Arial"/>
                <w:sz w:val="16"/>
                <w:szCs w:val="16"/>
              </w:rPr>
            </w:pPr>
            <w:r w:rsidRPr="00E77295">
              <w:rPr>
                <w:rFonts w:ascii="Aptos" w:hAnsi="Aptos" w:cs="Arial"/>
                <w:sz w:val="16"/>
                <w:szCs w:val="16"/>
              </w:rPr>
              <w:t>Curr Nutr Rep</w:t>
            </w:r>
          </w:p>
        </w:tc>
        <w:tc>
          <w:tcPr>
            <w:tcW w:w="817" w:type="dxa"/>
            <w:shd w:val="clear" w:color="auto" w:fill="auto"/>
          </w:tcPr>
          <w:p w14:paraId="0346B7F9" w14:textId="2149C3CA" w:rsidR="00A03699" w:rsidRPr="00D518FF" w:rsidRDefault="00E315CC">
            <w:pPr>
              <w:pStyle w:val="NormalWeb"/>
              <w:shd w:val="clear" w:color="auto" w:fill="FFFFFF"/>
              <w:spacing w:before="0" w:beforeAutospacing="0" w:after="0" w:afterAutospacing="0"/>
              <w:rPr>
                <w:rFonts w:ascii="Aptos" w:hAnsi="Aptos" w:cs="Arial"/>
                <w:sz w:val="16"/>
                <w:szCs w:val="16"/>
              </w:rPr>
            </w:pPr>
            <w:r>
              <w:rPr>
                <w:rFonts w:ascii="Aptos" w:hAnsi="Aptos" w:cs="Arial"/>
                <w:sz w:val="16"/>
                <w:szCs w:val="16"/>
              </w:rPr>
              <w:t>12</w:t>
            </w:r>
          </w:p>
        </w:tc>
        <w:tc>
          <w:tcPr>
            <w:tcW w:w="663" w:type="dxa"/>
            <w:shd w:val="clear" w:color="auto" w:fill="auto"/>
          </w:tcPr>
          <w:p w14:paraId="4B0C823B" w14:textId="77777777" w:rsidR="00A03699" w:rsidRPr="00D518FF" w:rsidRDefault="00A03699">
            <w:pPr>
              <w:pStyle w:val="NormalWeb"/>
              <w:shd w:val="clear" w:color="auto" w:fill="FFFFFF"/>
              <w:spacing w:before="0" w:beforeAutospacing="0" w:after="0" w:afterAutospacing="0"/>
              <w:rPr>
                <w:rFonts w:ascii="Aptos" w:hAnsi="Aptos" w:cs="Arial"/>
                <w:sz w:val="16"/>
                <w:szCs w:val="16"/>
              </w:rPr>
            </w:pPr>
          </w:p>
        </w:tc>
        <w:tc>
          <w:tcPr>
            <w:tcW w:w="795" w:type="dxa"/>
            <w:shd w:val="clear" w:color="auto" w:fill="auto"/>
          </w:tcPr>
          <w:p w14:paraId="39ECE2CF" w14:textId="13BD8430" w:rsidR="00A03699" w:rsidRPr="00D518FF" w:rsidRDefault="00555905">
            <w:pPr>
              <w:pStyle w:val="NormalWeb"/>
              <w:shd w:val="clear" w:color="auto" w:fill="FFFFFF"/>
              <w:spacing w:before="0" w:beforeAutospacing="0" w:after="0" w:afterAutospacing="0"/>
              <w:rPr>
                <w:rFonts w:ascii="Aptos" w:hAnsi="Aptos" w:cs="Arial"/>
                <w:sz w:val="16"/>
                <w:szCs w:val="16"/>
              </w:rPr>
            </w:pPr>
            <w:r>
              <w:rPr>
                <w:rFonts w:ascii="Aptos" w:hAnsi="Aptos" w:cs="Arial"/>
                <w:sz w:val="16"/>
                <w:szCs w:val="16"/>
              </w:rPr>
              <w:t>426-438</w:t>
            </w:r>
          </w:p>
        </w:tc>
        <w:tc>
          <w:tcPr>
            <w:tcW w:w="1694" w:type="dxa"/>
            <w:shd w:val="clear" w:color="auto" w:fill="auto"/>
          </w:tcPr>
          <w:p w14:paraId="4FC5F3B8" w14:textId="12E313C5" w:rsidR="00A03699" w:rsidRPr="00D518FF" w:rsidRDefault="00555905">
            <w:pPr>
              <w:pStyle w:val="NormalWeb"/>
              <w:shd w:val="clear" w:color="auto" w:fill="FFFFFF"/>
              <w:spacing w:before="0" w:beforeAutospacing="0" w:after="0" w:afterAutospacing="0"/>
              <w:rPr>
                <w:rFonts w:ascii="Aptos" w:hAnsi="Aptos" w:cs="Arial"/>
                <w:sz w:val="16"/>
                <w:szCs w:val="16"/>
              </w:rPr>
            </w:pPr>
            <w:r w:rsidRPr="00E77295">
              <w:rPr>
                <w:rFonts w:ascii="Aptos" w:hAnsi="Aptos" w:cs="Arial"/>
                <w:sz w:val="16"/>
                <w:szCs w:val="16"/>
              </w:rPr>
              <w:t>https://doi.org/10.1007/s13668-023-00484-x</w:t>
            </w:r>
          </w:p>
        </w:tc>
      </w:tr>
      <w:tr w:rsidR="00FF3F59" w:rsidRPr="00D518FF" w14:paraId="05DB27E1" w14:textId="77777777" w:rsidTr="00552B91">
        <w:trPr>
          <w:trHeight w:val="311"/>
        </w:trPr>
        <w:tc>
          <w:tcPr>
            <w:tcW w:w="993" w:type="dxa"/>
            <w:shd w:val="clear" w:color="auto" w:fill="auto"/>
            <w:noWrap/>
            <w:hideMark/>
          </w:tcPr>
          <w:p w14:paraId="4C15E3D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Viswanathan 2020</w:t>
            </w:r>
          </w:p>
        </w:tc>
        <w:tc>
          <w:tcPr>
            <w:tcW w:w="3543" w:type="dxa"/>
            <w:shd w:val="clear" w:color="auto" w:fill="auto"/>
            <w:noWrap/>
            <w:hideMark/>
          </w:tcPr>
          <w:p w14:paraId="7ED16DB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Treatment of Depression in Children and Adolescents: A Systematic Review</w:t>
            </w:r>
          </w:p>
        </w:tc>
        <w:tc>
          <w:tcPr>
            <w:tcW w:w="3428" w:type="dxa"/>
            <w:shd w:val="clear" w:color="auto" w:fill="auto"/>
            <w:noWrap/>
            <w:hideMark/>
          </w:tcPr>
          <w:p w14:paraId="436AE67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Viswanathan, M., Kennedy, S. M., McKeeman, J., Christian, R., Coker-Schwimmer, M., Cook Middleton, J., Bann, C., Lux, L., Randolph, C., &amp; Forman-Hoffman, V.</w:t>
            </w:r>
          </w:p>
        </w:tc>
        <w:tc>
          <w:tcPr>
            <w:tcW w:w="530" w:type="dxa"/>
            <w:shd w:val="clear" w:color="auto" w:fill="auto"/>
          </w:tcPr>
          <w:p w14:paraId="7717325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571" w:type="dxa"/>
            <w:shd w:val="clear" w:color="auto" w:fill="auto"/>
          </w:tcPr>
          <w:p w14:paraId="4FF2799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Agency for Healthcare Research and Quality: US</w:t>
            </w:r>
          </w:p>
        </w:tc>
        <w:tc>
          <w:tcPr>
            <w:tcW w:w="817" w:type="dxa"/>
            <w:shd w:val="clear" w:color="auto" w:fill="auto"/>
          </w:tcPr>
          <w:p w14:paraId="24303F6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t>
            </w:r>
          </w:p>
        </w:tc>
        <w:tc>
          <w:tcPr>
            <w:tcW w:w="663" w:type="dxa"/>
            <w:shd w:val="clear" w:color="auto" w:fill="auto"/>
          </w:tcPr>
          <w:p w14:paraId="69FCEAD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t>
            </w:r>
          </w:p>
        </w:tc>
        <w:tc>
          <w:tcPr>
            <w:tcW w:w="795" w:type="dxa"/>
            <w:shd w:val="clear" w:color="auto" w:fill="auto"/>
          </w:tcPr>
          <w:p w14:paraId="26CA428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t>
            </w:r>
          </w:p>
        </w:tc>
        <w:tc>
          <w:tcPr>
            <w:tcW w:w="1694" w:type="dxa"/>
            <w:shd w:val="clear" w:color="auto" w:fill="auto"/>
          </w:tcPr>
          <w:p w14:paraId="3867EC25"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t>
            </w:r>
          </w:p>
        </w:tc>
      </w:tr>
      <w:tr w:rsidR="00FF3F59" w:rsidRPr="00D518FF" w14:paraId="7BCE321C" w14:textId="77777777" w:rsidTr="00552B91">
        <w:trPr>
          <w:trHeight w:val="311"/>
        </w:trPr>
        <w:tc>
          <w:tcPr>
            <w:tcW w:w="993" w:type="dxa"/>
            <w:shd w:val="clear" w:color="auto" w:fill="auto"/>
            <w:noWrap/>
            <w:hideMark/>
          </w:tcPr>
          <w:p w14:paraId="43958D7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Williams 2006</w:t>
            </w:r>
          </w:p>
        </w:tc>
        <w:tc>
          <w:tcPr>
            <w:tcW w:w="3543" w:type="dxa"/>
            <w:shd w:val="clear" w:color="auto" w:fill="auto"/>
            <w:noWrap/>
            <w:hideMark/>
          </w:tcPr>
          <w:p w14:paraId="5B603CC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Do essential fatty acids have a role in the treatment of depression?</w:t>
            </w:r>
          </w:p>
        </w:tc>
        <w:tc>
          <w:tcPr>
            <w:tcW w:w="3428" w:type="dxa"/>
            <w:shd w:val="clear" w:color="auto" w:fill="auto"/>
            <w:noWrap/>
            <w:hideMark/>
          </w:tcPr>
          <w:p w14:paraId="1608B3DA"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Williams, A. l; Katz, D.; Ali, A.; Girard, C.; Goodman, J.; Bell, I.</w:t>
            </w:r>
          </w:p>
        </w:tc>
        <w:tc>
          <w:tcPr>
            <w:tcW w:w="530" w:type="dxa"/>
            <w:shd w:val="clear" w:color="auto" w:fill="auto"/>
            <w:noWrap/>
            <w:hideMark/>
          </w:tcPr>
          <w:p w14:paraId="66E87AF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2006</w:t>
            </w:r>
          </w:p>
        </w:tc>
        <w:tc>
          <w:tcPr>
            <w:tcW w:w="1571" w:type="dxa"/>
            <w:shd w:val="clear" w:color="auto" w:fill="auto"/>
            <w:noWrap/>
            <w:hideMark/>
          </w:tcPr>
          <w:p w14:paraId="7FC1A46D"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Journal of Affective Disorders</w:t>
            </w:r>
          </w:p>
        </w:tc>
        <w:tc>
          <w:tcPr>
            <w:tcW w:w="817" w:type="dxa"/>
            <w:shd w:val="clear" w:color="auto" w:fill="auto"/>
            <w:noWrap/>
            <w:hideMark/>
          </w:tcPr>
          <w:p w14:paraId="42CDD5D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93</w:t>
            </w:r>
          </w:p>
        </w:tc>
        <w:tc>
          <w:tcPr>
            <w:tcW w:w="663" w:type="dxa"/>
            <w:shd w:val="clear" w:color="auto" w:fill="auto"/>
            <w:noWrap/>
            <w:hideMark/>
          </w:tcPr>
          <w:p w14:paraId="6D92919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1-3</w:t>
            </w:r>
          </w:p>
        </w:tc>
        <w:tc>
          <w:tcPr>
            <w:tcW w:w="795" w:type="dxa"/>
            <w:shd w:val="clear" w:color="auto" w:fill="auto"/>
            <w:noWrap/>
            <w:hideMark/>
          </w:tcPr>
          <w:p w14:paraId="2AE950C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117-123</w:t>
            </w:r>
          </w:p>
        </w:tc>
        <w:tc>
          <w:tcPr>
            <w:tcW w:w="1694" w:type="dxa"/>
            <w:shd w:val="clear" w:color="auto" w:fill="auto"/>
            <w:noWrap/>
            <w:hideMark/>
          </w:tcPr>
          <w:p w14:paraId="53CD088F"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https://dx.doi.org/10.1016/j.jad.2006.02.023</w:t>
            </w:r>
          </w:p>
        </w:tc>
      </w:tr>
      <w:tr w:rsidR="00FF3F59" w:rsidRPr="00D518FF" w14:paraId="7C629FE0" w14:textId="77777777" w:rsidTr="00552B91">
        <w:trPr>
          <w:trHeight w:val="311"/>
        </w:trPr>
        <w:tc>
          <w:tcPr>
            <w:tcW w:w="993" w:type="dxa"/>
            <w:shd w:val="clear" w:color="auto" w:fill="auto"/>
            <w:noWrap/>
            <w:hideMark/>
          </w:tcPr>
          <w:p w14:paraId="3065460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Xu 2023</w:t>
            </w:r>
          </w:p>
        </w:tc>
        <w:tc>
          <w:tcPr>
            <w:tcW w:w="3543" w:type="dxa"/>
            <w:shd w:val="clear" w:color="auto" w:fill="auto"/>
            <w:noWrap/>
            <w:hideMark/>
          </w:tcPr>
          <w:p w14:paraId="383D072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Comparative Efficacy, Acceptability, and Tolerability of Anti-inflammatory Agents on Bipolar disorder: Systematic Review and Network Meta-Analysis</w:t>
            </w:r>
          </w:p>
        </w:tc>
        <w:tc>
          <w:tcPr>
            <w:tcW w:w="3428" w:type="dxa"/>
            <w:shd w:val="clear" w:color="auto" w:fill="auto"/>
            <w:noWrap/>
            <w:hideMark/>
          </w:tcPr>
          <w:p w14:paraId="184890B4"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Xu, H., Du, Y., Wang, Q., Chen, L., Huang, J., Liu, Y., Zhou, C., &amp; Du, B</w:t>
            </w:r>
          </w:p>
        </w:tc>
        <w:tc>
          <w:tcPr>
            <w:tcW w:w="530" w:type="dxa"/>
            <w:shd w:val="clear" w:color="auto" w:fill="auto"/>
          </w:tcPr>
          <w:p w14:paraId="32E416F1"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2023</w:t>
            </w:r>
          </w:p>
        </w:tc>
        <w:tc>
          <w:tcPr>
            <w:tcW w:w="1571" w:type="dxa"/>
            <w:shd w:val="clear" w:color="auto" w:fill="auto"/>
            <w:noWrap/>
            <w:hideMark/>
          </w:tcPr>
          <w:p w14:paraId="7350F55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Asian journal of psychiatry</w:t>
            </w:r>
          </w:p>
        </w:tc>
        <w:tc>
          <w:tcPr>
            <w:tcW w:w="817" w:type="dxa"/>
            <w:shd w:val="clear" w:color="auto" w:fill="auto"/>
            <w:noWrap/>
            <w:hideMark/>
          </w:tcPr>
          <w:p w14:paraId="03DFEF2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80</w:t>
            </w:r>
          </w:p>
        </w:tc>
        <w:tc>
          <w:tcPr>
            <w:tcW w:w="663" w:type="dxa"/>
            <w:shd w:val="clear" w:color="auto" w:fill="auto"/>
            <w:noWrap/>
            <w:hideMark/>
          </w:tcPr>
          <w:p w14:paraId="40E5A293"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p>
        </w:tc>
        <w:tc>
          <w:tcPr>
            <w:tcW w:w="795" w:type="dxa"/>
            <w:shd w:val="clear" w:color="auto" w:fill="auto"/>
            <w:noWrap/>
            <w:hideMark/>
          </w:tcPr>
          <w:p w14:paraId="449AB63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103394</w:t>
            </w:r>
          </w:p>
        </w:tc>
        <w:tc>
          <w:tcPr>
            <w:tcW w:w="1694" w:type="dxa"/>
            <w:shd w:val="clear" w:color="auto" w:fill="auto"/>
            <w:noWrap/>
            <w:hideMark/>
          </w:tcPr>
          <w:p w14:paraId="7E4D73DB"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https://doi.org/10.1016/j.ajp.2022.103394</w:t>
            </w:r>
          </w:p>
        </w:tc>
      </w:tr>
      <w:tr w:rsidR="00FF3F59" w:rsidRPr="00D518FF" w14:paraId="0B8A4236" w14:textId="77777777" w:rsidTr="00A6108F">
        <w:trPr>
          <w:trHeight w:val="311"/>
        </w:trPr>
        <w:tc>
          <w:tcPr>
            <w:tcW w:w="993" w:type="dxa"/>
            <w:shd w:val="clear" w:color="auto" w:fill="EFFFE9"/>
            <w:noWrap/>
            <w:hideMark/>
          </w:tcPr>
          <w:p w14:paraId="6E9C5660"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Zhang 2019</w:t>
            </w:r>
          </w:p>
        </w:tc>
        <w:tc>
          <w:tcPr>
            <w:tcW w:w="3543" w:type="dxa"/>
            <w:shd w:val="clear" w:color="auto" w:fill="EFFFE9"/>
            <w:noWrap/>
            <w:hideMark/>
          </w:tcPr>
          <w:p w14:paraId="7EAA8068"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Omega-3 fatty acids for the treatment of depressive disorders in children and adolescents: A meta-analysis of randomized placebo-controlled trials</w:t>
            </w:r>
          </w:p>
        </w:tc>
        <w:tc>
          <w:tcPr>
            <w:tcW w:w="3428" w:type="dxa"/>
            <w:shd w:val="clear" w:color="auto" w:fill="EFFFE9"/>
            <w:noWrap/>
            <w:hideMark/>
          </w:tcPr>
          <w:p w14:paraId="6E0D0665"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Zhang, L.; Liu, H.; Kuang, L.; Meng, H.; Zhou, X.</w:t>
            </w:r>
          </w:p>
        </w:tc>
        <w:tc>
          <w:tcPr>
            <w:tcW w:w="530" w:type="dxa"/>
            <w:shd w:val="clear" w:color="auto" w:fill="EFFFE9"/>
            <w:noWrap/>
            <w:hideMark/>
          </w:tcPr>
          <w:p w14:paraId="04BB5133"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2019</w:t>
            </w:r>
          </w:p>
        </w:tc>
        <w:tc>
          <w:tcPr>
            <w:tcW w:w="1571" w:type="dxa"/>
            <w:shd w:val="clear" w:color="auto" w:fill="EFFFE9"/>
            <w:noWrap/>
            <w:hideMark/>
          </w:tcPr>
          <w:p w14:paraId="2126B26C"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Child and Adolescent Psychiatry and Mental Health</w:t>
            </w:r>
          </w:p>
        </w:tc>
        <w:tc>
          <w:tcPr>
            <w:tcW w:w="817" w:type="dxa"/>
            <w:shd w:val="clear" w:color="auto" w:fill="EFFFE9"/>
            <w:noWrap/>
            <w:hideMark/>
          </w:tcPr>
          <w:p w14:paraId="6497A91B"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13</w:t>
            </w:r>
          </w:p>
        </w:tc>
        <w:tc>
          <w:tcPr>
            <w:tcW w:w="663" w:type="dxa"/>
            <w:shd w:val="clear" w:color="auto" w:fill="EFFFE9"/>
            <w:noWrap/>
            <w:hideMark/>
          </w:tcPr>
          <w:p w14:paraId="293F62C7"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1</w:t>
            </w:r>
          </w:p>
        </w:tc>
        <w:tc>
          <w:tcPr>
            <w:tcW w:w="795" w:type="dxa"/>
            <w:shd w:val="clear" w:color="auto" w:fill="EFFFE9"/>
            <w:noWrap/>
            <w:hideMark/>
          </w:tcPr>
          <w:p w14:paraId="7FBD2A54"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36</w:t>
            </w:r>
          </w:p>
        </w:tc>
        <w:tc>
          <w:tcPr>
            <w:tcW w:w="1694" w:type="dxa"/>
            <w:shd w:val="clear" w:color="auto" w:fill="EFFFE9"/>
            <w:noWrap/>
            <w:hideMark/>
          </w:tcPr>
          <w:p w14:paraId="170DE802" w14:textId="77777777" w:rsidR="00FF3F59" w:rsidRPr="00D518FF" w:rsidRDefault="00FF3F59" w:rsidP="00023E7B">
            <w:pPr>
              <w:pStyle w:val="2024TABLETEXT"/>
              <w:framePr w:hSpace="0" w:wrap="auto" w:vAnchor="margin" w:yAlign="inline"/>
              <w:spacing w:line="240" w:lineRule="auto"/>
              <w:suppressOverlap w:val="0"/>
              <w:rPr>
                <w:sz w:val="16"/>
                <w:szCs w:val="16"/>
              </w:rPr>
            </w:pPr>
            <w:r w:rsidRPr="00D518FF">
              <w:rPr>
                <w:sz w:val="16"/>
                <w:szCs w:val="16"/>
              </w:rPr>
              <w:t>https://dx.doi.org/10.1186/s13034-019-0296-x</w:t>
            </w:r>
          </w:p>
        </w:tc>
      </w:tr>
      <w:tr w:rsidR="00FF3F59" w:rsidRPr="00D518FF" w14:paraId="18A079B3" w14:textId="77777777" w:rsidTr="00552B91">
        <w:trPr>
          <w:trHeight w:val="311"/>
        </w:trPr>
        <w:tc>
          <w:tcPr>
            <w:tcW w:w="993" w:type="dxa"/>
            <w:shd w:val="clear" w:color="auto" w:fill="auto"/>
            <w:noWrap/>
            <w:hideMark/>
          </w:tcPr>
          <w:p w14:paraId="521ACEE8"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Zhang 2020</w:t>
            </w:r>
          </w:p>
        </w:tc>
        <w:tc>
          <w:tcPr>
            <w:tcW w:w="3543" w:type="dxa"/>
            <w:shd w:val="clear" w:color="auto" w:fill="auto"/>
            <w:noWrap/>
            <w:hideMark/>
          </w:tcPr>
          <w:p w14:paraId="69808A7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The efficacy and safety of omega-3 fatty acids on depressive symptoms in perinatal women: a meta-analysis of randomized placebo-controlled trials</w:t>
            </w:r>
          </w:p>
        </w:tc>
        <w:tc>
          <w:tcPr>
            <w:tcW w:w="3428" w:type="dxa"/>
            <w:shd w:val="clear" w:color="auto" w:fill="auto"/>
            <w:noWrap/>
            <w:hideMark/>
          </w:tcPr>
          <w:p w14:paraId="034C3466"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Zhang, M. M.; Zou, Y.; Li, S. M.; Wang, L.; Sun, Y. H.; Shi, L.; Lu, L.; Bao, Y. P.; Li, S. X.</w:t>
            </w:r>
          </w:p>
        </w:tc>
        <w:tc>
          <w:tcPr>
            <w:tcW w:w="530" w:type="dxa"/>
            <w:shd w:val="clear" w:color="auto" w:fill="auto"/>
            <w:noWrap/>
            <w:hideMark/>
          </w:tcPr>
          <w:p w14:paraId="1D82DFA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2020</w:t>
            </w:r>
          </w:p>
        </w:tc>
        <w:tc>
          <w:tcPr>
            <w:tcW w:w="1571" w:type="dxa"/>
            <w:shd w:val="clear" w:color="auto" w:fill="auto"/>
            <w:noWrap/>
            <w:hideMark/>
          </w:tcPr>
          <w:p w14:paraId="40CA14A2"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Translational Psychiatry</w:t>
            </w:r>
          </w:p>
        </w:tc>
        <w:tc>
          <w:tcPr>
            <w:tcW w:w="817" w:type="dxa"/>
            <w:shd w:val="clear" w:color="auto" w:fill="auto"/>
            <w:noWrap/>
            <w:hideMark/>
          </w:tcPr>
          <w:p w14:paraId="23865FF9"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w:t>
            </w:r>
          </w:p>
        </w:tc>
        <w:tc>
          <w:tcPr>
            <w:tcW w:w="663" w:type="dxa"/>
            <w:shd w:val="clear" w:color="auto" w:fill="auto"/>
            <w:noWrap/>
            <w:hideMark/>
          </w:tcPr>
          <w:p w14:paraId="751C941E"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w:t>
            </w:r>
          </w:p>
        </w:tc>
        <w:tc>
          <w:tcPr>
            <w:tcW w:w="795" w:type="dxa"/>
            <w:shd w:val="clear" w:color="auto" w:fill="auto"/>
            <w:noWrap/>
            <w:hideMark/>
          </w:tcPr>
          <w:p w14:paraId="646B39BC"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193</w:t>
            </w:r>
          </w:p>
        </w:tc>
        <w:tc>
          <w:tcPr>
            <w:tcW w:w="1694" w:type="dxa"/>
            <w:shd w:val="clear" w:color="auto" w:fill="auto"/>
            <w:noWrap/>
            <w:hideMark/>
          </w:tcPr>
          <w:p w14:paraId="0092BE70" w14:textId="77777777" w:rsidR="00FF3F59" w:rsidRPr="00D518FF" w:rsidRDefault="00FF3F59">
            <w:pPr>
              <w:pStyle w:val="NormalWeb"/>
              <w:shd w:val="clear" w:color="auto" w:fill="FFFFFF"/>
              <w:spacing w:before="0" w:beforeAutospacing="0" w:after="0" w:afterAutospacing="0"/>
              <w:rPr>
                <w:rFonts w:ascii="Aptos" w:hAnsi="Aptos" w:cs="Arial"/>
                <w:sz w:val="16"/>
                <w:szCs w:val="16"/>
              </w:rPr>
            </w:pPr>
            <w:r w:rsidRPr="00D518FF">
              <w:rPr>
                <w:rFonts w:ascii="Aptos" w:hAnsi="Aptos" w:cs="Arial"/>
                <w:sz w:val="16"/>
                <w:szCs w:val="16"/>
              </w:rPr>
              <w:t>10.1038/s41398-020-00886-3</w:t>
            </w:r>
          </w:p>
        </w:tc>
      </w:tr>
    </w:tbl>
    <w:p w14:paraId="58E08D66" w14:textId="54423295" w:rsidR="00E47171" w:rsidRPr="00D518FF" w:rsidRDefault="00C657B9" w:rsidP="004C6AA1">
      <w:pPr>
        <w:pStyle w:val="Caption"/>
        <w:spacing w:before="240"/>
        <w:rPr>
          <w:rFonts w:ascii="Aptos" w:hAnsi="Aptos"/>
        </w:rPr>
      </w:pPr>
      <w:bookmarkStart w:id="152" w:name="_Toc185254555"/>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9</w:t>
      </w:r>
      <w:r w:rsidR="00DC4767" w:rsidRPr="004C6AA1">
        <w:rPr>
          <w:rFonts w:ascii="Aptos" w:hAnsi="Aptos"/>
        </w:rPr>
        <w:fldChar w:fldCharType="end"/>
      </w:r>
      <w:r w:rsidRPr="004C6AA1">
        <w:rPr>
          <w:rFonts w:ascii="Aptos" w:hAnsi="Aptos"/>
        </w:rPr>
        <w:t xml:space="preserve">. </w:t>
      </w:r>
      <w:r w:rsidR="00E47171" w:rsidRPr="00D518FF">
        <w:rPr>
          <w:rFonts w:ascii="Aptos" w:hAnsi="Aptos"/>
        </w:rPr>
        <w:t xml:space="preserve">Characteristics of included reviews – </w:t>
      </w:r>
      <w:r w:rsidR="00C16441" w:rsidRPr="00D518FF">
        <w:rPr>
          <w:rFonts w:ascii="Aptos" w:hAnsi="Aptos"/>
        </w:rPr>
        <w:t>Depression (including post-natal), omega-3</w:t>
      </w:r>
      <w:r w:rsidR="0021231C">
        <w:rPr>
          <w:rFonts w:ascii="Aptos" w:hAnsi="Aptos"/>
        </w:rPr>
        <w:t xml:space="preserve"> </w:t>
      </w:r>
      <w:r w:rsidR="0021231C">
        <w:t>fatty acids</w:t>
      </w:r>
      <w:bookmarkEnd w:id="152"/>
    </w:p>
    <w:tbl>
      <w:tblPr>
        <w:tblStyle w:val="TableGrid"/>
        <w:tblW w:w="4974" w:type="pct"/>
        <w:tblLayout w:type="fixed"/>
        <w:tblCellMar>
          <w:top w:w="28" w:type="dxa"/>
          <w:left w:w="57" w:type="dxa"/>
          <w:bottom w:w="28" w:type="dxa"/>
          <w:right w:w="0" w:type="dxa"/>
        </w:tblCellMar>
        <w:tblLook w:val="04A0" w:firstRow="1" w:lastRow="0" w:firstColumn="1" w:lastColumn="0" w:noHBand="0" w:noVBand="1"/>
      </w:tblPr>
      <w:tblGrid>
        <w:gridCol w:w="925"/>
        <w:gridCol w:w="1017"/>
        <w:gridCol w:w="1740"/>
        <w:gridCol w:w="901"/>
        <w:gridCol w:w="944"/>
        <w:gridCol w:w="992"/>
        <w:gridCol w:w="1275"/>
        <w:gridCol w:w="853"/>
        <w:gridCol w:w="1137"/>
        <w:gridCol w:w="850"/>
        <w:gridCol w:w="850"/>
        <w:gridCol w:w="989"/>
        <w:gridCol w:w="1698"/>
      </w:tblGrid>
      <w:tr w:rsidR="00B66AF0" w:rsidRPr="00D518FF" w14:paraId="52677BE9" w14:textId="77777777" w:rsidTr="00F6089E">
        <w:trPr>
          <w:trHeight w:val="283"/>
        </w:trPr>
        <w:tc>
          <w:tcPr>
            <w:tcW w:w="326" w:type="pct"/>
            <w:vMerge w:val="restart"/>
            <w:shd w:val="clear" w:color="auto" w:fill="D9D9D9" w:themeFill="background1" w:themeFillShade="D9"/>
          </w:tcPr>
          <w:p w14:paraId="399D7332" w14:textId="77777777" w:rsidR="00E47171" w:rsidRPr="00D518FF" w:rsidRDefault="00E47171" w:rsidP="00AA72BD">
            <w:pPr>
              <w:pStyle w:val="2024TABLEHEADER"/>
              <w:spacing w:before="0" w:after="0" w:line="240" w:lineRule="auto"/>
              <w:rPr>
                <w:sz w:val="16"/>
                <w:szCs w:val="16"/>
              </w:rPr>
            </w:pPr>
            <w:r w:rsidRPr="00D518FF">
              <w:rPr>
                <w:sz w:val="16"/>
                <w:szCs w:val="16"/>
              </w:rPr>
              <w:t>Review ID</w:t>
            </w:r>
          </w:p>
        </w:tc>
        <w:tc>
          <w:tcPr>
            <w:tcW w:w="1623" w:type="pct"/>
            <w:gridSpan w:val="4"/>
            <w:shd w:val="clear" w:color="auto" w:fill="D9D9D9" w:themeFill="background1" w:themeFillShade="D9"/>
          </w:tcPr>
          <w:p w14:paraId="685929A4" w14:textId="77777777" w:rsidR="00E47171" w:rsidRPr="00D518FF" w:rsidRDefault="00E47171" w:rsidP="00AA72BD">
            <w:pPr>
              <w:pStyle w:val="2024TABLEHEADER"/>
              <w:spacing w:before="0" w:after="0" w:line="240" w:lineRule="auto"/>
              <w:rPr>
                <w:sz w:val="16"/>
                <w:szCs w:val="16"/>
              </w:rPr>
            </w:pPr>
            <w:r w:rsidRPr="00D518FF">
              <w:rPr>
                <w:sz w:val="16"/>
                <w:szCs w:val="16"/>
              </w:rPr>
              <w:t>Review details</w:t>
            </w:r>
          </w:p>
        </w:tc>
        <w:tc>
          <w:tcPr>
            <w:tcW w:w="1502" w:type="pct"/>
            <w:gridSpan w:val="4"/>
            <w:shd w:val="clear" w:color="auto" w:fill="D9D9D9" w:themeFill="background1" w:themeFillShade="D9"/>
          </w:tcPr>
          <w:p w14:paraId="3F9F68AC" w14:textId="77777777" w:rsidR="00E47171" w:rsidRPr="00D518FF" w:rsidRDefault="00E47171" w:rsidP="00AA72BD">
            <w:pPr>
              <w:pStyle w:val="2024TABLEHEADER"/>
              <w:spacing w:before="0" w:after="0" w:line="240" w:lineRule="auto"/>
              <w:rPr>
                <w:sz w:val="16"/>
                <w:szCs w:val="16"/>
              </w:rPr>
            </w:pPr>
            <w:r w:rsidRPr="00D518FF">
              <w:rPr>
                <w:sz w:val="16"/>
                <w:szCs w:val="16"/>
              </w:rPr>
              <w:t>Search details</w:t>
            </w:r>
          </w:p>
        </w:tc>
        <w:tc>
          <w:tcPr>
            <w:tcW w:w="600" w:type="pct"/>
            <w:gridSpan w:val="2"/>
            <w:shd w:val="clear" w:color="auto" w:fill="D9D9D9" w:themeFill="background1" w:themeFillShade="D9"/>
          </w:tcPr>
          <w:p w14:paraId="617F5E22" w14:textId="77777777" w:rsidR="00E47171" w:rsidRPr="00D518FF" w:rsidRDefault="00E47171" w:rsidP="00AA72BD">
            <w:pPr>
              <w:pStyle w:val="2024TABLEHEADER"/>
              <w:spacing w:before="0" w:after="0" w:line="240" w:lineRule="auto"/>
              <w:rPr>
                <w:sz w:val="16"/>
                <w:szCs w:val="16"/>
              </w:rPr>
            </w:pPr>
            <w:r w:rsidRPr="00D518FF">
              <w:rPr>
                <w:sz w:val="16"/>
                <w:szCs w:val="16"/>
              </w:rPr>
              <w:t>Quality assessment</w:t>
            </w:r>
          </w:p>
        </w:tc>
        <w:tc>
          <w:tcPr>
            <w:tcW w:w="949" w:type="pct"/>
            <w:gridSpan w:val="2"/>
            <w:shd w:val="clear" w:color="auto" w:fill="D9D9D9" w:themeFill="background1" w:themeFillShade="D9"/>
          </w:tcPr>
          <w:p w14:paraId="6E4B1B69" w14:textId="77777777" w:rsidR="00E47171" w:rsidRPr="00D518FF" w:rsidRDefault="00E47171" w:rsidP="00AA72BD">
            <w:pPr>
              <w:pStyle w:val="2024TABLEHEADER"/>
              <w:spacing w:before="0" w:after="0" w:line="240" w:lineRule="auto"/>
              <w:rPr>
                <w:sz w:val="16"/>
                <w:szCs w:val="16"/>
              </w:rPr>
            </w:pPr>
            <w:r w:rsidRPr="00D518FF">
              <w:rPr>
                <w:sz w:val="16"/>
                <w:szCs w:val="16"/>
              </w:rPr>
              <w:t>Other</w:t>
            </w:r>
          </w:p>
        </w:tc>
      </w:tr>
      <w:tr w:rsidR="00F6089E" w:rsidRPr="00D518FF" w14:paraId="2F5832AD" w14:textId="77777777" w:rsidTr="00F6089E">
        <w:trPr>
          <w:trHeight w:val="283"/>
        </w:trPr>
        <w:tc>
          <w:tcPr>
            <w:tcW w:w="326" w:type="pct"/>
            <w:vMerge/>
            <w:shd w:val="clear" w:color="auto" w:fill="D9D9D9" w:themeFill="background1" w:themeFillShade="D9"/>
          </w:tcPr>
          <w:p w14:paraId="670981B8" w14:textId="77777777" w:rsidR="00E47171" w:rsidRPr="00D518FF" w:rsidRDefault="00E47171" w:rsidP="00AA72BD">
            <w:pPr>
              <w:pStyle w:val="2024TABLEHEADER"/>
              <w:spacing w:before="0" w:after="0" w:line="240" w:lineRule="auto"/>
              <w:rPr>
                <w:sz w:val="16"/>
                <w:szCs w:val="16"/>
              </w:rPr>
            </w:pPr>
          </w:p>
        </w:tc>
        <w:tc>
          <w:tcPr>
            <w:tcW w:w="359" w:type="pct"/>
            <w:shd w:val="clear" w:color="auto" w:fill="D9D9D9" w:themeFill="background1" w:themeFillShade="D9"/>
          </w:tcPr>
          <w:p w14:paraId="72C25525" w14:textId="77777777" w:rsidR="00E47171" w:rsidRPr="00D518FF" w:rsidRDefault="00E47171" w:rsidP="00AA72BD">
            <w:pPr>
              <w:pStyle w:val="2024TABLEHEADER"/>
              <w:spacing w:before="0" w:after="0" w:line="240" w:lineRule="auto"/>
              <w:rPr>
                <w:sz w:val="16"/>
                <w:szCs w:val="16"/>
              </w:rPr>
            </w:pPr>
            <w:r w:rsidRPr="00D518FF">
              <w:rPr>
                <w:sz w:val="16"/>
                <w:szCs w:val="16"/>
              </w:rPr>
              <w:t>Review design</w:t>
            </w:r>
          </w:p>
        </w:tc>
        <w:tc>
          <w:tcPr>
            <w:tcW w:w="614" w:type="pct"/>
            <w:shd w:val="clear" w:color="auto" w:fill="D9D9D9" w:themeFill="background1" w:themeFillShade="D9"/>
          </w:tcPr>
          <w:p w14:paraId="24495C76" w14:textId="77777777" w:rsidR="00E47171" w:rsidRPr="00D518FF" w:rsidRDefault="00E47171" w:rsidP="00AA72BD">
            <w:pPr>
              <w:pStyle w:val="2024TABLEHEADER"/>
              <w:spacing w:before="0" w:after="0" w:line="240" w:lineRule="auto"/>
              <w:rPr>
                <w:sz w:val="16"/>
                <w:szCs w:val="16"/>
              </w:rPr>
            </w:pPr>
            <w:r w:rsidRPr="00D518FF">
              <w:rPr>
                <w:sz w:val="16"/>
                <w:szCs w:val="16"/>
              </w:rPr>
              <w:t>Aim of the review (as reported by the SR)</w:t>
            </w:r>
          </w:p>
        </w:tc>
        <w:tc>
          <w:tcPr>
            <w:tcW w:w="318" w:type="pct"/>
            <w:shd w:val="clear" w:color="auto" w:fill="D9D9D9" w:themeFill="background1" w:themeFillShade="D9"/>
          </w:tcPr>
          <w:p w14:paraId="2D6CE3A0" w14:textId="77777777" w:rsidR="00E47171" w:rsidRPr="00D518FF" w:rsidRDefault="00E47171" w:rsidP="00AA72BD">
            <w:pPr>
              <w:pStyle w:val="2024TABLEHEADER"/>
              <w:spacing w:before="0" w:after="0" w:line="240" w:lineRule="auto"/>
              <w:rPr>
                <w:sz w:val="16"/>
                <w:szCs w:val="16"/>
              </w:rPr>
            </w:pPr>
            <w:r w:rsidRPr="00D518FF">
              <w:rPr>
                <w:sz w:val="16"/>
                <w:szCs w:val="16"/>
              </w:rPr>
              <w:t>Types of studies included</w:t>
            </w:r>
          </w:p>
        </w:tc>
        <w:tc>
          <w:tcPr>
            <w:tcW w:w="333" w:type="pct"/>
            <w:shd w:val="clear" w:color="auto" w:fill="D9D9D9" w:themeFill="background1" w:themeFillShade="D9"/>
          </w:tcPr>
          <w:p w14:paraId="456532E9" w14:textId="295BB8F3" w:rsidR="00E47171" w:rsidRPr="00D518FF" w:rsidRDefault="00E47171" w:rsidP="00AA72BD">
            <w:pPr>
              <w:pStyle w:val="2024TABLEHEADER"/>
              <w:spacing w:before="0" w:after="0" w:line="240" w:lineRule="auto"/>
              <w:rPr>
                <w:sz w:val="16"/>
                <w:szCs w:val="16"/>
              </w:rPr>
            </w:pPr>
            <w:r w:rsidRPr="00D518FF">
              <w:rPr>
                <w:sz w:val="16"/>
                <w:szCs w:val="16"/>
              </w:rPr>
              <w:t>Outcomes relevant to the Overview^</w:t>
            </w:r>
          </w:p>
        </w:tc>
        <w:tc>
          <w:tcPr>
            <w:tcW w:w="350" w:type="pct"/>
            <w:shd w:val="clear" w:color="auto" w:fill="D9D9D9" w:themeFill="background1" w:themeFillShade="D9"/>
          </w:tcPr>
          <w:p w14:paraId="565F00EA" w14:textId="77777777" w:rsidR="00E47171" w:rsidRPr="00D518FF" w:rsidRDefault="00E47171" w:rsidP="00AA72BD">
            <w:pPr>
              <w:pStyle w:val="2024TABLEHEADER"/>
              <w:spacing w:before="0" w:after="0" w:line="240" w:lineRule="auto"/>
              <w:rPr>
                <w:sz w:val="16"/>
                <w:szCs w:val="16"/>
              </w:rPr>
            </w:pPr>
            <w:r w:rsidRPr="00D518FF">
              <w:rPr>
                <w:sz w:val="16"/>
                <w:szCs w:val="16"/>
              </w:rPr>
              <w:t># of databases searched</w:t>
            </w:r>
          </w:p>
        </w:tc>
        <w:tc>
          <w:tcPr>
            <w:tcW w:w="450" w:type="pct"/>
            <w:shd w:val="clear" w:color="auto" w:fill="D9D9D9" w:themeFill="background1" w:themeFillShade="D9"/>
          </w:tcPr>
          <w:p w14:paraId="15B2FCE8" w14:textId="77777777" w:rsidR="00E47171" w:rsidRPr="00D518FF" w:rsidRDefault="00E47171" w:rsidP="00AA72BD">
            <w:pPr>
              <w:pStyle w:val="2024TABLEHEADER"/>
              <w:spacing w:before="0" w:after="0" w:line="240" w:lineRule="auto"/>
              <w:rPr>
                <w:sz w:val="16"/>
                <w:szCs w:val="16"/>
              </w:rPr>
            </w:pPr>
            <w:r w:rsidRPr="00D518FF">
              <w:rPr>
                <w:sz w:val="16"/>
                <w:szCs w:val="16"/>
              </w:rPr>
              <w:t>Names of databases searched</w:t>
            </w:r>
          </w:p>
        </w:tc>
        <w:tc>
          <w:tcPr>
            <w:tcW w:w="301" w:type="pct"/>
            <w:shd w:val="clear" w:color="auto" w:fill="D9D9D9" w:themeFill="background1" w:themeFillShade="D9"/>
          </w:tcPr>
          <w:p w14:paraId="0E9D1957" w14:textId="77777777" w:rsidR="00E47171" w:rsidRPr="00D518FF" w:rsidRDefault="00E47171" w:rsidP="00AA72BD">
            <w:pPr>
              <w:pStyle w:val="2024TABLEHEADER"/>
              <w:spacing w:before="0" w:after="0" w:line="240" w:lineRule="auto"/>
              <w:rPr>
                <w:sz w:val="16"/>
                <w:szCs w:val="16"/>
              </w:rPr>
            </w:pPr>
            <w:r w:rsidRPr="00D518FF">
              <w:rPr>
                <w:sz w:val="16"/>
                <w:szCs w:val="16"/>
              </w:rPr>
              <w:t>Date of last search</w:t>
            </w:r>
          </w:p>
        </w:tc>
        <w:tc>
          <w:tcPr>
            <w:tcW w:w="401" w:type="pct"/>
            <w:shd w:val="clear" w:color="auto" w:fill="D9D9D9" w:themeFill="background1" w:themeFillShade="D9"/>
          </w:tcPr>
          <w:p w14:paraId="3BE1D5E7" w14:textId="77777777" w:rsidR="00E47171" w:rsidRPr="00D518FF" w:rsidRDefault="00E47171" w:rsidP="00AA72BD">
            <w:pPr>
              <w:pStyle w:val="2024TABLEHEADER"/>
              <w:spacing w:before="0" w:after="0" w:line="240" w:lineRule="auto"/>
              <w:rPr>
                <w:sz w:val="16"/>
                <w:szCs w:val="16"/>
              </w:rPr>
            </w:pPr>
            <w:r w:rsidRPr="00D518FF">
              <w:rPr>
                <w:sz w:val="16"/>
                <w:szCs w:val="16"/>
              </w:rPr>
              <w:t xml:space="preserve">Search restrictions </w:t>
            </w:r>
          </w:p>
        </w:tc>
        <w:tc>
          <w:tcPr>
            <w:tcW w:w="300" w:type="pct"/>
            <w:shd w:val="clear" w:color="auto" w:fill="D9D9D9" w:themeFill="background1" w:themeFillShade="D9"/>
          </w:tcPr>
          <w:p w14:paraId="61D7DAB4" w14:textId="02DAC74A" w:rsidR="00E47171" w:rsidRPr="00D518FF" w:rsidRDefault="00E56B38" w:rsidP="00AA72BD">
            <w:pPr>
              <w:pStyle w:val="2024TABLEHEADER"/>
              <w:spacing w:before="0" w:after="0" w:line="240" w:lineRule="auto"/>
              <w:rPr>
                <w:sz w:val="16"/>
                <w:szCs w:val="16"/>
              </w:rPr>
            </w:pPr>
            <w:r w:rsidRPr="00D518FF">
              <w:rPr>
                <w:sz w:val="16"/>
                <w:szCs w:val="16"/>
              </w:rPr>
              <w:t>Ro</w:t>
            </w:r>
            <w:r w:rsidR="00F6089E">
              <w:rPr>
                <w:sz w:val="16"/>
                <w:szCs w:val="16"/>
              </w:rPr>
              <w:t>B</w:t>
            </w:r>
            <w:r w:rsidRPr="00D518FF">
              <w:rPr>
                <w:sz w:val="16"/>
                <w:szCs w:val="16"/>
              </w:rPr>
              <w:t xml:space="preserve"> </w:t>
            </w:r>
            <w:r w:rsidR="00E47171" w:rsidRPr="00D518FF">
              <w:rPr>
                <w:sz w:val="16"/>
                <w:szCs w:val="16"/>
              </w:rPr>
              <w:t>tool used</w:t>
            </w:r>
          </w:p>
        </w:tc>
        <w:tc>
          <w:tcPr>
            <w:tcW w:w="300" w:type="pct"/>
            <w:shd w:val="clear" w:color="auto" w:fill="D9D9D9" w:themeFill="background1" w:themeFillShade="D9"/>
          </w:tcPr>
          <w:p w14:paraId="30EE18CA" w14:textId="77777777" w:rsidR="00E47171" w:rsidRPr="00D518FF" w:rsidRDefault="00E47171" w:rsidP="00AA72BD">
            <w:pPr>
              <w:pStyle w:val="2024TABLEHEADER"/>
              <w:spacing w:before="0" w:after="0" w:line="240" w:lineRule="auto"/>
              <w:rPr>
                <w:sz w:val="16"/>
                <w:szCs w:val="16"/>
              </w:rPr>
            </w:pPr>
            <w:r w:rsidRPr="00D518FF">
              <w:rPr>
                <w:sz w:val="16"/>
                <w:szCs w:val="16"/>
              </w:rPr>
              <w:t>Certainty of evidence reported</w:t>
            </w:r>
          </w:p>
        </w:tc>
        <w:tc>
          <w:tcPr>
            <w:tcW w:w="349" w:type="pct"/>
            <w:shd w:val="clear" w:color="auto" w:fill="D9D9D9" w:themeFill="background1" w:themeFillShade="D9"/>
          </w:tcPr>
          <w:p w14:paraId="3939B85A" w14:textId="77777777" w:rsidR="00E47171" w:rsidRPr="00D518FF" w:rsidRDefault="00E47171" w:rsidP="00AA72BD">
            <w:pPr>
              <w:pStyle w:val="2024TABLEHEADER"/>
              <w:spacing w:before="0" w:after="0" w:line="240" w:lineRule="auto"/>
              <w:rPr>
                <w:sz w:val="16"/>
                <w:szCs w:val="16"/>
              </w:rPr>
            </w:pPr>
            <w:r w:rsidRPr="00D518FF">
              <w:rPr>
                <w:sz w:val="16"/>
                <w:szCs w:val="16"/>
              </w:rPr>
              <w:t>Conflicts of interest</w:t>
            </w:r>
          </w:p>
        </w:tc>
        <w:tc>
          <w:tcPr>
            <w:tcW w:w="601" w:type="pct"/>
            <w:shd w:val="clear" w:color="auto" w:fill="D9D9D9" w:themeFill="background1" w:themeFillShade="D9"/>
          </w:tcPr>
          <w:p w14:paraId="76622CA8" w14:textId="77777777" w:rsidR="00E47171" w:rsidRPr="00D518FF" w:rsidRDefault="00E47171" w:rsidP="00AA72BD">
            <w:pPr>
              <w:pStyle w:val="2024TABLEHEADER"/>
              <w:spacing w:before="0" w:after="0" w:line="240" w:lineRule="auto"/>
              <w:rPr>
                <w:sz w:val="16"/>
                <w:szCs w:val="16"/>
              </w:rPr>
            </w:pPr>
            <w:r w:rsidRPr="00D518FF">
              <w:rPr>
                <w:sz w:val="16"/>
                <w:szCs w:val="16"/>
              </w:rPr>
              <w:t>Funding sources</w:t>
            </w:r>
          </w:p>
        </w:tc>
      </w:tr>
      <w:tr w:rsidR="00F6089E" w:rsidRPr="00D518FF" w14:paraId="51DA8B25" w14:textId="77777777" w:rsidTr="00F6089E">
        <w:trPr>
          <w:trHeight w:val="283"/>
        </w:trPr>
        <w:tc>
          <w:tcPr>
            <w:tcW w:w="326" w:type="pct"/>
          </w:tcPr>
          <w:p w14:paraId="095457E6" w14:textId="57D2C7B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Appleton 2015</w:t>
            </w:r>
          </w:p>
        </w:tc>
        <w:tc>
          <w:tcPr>
            <w:tcW w:w="359" w:type="pct"/>
          </w:tcPr>
          <w:p w14:paraId="03BCC6C9" w14:textId="3EAE2B2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Cochrane review (systematic review and meta-analysis)</w:t>
            </w:r>
          </w:p>
        </w:tc>
        <w:tc>
          <w:tcPr>
            <w:tcW w:w="614" w:type="pct"/>
          </w:tcPr>
          <w:p w14:paraId="7C22B148" w14:textId="5E8D32B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assess the effects of n-3 polyunsaturated fatty acids (also known as omega-3 fatty acids) versus a comparator (e.g. Placebo, antidepressant treatment, standard care, no treatment, wait-list control) for major depressive disorder (MDD) in adults</w:t>
            </w:r>
          </w:p>
        </w:tc>
        <w:tc>
          <w:tcPr>
            <w:tcW w:w="318" w:type="pct"/>
          </w:tcPr>
          <w:p w14:paraId="59F8140F" w14:textId="44BA22B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1D267BDD" w14:textId="3889F59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1, 6</w:t>
            </w:r>
          </w:p>
        </w:tc>
        <w:tc>
          <w:tcPr>
            <w:tcW w:w="350" w:type="pct"/>
          </w:tcPr>
          <w:p w14:paraId="686A7CCA" w14:textId="77300D9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2</w:t>
            </w:r>
          </w:p>
        </w:tc>
        <w:tc>
          <w:tcPr>
            <w:tcW w:w="450" w:type="pct"/>
          </w:tcPr>
          <w:p w14:paraId="5842315D" w14:textId="6BD8B38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Cochrane Depression, Anxiety and Neurosis Review Group’s Specialised Registers, International Trial Registries</w:t>
            </w:r>
          </w:p>
        </w:tc>
        <w:tc>
          <w:tcPr>
            <w:tcW w:w="301" w:type="pct"/>
          </w:tcPr>
          <w:p w14:paraId="7E6CB0C5" w14:textId="294181A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May 2015</w:t>
            </w:r>
          </w:p>
        </w:tc>
        <w:tc>
          <w:tcPr>
            <w:tcW w:w="401" w:type="pct"/>
          </w:tcPr>
          <w:p w14:paraId="2AC67CAA" w14:textId="5118017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300" w:type="pct"/>
          </w:tcPr>
          <w:p w14:paraId="1BA94C6B" w14:textId="0BE84CD5"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Risk of Bias </w:t>
            </w:r>
            <w:r w:rsidRPr="00D518FF">
              <w:rPr>
                <w:sz w:val="16"/>
                <w:szCs w:val="16"/>
              </w:rPr>
              <w:t>Tool</w:t>
            </w:r>
          </w:p>
        </w:tc>
        <w:tc>
          <w:tcPr>
            <w:tcW w:w="300" w:type="pct"/>
          </w:tcPr>
          <w:p w14:paraId="48E5635C" w14:textId="0908D4A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GRADE</w:t>
            </w:r>
          </w:p>
        </w:tc>
        <w:tc>
          <w:tcPr>
            <w:tcW w:w="349" w:type="pct"/>
          </w:tcPr>
          <w:p w14:paraId="2321ACFF" w14:textId="32D3D7E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601" w:type="pct"/>
          </w:tcPr>
          <w:p w14:paraId="5DF66DAE" w14:textId="040D7CD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 National Institute for Health Research (NIHR) is the largest single funder of the Cochrane Depression, Anxiety and Neurosis Group.</w:t>
            </w:r>
          </w:p>
        </w:tc>
      </w:tr>
      <w:tr w:rsidR="00F6089E" w:rsidRPr="00D518FF" w14:paraId="7AD9BB80" w14:textId="77777777" w:rsidTr="00F6089E">
        <w:trPr>
          <w:trHeight w:val="283"/>
        </w:trPr>
        <w:tc>
          <w:tcPr>
            <w:tcW w:w="326" w:type="pct"/>
          </w:tcPr>
          <w:p w14:paraId="64F891F1" w14:textId="4C44317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Appleton 2016</w:t>
            </w:r>
          </w:p>
        </w:tc>
        <w:tc>
          <w:tcPr>
            <w:tcW w:w="359" w:type="pct"/>
          </w:tcPr>
          <w:p w14:paraId="2F03AA4F" w14:textId="6FACC49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Cochrane review (systematic review and meta-analysis)</w:t>
            </w:r>
          </w:p>
        </w:tc>
        <w:tc>
          <w:tcPr>
            <w:tcW w:w="614" w:type="pct"/>
          </w:tcPr>
          <w:p w14:paraId="3AA977C9" w14:textId="0A1780C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assess the effects of n-3 polyunsaturated fatty acids (n-3PUFAs; also known as ω-3 fatty acids) compared with comparator for major depressive disorder (MDD) in adults</w:t>
            </w:r>
          </w:p>
        </w:tc>
        <w:tc>
          <w:tcPr>
            <w:tcW w:w="318" w:type="pct"/>
          </w:tcPr>
          <w:p w14:paraId="126520C1" w14:textId="4EA8F58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4CA65192" w14:textId="1FA03CA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2394367E" w14:textId="20FD209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3</w:t>
            </w:r>
          </w:p>
        </w:tc>
        <w:tc>
          <w:tcPr>
            <w:tcW w:w="450" w:type="pct"/>
          </w:tcPr>
          <w:p w14:paraId="07FB3B32" w14:textId="29AC9A5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Cochrane Depression, Anxiety and Neurosis Review Group’s Specialised Registers, International Trial Registries, CINAHL</w:t>
            </w:r>
          </w:p>
        </w:tc>
        <w:tc>
          <w:tcPr>
            <w:tcW w:w="301" w:type="pct"/>
          </w:tcPr>
          <w:p w14:paraId="4C1AA236" w14:textId="5DA97B1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May 2015; Sep 2013</w:t>
            </w:r>
          </w:p>
        </w:tc>
        <w:tc>
          <w:tcPr>
            <w:tcW w:w="401" w:type="pct"/>
          </w:tcPr>
          <w:p w14:paraId="34CDE289" w14:textId="0E760C2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 restrictions on date, language or publication status</w:t>
            </w:r>
          </w:p>
        </w:tc>
        <w:tc>
          <w:tcPr>
            <w:tcW w:w="300" w:type="pct"/>
          </w:tcPr>
          <w:p w14:paraId="59787158" w14:textId="3D19753E"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Risk of Bias </w:t>
            </w:r>
            <w:r w:rsidRPr="00D518FF">
              <w:rPr>
                <w:sz w:val="16"/>
                <w:szCs w:val="16"/>
              </w:rPr>
              <w:t>Tool</w:t>
            </w:r>
          </w:p>
        </w:tc>
        <w:tc>
          <w:tcPr>
            <w:tcW w:w="300" w:type="pct"/>
          </w:tcPr>
          <w:p w14:paraId="7CA1130F" w14:textId="5E30D4B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GRADE - low to very low</w:t>
            </w:r>
          </w:p>
        </w:tc>
        <w:tc>
          <w:tcPr>
            <w:tcW w:w="349" w:type="pct"/>
          </w:tcPr>
          <w:p w14:paraId="4A651B56" w14:textId="125DA95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23D699DF" w14:textId="2E35D97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 National Institute for Health Research (NIHR) is the largest single funder of the Cochrane Depression, Anxiety and Neurosis Group</w:t>
            </w:r>
          </w:p>
        </w:tc>
      </w:tr>
      <w:tr w:rsidR="00F6089E" w:rsidRPr="00D518FF" w14:paraId="4CA2C911" w14:textId="77777777" w:rsidTr="00A6108F">
        <w:trPr>
          <w:trHeight w:val="283"/>
        </w:trPr>
        <w:tc>
          <w:tcPr>
            <w:tcW w:w="326" w:type="pct"/>
            <w:shd w:val="clear" w:color="auto" w:fill="EFFFE9"/>
          </w:tcPr>
          <w:p w14:paraId="659CE43F" w14:textId="6F2B4DD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Appleton 2021</w:t>
            </w:r>
          </w:p>
        </w:tc>
        <w:tc>
          <w:tcPr>
            <w:tcW w:w="359" w:type="pct"/>
            <w:shd w:val="clear" w:color="auto" w:fill="EFFFE9"/>
          </w:tcPr>
          <w:p w14:paraId="4EED3714" w14:textId="44020AB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Cochrane review (systematic review and meta-analysis)</w:t>
            </w:r>
          </w:p>
        </w:tc>
        <w:tc>
          <w:tcPr>
            <w:tcW w:w="614" w:type="pct"/>
            <w:shd w:val="clear" w:color="auto" w:fill="EFFFE9"/>
          </w:tcPr>
          <w:p w14:paraId="7D66CD35" w14:textId="3540D32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assess the effects of n-3 polyunsaturated fatty acids (also known as omega-3 fatty acids) versus a comparator (e.g. Placebo, antidepressant treatment, standard care, no treatment, wait-list control) for major depressive disorder (MDD) in adults.</w:t>
            </w:r>
          </w:p>
        </w:tc>
        <w:tc>
          <w:tcPr>
            <w:tcW w:w="318" w:type="pct"/>
            <w:shd w:val="clear" w:color="auto" w:fill="EFFFE9"/>
          </w:tcPr>
          <w:p w14:paraId="6BDB6D60" w14:textId="5955EC2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shd w:val="clear" w:color="auto" w:fill="EFFFE9"/>
          </w:tcPr>
          <w:p w14:paraId="5BFFF721" w14:textId="6143005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1, 2, 6</w:t>
            </w:r>
          </w:p>
        </w:tc>
        <w:tc>
          <w:tcPr>
            <w:tcW w:w="350" w:type="pct"/>
            <w:shd w:val="clear" w:color="auto" w:fill="EFFFE9"/>
          </w:tcPr>
          <w:p w14:paraId="05B8A58D" w14:textId="322CEA8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shd w:val="clear" w:color="auto" w:fill="EFFFE9"/>
          </w:tcPr>
          <w:p w14:paraId="17B3CFAB" w14:textId="4013166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CENTRAL, Ovid MEDLINE, Embase, PsycINFO</w:t>
            </w:r>
          </w:p>
        </w:tc>
        <w:tc>
          <w:tcPr>
            <w:tcW w:w="301" w:type="pct"/>
            <w:shd w:val="clear" w:color="auto" w:fill="EFFFE9"/>
          </w:tcPr>
          <w:p w14:paraId="6832847F" w14:textId="50E43C7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Jan 2021</w:t>
            </w:r>
          </w:p>
        </w:tc>
        <w:tc>
          <w:tcPr>
            <w:tcW w:w="401" w:type="pct"/>
            <w:shd w:val="clear" w:color="auto" w:fill="EFFFE9"/>
          </w:tcPr>
          <w:p w14:paraId="7511F0DF" w14:textId="557937B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There were no restrictions by date, language or publication status applied to the overall searches</w:t>
            </w:r>
          </w:p>
        </w:tc>
        <w:tc>
          <w:tcPr>
            <w:tcW w:w="300" w:type="pct"/>
            <w:shd w:val="clear" w:color="auto" w:fill="EFFFE9"/>
          </w:tcPr>
          <w:p w14:paraId="4C529B10" w14:textId="1F296326"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Cochrane</w:t>
            </w:r>
            <w:r w:rsidRPr="00D518FF">
              <w:rPr>
                <w:sz w:val="16"/>
                <w:szCs w:val="16"/>
              </w:rPr>
              <w:t xml:space="preserve"> Risk of Bias Tool</w:t>
            </w:r>
          </w:p>
        </w:tc>
        <w:tc>
          <w:tcPr>
            <w:tcW w:w="300" w:type="pct"/>
            <w:shd w:val="clear" w:color="auto" w:fill="EFFFE9"/>
          </w:tcPr>
          <w:p w14:paraId="18139EFD" w14:textId="03A3005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GRADE</w:t>
            </w:r>
          </w:p>
        </w:tc>
        <w:tc>
          <w:tcPr>
            <w:tcW w:w="349" w:type="pct"/>
            <w:shd w:val="clear" w:color="auto" w:fill="EFFFE9"/>
          </w:tcPr>
          <w:p w14:paraId="43C71226" w14:textId="1F4FB98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SD: Is an Information Specialist for Cochrane Common Mental Disorders but was not involved in the editorial approval process for this review.</w:t>
            </w:r>
            <w:r w:rsidRPr="00D518FF">
              <w:rPr>
                <w:rFonts w:cs="Calibri"/>
                <w:color w:val="000000"/>
                <w:sz w:val="16"/>
                <w:szCs w:val="16"/>
              </w:rPr>
              <w:br/>
              <w:t xml:space="preserve">RC: Leads and has </w:t>
            </w:r>
            <w:r w:rsidRPr="00D518FF">
              <w:rPr>
                <w:rFonts w:cs="Calibri"/>
                <w:color w:val="000000"/>
                <w:sz w:val="16"/>
                <w:szCs w:val="16"/>
              </w:rPr>
              <w:lastRenderedPageBreak/>
              <w:t>responsibility for Cochrane Common Mental Disorders, which has supported parts of the review process and is largely funded by a grant from the National Institute for Health Research (NIHR) in the UK. RC was not involved in the editorial process for this review.</w:t>
            </w:r>
          </w:p>
        </w:tc>
        <w:tc>
          <w:tcPr>
            <w:tcW w:w="601" w:type="pct"/>
            <w:shd w:val="clear" w:color="auto" w:fill="EFFFE9"/>
          </w:tcPr>
          <w:p w14:paraId="47100529" w14:textId="508D604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Internal sources</w:t>
            </w:r>
            <w:r w:rsidRPr="00D518FF">
              <w:rPr>
                <w:rFonts w:cs="Calibri"/>
                <w:color w:val="000000"/>
                <w:sz w:val="16"/>
                <w:szCs w:val="16"/>
              </w:rPr>
              <w:br/>
              <w:t>• Bournemouth University, UK Researcher time</w:t>
            </w:r>
            <w:r w:rsidRPr="00D518FF">
              <w:rPr>
                <w:rFonts w:cs="Calibri"/>
                <w:color w:val="000000"/>
                <w:sz w:val="16"/>
                <w:szCs w:val="16"/>
              </w:rPr>
              <w:br/>
              <w:t>• University of Bristol, UK Researcher time• National Institute for Health Research, NIHR, UK</w:t>
            </w:r>
            <w:r w:rsidRPr="00D518FF">
              <w:rPr>
                <w:rFonts w:cs="Calibri"/>
                <w:color w:val="000000"/>
                <w:sz w:val="16"/>
                <w:szCs w:val="16"/>
              </w:rPr>
              <w:br/>
              <w:t>SD and RC contribution to this review update is supported by Cochrane Infrastructure funding to the Common Mental Disorders</w:t>
            </w:r>
            <w:r w:rsidRPr="00D518FF">
              <w:rPr>
                <w:rFonts w:cs="Calibri"/>
                <w:color w:val="000000"/>
                <w:sz w:val="16"/>
                <w:szCs w:val="16"/>
              </w:rPr>
              <w:br/>
            </w:r>
            <w:r w:rsidRPr="00D518FF">
              <w:rPr>
                <w:rFonts w:cs="Calibri"/>
                <w:color w:val="000000"/>
                <w:sz w:val="16"/>
                <w:szCs w:val="16"/>
              </w:rPr>
              <w:lastRenderedPageBreak/>
              <w:t>Cochrane Review Group.</w:t>
            </w:r>
          </w:p>
        </w:tc>
      </w:tr>
      <w:tr w:rsidR="00F6089E" w:rsidRPr="00D518FF" w14:paraId="7A7C7B4F" w14:textId="77777777" w:rsidTr="00F6089E">
        <w:trPr>
          <w:trHeight w:val="283"/>
        </w:trPr>
        <w:tc>
          <w:tcPr>
            <w:tcW w:w="326" w:type="pct"/>
          </w:tcPr>
          <w:p w14:paraId="38BC8958" w14:textId="6B57261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Bae 2018</w:t>
            </w:r>
          </w:p>
        </w:tc>
        <w:tc>
          <w:tcPr>
            <w:tcW w:w="359" w:type="pct"/>
          </w:tcPr>
          <w:p w14:paraId="33EDD6FA" w14:textId="5314213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465CFEC6" w14:textId="464A1C4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provide evidence on the clinical application of omega-3 fatty acids in the treatment of depressive symptoms in elderly subjects older</w:t>
            </w:r>
            <w:r w:rsidRPr="00D518FF">
              <w:rPr>
                <w:rFonts w:cs="Calibri"/>
                <w:color w:val="000000"/>
                <w:sz w:val="16"/>
                <w:szCs w:val="16"/>
              </w:rPr>
              <w:br/>
              <w:t>than 65 years and to compare these results with those of</w:t>
            </w:r>
            <w:r w:rsidRPr="00D518FF">
              <w:rPr>
                <w:rFonts w:cs="Calibri"/>
                <w:color w:val="000000"/>
                <w:sz w:val="16"/>
                <w:szCs w:val="16"/>
              </w:rPr>
              <w:br/>
              <w:t>placebo</w:t>
            </w:r>
          </w:p>
        </w:tc>
        <w:tc>
          <w:tcPr>
            <w:tcW w:w="318" w:type="pct"/>
          </w:tcPr>
          <w:p w14:paraId="78A6D67B" w14:textId="7D75352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337F23BF" w14:textId="6270321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2F8B21FE" w14:textId="265ADEF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7</w:t>
            </w:r>
          </w:p>
        </w:tc>
        <w:tc>
          <w:tcPr>
            <w:tcW w:w="450" w:type="pct"/>
          </w:tcPr>
          <w:p w14:paraId="07A3CB51" w14:textId="44DBDAF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Ovid MEDLINE, EMBASE, Web of Science, Cochrane Library, KoreaMed, Research Information Service System (Korean database), Korean Studies Information Service system</w:t>
            </w:r>
          </w:p>
        </w:tc>
        <w:tc>
          <w:tcPr>
            <w:tcW w:w="301" w:type="pct"/>
          </w:tcPr>
          <w:p w14:paraId="31BBA530" w14:textId="0A0030B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Sep 2016</w:t>
            </w:r>
          </w:p>
        </w:tc>
        <w:tc>
          <w:tcPr>
            <w:tcW w:w="401" w:type="pct"/>
          </w:tcPr>
          <w:p w14:paraId="06BCF636" w14:textId="252C37F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00" w:type="pct"/>
          </w:tcPr>
          <w:p w14:paraId="1A3E2BF1" w14:textId="356B54C6"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Cochrane</w:t>
            </w:r>
            <w:r w:rsidRPr="00D518FF">
              <w:rPr>
                <w:sz w:val="16"/>
                <w:szCs w:val="16"/>
              </w:rPr>
              <w:t xml:space="preserve"> Risk of Bias Tool</w:t>
            </w:r>
          </w:p>
        </w:tc>
        <w:tc>
          <w:tcPr>
            <w:tcW w:w="300" w:type="pct"/>
          </w:tcPr>
          <w:p w14:paraId="5E288A7A" w14:textId="3A2B16A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49" w:type="pct"/>
          </w:tcPr>
          <w:p w14:paraId="54554090" w14:textId="220FE9A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 authors have no conflict of interest</w:t>
            </w:r>
          </w:p>
        </w:tc>
        <w:tc>
          <w:tcPr>
            <w:tcW w:w="601" w:type="pct"/>
          </w:tcPr>
          <w:p w14:paraId="659AB0C6" w14:textId="5783198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r>
      <w:tr w:rsidR="00F6089E" w:rsidRPr="00D518FF" w14:paraId="1FD411EF" w14:textId="77777777" w:rsidTr="00F6089E">
        <w:trPr>
          <w:trHeight w:val="283"/>
        </w:trPr>
        <w:tc>
          <w:tcPr>
            <w:tcW w:w="326" w:type="pct"/>
          </w:tcPr>
          <w:p w14:paraId="55C27802" w14:textId="095D6ED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Bai 2018</w:t>
            </w:r>
          </w:p>
        </w:tc>
        <w:tc>
          <w:tcPr>
            <w:tcW w:w="359" w:type="pct"/>
          </w:tcPr>
          <w:p w14:paraId="2082C9BB" w14:textId="242BDAF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5481DF14" w14:textId="0E86613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The aim of this study is to systematically review the efficacy of omega-3 </w:t>
            </w:r>
            <w:r w:rsidRPr="00D518FF">
              <w:rPr>
                <w:rFonts w:cs="Calibri"/>
                <w:color w:val="000000"/>
                <w:sz w:val="16"/>
                <w:szCs w:val="16"/>
              </w:rPr>
              <w:lastRenderedPageBreak/>
              <w:t>polyunsaturated fatty acid (n-3 PUFA) supplements in reducing depressive symptoms among older adults aged 60 and above</w:t>
            </w:r>
          </w:p>
        </w:tc>
        <w:tc>
          <w:tcPr>
            <w:tcW w:w="318" w:type="pct"/>
          </w:tcPr>
          <w:p w14:paraId="1557DB6F" w14:textId="46FED86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RCTs</w:t>
            </w:r>
          </w:p>
        </w:tc>
        <w:tc>
          <w:tcPr>
            <w:tcW w:w="333" w:type="pct"/>
          </w:tcPr>
          <w:p w14:paraId="6689EAA4" w14:textId="053E703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53FB940E" w14:textId="2C6C052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9</w:t>
            </w:r>
          </w:p>
        </w:tc>
        <w:tc>
          <w:tcPr>
            <w:tcW w:w="450" w:type="pct"/>
          </w:tcPr>
          <w:p w14:paraId="756BCE4D" w14:textId="56E74BD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Medline, Embase, Web of Science, Cochrane </w:t>
            </w:r>
            <w:r w:rsidRPr="00D518FF">
              <w:rPr>
                <w:rFonts w:cs="Calibri"/>
                <w:color w:val="000000"/>
                <w:sz w:val="16"/>
                <w:szCs w:val="16"/>
              </w:rPr>
              <w:lastRenderedPageBreak/>
              <w:t>Library, PsycINFO, Global Health, CINAHL, clinicaltrials.gov, Chinese Biomedical Medicine Database</w:t>
            </w:r>
          </w:p>
        </w:tc>
        <w:tc>
          <w:tcPr>
            <w:tcW w:w="301" w:type="pct"/>
          </w:tcPr>
          <w:p w14:paraId="43D64B6B" w14:textId="445A7D2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Jun 2018</w:t>
            </w:r>
          </w:p>
        </w:tc>
        <w:tc>
          <w:tcPr>
            <w:tcW w:w="401" w:type="pct"/>
          </w:tcPr>
          <w:p w14:paraId="0F1833D9" w14:textId="782EEF1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 and Chinese</w:t>
            </w:r>
          </w:p>
        </w:tc>
        <w:tc>
          <w:tcPr>
            <w:tcW w:w="300" w:type="pct"/>
          </w:tcPr>
          <w:p w14:paraId="2E89B57E" w14:textId="1B0B0714"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w:t>
            </w:r>
            <w:r w:rsidRPr="00D518FF">
              <w:rPr>
                <w:sz w:val="16"/>
                <w:szCs w:val="16"/>
              </w:rPr>
              <w:t>Risk</w:t>
            </w:r>
            <w:r w:rsidRPr="00D518FF">
              <w:rPr>
                <w:color w:val="000000"/>
                <w:sz w:val="16"/>
              </w:rPr>
              <w:t xml:space="preserve"> of </w:t>
            </w:r>
            <w:r w:rsidRPr="00D518FF">
              <w:rPr>
                <w:sz w:val="16"/>
                <w:szCs w:val="16"/>
              </w:rPr>
              <w:t>Bias Tool</w:t>
            </w:r>
          </w:p>
        </w:tc>
        <w:tc>
          <w:tcPr>
            <w:tcW w:w="300" w:type="pct"/>
          </w:tcPr>
          <w:p w14:paraId="74047C4F" w14:textId="6BA9C58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Informal - limited statistical power </w:t>
            </w:r>
            <w:r w:rsidRPr="00D518FF">
              <w:rPr>
                <w:rFonts w:cs="Calibri"/>
                <w:color w:val="000000"/>
                <w:sz w:val="16"/>
                <w:szCs w:val="16"/>
              </w:rPr>
              <w:lastRenderedPageBreak/>
              <w:t>for moderator analysis and the results were mixed and are suggestive only</w:t>
            </w:r>
            <w:r w:rsidR="00F274FE">
              <w:rPr>
                <w:rFonts w:cs="Calibri"/>
                <w:color w:val="000000"/>
                <w:sz w:val="16"/>
                <w:szCs w:val="16"/>
              </w:rPr>
              <w:t>.</w:t>
            </w:r>
          </w:p>
        </w:tc>
        <w:tc>
          <w:tcPr>
            <w:tcW w:w="349" w:type="pct"/>
          </w:tcPr>
          <w:p w14:paraId="6B21E539" w14:textId="5DA2F2F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None</w:t>
            </w:r>
          </w:p>
        </w:tc>
        <w:tc>
          <w:tcPr>
            <w:tcW w:w="601" w:type="pct"/>
          </w:tcPr>
          <w:p w14:paraId="0E63A596" w14:textId="4F4F511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This work was supported by the Fundamental Research Funds for </w:t>
            </w:r>
            <w:r w:rsidRPr="00D518FF">
              <w:rPr>
                <w:rFonts w:cs="Calibri"/>
                <w:color w:val="000000"/>
                <w:sz w:val="16"/>
                <w:szCs w:val="16"/>
              </w:rPr>
              <w:lastRenderedPageBreak/>
              <w:t>the Central Universities, no. 30918013115</w:t>
            </w:r>
          </w:p>
        </w:tc>
      </w:tr>
      <w:tr w:rsidR="00F6089E" w:rsidRPr="00D518FF" w14:paraId="1802715A" w14:textId="77777777" w:rsidTr="00F6089E">
        <w:trPr>
          <w:trHeight w:val="283"/>
        </w:trPr>
        <w:tc>
          <w:tcPr>
            <w:tcW w:w="326" w:type="pct"/>
          </w:tcPr>
          <w:p w14:paraId="224CE43E" w14:textId="6072EFC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Bai 2020</w:t>
            </w:r>
          </w:p>
        </w:tc>
        <w:tc>
          <w:tcPr>
            <w:tcW w:w="359" w:type="pct"/>
          </w:tcPr>
          <w:p w14:paraId="7ADCD944" w14:textId="2333832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0587EF22" w14:textId="1BBAA1C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systematically review the efficacy and</w:t>
            </w:r>
            <w:r w:rsidR="00552B91">
              <w:rPr>
                <w:rFonts w:cs="Calibri"/>
                <w:color w:val="000000"/>
                <w:sz w:val="16"/>
                <w:szCs w:val="16"/>
              </w:rPr>
              <w:t xml:space="preserve"> </w:t>
            </w:r>
            <w:r w:rsidRPr="00D518FF">
              <w:rPr>
                <w:rFonts w:cs="Calibri"/>
                <w:color w:val="000000"/>
                <w:sz w:val="16"/>
                <w:szCs w:val="16"/>
              </w:rPr>
              <w:t>safety of anti-inflammatory agents for patients with</w:t>
            </w:r>
            <w:r w:rsidRPr="00D518FF">
              <w:rPr>
                <w:rFonts w:cs="Calibri"/>
                <w:color w:val="000000"/>
                <w:sz w:val="16"/>
                <w:szCs w:val="16"/>
              </w:rPr>
              <w:br/>
              <w:t>major depressive disorders</w:t>
            </w:r>
          </w:p>
        </w:tc>
        <w:tc>
          <w:tcPr>
            <w:tcW w:w="318" w:type="pct"/>
          </w:tcPr>
          <w:p w14:paraId="4AED8E58" w14:textId="581884A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167A9924" w14:textId="4763382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7851C561" w14:textId="3B976C7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tcPr>
          <w:p w14:paraId="740E0921" w14:textId="111B555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 Embase, Cochrane Library and Web of Science</w:t>
            </w:r>
          </w:p>
        </w:tc>
        <w:tc>
          <w:tcPr>
            <w:tcW w:w="301" w:type="pct"/>
          </w:tcPr>
          <w:p w14:paraId="59813098" w14:textId="5833989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Dec 2018</w:t>
            </w:r>
          </w:p>
        </w:tc>
        <w:tc>
          <w:tcPr>
            <w:tcW w:w="401" w:type="pct"/>
          </w:tcPr>
          <w:p w14:paraId="4C322FEE" w14:textId="670CE8A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00" w:type="pct"/>
          </w:tcPr>
          <w:p w14:paraId="3C6588D7" w14:textId="08A302DE"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Cochrane</w:t>
            </w:r>
            <w:r w:rsidRPr="00D518FF">
              <w:rPr>
                <w:sz w:val="16"/>
                <w:szCs w:val="16"/>
              </w:rPr>
              <w:t xml:space="preserve"> Risk of Bias Tool</w:t>
            </w:r>
          </w:p>
        </w:tc>
        <w:tc>
          <w:tcPr>
            <w:tcW w:w="300" w:type="pct"/>
          </w:tcPr>
          <w:p w14:paraId="1E3F6F9B" w14:textId="38E1135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49" w:type="pct"/>
          </w:tcPr>
          <w:p w14:paraId="02A95C70" w14:textId="2DB0E0E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Competing interests None declared</w:t>
            </w:r>
          </w:p>
        </w:tc>
        <w:tc>
          <w:tcPr>
            <w:tcW w:w="601" w:type="pct"/>
          </w:tcPr>
          <w:p w14:paraId="364BE0F9" w14:textId="5376F42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This study was supported by funds from the National Natural Science</w:t>
            </w:r>
            <w:r w:rsidRPr="00D518FF">
              <w:rPr>
                <w:rFonts w:cs="Calibri"/>
                <w:color w:val="000000"/>
                <w:sz w:val="16"/>
                <w:szCs w:val="16"/>
              </w:rPr>
              <w:br/>
              <w:t>Foundation of China, grant number: 81873750</w:t>
            </w:r>
          </w:p>
        </w:tc>
      </w:tr>
      <w:tr w:rsidR="00F6089E" w:rsidRPr="00D518FF" w14:paraId="0A9FD01C" w14:textId="77777777" w:rsidTr="00F6089E">
        <w:trPr>
          <w:trHeight w:val="283"/>
        </w:trPr>
        <w:tc>
          <w:tcPr>
            <w:tcW w:w="326" w:type="pct"/>
          </w:tcPr>
          <w:p w14:paraId="6850EDC2" w14:textId="34655074"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Chowdhury 2020</w:t>
            </w:r>
          </w:p>
        </w:tc>
        <w:tc>
          <w:tcPr>
            <w:tcW w:w="359" w:type="pct"/>
          </w:tcPr>
          <w:p w14:paraId="03BE24CA" w14:textId="77E38AC0"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w:t>
            </w:r>
          </w:p>
        </w:tc>
        <w:tc>
          <w:tcPr>
            <w:tcW w:w="614" w:type="pct"/>
          </w:tcPr>
          <w:p w14:paraId="30960FC8" w14:textId="205BEA4B" w:rsidR="00B66AF0"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To </w:t>
            </w:r>
            <w:r w:rsidR="00B66AF0" w:rsidRPr="00D518FF">
              <w:rPr>
                <w:rFonts w:cs="Calibri"/>
                <w:color w:val="000000"/>
                <w:sz w:val="16"/>
                <w:szCs w:val="16"/>
              </w:rPr>
              <w:t>assess the current situation of the impact of omega-3 long-chain Poly Unsaturated Fatty Acid (</w:t>
            </w:r>
            <w:r w:rsidR="004622EE" w:rsidRPr="00D518FF">
              <w:rPr>
                <w:rFonts w:cs="Calibri"/>
                <w:color w:val="000000"/>
                <w:sz w:val="16"/>
                <w:szCs w:val="16"/>
              </w:rPr>
              <w:t>PUFA</w:t>
            </w:r>
            <w:r w:rsidR="00B66AF0" w:rsidRPr="00D518FF">
              <w:rPr>
                <w:rFonts w:cs="Calibri"/>
                <w:color w:val="000000"/>
                <w:sz w:val="16"/>
                <w:szCs w:val="16"/>
              </w:rPr>
              <w:t>) supplementation on the outcomes of pregnancy</w:t>
            </w:r>
          </w:p>
        </w:tc>
        <w:tc>
          <w:tcPr>
            <w:tcW w:w="318" w:type="pct"/>
          </w:tcPr>
          <w:p w14:paraId="07E8408E" w14:textId="45804416" w:rsidR="00B66AF0"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RCT</w:t>
            </w:r>
            <w:r w:rsidR="00E56B38" w:rsidRPr="00D518FF">
              <w:rPr>
                <w:rFonts w:cs="Calibri"/>
                <w:color w:val="000000"/>
                <w:sz w:val="16"/>
                <w:szCs w:val="16"/>
              </w:rPr>
              <w:t xml:space="preserve">s </w:t>
            </w:r>
            <w:r w:rsidR="00B66AF0" w:rsidRPr="00D518FF">
              <w:rPr>
                <w:rFonts w:cs="Calibri"/>
                <w:color w:val="000000"/>
                <w:sz w:val="16"/>
                <w:szCs w:val="16"/>
              </w:rPr>
              <w:t>+ observational studies</w:t>
            </w:r>
          </w:p>
        </w:tc>
        <w:tc>
          <w:tcPr>
            <w:tcW w:w="333" w:type="pct"/>
          </w:tcPr>
          <w:p w14:paraId="74013357" w14:textId="446F2CE1"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6D1B93CD" w14:textId="754541F3"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tcPr>
          <w:p w14:paraId="560221C6" w14:textId="2B71DB08"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Medline, </w:t>
            </w:r>
            <w:r w:rsidR="004622EE" w:rsidRPr="00D518FF">
              <w:rPr>
                <w:rFonts w:cs="Calibri"/>
                <w:color w:val="000000"/>
                <w:sz w:val="16"/>
                <w:szCs w:val="16"/>
              </w:rPr>
              <w:t>PubMed</w:t>
            </w:r>
            <w:r w:rsidRPr="00D518FF">
              <w:rPr>
                <w:rFonts w:cs="Calibri"/>
                <w:color w:val="000000"/>
                <w:sz w:val="16"/>
                <w:szCs w:val="16"/>
              </w:rPr>
              <w:t>, PLOS, Google Scholar</w:t>
            </w:r>
          </w:p>
        </w:tc>
        <w:tc>
          <w:tcPr>
            <w:tcW w:w="301" w:type="pct"/>
          </w:tcPr>
          <w:p w14:paraId="2AD67DFA" w14:textId="4E72902F"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Mar 2017</w:t>
            </w:r>
          </w:p>
        </w:tc>
        <w:tc>
          <w:tcPr>
            <w:tcW w:w="401" w:type="pct"/>
          </w:tcPr>
          <w:p w14:paraId="01AB9985" w14:textId="471A762C"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 date restriction February 1995 to March 2017</w:t>
            </w:r>
          </w:p>
        </w:tc>
        <w:tc>
          <w:tcPr>
            <w:tcW w:w="300" w:type="pct"/>
          </w:tcPr>
          <w:p w14:paraId="2F2D318C" w14:textId="2294D5D0" w:rsidR="00B66AF0" w:rsidRPr="00D518FF" w:rsidRDefault="00176D14"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Jadad</w:t>
            </w:r>
            <w:r w:rsidR="00B66AF0" w:rsidRPr="00D518FF">
              <w:rPr>
                <w:rFonts w:cs="Calibri"/>
                <w:color w:val="000000"/>
                <w:sz w:val="16"/>
                <w:szCs w:val="16"/>
              </w:rPr>
              <w:t xml:space="preserve"> scale</w:t>
            </w:r>
          </w:p>
        </w:tc>
        <w:tc>
          <w:tcPr>
            <w:tcW w:w="300" w:type="pct"/>
          </w:tcPr>
          <w:p w14:paraId="73D2A478" w14:textId="24777162"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NR; insufficient info to judge</w:t>
            </w:r>
          </w:p>
        </w:tc>
        <w:tc>
          <w:tcPr>
            <w:tcW w:w="349" w:type="pct"/>
          </w:tcPr>
          <w:p w14:paraId="72FC93EA" w14:textId="15458AE8"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5EC36FAB" w14:textId="27EE92A4" w:rsidR="00B66AF0" w:rsidRPr="00D518FF" w:rsidRDefault="00B66AF0"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r>
      <w:tr w:rsidR="00F6089E" w:rsidRPr="00D518FF" w14:paraId="27F51B65" w14:textId="77777777" w:rsidTr="00F6089E">
        <w:trPr>
          <w:trHeight w:val="283"/>
        </w:trPr>
        <w:tc>
          <w:tcPr>
            <w:tcW w:w="326" w:type="pct"/>
          </w:tcPr>
          <w:p w14:paraId="2824C0DA" w14:textId="2DCC3D9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Farooq 2020</w:t>
            </w:r>
          </w:p>
        </w:tc>
        <w:tc>
          <w:tcPr>
            <w:tcW w:w="359" w:type="pct"/>
          </w:tcPr>
          <w:p w14:paraId="250733E1" w14:textId="426A1EB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205DF98F" w14:textId="22C5C54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We aim to identify and evaluate the efficacy of all pharmacological treatments that have been used for preventing the onset of depressive illness in adult populations.</w:t>
            </w:r>
          </w:p>
        </w:tc>
        <w:tc>
          <w:tcPr>
            <w:tcW w:w="318" w:type="pct"/>
          </w:tcPr>
          <w:p w14:paraId="503BACFA" w14:textId="57CA570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1C67DE58" w14:textId="78198A5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57C9A28B" w14:textId="5D34563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tcPr>
          <w:p w14:paraId="6D6DA0C2" w14:textId="111AAE5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 Psych Info, EMBASE, CINHAL</w:t>
            </w:r>
          </w:p>
        </w:tc>
        <w:tc>
          <w:tcPr>
            <w:tcW w:w="301" w:type="pct"/>
          </w:tcPr>
          <w:p w14:paraId="21BD32C2" w14:textId="1C122A0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Jan 2020</w:t>
            </w:r>
          </w:p>
        </w:tc>
        <w:tc>
          <w:tcPr>
            <w:tcW w:w="401" w:type="pct"/>
          </w:tcPr>
          <w:p w14:paraId="7250EEC0" w14:textId="49E0D37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Date restriction from 1980 to January 2020; language restriction NR</w:t>
            </w:r>
          </w:p>
        </w:tc>
        <w:tc>
          <w:tcPr>
            <w:tcW w:w="300" w:type="pct"/>
          </w:tcPr>
          <w:p w14:paraId="25E43762" w14:textId="67E4E074"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Risk of Bias </w:t>
            </w:r>
            <w:r w:rsidRPr="00D518FF">
              <w:rPr>
                <w:sz w:val="16"/>
                <w:szCs w:val="16"/>
              </w:rPr>
              <w:t>Tool</w:t>
            </w:r>
          </w:p>
        </w:tc>
        <w:tc>
          <w:tcPr>
            <w:tcW w:w="300" w:type="pct"/>
          </w:tcPr>
          <w:p w14:paraId="3F2D7934" w14:textId="190BA34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Insufficient information to make judgement</w:t>
            </w:r>
          </w:p>
        </w:tc>
        <w:tc>
          <w:tcPr>
            <w:tcW w:w="349" w:type="pct"/>
          </w:tcPr>
          <w:p w14:paraId="4E8F881F" w14:textId="1F8A092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7365EAFF" w14:textId="0D8CF81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r>
      <w:tr w:rsidR="00F6089E" w:rsidRPr="00D518FF" w14:paraId="6D1218F9" w14:textId="77777777" w:rsidTr="00F6089E">
        <w:trPr>
          <w:trHeight w:val="283"/>
        </w:trPr>
        <w:tc>
          <w:tcPr>
            <w:tcW w:w="326" w:type="pct"/>
          </w:tcPr>
          <w:p w14:paraId="5912A1D7" w14:textId="0F63C6B0"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Gabriel 2023</w:t>
            </w:r>
          </w:p>
        </w:tc>
        <w:tc>
          <w:tcPr>
            <w:tcW w:w="359" w:type="pct"/>
          </w:tcPr>
          <w:p w14:paraId="3AD792EB" w14:textId="3ABCAA26"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w:t>
            </w:r>
          </w:p>
        </w:tc>
        <w:tc>
          <w:tcPr>
            <w:tcW w:w="614" w:type="pct"/>
          </w:tcPr>
          <w:p w14:paraId="7B2C04BA" w14:textId="72D8537C"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The aim of this review is to summarize the available evidence on nutrition and BD</w:t>
            </w:r>
          </w:p>
        </w:tc>
        <w:tc>
          <w:tcPr>
            <w:tcW w:w="318" w:type="pct"/>
          </w:tcPr>
          <w:p w14:paraId="62BE5F16" w14:textId="2FFC5F24" w:rsidR="00E56B38"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RCT</w:t>
            </w:r>
            <w:r w:rsidR="00E56B38" w:rsidRPr="00D518FF">
              <w:rPr>
                <w:rFonts w:cs="Calibri"/>
                <w:color w:val="000000"/>
                <w:sz w:val="16"/>
                <w:szCs w:val="16"/>
              </w:rPr>
              <w:t>s and observational</w:t>
            </w:r>
          </w:p>
        </w:tc>
        <w:tc>
          <w:tcPr>
            <w:tcW w:w="333" w:type="pct"/>
          </w:tcPr>
          <w:p w14:paraId="3C52B113" w14:textId="06DD9E01"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4B5FF6D3" w14:textId="236EE167"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2</w:t>
            </w:r>
          </w:p>
        </w:tc>
        <w:tc>
          <w:tcPr>
            <w:tcW w:w="450" w:type="pct"/>
          </w:tcPr>
          <w:p w14:paraId="3B8CDD16" w14:textId="572E55BD" w:rsidR="00E56B38"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w:t>
            </w:r>
            <w:r w:rsidR="00E56B38" w:rsidRPr="00D518FF">
              <w:rPr>
                <w:rFonts w:cs="Calibri"/>
                <w:color w:val="000000"/>
                <w:sz w:val="16"/>
                <w:szCs w:val="16"/>
              </w:rPr>
              <w:t>, Cochrane Library</w:t>
            </w:r>
          </w:p>
        </w:tc>
        <w:tc>
          <w:tcPr>
            <w:tcW w:w="301" w:type="pct"/>
          </w:tcPr>
          <w:p w14:paraId="260A6611" w14:textId="5283A6C5"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Sep</w:t>
            </w:r>
            <w:r w:rsidR="004B226A" w:rsidRPr="00D518FF">
              <w:rPr>
                <w:rFonts w:cs="Calibri"/>
                <w:color w:val="000000"/>
                <w:sz w:val="16"/>
                <w:szCs w:val="16"/>
              </w:rPr>
              <w:t xml:space="preserve"> </w:t>
            </w:r>
            <w:r w:rsidRPr="00D518FF">
              <w:rPr>
                <w:rFonts w:cs="Calibri"/>
                <w:color w:val="000000"/>
                <w:sz w:val="16"/>
                <w:szCs w:val="16"/>
              </w:rPr>
              <w:t>2021</w:t>
            </w:r>
          </w:p>
        </w:tc>
        <w:tc>
          <w:tcPr>
            <w:tcW w:w="401" w:type="pct"/>
          </w:tcPr>
          <w:p w14:paraId="77FA622E" w14:textId="47DD9175"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 date restriction 2001 to 2021</w:t>
            </w:r>
          </w:p>
        </w:tc>
        <w:tc>
          <w:tcPr>
            <w:tcW w:w="300" w:type="pct"/>
          </w:tcPr>
          <w:p w14:paraId="5B956DE7" w14:textId="1E81BACD"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Informal criteria </w:t>
            </w:r>
            <w:r w:rsidR="00F60E69" w:rsidRPr="00D518FF">
              <w:rPr>
                <w:rFonts w:cs="Calibri"/>
                <w:color w:val="000000"/>
                <w:sz w:val="16"/>
                <w:szCs w:val="16"/>
              </w:rPr>
              <w:t>(</w:t>
            </w:r>
            <w:r w:rsidRPr="00D518FF">
              <w:rPr>
                <w:rFonts w:cs="Calibri"/>
                <w:color w:val="000000"/>
                <w:sz w:val="16"/>
                <w:szCs w:val="16"/>
              </w:rPr>
              <w:t>similar to Cochrane</w:t>
            </w:r>
            <w:r w:rsidR="00F60E69" w:rsidRPr="00D518FF">
              <w:rPr>
                <w:rFonts w:cs="Calibri"/>
                <w:color w:val="000000"/>
                <w:sz w:val="16"/>
                <w:szCs w:val="16"/>
              </w:rPr>
              <w:t xml:space="preserve"> Risk of Bias tool)</w:t>
            </w:r>
          </w:p>
        </w:tc>
        <w:tc>
          <w:tcPr>
            <w:tcW w:w="300" w:type="pct"/>
          </w:tcPr>
          <w:p w14:paraId="0EA6260A" w14:textId="0EE0E420" w:rsidR="00E56B38"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Insufficient</w:t>
            </w:r>
            <w:r w:rsidR="00E56B38" w:rsidRPr="00D518FF">
              <w:rPr>
                <w:rFonts w:cs="Calibri"/>
                <w:color w:val="000000"/>
                <w:sz w:val="16"/>
                <w:szCs w:val="16"/>
              </w:rPr>
              <w:t xml:space="preserve"> information to make judgement</w:t>
            </w:r>
          </w:p>
        </w:tc>
        <w:tc>
          <w:tcPr>
            <w:tcW w:w="349" w:type="pct"/>
          </w:tcPr>
          <w:p w14:paraId="170E0F6C" w14:textId="5D70CCE7"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11726825" w14:textId="2F10A140"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MB is supported by a NHMRC Senior Principal Research Fellowship [1156072] and have received other grants and research support, all unrelated to this work. EB receives honoraria as speaker/advisory board member from </w:t>
            </w:r>
            <w:r w:rsidRPr="00D518FF">
              <w:rPr>
                <w:rFonts w:cs="Calibri"/>
                <w:color w:val="000000"/>
                <w:sz w:val="16"/>
                <w:szCs w:val="16"/>
              </w:rPr>
              <w:lastRenderedPageBreak/>
              <w:t xml:space="preserve">Daiichi-Sankyo and Janssen unrelated to the present work. She received research funding from Faculty of Health Sciences and Department of Psychiatry, Queen’s University. Felice N Jacka is supported by a National Health and Medical Research Council Investigator Grant (#1194982). She has received: (1) competitive Grant/Research support from the Brain and Behaviour Research Institute, the National Health and Medical Research Council, Australian Rotary Health, the Geelong Medical Research Foundation, the Ian Potter Foundation, The University of Melbourne; (2) industry support for research from Meat and Livestock Australia, Woolworths Limited, the A2 Milk Company, Be Fit Foods; (3) philanthropic support from the Fernwood Foundation, Wilson Foundation, the JTM Foundation, the Serp Hills Foundation, the Roberts Family Foundation, the Waterloo Foundation </w:t>
            </w:r>
            <w:r w:rsidRPr="00D518FF">
              <w:rPr>
                <w:rFonts w:cs="Calibri"/>
                <w:color w:val="000000"/>
                <w:sz w:val="16"/>
                <w:szCs w:val="16"/>
              </w:rPr>
              <w:lastRenderedPageBreak/>
              <w:t>and; (4) travel support and speakers honoraria from Sanofi-Synthelabo, Janssen Cilag, Servier, Pfizer, Network Nutrition, Angelini Farmaceutica, Eli Lilly, Metagenics, and The Beauty Chef. Felice Jacka has written two books for commercial publication. BL was supported by FAPESP grants 2017/07089-8; 2018/11963-8; 2020/05087-0 during the preparation of this manuscript</w:t>
            </w:r>
            <w:r w:rsidR="006418B8">
              <w:rPr>
                <w:rFonts w:cs="Calibri"/>
                <w:color w:val="000000"/>
                <w:sz w:val="16"/>
                <w:szCs w:val="16"/>
              </w:rPr>
              <w:t>.</w:t>
            </w:r>
          </w:p>
        </w:tc>
      </w:tr>
      <w:tr w:rsidR="00F6089E" w:rsidRPr="00D518FF" w14:paraId="1912C3B2" w14:textId="77777777" w:rsidTr="00F6089E">
        <w:trPr>
          <w:trHeight w:val="283"/>
        </w:trPr>
        <w:tc>
          <w:tcPr>
            <w:tcW w:w="326" w:type="pct"/>
          </w:tcPr>
          <w:p w14:paraId="0AE1C738" w14:textId="01CA18F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Liao 2019</w:t>
            </w:r>
          </w:p>
        </w:tc>
        <w:tc>
          <w:tcPr>
            <w:tcW w:w="359" w:type="pct"/>
          </w:tcPr>
          <w:p w14:paraId="12A453E9" w14:textId="7007BA8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4533DDB2" w14:textId="5D0AF67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estimate the efficacy of omega-3 polyunsaturated fatty acids (PUFAs), especially docosahexaenoic acid (DHA) and eicosapentaenoic acid (EPA), in the improvement of depression</w:t>
            </w:r>
          </w:p>
        </w:tc>
        <w:tc>
          <w:tcPr>
            <w:tcW w:w="318" w:type="pct"/>
          </w:tcPr>
          <w:p w14:paraId="71CCDD83" w14:textId="0320AAA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5B5AE15A" w14:textId="7F0330D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48840FCA" w14:textId="1A22042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2</w:t>
            </w:r>
          </w:p>
        </w:tc>
        <w:tc>
          <w:tcPr>
            <w:tcW w:w="450" w:type="pct"/>
          </w:tcPr>
          <w:p w14:paraId="0D5E86E9" w14:textId="2B98D85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 Embase</w:t>
            </w:r>
          </w:p>
        </w:tc>
        <w:tc>
          <w:tcPr>
            <w:tcW w:w="301" w:type="pct"/>
          </w:tcPr>
          <w:p w14:paraId="7E6A59E7" w14:textId="1FA1AB3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Dec 2017</w:t>
            </w:r>
          </w:p>
        </w:tc>
        <w:tc>
          <w:tcPr>
            <w:tcW w:w="401" w:type="pct"/>
          </w:tcPr>
          <w:p w14:paraId="5107FB23" w14:textId="4EF19A1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00" w:type="pct"/>
          </w:tcPr>
          <w:p w14:paraId="3A3A5019" w14:textId="73697CB3"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Risk of Bias </w:t>
            </w:r>
            <w:r w:rsidRPr="00D518FF">
              <w:rPr>
                <w:sz w:val="16"/>
                <w:szCs w:val="16"/>
              </w:rPr>
              <w:t>Tool</w:t>
            </w:r>
          </w:p>
        </w:tc>
        <w:tc>
          <w:tcPr>
            <w:tcW w:w="300" w:type="pct"/>
          </w:tcPr>
          <w:p w14:paraId="6A1F9583" w14:textId="24F68A2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49" w:type="pct"/>
          </w:tcPr>
          <w:p w14:paraId="58B7B8E7" w14:textId="211FE98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1B3D487E" w14:textId="604F436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This study was supported by the National Natural Science Foundation of China (Grant No. 81761128030)</w:t>
            </w:r>
          </w:p>
        </w:tc>
      </w:tr>
      <w:tr w:rsidR="00F6089E" w:rsidRPr="00D518FF" w14:paraId="0F644E3E" w14:textId="77777777" w:rsidTr="00F6089E">
        <w:trPr>
          <w:trHeight w:val="283"/>
        </w:trPr>
        <w:tc>
          <w:tcPr>
            <w:tcW w:w="326" w:type="pct"/>
          </w:tcPr>
          <w:p w14:paraId="59BAED4A" w14:textId="412BA89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Miller 2013</w:t>
            </w:r>
          </w:p>
        </w:tc>
        <w:tc>
          <w:tcPr>
            <w:tcW w:w="359" w:type="pct"/>
          </w:tcPr>
          <w:p w14:paraId="732E0513" w14:textId="4D4F17B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478597E6" w14:textId="6E4D942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assess the benefits of dietary supplements for preventing postnatal depression either in the antenatal period, postnatal period, or both.</w:t>
            </w:r>
          </w:p>
        </w:tc>
        <w:tc>
          <w:tcPr>
            <w:tcW w:w="318" w:type="pct"/>
          </w:tcPr>
          <w:p w14:paraId="6B211EE8" w14:textId="7049D3A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70AB87A4" w14:textId="387606A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1,3</w:t>
            </w:r>
          </w:p>
        </w:tc>
        <w:tc>
          <w:tcPr>
            <w:tcW w:w="350" w:type="pct"/>
          </w:tcPr>
          <w:p w14:paraId="7F7F84DA" w14:textId="25B1E3A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450" w:type="pct"/>
          </w:tcPr>
          <w:p w14:paraId="5A189D26" w14:textId="60DF52F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Cochrane Pregnancy and Childbirth Group's Trials Register (curated from CENTRAL, MEDLINE, Embase)</w:t>
            </w:r>
          </w:p>
        </w:tc>
        <w:tc>
          <w:tcPr>
            <w:tcW w:w="301" w:type="pct"/>
          </w:tcPr>
          <w:p w14:paraId="7D51A1AE" w14:textId="727F29D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Apr 2013</w:t>
            </w:r>
          </w:p>
        </w:tc>
        <w:tc>
          <w:tcPr>
            <w:tcW w:w="401" w:type="pct"/>
          </w:tcPr>
          <w:p w14:paraId="3FB4791C" w14:textId="18A4424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 language restrictions</w:t>
            </w:r>
          </w:p>
        </w:tc>
        <w:tc>
          <w:tcPr>
            <w:tcW w:w="300" w:type="pct"/>
          </w:tcPr>
          <w:p w14:paraId="09970C67" w14:textId="624E41EE"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w:t>
            </w:r>
            <w:r w:rsidRPr="00D518FF">
              <w:rPr>
                <w:sz w:val="16"/>
                <w:szCs w:val="16"/>
              </w:rPr>
              <w:t>Risk</w:t>
            </w:r>
            <w:r w:rsidRPr="00D518FF">
              <w:rPr>
                <w:color w:val="000000"/>
                <w:sz w:val="16"/>
              </w:rPr>
              <w:t xml:space="preserve"> of </w:t>
            </w:r>
            <w:r w:rsidRPr="00D518FF">
              <w:rPr>
                <w:sz w:val="16"/>
                <w:szCs w:val="16"/>
              </w:rPr>
              <w:t>Bias Tool</w:t>
            </w:r>
          </w:p>
        </w:tc>
        <w:tc>
          <w:tcPr>
            <w:tcW w:w="300" w:type="pct"/>
          </w:tcPr>
          <w:p w14:paraId="02C38E1C" w14:textId="1F375EB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49" w:type="pct"/>
          </w:tcPr>
          <w:p w14:paraId="232F6E9D" w14:textId="2A38511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6DB3377B" w14:textId="4D8BC05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Brendan Miller received a grant of $500 from the RANZCOG research foundation which he used to partly fund his attendance at a Cochrane review completion workshop in Melbourne, Australia in May 2012</w:t>
            </w:r>
          </w:p>
        </w:tc>
      </w:tr>
      <w:tr w:rsidR="00F6089E" w:rsidRPr="00D518FF" w14:paraId="60E45873" w14:textId="77777777" w:rsidTr="00F6089E">
        <w:trPr>
          <w:trHeight w:val="283"/>
        </w:trPr>
        <w:tc>
          <w:tcPr>
            <w:tcW w:w="326" w:type="pct"/>
          </w:tcPr>
          <w:p w14:paraId="51711E84" w14:textId="42EECCC5"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Mocking 2016</w:t>
            </w:r>
          </w:p>
        </w:tc>
        <w:tc>
          <w:tcPr>
            <w:tcW w:w="359" w:type="pct"/>
          </w:tcPr>
          <w:p w14:paraId="7BAC93DA" w14:textId="3138AF39"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Meta-analysis</w:t>
            </w:r>
          </w:p>
        </w:tc>
        <w:tc>
          <w:tcPr>
            <w:tcW w:w="614" w:type="pct"/>
          </w:tcPr>
          <w:p w14:paraId="26B11399" w14:textId="5DEDB983"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To assess "the effects of omega-3 </w:t>
            </w:r>
            <w:r w:rsidR="004622EE" w:rsidRPr="00D518FF">
              <w:rPr>
                <w:rFonts w:cs="Calibri"/>
                <w:color w:val="000000"/>
                <w:sz w:val="16"/>
                <w:szCs w:val="16"/>
              </w:rPr>
              <w:t>PUFA</w:t>
            </w:r>
            <w:r w:rsidRPr="00D518FF">
              <w:rPr>
                <w:rFonts w:cs="Calibri"/>
                <w:color w:val="000000"/>
                <w:sz w:val="16"/>
                <w:szCs w:val="16"/>
              </w:rPr>
              <w:t xml:space="preserve"> </w:t>
            </w:r>
            <w:r w:rsidRPr="00D518FF">
              <w:rPr>
                <w:rFonts w:cs="Calibri"/>
                <w:color w:val="000000"/>
                <w:sz w:val="16"/>
                <w:szCs w:val="16"/>
              </w:rPr>
              <w:lastRenderedPageBreak/>
              <w:t>supplementation on depressive symptoms in MDD"</w:t>
            </w:r>
          </w:p>
        </w:tc>
        <w:tc>
          <w:tcPr>
            <w:tcW w:w="318" w:type="pct"/>
          </w:tcPr>
          <w:p w14:paraId="7249A2BB" w14:textId="57B6E18A" w:rsidR="00E56B38"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RCT</w:t>
            </w:r>
            <w:r w:rsidR="00E56B38" w:rsidRPr="00D518FF">
              <w:rPr>
                <w:rFonts w:cs="Calibri"/>
                <w:color w:val="000000"/>
                <w:sz w:val="16"/>
                <w:szCs w:val="16"/>
              </w:rPr>
              <w:t>s</w:t>
            </w:r>
          </w:p>
        </w:tc>
        <w:tc>
          <w:tcPr>
            <w:tcW w:w="333" w:type="pct"/>
          </w:tcPr>
          <w:p w14:paraId="0DF4CB16" w14:textId="22E9AD8D"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2</w:t>
            </w:r>
          </w:p>
        </w:tc>
        <w:tc>
          <w:tcPr>
            <w:tcW w:w="350" w:type="pct"/>
          </w:tcPr>
          <w:p w14:paraId="031FB4BB" w14:textId="708FC242"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2</w:t>
            </w:r>
          </w:p>
        </w:tc>
        <w:tc>
          <w:tcPr>
            <w:tcW w:w="450" w:type="pct"/>
          </w:tcPr>
          <w:p w14:paraId="72652413" w14:textId="561C52B7"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Medline, Embase</w:t>
            </w:r>
          </w:p>
        </w:tc>
        <w:tc>
          <w:tcPr>
            <w:tcW w:w="301" w:type="pct"/>
          </w:tcPr>
          <w:p w14:paraId="2D25EB4F" w14:textId="6F444377"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Dec 2015</w:t>
            </w:r>
          </w:p>
        </w:tc>
        <w:tc>
          <w:tcPr>
            <w:tcW w:w="401" w:type="pct"/>
          </w:tcPr>
          <w:p w14:paraId="22C11097" w14:textId="25DF2BB9"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00" w:type="pct"/>
          </w:tcPr>
          <w:p w14:paraId="63A630FE" w14:textId="055D988E"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Jadad score</w:t>
            </w:r>
          </w:p>
        </w:tc>
        <w:tc>
          <w:tcPr>
            <w:tcW w:w="300" w:type="pct"/>
          </w:tcPr>
          <w:p w14:paraId="79B26CB1" w14:textId="72B22ABE"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49" w:type="pct"/>
          </w:tcPr>
          <w:p w14:paraId="4D00BC22" w14:textId="381EACD7"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 declared</w:t>
            </w:r>
          </w:p>
        </w:tc>
        <w:tc>
          <w:tcPr>
            <w:tcW w:w="601" w:type="pct"/>
          </w:tcPr>
          <w:p w14:paraId="303E4B87" w14:textId="536E2C54"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RJTM is supported by a </w:t>
            </w:r>
            <w:r w:rsidR="004622EE" w:rsidRPr="00D518FF">
              <w:rPr>
                <w:rFonts w:cs="Calibri"/>
                <w:color w:val="000000"/>
                <w:sz w:val="16"/>
                <w:szCs w:val="16"/>
              </w:rPr>
              <w:t>PhD</w:t>
            </w:r>
            <w:r w:rsidRPr="00D518FF">
              <w:rPr>
                <w:rFonts w:cs="Calibri"/>
                <w:color w:val="000000"/>
                <w:sz w:val="16"/>
                <w:szCs w:val="16"/>
              </w:rPr>
              <w:t xml:space="preserve"> scholarship </w:t>
            </w:r>
            <w:r w:rsidRPr="00D518FF">
              <w:rPr>
                <w:rFonts w:cs="Calibri"/>
                <w:color w:val="000000"/>
                <w:sz w:val="16"/>
                <w:szCs w:val="16"/>
              </w:rPr>
              <w:lastRenderedPageBreak/>
              <w:t>from the Academic Medical Center of the University of Amsterdam. HGR is supported by an NWO/zonmw VENI-Grant #016.126.059. The funders had no role in study design, data collection and analysis, decision to publish or preparation of the manuscript.</w:t>
            </w:r>
          </w:p>
        </w:tc>
      </w:tr>
      <w:tr w:rsidR="00F6089E" w:rsidRPr="00D518FF" w14:paraId="738804F7" w14:textId="77777777" w:rsidTr="00F6089E">
        <w:trPr>
          <w:trHeight w:val="283"/>
        </w:trPr>
        <w:tc>
          <w:tcPr>
            <w:tcW w:w="326" w:type="pct"/>
          </w:tcPr>
          <w:p w14:paraId="627774A3" w14:textId="5E32895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Mocking 2020</w:t>
            </w:r>
          </w:p>
        </w:tc>
        <w:tc>
          <w:tcPr>
            <w:tcW w:w="359" w:type="pct"/>
          </w:tcPr>
          <w:p w14:paraId="1BC28222" w14:textId="2DD84E8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Meta-analysis</w:t>
            </w:r>
          </w:p>
        </w:tc>
        <w:tc>
          <w:tcPr>
            <w:tcW w:w="614" w:type="pct"/>
          </w:tcPr>
          <w:p w14:paraId="100721EE" w14:textId="4934FED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Several randomized controlled trials (RCTs) investigated omega-3 polyunsaturated fatty acids (PUFAs) (i.e., fish oil) in perinatal depression, but their efficacy remains unclear. We performed a meta-analysis of RCTs on omega-3 PUFAs for perinatal depression, comparing a priori defined subgroups: pregnant women vs postpartum women and prevention vs treatment of perinatal depression.</w:t>
            </w:r>
          </w:p>
        </w:tc>
        <w:tc>
          <w:tcPr>
            <w:tcW w:w="318" w:type="pct"/>
          </w:tcPr>
          <w:p w14:paraId="7CAD5730" w14:textId="226C3C5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20F6C154" w14:textId="79B3CA3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356374C7" w14:textId="7D9D137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5</w:t>
            </w:r>
          </w:p>
        </w:tc>
        <w:tc>
          <w:tcPr>
            <w:tcW w:w="450" w:type="pct"/>
          </w:tcPr>
          <w:p w14:paraId="4383D826" w14:textId="36F919D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Web of Science, Embase, PsycINFO, CENTRAL</w:t>
            </w:r>
          </w:p>
        </w:tc>
        <w:tc>
          <w:tcPr>
            <w:tcW w:w="301" w:type="pct"/>
          </w:tcPr>
          <w:p w14:paraId="34080C30" w14:textId="0D6082A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Feb 2019</w:t>
            </w:r>
          </w:p>
        </w:tc>
        <w:tc>
          <w:tcPr>
            <w:tcW w:w="401" w:type="pct"/>
          </w:tcPr>
          <w:p w14:paraId="33C853DF" w14:textId="279CC31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00" w:type="pct"/>
          </w:tcPr>
          <w:p w14:paraId="274661F6" w14:textId="3909D32C"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Cochrane</w:t>
            </w:r>
            <w:r w:rsidRPr="00D518FF">
              <w:rPr>
                <w:sz w:val="16"/>
                <w:szCs w:val="16"/>
              </w:rPr>
              <w:t xml:space="preserve"> Risk of Bias Tool</w:t>
            </w:r>
          </w:p>
        </w:tc>
        <w:tc>
          <w:tcPr>
            <w:tcW w:w="300" w:type="pct"/>
          </w:tcPr>
          <w:p w14:paraId="5228ECF0" w14:textId="6EE476B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GRADE</w:t>
            </w:r>
          </w:p>
        </w:tc>
        <w:tc>
          <w:tcPr>
            <w:tcW w:w="349" w:type="pct"/>
          </w:tcPr>
          <w:p w14:paraId="07169379" w14:textId="4DAA486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Drs Mocking, Roos, Assies, Bergink, Ruhé, and Schene and Ms Steijn have no personal affiliations or financial relationships with any commercial interest to disclose relative to the article. All authors report no conflict of interests with regard to personal dietary preferences</w:t>
            </w:r>
          </w:p>
        </w:tc>
        <w:tc>
          <w:tcPr>
            <w:tcW w:w="601" w:type="pct"/>
          </w:tcPr>
          <w:p w14:paraId="08244C19" w14:textId="18A88B0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 funding sources by no means influenced the design and conduct of the study; collection, management, analysis, and interpretation of the data; nor preparation, review, or approval of the manuscript; nor decision to submit the manuscript for submission.</w:t>
            </w:r>
          </w:p>
        </w:tc>
      </w:tr>
      <w:tr w:rsidR="00F6089E" w:rsidRPr="00D518FF" w14:paraId="2259E9E6" w14:textId="77777777" w:rsidTr="00F6089E">
        <w:trPr>
          <w:trHeight w:val="283"/>
        </w:trPr>
        <w:tc>
          <w:tcPr>
            <w:tcW w:w="326" w:type="pct"/>
          </w:tcPr>
          <w:p w14:paraId="3A5DF33D" w14:textId="53CBBE6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Morrell 2016</w:t>
            </w:r>
          </w:p>
        </w:tc>
        <w:tc>
          <w:tcPr>
            <w:tcW w:w="359" w:type="pct"/>
          </w:tcPr>
          <w:p w14:paraId="41493CFB" w14:textId="2F20866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31B55083" w14:textId="1856B3C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To determine the clinical effectiveness of antenatal and postnatal </w:t>
            </w:r>
            <w:r w:rsidRPr="00D518FF">
              <w:rPr>
                <w:rFonts w:cs="Calibri"/>
                <w:color w:val="000000"/>
                <w:sz w:val="16"/>
                <w:szCs w:val="16"/>
              </w:rPr>
              <w:lastRenderedPageBreak/>
              <w:t>interventions for preventing PND</w:t>
            </w:r>
          </w:p>
        </w:tc>
        <w:tc>
          <w:tcPr>
            <w:tcW w:w="318" w:type="pct"/>
          </w:tcPr>
          <w:p w14:paraId="13DE7793" w14:textId="1DF4CFB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RCTs</w:t>
            </w:r>
          </w:p>
        </w:tc>
        <w:tc>
          <w:tcPr>
            <w:tcW w:w="333" w:type="pct"/>
          </w:tcPr>
          <w:p w14:paraId="589E0EE7" w14:textId="0162AC6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42AE9F37" w14:textId="43F5BFF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14</w:t>
            </w:r>
          </w:p>
        </w:tc>
        <w:tc>
          <w:tcPr>
            <w:tcW w:w="450" w:type="pct"/>
          </w:tcPr>
          <w:p w14:paraId="401EDF04" w14:textId="27A4B8E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MEDLINE, MEDLINE In-Process &amp; Other Non-</w:t>
            </w:r>
            <w:r w:rsidRPr="00D518FF">
              <w:rPr>
                <w:rFonts w:cs="Calibri"/>
                <w:color w:val="000000"/>
                <w:sz w:val="16"/>
                <w:szCs w:val="16"/>
              </w:rPr>
              <w:lastRenderedPageBreak/>
              <w:t>Indexed Citations, EMBASE, Cochrane Library, CENTRAL, NHS Economic Evaluation Database, Health Technology Assessment databases, CINAHL, PsycINFO, Web of Science, National Institute for Health Research Health Technology Assessment Programme, Applied Social Sciences Index and Abstracts, Allied and Complementary Medicine Database and Midwives Information and Resource Service Reference Database, Current Controlled Trials, clinicaltrials.gov, WHO’s International Clinical Trials Registry Platform</w:t>
            </w:r>
          </w:p>
        </w:tc>
        <w:tc>
          <w:tcPr>
            <w:tcW w:w="301" w:type="pct"/>
          </w:tcPr>
          <w:p w14:paraId="7B5E74B7" w14:textId="7555E7FA"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Jul 2013</w:t>
            </w:r>
          </w:p>
        </w:tc>
        <w:tc>
          <w:tcPr>
            <w:tcW w:w="401" w:type="pct"/>
          </w:tcPr>
          <w:p w14:paraId="71B08FA2" w14:textId="7B4B63C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w:t>
            </w:r>
          </w:p>
        </w:tc>
        <w:tc>
          <w:tcPr>
            <w:tcW w:w="300" w:type="pct"/>
          </w:tcPr>
          <w:p w14:paraId="1D831D22" w14:textId="604683B3"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Risk of Bias </w:t>
            </w:r>
            <w:r w:rsidRPr="00D518FF">
              <w:rPr>
                <w:sz w:val="16"/>
                <w:szCs w:val="16"/>
              </w:rPr>
              <w:t>Tool</w:t>
            </w:r>
          </w:p>
        </w:tc>
        <w:tc>
          <w:tcPr>
            <w:tcW w:w="300" w:type="pct"/>
          </w:tcPr>
          <w:p w14:paraId="4A016EC1" w14:textId="068F7E1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49" w:type="pct"/>
          </w:tcPr>
          <w:p w14:paraId="3402ADF1" w14:textId="49E4C7A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601" w:type="pct"/>
          </w:tcPr>
          <w:p w14:paraId="65D7C97F" w14:textId="68CBBA8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National Institute for Health Research (NIHR)</w:t>
            </w:r>
          </w:p>
        </w:tc>
      </w:tr>
      <w:tr w:rsidR="00F6089E" w:rsidRPr="00D518FF" w14:paraId="7E95D2A5" w14:textId="77777777" w:rsidTr="00F6089E">
        <w:trPr>
          <w:trHeight w:val="283"/>
        </w:trPr>
        <w:tc>
          <w:tcPr>
            <w:tcW w:w="326" w:type="pct"/>
          </w:tcPr>
          <w:p w14:paraId="45C22009" w14:textId="4A542931" w:rsidR="00F60E69" w:rsidRPr="00D518FF" w:rsidRDefault="00F60E69" w:rsidP="00F60E69">
            <w:pPr>
              <w:rPr>
                <w:rFonts w:ascii="Aptos" w:hAnsi="Aptos" w:cs="Calibri"/>
                <w:color w:val="000000"/>
                <w:sz w:val="16"/>
                <w:szCs w:val="16"/>
              </w:rPr>
            </w:pPr>
            <w:r w:rsidRPr="00D518FF">
              <w:rPr>
                <w:rFonts w:ascii="Aptos" w:hAnsi="Aptos" w:cs="Calibri"/>
                <w:color w:val="000000"/>
                <w:sz w:val="16"/>
                <w:szCs w:val="16"/>
              </w:rPr>
              <w:lastRenderedPageBreak/>
              <w:t>Newberry 2016</w:t>
            </w:r>
          </w:p>
        </w:tc>
        <w:tc>
          <w:tcPr>
            <w:tcW w:w="359" w:type="pct"/>
          </w:tcPr>
          <w:p w14:paraId="4353C3D3" w14:textId="0B4FD4A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w:t>
            </w:r>
          </w:p>
        </w:tc>
        <w:tc>
          <w:tcPr>
            <w:tcW w:w="614" w:type="pct"/>
          </w:tcPr>
          <w:p w14:paraId="7F8C4539" w14:textId="109E6C9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update a prior systematic review on the effects of omega-3 fatty acids (n-3 FA) on maternal and child health and to assess the evidence for their effects on, and associations with, additional outcomes</w:t>
            </w:r>
          </w:p>
        </w:tc>
        <w:tc>
          <w:tcPr>
            <w:tcW w:w="318" w:type="pct"/>
          </w:tcPr>
          <w:p w14:paraId="4348982A" w14:textId="261C90FB"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RCTs and prospective cohort and nested case control studies sample size &gt;250</w:t>
            </w:r>
          </w:p>
        </w:tc>
        <w:tc>
          <w:tcPr>
            <w:tcW w:w="333" w:type="pct"/>
          </w:tcPr>
          <w:p w14:paraId="530251DB" w14:textId="417DADD6"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1</w:t>
            </w:r>
          </w:p>
        </w:tc>
        <w:tc>
          <w:tcPr>
            <w:tcW w:w="350" w:type="pct"/>
          </w:tcPr>
          <w:p w14:paraId="1B0B2D28" w14:textId="163F207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5</w:t>
            </w:r>
          </w:p>
        </w:tc>
        <w:tc>
          <w:tcPr>
            <w:tcW w:w="450" w:type="pct"/>
          </w:tcPr>
          <w:p w14:paraId="16D00EE8" w14:textId="19050448"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MEDLINE, Embase, </w:t>
            </w:r>
            <w:r w:rsidRPr="00D518FF">
              <w:rPr>
                <w:sz w:val="16"/>
                <w:szCs w:val="16"/>
              </w:rPr>
              <w:t>CENTRAL</w:t>
            </w:r>
            <w:r w:rsidRPr="00D518FF">
              <w:rPr>
                <w:rFonts w:cs="Calibri"/>
                <w:color w:val="000000"/>
                <w:sz w:val="16"/>
                <w:szCs w:val="16"/>
              </w:rPr>
              <w:t>, Cochrane Library, Centre for Agriculture and Biosciences (CAB) Abstracts</w:t>
            </w:r>
          </w:p>
        </w:tc>
        <w:tc>
          <w:tcPr>
            <w:tcW w:w="301" w:type="pct"/>
          </w:tcPr>
          <w:p w14:paraId="46D896AC" w14:textId="708203D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Aug 2015</w:t>
            </w:r>
          </w:p>
        </w:tc>
        <w:tc>
          <w:tcPr>
            <w:tcW w:w="401" w:type="pct"/>
          </w:tcPr>
          <w:p w14:paraId="7E192DC1" w14:textId="4C552E0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Date restriction 2000 to August 2015; English</w:t>
            </w:r>
          </w:p>
        </w:tc>
        <w:tc>
          <w:tcPr>
            <w:tcW w:w="300" w:type="pct"/>
          </w:tcPr>
          <w:p w14:paraId="26FD4D2F" w14:textId="46DA2619"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color w:val="000000"/>
                <w:sz w:val="16"/>
              </w:rPr>
              <w:t xml:space="preserve">Cochrane Risk of Bias </w:t>
            </w:r>
            <w:r w:rsidRPr="00D518FF">
              <w:rPr>
                <w:sz w:val="16"/>
                <w:szCs w:val="16"/>
              </w:rPr>
              <w:t>Tool</w:t>
            </w:r>
          </w:p>
        </w:tc>
        <w:tc>
          <w:tcPr>
            <w:tcW w:w="300" w:type="pct"/>
          </w:tcPr>
          <w:p w14:paraId="5E86D884" w14:textId="4377ECD3"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Informal rating as low</w:t>
            </w:r>
          </w:p>
        </w:tc>
        <w:tc>
          <w:tcPr>
            <w:tcW w:w="349" w:type="pct"/>
          </w:tcPr>
          <w:p w14:paraId="762D34FD" w14:textId="6AC5335D"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NR</w:t>
            </w:r>
          </w:p>
        </w:tc>
        <w:tc>
          <w:tcPr>
            <w:tcW w:w="601" w:type="pct"/>
          </w:tcPr>
          <w:p w14:paraId="3F56C379" w14:textId="2A507963"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Agency for Healthcare Research and Quality (AHRQ), Rockville, MD (Contract No. 290-2012-00006-I)</w:t>
            </w:r>
          </w:p>
        </w:tc>
      </w:tr>
      <w:tr w:rsidR="00F6089E" w:rsidRPr="00D518FF" w14:paraId="42B309E9" w14:textId="77777777" w:rsidTr="00F6089E">
        <w:trPr>
          <w:trHeight w:val="283"/>
        </w:trPr>
        <w:tc>
          <w:tcPr>
            <w:tcW w:w="326" w:type="pct"/>
          </w:tcPr>
          <w:p w14:paraId="4EB6B951" w14:textId="19BD2A5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Saccone 2016</w:t>
            </w:r>
          </w:p>
        </w:tc>
        <w:tc>
          <w:tcPr>
            <w:tcW w:w="359" w:type="pct"/>
          </w:tcPr>
          <w:p w14:paraId="52F0266D" w14:textId="28B8360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61FF00CF" w14:textId="3DFE1A6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 aim of this study was to provide evidence-based recommendations for omega-3 supplementation during pregnancy through a systematic review of level-1 data published on this topic</w:t>
            </w:r>
          </w:p>
        </w:tc>
        <w:tc>
          <w:tcPr>
            <w:tcW w:w="318" w:type="pct"/>
          </w:tcPr>
          <w:p w14:paraId="0ECEDD8B" w14:textId="69716963"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RCTs</w:t>
            </w:r>
          </w:p>
        </w:tc>
        <w:tc>
          <w:tcPr>
            <w:tcW w:w="333" w:type="pct"/>
          </w:tcPr>
          <w:p w14:paraId="3115D6E4" w14:textId="0D82B53A"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1</w:t>
            </w:r>
          </w:p>
        </w:tc>
        <w:tc>
          <w:tcPr>
            <w:tcW w:w="350" w:type="pct"/>
          </w:tcPr>
          <w:p w14:paraId="2DE1C7EA" w14:textId="65BC482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7</w:t>
            </w:r>
          </w:p>
        </w:tc>
        <w:tc>
          <w:tcPr>
            <w:tcW w:w="450" w:type="pct"/>
          </w:tcPr>
          <w:p w14:paraId="49BF22BD" w14:textId="30D59A8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MEDLINE, Scopus, ScienceDirect, clinicaltrials.gov, PROSPERO, EMBASE,</w:t>
            </w:r>
            <w:r w:rsidRPr="00D518FF">
              <w:rPr>
                <w:sz w:val="16"/>
              </w:rPr>
              <w:t xml:space="preserve"> </w:t>
            </w:r>
            <w:r w:rsidRPr="00D518FF">
              <w:rPr>
                <w:sz w:val="16"/>
                <w:szCs w:val="16"/>
              </w:rPr>
              <w:t>CENTRAL</w:t>
            </w:r>
          </w:p>
        </w:tc>
        <w:tc>
          <w:tcPr>
            <w:tcW w:w="301" w:type="pct"/>
          </w:tcPr>
          <w:p w14:paraId="44A4987B" w14:textId="0D95728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Mar 2015</w:t>
            </w:r>
          </w:p>
        </w:tc>
        <w:tc>
          <w:tcPr>
            <w:tcW w:w="401" w:type="pct"/>
          </w:tcPr>
          <w:p w14:paraId="797A8F21" w14:textId="75F2AAA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 restrictions for language or geographic location</w:t>
            </w:r>
          </w:p>
        </w:tc>
        <w:tc>
          <w:tcPr>
            <w:tcW w:w="300" w:type="pct"/>
          </w:tcPr>
          <w:p w14:paraId="6DD1ED21" w14:textId="67B7CECE"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color w:val="000000"/>
                <w:sz w:val="16"/>
              </w:rPr>
              <w:t xml:space="preserve">Cochrane Risk of Bias </w:t>
            </w:r>
            <w:r w:rsidRPr="00D518FF">
              <w:rPr>
                <w:sz w:val="16"/>
                <w:szCs w:val="16"/>
              </w:rPr>
              <w:t>Tool</w:t>
            </w:r>
          </w:p>
        </w:tc>
        <w:tc>
          <w:tcPr>
            <w:tcW w:w="300" w:type="pct"/>
          </w:tcPr>
          <w:p w14:paraId="29830CD7" w14:textId="776DDEE3"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Not formally - level-1 data from this systematic review indicated no enough evidence to support the routine use of omega-3 supplementation during pregnancy</w:t>
            </w:r>
          </w:p>
        </w:tc>
        <w:tc>
          <w:tcPr>
            <w:tcW w:w="349" w:type="pct"/>
          </w:tcPr>
          <w:p w14:paraId="239065B4" w14:textId="4D0CA6EC"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The authors report no conflict of interest. T</w:t>
            </w:r>
          </w:p>
        </w:tc>
        <w:tc>
          <w:tcPr>
            <w:tcW w:w="601" w:type="pct"/>
          </w:tcPr>
          <w:p w14:paraId="759A7CCF" w14:textId="796C7A55"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This study had no</w:t>
            </w:r>
            <w:r w:rsidRPr="00D518FF">
              <w:rPr>
                <w:rFonts w:cs="Calibri"/>
                <w:color w:val="000000"/>
                <w:sz w:val="16"/>
                <w:szCs w:val="16"/>
              </w:rPr>
              <w:br/>
              <w:t>funding source</w:t>
            </w:r>
          </w:p>
        </w:tc>
      </w:tr>
      <w:tr w:rsidR="00F6089E" w:rsidRPr="00D518FF" w14:paraId="72A692B0" w14:textId="77777777" w:rsidTr="00F6089E">
        <w:trPr>
          <w:trHeight w:val="283"/>
        </w:trPr>
        <w:tc>
          <w:tcPr>
            <w:tcW w:w="326" w:type="pct"/>
          </w:tcPr>
          <w:p w14:paraId="5810E3A4" w14:textId="090E613E"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Sarris 2012</w:t>
            </w:r>
          </w:p>
        </w:tc>
        <w:tc>
          <w:tcPr>
            <w:tcW w:w="359" w:type="pct"/>
          </w:tcPr>
          <w:p w14:paraId="1AF9F1E8" w14:textId="5847325D"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Meta-analysis</w:t>
            </w:r>
          </w:p>
        </w:tc>
        <w:tc>
          <w:tcPr>
            <w:tcW w:w="614" w:type="pct"/>
          </w:tcPr>
          <w:p w14:paraId="01C21745" w14:textId="0F653A30"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Present the significant findings from meta-analyses of omega-3 (as augmentation with standard pharmacotherapy) in the treatment of bipolar depression and bipolar mania</w:t>
            </w:r>
          </w:p>
        </w:tc>
        <w:tc>
          <w:tcPr>
            <w:tcW w:w="318" w:type="pct"/>
          </w:tcPr>
          <w:p w14:paraId="0E035835" w14:textId="7184724A" w:rsidR="00E56B38" w:rsidRPr="00D518FF" w:rsidRDefault="004622EE"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RCT</w:t>
            </w:r>
            <w:r w:rsidR="00E56B38" w:rsidRPr="00D518FF">
              <w:rPr>
                <w:rFonts w:cs="Calibri"/>
                <w:color w:val="000000"/>
                <w:sz w:val="16"/>
                <w:szCs w:val="16"/>
              </w:rPr>
              <w:t>s</w:t>
            </w:r>
          </w:p>
        </w:tc>
        <w:tc>
          <w:tcPr>
            <w:tcW w:w="333" w:type="pct"/>
          </w:tcPr>
          <w:p w14:paraId="315BAE31" w14:textId="6A6F1FC6"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2,3</w:t>
            </w:r>
          </w:p>
        </w:tc>
        <w:tc>
          <w:tcPr>
            <w:tcW w:w="350" w:type="pct"/>
          </w:tcPr>
          <w:p w14:paraId="25365C7A" w14:textId="7988BC53"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tcPr>
          <w:p w14:paraId="31868385" w14:textId="36FCD17B" w:rsidR="00E56B38"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w:t>
            </w:r>
            <w:r w:rsidR="00DF0896" w:rsidRPr="00D518FF">
              <w:rPr>
                <w:rFonts w:cs="Calibri"/>
                <w:color w:val="000000"/>
                <w:sz w:val="16"/>
                <w:szCs w:val="16"/>
              </w:rPr>
              <w:t xml:space="preserve"> </w:t>
            </w:r>
            <w:r w:rsidR="00027D07" w:rsidRPr="00D518FF">
              <w:rPr>
                <w:rFonts w:cs="Calibri"/>
                <w:color w:val="000000"/>
                <w:sz w:val="16"/>
                <w:szCs w:val="16"/>
              </w:rPr>
              <w:t>CINAHL</w:t>
            </w:r>
            <w:r w:rsidR="00E56B38" w:rsidRPr="00D518FF">
              <w:rPr>
                <w:rFonts w:cs="Calibri"/>
                <w:color w:val="000000"/>
                <w:sz w:val="16"/>
                <w:szCs w:val="16"/>
              </w:rPr>
              <w:t xml:space="preserve">, Web of Science, Cochrane </w:t>
            </w:r>
            <w:r w:rsidR="00DF0896" w:rsidRPr="00D518FF">
              <w:rPr>
                <w:rFonts w:cs="Calibri"/>
                <w:color w:val="000000"/>
                <w:sz w:val="16"/>
                <w:szCs w:val="16"/>
              </w:rPr>
              <w:t>Library</w:t>
            </w:r>
          </w:p>
        </w:tc>
        <w:tc>
          <w:tcPr>
            <w:tcW w:w="301" w:type="pct"/>
          </w:tcPr>
          <w:p w14:paraId="10705EEF" w14:textId="1BFD227E"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Sep 2010</w:t>
            </w:r>
          </w:p>
        </w:tc>
        <w:tc>
          <w:tcPr>
            <w:tcW w:w="401" w:type="pct"/>
          </w:tcPr>
          <w:p w14:paraId="41F6B397" w14:textId="207FD301"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w:t>
            </w:r>
          </w:p>
        </w:tc>
        <w:tc>
          <w:tcPr>
            <w:tcW w:w="300" w:type="pct"/>
          </w:tcPr>
          <w:p w14:paraId="30548D9C" w14:textId="519DFD79"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Author's own scale of 1 to 10 (higher = better quality)</w:t>
            </w:r>
          </w:p>
        </w:tc>
        <w:tc>
          <w:tcPr>
            <w:tcW w:w="300" w:type="pct"/>
          </w:tcPr>
          <w:p w14:paraId="36C966C6" w14:textId="3511E8B1"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NR</w:t>
            </w:r>
          </w:p>
        </w:tc>
        <w:tc>
          <w:tcPr>
            <w:tcW w:w="349" w:type="pct"/>
          </w:tcPr>
          <w:p w14:paraId="6778903F" w14:textId="3CF1A771"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 xml:space="preserve">Dr Schweitzer has received speaking honoraria from </w:t>
            </w:r>
            <w:r w:rsidR="004622EE" w:rsidRPr="00D518FF">
              <w:rPr>
                <w:rFonts w:cs="Calibri"/>
                <w:color w:val="000000"/>
                <w:sz w:val="16"/>
                <w:szCs w:val="16"/>
              </w:rPr>
              <w:t>AstraZeneca</w:t>
            </w:r>
            <w:r w:rsidRPr="00D518FF">
              <w:rPr>
                <w:rFonts w:cs="Calibri"/>
                <w:color w:val="000000"/>
                <w:sz w:val="16"/>
                <w:szCs w:val="16"/>
              </w:rPr>
              <w:t>, Eli Lilly, Lundbeck, Wyeth, Pfizer, Servier and Janssen-</w:t>
            </w:r>
            <w:r w:rsidRPr="00D518FF">
              <w:rPr>
                <w:rFonts w:cs="Calibri"/>
                <w:color w:val="000000"/>
                <w:sz w:val="16"/>
                <w:szCs w:val="16"/>
              </w:rPr>
              <w:lastRenderedPageBreak/>
              <w:t xml:space="preserve">Cilag; consultancy fees from </w:t>
            </w:r>
            <w:r w:rsidR="004622EE" w:rsidRPr="00D518FF">
              <w:rPr>
                <w:rFonts w:cs="Calibri"/>
                <w:color w:val="000000"/>
                <w:sz w:val="16"/>
                <w:szCs w:val="16"/>
              </w:rPr>
              <w:t>AstraZeneca</w:t>
            </w:r>
            <w:r w:rsidRPr="00D518FF">
              <w:rPr>
                <w:rFonts w:cs="Calibri"/>
                <w:color w:val="000000"/>
                <w:sz w:val="16"/>
                <w:szCs w:val="16"/>
              </w:rPr>
              <w:t>, Eli Lilly, Lundbeck, Wyeth and Pfizer; and educational or research grants, sponsorships, or donations from Wyeth, Lundbeck and Bristol-Myers Squibb</w:t>
            </w:r>
          </w:p>
        </w:tc>
        <w:tc>
          <w:tcPr>
            <w:tcW w:w="601" w:type="pct"/>
          </w:tcPr>
          <w:p w14:paraId="1742A452" w14:textId="4D4D4F5C"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lastRenderedPageBreak/>
              <w:t>None reported</w:t>
            </w:r>
          </w:p>
        </w:tc>
      </w:tr>
      <w:tr w:rsidR="00F6089E" w:rsidRPr="00D518FF" w14:paraId="3D23D209" w14:textId="77777777" w:rsidTr="00A6108F">
        <w:trPr>
          <w:trHeight w:val="283"/>
        </w:trPr>
        <w:tc>
          <w:tcPr>
            <w:tcW w:w="326" w:type="pct"/>
            <w:shd w:val="clear" w:color="auto" w:fill="EFFFE9"/>
          </w:tcPr>
          <w:p w14:paraId="78A21FC8" w14:textId="07B530E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Suradom 2021</w:t>
            </w:r>
          </w:p>
        </w:tc>
        <w:tc>
          <w:tcPr>
            <w:tcW w:w="359" w:type="pct"/>
            <w:shd w:val="clear" w:color="auto" w:fill="EFFFE9"/>
          </w:tcPr>
          <w:p w14:paraId="7EAA467F" w14:textId="1B1E977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shd w:val="clear" w:color="auto" w:fill="EFFFE9"/>
          </w:tcPr>
          <w:p w14:paraId="655F664D" w14:textId="1136231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examine Omega-3 efficacy for the prevention and treatment of perinatal depression and for mitigating depression at a particular stage of pregnancy or postpartum</w:t>
            </w:r>
          </w:p>
        </w:tc>
        <w:tc>
          <w:tcPr>
            <w:tcW w:w="318" w:type="pct"/>
            <w:shd w:val="clear" w:color="auto" w:fill="EFFFE9"/>
          </w:tcPr>
          <w:p w14:paraId="17E49508" w14:textId="7D50BB83"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RCTs</w:t>
            </w:r>
          </w:p>
        </w:tc>
        <w:tc>
          <w:tcPr>
            <w:tcW w:w="333" w:type="pct"/>
            <w:shd w:val="clear" w:color="auto" w:fill="EFFFE9"/>
          </w:tcPr>
          <w:p w14:paraId="37360D74" w14:textId="4422E77D"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1</w:t>
            </w:r>
          </w:p>
        </w:tc>
        <w:tc>
          <w:tcPr>
            <w:tcW w:w="350" w:type="pct"/>
            <w:shd w:val="clear" w:color="auto" w:fill="EFFFE9"/>
          </w:tcPr>
          <w:p w14:paraId="2FAEE1CD" w14:textId="62CE955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5</w:t>
            </w:r>
          </w:p>
        </w:tc>
        <w:tc>
          <w:tcPr>
            <w:tcW w:w="450" w:type="pct"/>
            <w:shd w:val="clear" w:color="auto" w:fill="EFFFE9"/>
          </w:tcPr>
          <w:p w14:paraId="631933F6" w14:textId="5921083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 Scopus, Web of Science,</w:t>
            </w:r>
            <w:r w:rsidRPr="00D518FF">
              <w:rPr>
                <w:rFonts w:cs="Calibri"/>
                <w:color w:val="000000"/>
                <w:sz w:val="16"/>
                <w:szCs w:val="16"/>
              </w:rPr>
              <w:br/>
              <w:t>clinicaltrials.gov, Cochrane Library</w:t>
            </w:r>
          </w:p>
        </w:tc>
        <w:tc>
          <w:tcPr>
            <w:tcW w:w="301" w:type="pct"/>
            <w:shd w:val="clear" w:color="auto" w:fill="EFFFE9"/>
          </w:tcPr>
          <w:p w14:paraId="58EB50F0" w14:textId="661385D6" w:rsidR="00F60E69" w:rsidRPr="00D518FF" w:rsidRDefault="00AA0255" w:rsidP="00F60E69">
            <w:pPr>
              <w:pStyle w:val="2024TABLETEXT"/>
              <w:framePr w:hSpace="0" w:wrap="auto" w:vAnchor="margin" w:yAlign="inline"/>
              <w:spacing w:line="240" w:lineRule="auto"/>
              <w:suppressOverlap w:val="0"/>
              <w:rPr>
                <w:sz w:val="16"/>
                <w:szCs w:val="16"/>
              </w:rPr>
            </w:pPr>
            <w:r>
              <w:rPr>
                <w:color w:val="000000"/>
                <w:sz w:val="16"/>
              </w:rPr>
              <w:t>May 2020</w:t>
            </w:r>
          </w:p>
        </w:tc>
        <w:tc>
          <w:tcPr>
            <w:tcW w:w="401" w:type="pct"/>
            <w:shd w:val="clear" w:color="auto" w:fill="EFFFE9"/>
          </w:tcPr>
          <w:p w14:paraId="568CE898" w14:textId="65C08F5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00" w:type="pct"/>
            <w:shd w:val="clear" w:color="auto" w:fill="EFFFE9"/>
          </w:tcPr>
          <w:p w14:paraId="76C3EE26" w14:textId="53AA63B7"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color w:val="000000"/>
                <w:sz w:val="16"/>
              </w:rPr>
              <w:t xml:space="preserve">Cochrane </w:t>
            </w:r>
            <w:r w:rsidRPr="00D518FF">
              <w:rPr>
                <w:sz w:val="16"/>
                <w:szCs w:val="16"/>
              </w:rPr>
              <w:t>Risk</w:t>
            </w:r>
            <w:r w:rsidRPr="00D518FF">
              <w:rPr>
                <w:color w:val="000000"/>
                <w:sz w:val="16"/>
              </w:rPr>
              <w:t xml:space="preserve"> of </w:t>
            </w:r>
            <w:r w:rsidRPr="00D518FF">
              <w:rPr>
                <w:sz w:val="16"/>
                <w:szCs w:val="16"/>
              </w:rPr>
              <w:t>Bias Tool</w:t>
            </w:r>
          </w:p>
        </w:tc>
        <w:tc>
          <w:tcPr>
            <w:tcW w:w="300" w:type="pct"/>
            <w:shd w:val="clear" w:color="auto" w:fill="EFFFE9"/>
          </w:tcPr>
          <w:p w14:paraId="55942D53" w14:textId="1F29EC6F"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NR</w:t>
            </w:r>
          </w:p>
        </w:tc>
        <w:tc>
          <w:tcPr>
            <w:tcW w:w="349" w:type="pct"/>
            <w:shd w:val="clear" w:color="auto" w:fill="EFFFE9"/>
          </w:tcPr>
          <w:p w14:paraId="309BBD38" w14:textId="26602D00"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MS has received grants and/or speaker’s honoraria from Janssens (Thailand), Lundbeck, Sumitomo Dainippon Pharma. SS has received speaker’s honoraria from Mitsubishi Tanabe Pharma (Thailand) and Sumitomo Pharmaceu</w:t>
            </w:r>
            <w:r w:rsidRPr="00D518FF">
              <w:rPr>
                <w:rFonts w:cs="Calibri"/>
                <w:color w:val="000000"/>
                <w:sz w:val="16"/>
                <w:szCs w:val="16"/>
              </w:rPr>
              <w:lastRenderedPageBreak/>
              <w:t>ticals (Thailand). The remaining authors report no financial or other relation- ship relevant to the subject of this article.</w:t>
            </w:r>
          </w:p>
        </w:tc>
        <w:tc>
          <w:tcPr>
            <w:tcW w:w="601" w:type="pct"/>
            <w:shd w:val="clear" w:color="auto" w:fill="EFFFE9"/>
          </w:tcPr>
          <w:p w14:paraId="61B6CEAE" w14:textId="645630E5"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lastRenderedPageBreak/>
              <w:t>This work was supported by Chiang Mai University, Chiang Mai, Thailand. However, Chiang Mai University had no role for research conception, study design, data analysis, or study report.</w:t>
            </w:r>
          </w:p>
        </w:tc>
      </w:tr>
      <w:tr w:rsidR="00F6089E" w:rsidRPr="00D518FF" w14:paraId="778A379C" w14:textId="77777777" w:rsidTr="00F6089E">
        <w:trPr>
          <w:trHeight w:val="283"/>
        </w:trPr>
        <w:tc>
          <w:tcPr>
            <w:tcW w:w="326" w:type="pct"/>
          </w:tcPr>
          <w:p w14:paraId="1DBDF7C2" w14:textId="4D21322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Troeung 2013</w:t>
            </w:r>
          </w:p>
        </w:tc>
        <w:tc>
          <w:tcPr>
            <w:tcW w:w="359" w:type="pct"/>
          </w:tcPr>
          <w:p w14:paraId="1BD691AA" w14:textId="7A9AB66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119EE57A" w14:textId="1C554B0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 A meta-analysis of randomised placebo-controlled trials for depression and/or anxiety in PD was conducted to systematically examine the efficacy of current treatments for depression and anxiety in PD.</w:t>
            </w:r>
          </w:p>
        </w:tc>
        <w:tc>
          <w:tcPr>
            <w:tcW w:w="318" w:type="pct"/>
          </w:tcPr>
          <w:p w14:paraId="17D62E13" w14:textId="504C853E"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RCTs</w:t>
            </w:r>
          </w:p>
        </w:tc>
        <w:tc>
          <w:tcPr>
            <w:tcW w:w="333" w:type="pct"/>
          </w:tcPr>
          <w:p w14:paraId="0EB23D96" w14:textId="0A178A38"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1</w:t>
            </w:r>
          </w:p>
        </w:tc>
        <w:tc>
          <w:tcPr>
            <w:tcW w:w="350" w:type="pct"/>
          </w:tcPr>
          <w:p w14:paraId="66F15D2F" w14:textId="2748825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6</w:t>
            </w:r>
          </w:p>
        </w:tc>
        <w:tc>
          <w:tcPr>
            <w:tcW w:w="450" w:type="pct"/>
          </w:tcPr>
          <w:p w14:paraId="5490CF08" w14:textId="69BBC54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Medline, PubMed, PsycINFO, Proquest, Cochrane Library, EMBASE</w:t>
            </w:r>
          </w:p>
        </w:tc>
        <w:tc>
          <w:tcPr>
            <w:tcW w:w="301" w:type="pct"/>
          </w:tcPr>
          <w:p w14:paraId="52634284" w14:textId="4AC03B5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Jul 2013</w:t>
            </w:r>
          </w:p>
        </w:tc>
        <w:tc>
          <w:tcPr>
            <w:tcW w:w="401" w:type="pct"/>
          </w:tcPr>
          <w:p w14:paraId="44FBAF46" w14:textId="5FEA2CF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 only</w:t>
            </w:r>
          </w:p>
        </w:tc>
        <w:tc>
          <w:tcPr>
            <w:tcW w:w="300" w:type="pct"/>
          </w:tcPr>
          <w:p w14:paraId="067FEACC" w14:textId="1B117B1A"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color w:val="000000"/>
                <w:sz w:val="16"/>
              </w:rPr>
              <w:t xml:space="preserve">Cochrane Risk of Bias </w:t>
            </w:r>
            <w:r w:rsidRPr="00D518FF">
              <w:rPr>
                <w:sz w:val="16"/>
                <w:szCs w:val="16"/>
              </w:rPr>
              <w:t>Tool</w:t>
            </w:r>
          </w:p>
        </w:tc>
        <w:tc>
          <w:tcPr>
            <w:tcW w:w="300" w:type="pct"/>
          </w:tcPr>
          <w:p w14:paraId="745F49D5" w14:textId="19227636"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Not enough info to judge</w:t>
            </w:r>
          </w:p>
        </w:tc>
        <w:tc>
          <w:tcPr>
            <w:tcW w:w="349" w:type="pct"/>
          </w:tcPr>
          <w:p w14:paraId="06A0534A" w14:textId="5A1DB501"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None</w:t>
            </w:r>
          </w:p>
        </w:tc>
        <w:tc>
          <w:tcPr>
            <w:tcW w:w="601" w:type="pct"/>
          </w:tcPr>
          <w:p w14:paraId="4FA7E85E" w14:textId="40B5DAD4"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None</w:t>
            </w:r>
          </w:p>
        </w:tc>
      </w:tr>
      <w:tr w:rsidR="00F6089E" w:rsidRPr="00D518FF" w14:paraId="5F25FDC9" w14:textId="77777777" w:rsidTr="00F6089E">
        <w:trPr>
          <w:trHeight w:val="283"/>
        </w:trPr>
        <w:tc>
          <w:tcPr>
            <w:tcW w:w="326" w:type="pct"/>
          </w:tcPr>
          <w:p w14:paraId="2B4C30BD" w14:textId="0D8D08A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Tsai 2023</w:t>
            </w:r>
          </w:p>
        </w:tc>
        <w:tc>
          <w:tcPr>
            <w:tcW w:w="359" w:type="pct"/>
          </w:tcPr>
          <w:p w14:paraId="24F68965" w14:textId="0F2C979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2101AD27" w14:textId="3B4D9BE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assess the effectiveness of dietary interventions for the treatment of perinatal depression and/or anxiety</w:t>
            </w:r>
          </w:p>
        </w:tc>
        <w:tc>
          <w:tcPr>
            <w:tcW w:w="318" w:type="pct"/>
          </w:tcPr>
          <w:p w14:paraId="585C7341" w14:textId="01B79778"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RCTs</w:t>
            </w:r>
          </w:p>
        </w:tc>
        <w:tc>
          <w:tcPr>
            <w:tcW w:w="333" w:type="pct"/>
          </w:tcPr>
          <w:p w14:paraId="6DBE6664" w14:textId="441E37B9"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1</w:t>
            </w:r>
          </w:p>
        </w:tc>
        <w:tc>
          <w:tcPr>
            <w:tcW w:w="350" w:type="pct"/>
          </w:tcPr>
          <w:p w14:paraId="3C6B0C1B" w14:textId="35CC283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5</w:t>
            </w:r>
          </w:p>
        </w:tc>
        <w:tc>
          <w:tcPr>
            <w:tcW w:w="450" w:type="pct"/>
          </w:tcPr>
          <w:p w14:paraId="71BC325C" w14:textId="2998C40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MEDLINE, EMBASE, PsycINFO, CINAHL, Web of Science</w:t>
            </w:r>
          </w:p>
        </w:tc>
        <w:tc>
          <w:tcPr>
            <w:tcW w:w="301" w:type="pct"/>
          </w:tcPr>
          <w:p w14:paraId="5BE4E95C" w14:textId="08AC58E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Nov 2022</w:t>
            </w:r>
          </w:p>
        </w:tc>
        <w:tc>
          <w:tcPr>
            <w:tcW w:w="401" w:type="pct"/>
          </w:tcPr>
          <w:p w14:paraId="77D94483" w14:textId="5779806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w:t>
            </w:r>
          </w:p>
        </w:tc>
        <w:tc>
          <w:tcPr>
            <w:tcW w:w="300" w:type="pct"/>
          </w:tcPr>
          <w:p w14:paraId="65264A7A" w14:textId="3435331B"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color w:val="000000"/>
                <w:sz w:val="16"/>
              </w:rPr>
              <w:t>Cochrane Risk of Bias</w:t>
            </w:r>
            <w:r w:rsidRPr="00D518FF">
              <w:rPr>
                <w:sz w:val="16"/>
                <w:szCs w:val="16"/>
              </w:rPr>
              <w:t xml:space="preserve"> Tool</w:t>
            </w:r>
          </w:p>
        </w:tc>
        <w:tc>
          <w:tcPr>
            <w:tcW w:w="300" w:type="pct"/>
          </w:tcPr>
          <w:p w14:paraId="090411F3" w14:textId="500A194F"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NR; insufficient info to judge</w:t>
            </w:r>
          </w:p>
        </w:tc>
        <w:tc>
          <w:tcPr>
            <w:tcW w:w="349" w:type="pct"/>
          </w:tcPr>
          <w:p w14:paraId="7C3152C4" w14:textId="2E79C6F7"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None</w:t>
            </w:r>
          </w:p>
        </w:tc>
        <w:tc>
          <w:tcPr>
            <w:tcW w:w="601" w:type="pct"/>
          </w:tcPr>
          <w:p w14:paraId="0B4131F3" w14:textId="10D2AE5A" w:rsidR="00F60E69" w:rsidRPr="00D518FF" w:rsidRDefault="00F60E69" w:rsidP="00F60E69">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None</w:t>
            </w:r>
          </w:p>
        </w:tc>
      </w:tr>
      <w:tr w:rsidR="00F6089E" w:rsidRPr="00D518FF" w14:paraId="16758902" w14:textId="77777777" w:rsidTr="00F6089E">
        <w:trPr>
          <w:trHeight w:val="283"/>
        </w:trPr>
        <w:tc>
          <w:tcPr>
            <w:tcW w:w="326" w:type="pct"/>
          </w:tcPr>
          <w:p w14:paraId="0480051F" w14:textId="76911739"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Tung 2023</w:t>
            </w:r>
          </w:p>
        </w:tc>
        <w:tc>
          <w:tcPr>
            <w:tcW w:w="359" w:type="pct"/>
          </w:tcPr>
          <w:p w14:paraId="3E512026" w14:textId="2063A231"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494B19E3" w14:textId="0B995ABF"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To provide an updated review on the association of antenatal n-3 </w:t>
            </w:r>
            <w:r w:rsidR="004622EE" w:rsidRPr="00D518FF">
              <w:rPr>
                <w:rFonts w:cs="Calibri"/>
                <w:color w:val="000000"/>
                <w:sz w:val="16"/>
                <w:szCs w:val="16"/>
              </w:rPr>
              <w:t>PUFA</w:t>
            </w:r>
            <w:r w:rsidRPr="00D518FF">
              <w:rPr>
                <w:rFonts w:cs="Calibri"/>
                <w:color w:val="000000"/>
                <w:sz w:val="16"/>
                <w:szCs w:val="16"/>
              </w:rPr>
              <w:t xml:space="preserve"> intake via different sources (seafood, fish, overall diet, and supplementation) with perinatal mental health problems including depression, anxiety, and psychological distress</w:t>
            </w:r>
          </w:p>
        </w:tc>
        <w:tc>
          <w:tcPr>
            <w:tcW w:w="318" w:type="pct"/>
          </w:tcPr>
          <w:p w14:paraId="612CE943" w14:textId="07527328" w:rsidR="00E56B38" w:rsidRPr="00D518FF" w:rsidRDefault="004622EE"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RCT</w:t>
            </w:r>
            <w:r w:rsidR="00E56B38" w:rsidRPr="00D518FF">
              <w:rPr>
                <w:rFonts w:cs="Calibri"/>
                <w:color w:val="000000"/>
                <w:sz w:val="16"/>
                <w:szCs w:val="16"/>
              </w:rPr>
              <w:t xml:space="preserve">s, prospective and </w:t>
            </w:r>
            <w:r w:rsidR="00F274FE">
              <w:rPr>
                <w:rFonts w:cs="Calibri"/>
                <w:color w:val="000000"/>
                <w:sz w:val="16"/>
                <w:szCs w:val="16"/>
              </w:rPr>
              <w:t>retrospective</w:t>
            </w:r>
            <w:r w:rsidR="00E56B38" w:rsidRPr="00D518FF">
              <w:rPr>
                <w:rFonts w:cs="Calibri"/>
                <w:color w:val="000000"/>
                <w:sz w:val="16"/>
                <w:szCs w:val="16"/>
              </w:rPr>
              <w:t xml:space="preserve"> cohort, case-control, cross-sectional, pilot study</w:t>
            </w:r>
          </w:p>
        </w:tc>
        <w:tc>
          <w:tcPr>
            <w:tcW w:w="333" w:type="pct"/>
          </w:tcPr>
          <w:p w14:paraId="12FD9A57" w14:textId="564C8295"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1</w:t>
            </w:r>
          </w:p>
        </w:tc>
        <w:tc>
          <w:tcPr>
            <w:tcW w:w="350" w:type="pct"/>
          </w:tcPr>
          <w:p w14:paraId="2616BDC5" w14:textId="6B40E635"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tcPr>
          <w:p w14:paraId="517AF0F4" w14:textId="4FA57C57"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Web of Science, Embase, </w:t>
            </w:r>
            <w:r w:rsidR="004622EE" w:rsidRPr="00D518FF">
              <w:rPr>
                <w:rFonts w:cs="Calibri"/>
                <w:color w:val="000000"/>
                <w:sz w:val="16"/>
                <w:szCs w:val="16"/>
              </w:rPr>
              <w:t>PubMed</w:t>
            </w:r>
            <w:r w:rsidRPr="00D518FF">
              <w:rPr>
                <w:rFonts w:cs="Calibri"/>
                <w:color w:val="000000"/>
                <w:sz w:val="16"/>
                <w:szCs w:val="16"/>
              </w:rPr>
              <w:t xml:space="preserve">, APA </w:t>
            </w:r>
            <w:r w:rsidR="004622EE" w:rsidRPr="00D518FF">
              <w:rPr>
                <w:rFonts w:cs="Calibri"/>
                <w:color w:val="000000"/>
                <w:sz w:val="16"/>
                <w:szCs w:val="16"/>
              </w:rPr>
              <w:t>PsycINFO</w:t>
            </w:r>
          </w:p>
        </w:tc>
        <w:tc>
          <w:tcPr>
            <w:tcW w:w="301" w:type="pct"/>
          </w:tcPr>
          <w:p w14:paraId="747A97EE" w14:textId="56DC7D0C"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Jun 2021</w:t>
            </w:r>
          </w:p>
        </w:tc>
        <w:tc>
          <w:tcPr>
            <w:tcW w:w="401" w:type="pct"/>
          </w:tcPr>
          <w:p w14:paraId="1E2376C1" w14:textId="3BBC0CE2"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 date restriction 2017 to June 2021</w:t>
            </w:r>
          </w:p>
        </w:tc>
        <w:tc>
          <w:tcPr>
            <w:tcW w:w="300" w:type="pct"/>
          </w:tcPr>
          <w:p w14:paraId="518F962A" w14:textId="7D776425"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Joanna Briggs Institute’s Critical Appraisal Checklist for Studies Reporting Prevalence Data</w:t>
            </w:r>
          </w:p>
        </w:tc>
        <w:tc>
          <w:tcPr>
            <w:tcW w:w="300" w:type="pct"/>
          </w:tcPr>
          <w:p w14:paraId="0C80B11D" w14:textId="6849DB25"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NR</w:t>
            </w:r>
          </w:p>
        </w:tc>
        <w:tc>
          <w:tcPr>
            <w:tcW w:w="349" w:type="pct"/>
          </w:tcPr>
          <w:p w14:paraId="40174F92" w14:textId="74691672"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None declared</w:t>
            </w:r>
          </w:p>
        </w:tc>
        <w:tc>
          <w:tcPr>
            <w:tcW w:w="601" w:type="pct"/>
          </w:tcPr>
          <w:p w14:paraId="59546A0E" w14:textId="7E8F04DA" w:rsidR="00E56B38" w:rsidRPr="00D518FF" w:rsidRDefault="00E56B38" w:rsidP="00AA72BD">
            <w:pPr>
              <w:pStyle w:val="2024TABLETEXT"/>
              <w:framePr w:hSpace="0" w:wrap="auto" w:vAnchor="margin" w:yAlign="inline"/>
              <w:spacing w:line="240" w:lineRule="auto"/>
              <w:suppressOverlap w:val="0"/>
              <w:rPr>
                <w:rFonts w:cs="Calibri"/>
                <w:color w:val="000000"/>
                <w:sz w:val="16"/>
                <w:szCs w:val="16"/>
              </w:rPr>
            </w:pPr>
            <w:r w:rsidRPr="00D518FF">
              <w:rPr>
                <w:rFonts w:cs="Calibri"/>
                <w:color w:val="000000"/>
                <w:sz w:val="16"/>
                <w:szCs w:val="16"/>
              </w:rPr>
              <w:t>NR</w:t>
            </w:r>
          </w:p>
        </w:tc>
      </w:tr>
      <w:tr w:rsidR="00F6089E" w:rsidRPr="00D518FF" w14:paraId="072D23AD" w14:textId="77777777" w:rsidTr="00F6089E">
        <w:trPr>
          <w:trHeight w:val="283"/>
        </w:trPr>
        <w:tc>
          <w:tcPr>
            <w:tcW w:w="326" w:type="pct"/>
          </w:tcPr>
          <w:p w14:paraId="1C085C7B" w14:textId="3734E6E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Viswanathan 2020</w:t>
            </w:r>
          </w:p>
        </w:tc>
        <w:tc>
          <w:tcPr>
            <w:tcW w:w="359" w:type="pct"/>
          </w:tcPr>
          <w:p w14:paraId="07D0A338" w14:textId="492B600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w:t>
            </w:r>
          </w:p>
        </w:tc>
        <w:tc>
          <w:tcPr>
            <w:tcW w:w="614" w:type="pct"/>
          </w:tcPr>
          <w:p w14:paraId="6A124839" w14:textId="2010D62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 purpose of the review is to examine the benefits and harms of pharmacological and nonpharmacological treatments for child and adolescent depressive disorders.</w:t>
            </w:r>
          </w:p>
        </w:tc>
        <w:tc>
          <w:tcPr>
            <w:tcW w:w="318" w:type="pct"/>
          </w:tcPr>
          <w:p w14:paraId="5A69AB57" w14:textId="31B5977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 and observational</w:t>
            </w:r>
          </w:p>
        </w:tc>
        <w:tc>
          <w:tcPr>
            <w:tcW w:w="333" w:type="pct"/>
          </w:tcPr>
          <w:p w14:paraId="22DF1361" w14:textId="503A67D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1, 2</w:t>
            </w:r>
          </w:p>
        </w:tc>
        <w:tc>
          <w:tcPr>
            <w:tcW w:w="350" w:type="pct"/>
          </w:tcPr>
          <w:p w14:paraId="62F743DB" w14:textId="3846FDC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5</w:t>
            </w:r>
          </w:p>
        </w:tc>
        <w:tc>
          <w:tcPr>
            <w:tcW w:w="450" w:type="pct"/>
          </w:tcPr>
          <w:p w14:paraId="42F31DAC" w14:textId="63B6265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MEDLINE, Cochrane Library, </w:t>
            </w:r>
            <w:r w:rsidRPr="00D518FF">
              <w:rPr>
                <w:sz w:val="16"/>
                <w:szCs w:val="16"/>
              </w:rPr>
              <w:t>CENTRAL</w:t>
            </w:r>
            <w:r w:rsidRPr="00D518FF">
              <w:rPr>
                <w:rFonts w:cs="Calibri"/>
                <w:color w:val="000000"/>
                <w:sz w:val="16"/>
                <w:szCs w:val="16"/>
              </w:rPr>
              <w:t>, CINAHL, PsycINFO</w:t>
            </w:r>
          </w:p>
        </w:tc>
        <w:tc>
          <w:tcPr>
            <w:tcW w:w="301" w:type="pct"/>
          </w:tcPr>
          <w:p w14:paraId="03C625A8" w14:textId="13C0B277"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May 2019</w:t>
            </w:r>
          </w:p>
        </w:tc>
        <w:tc>
          <w:tcPr>
            <w:tcW w:w="401" w:type="pct"/>
          </w:tcPr>
          <w:p w14:paraId="639F4D29" w14:textId="628B2B4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 Countries with a very high Human Development Index (HDI; at least one country in multiple-country studies had to be on the very high HDI list)</w:t>
            </w:r>
          </w:p>
        </w:tc>
        <w:tc>
          <w:tcPr>
            <w:tcW w:w="300" w:type="pct"/>
          </w:tcPr>
          <w:p w14:paraId="71600166" w14:textId="7A09F321"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Risk of Bias </w:t>
            </w:r>
            <w:r w:rsidRPr="00D518FF">
              <w:rPr>
                <w:sz w:val="16"/>
                <w:szCs w:val="16"/>
              </w:rPr>
              <w:t>Tool</w:t>
            </w:r>
          </w:p>
        </w:tc>
        <w:tc>
          <w:tcPr>
            <w:tcW w:w="300" w:type="pct"/>
          </w:tcPr>
          <w:p w14:paraId="0B22884A" w14:textId="32591D8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Informally as "The evidence is insufficient to judge the effectiveness of omega-3 when compared with pill placebo for depressive symptoms, response, and remission"</w:t>
            </w:r>
          </w:p>
        </w:tc>
        <w:tc>
          <w:tcPr>
            <w:tcW w:w="349" w:type="pct"/>
          </w:tcPr>
          <w:p w14:paraId="46D33774" w14:textId="1FCF359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30033C4D" w14:textId="6B4892E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Agency for Healthcare Research and Quality (AHRQ), Rockville, MD (Contract No. 290-2015-00011-I)</w:t>
            </w:r>
          </w:p>
        </w:tc>
      </w:tr>
      <w:tr w:rsidR="00F6089E" w:rsidRPr="00D518FF" w14:paraId="6596E9A4" w14:textId="77777777" w:rsidTr="00F6089E">
        <w:trPr>
          <w:trHeight w:val="283"/>
        </w:trPr>
        <w:tc>
          <w:tcPr>
            <w:tcW w:w="326" w:type="pct"/>
          </w:tcPr>
          <w:p w14:paraId="6A9C7B38" w14:textId="038A4BA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Williams 2006</w:t>
            </w:r>
          </w:p>
        </w:tc>
        <w:tc>
          <w:tcPr>
            <w:tcW w:w="359" w:type="pct"/>
          </w:tcPr>
          <w:p w14:paraId="103007C9" w14:textId="40F43A3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w:t>
            </w:r>
          </w:p>
        </w:tc>
        <w:tc>
          <w:tcPr>
            <w:tcW w:w="614" w:type="pct"/>
          </w:tcPr>
          <w:p w14:paraId="1DA767D6" w14:textId="18468EB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examine the therapeutic efficacy of essential fatty acids for depression</w:t>
            </w:r>
          </w:p>
        </w:tc>
        <w:tc>
          <w:tcPr>
            <w:tcW w:w="318" w:type="pct"/>
          </w:tcPr>
          <w:p w14:paraId="3A4750F6" w14:textId="298A19C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 case control studies, reviews, and case reports</w:t>
            </w:r>
          </w:p>
        </w:tc>
        <w:tc>
          <w:tcPr>
            <w:tcW w:w="333" w:type="pct"/>
          </w:tcPr>
          <w:p w14:paraId="5CF9CD80" w14:textId="6BADA70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764D830F" w14:textId="1008883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tcPr>
          <w:p w14:paraId="16A9D54E" w14:textId="6AC12E4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Medline, PsycINFO, AMED, CENTRAL</w:t>
            </w:r>
          </w:p>
        </w:tc>
        <w:tc>
          <w:tcPr>
            <w:tcW w:w="301" w:type="pct"/>
          </w:tcPr>
          <w:p w14:paraId="0C68D8BF" w14:textId="1018316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Sep 2001</w:t>
            </w:r>
          </w:p>
        </w:tc>
        <w:tc>
          <w:tcPr>
            <w:tcW w:w="401" w:type="pct"/>
          </w:tcPr>
          <w:p w14:paraId="2D4FCED6" w14:textId="2E4C3DF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English</w:t>
            </w:r>
          </w:p>
        </w:tc>
        <w:tc>
          <w:tcPr>
            <w:tcW w:w="300" w:type="pct"/>
          </w:tcPr>
          <w:p w14:paraId="69BEAB1A" w14:textId="5CC54DD8"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w:t>
            </w:r>
            <w:r w:rsidRPr="00D518FF">
              <w:rPr>
                <w:sz w:val="16"/>
                <w:szCs w:val="16"/>
              </w:rPr>
              <w:t>Risk of Bias Tool</w:t>
            </w:r>
          </w:p>
        </w:tc>
        <w:tc>
          <w:tcPr>
            <w:tcW w:w="300" w:type="pct"/>
          </w:tcPr>
          <w:p w14:paraId="52B6E999" w14:textId="307B4B9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 insufficient info to judge</w:t>
            </w:r>
          </w:p>
        </w:tc>
        <w:tc>
          <w:tcPr>
            <w:tcW w:w="349" w:type="pct"/>
          </w:tcPr>
          <w:p w14:paraId="4E2C74AA" w14:textId="0510BC6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601" w:type="pct"/>
          </w:tcPr>
          <w:p w14:paraId="1A846EAF" w14:textId="126885D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Project sponsorship from the Centres for Disease Control and Prevention (SIP-14-00 and Grant #U48-CCU115802) is greatly appreciated. Dr. Bell's participation was supported in part by the National Institute of Health grant K24 AT005</w:t>
            </w:r>
          </w:p>
        </w:tc>
      </w:tr>
      <w:tr w:rsidR="00F6089E" w:rsidRPr="00D518FF" w14:paraId="3AAB459D" w14:textId="77777777" w:rsidTr="00F6089E">
        <w:trPr>
          <w:trHeight w:val="283"/>
        </w:trPr>
        <w:tc>
          <w:tcPr>
            <w:tcW w:w="326" w:type="pct"/>
          </w:tcPr>
          <w:p w14:paraId="7EE35A3E" w14:textId="6B847664"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Xu 2023</w:t>
            </w:r>
          </w:p>
        </w:tc>
        <w:tc>
          <w:tcPr>
            <w:tcW w:w="359" w:type="pct"/>
          </w:tcPr>
          <w:p w14:paraId="730A033E" w14:textId="793E4A5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Network meta-analysis</w:t>
            </w:r>
          </w:p>
        </w:tc>
        <w:tc>
          <w:tcPr>
            <w:tcW w:w="614" w:type="pct"/>
          </w:tcPr>
          <w:p w14:paraId="622B51FD" w14:textId="40E6549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compare different anti-inflammatory agents to improve the treatment of bipolar disorder (BD) patients</w:t>
            </w:r>
          </w:p>
        </w:tc>
        <w:tc>
          <w:tcPr>
            <w:tcW w:w="318" w:type="pct"/>
          </w:tcPr>
          <w:p w14:paraId="32F5497A" w14:textId="5C82FBC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07109CC0" w14:textId="7FED72C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235A138B" w14:textId="3DF0F2D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4</w:t>
            </w:r>
          </w:p>
        </w:tc>
        <w:tc>
          <w:tcPr>
            <w:tcW w:w="450" w:type="pct"/>
          </w:tcPr>
          <w:p w14:paraId="51AC9243" w14:textId="702F1A6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Cochrane Library, Web of Science, PubMed, Embase</w:t>
            </w:r>
          </w:p>
        </w:tc>
        <w:tc>
          <w:tcPr>
            <w:tcW w:w="301" w:type="pct"/>
          </w:tcPr>
          <w:p w14:paraId="6473FB37" w14:textId="50EEB2C1"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Feb 2022</w:t>
            </w:r>
          </w:p>
        </w:tc>
        <w:tc>
          <w:tcPr>
            <w:tcW w:w="401" w:type="pct"/>
          </w:tcPr>
          <w:p w14:paraId="507955E1" w14:textId="38CF7EB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00" w:type="pct"/>
          </w:tcPr>
          <w:p w14:paraId="59E07DF7" w14:textId="421EB667"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w:t>
            </w:r>
            <w:r w:rsidRPr="00D518FF">
              <w:rPr>
                <w:sz w:val="16"/>
                <w:szCs w:val="16"/>
              </w:rPr>
              <w:t xml:space="preserve">Risk </w:t>
            </w:r>
            <w:r w:rsidRPr="00D518FF">
              <w:rPr>
                <w:color w:val="000000"/>
                <w:sz w:val="16"/>
              </w:rPr>
              <w:t>of</w:t>
            </w:r>
            <w:r w:rsidRPr="00D518FF">
              <w:rPr>
                <w:sz w:val="16"/>
                <w:szCs w:val="16"/>
              </w:rPr>
              <w:t xml:space="preserve"> Bias Tool</w:t>
            </w:r>
          </w:p>
        </w:tc>
        <w:tc>
          <w:tcPr>
            <w:tcW w:w="300" w:type="pct"/>
          </w:tcPr>
          <w:p w14:paraId="144D55C8" w14:textId="1A9AB83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NR</w:t>
            </w:r>
          </w:p>
        </w:tc>
        <w:tc>
          <w:tcPr>
            <w:tcW w:w="349" w:type="pct"/>
          </w:tcPr>
          <w:p w14:paraId="75E0A674" w14:textId="3C9A7C29"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The authors have no competing interests to report. </w:t>
            </w:r>
          </w:p>
        </w:tc>
        <w:tc>
          <w:tcPr>
            <w:tcW w:w="601" w:type="pct"/>
          </w:tcPr>
          <w:p w14:paraId="465EB750" w14:textId="0D9A0ABD"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There is no financial conflicts of interest to disclosure.</w:t>
            </w:r>
          </w:p>
        </w:tc>
      </w:tr>
      <w:tr w:rsidR="00F6089E" w:rsidRPr="00D518FF" w14:paraId="44AAE054" w14:textId="77777777" w:rsidTr="00A6108F">
        <w:trPr>
          <w:trHeight w:val="283"/>
        </w:trPr>
        <w:tc>
          <w:tcPr>
            <w:tcW w:w="326" w:type="pct"/>
            <w:shd w:val="clear" w:color="auto" w:fill="EFFFE9"/>
          </w:tcPr>
          <w:p w14:paraId="554EFDDA" w14:textId="53BED3C9"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Zhang 2019</w:t>
            </w:r>
          </w:p>
        </w:tc>
        <w:tc>
          <w:tcPr>
            <w:tcW w:w="359" w:type="pct"/>
            <w:shd w:val="clear" w:color="auto" w:fill="EFFFE9"/>
          </w:tcPr>
          <w:p w14:paraId="526D7B12" w14:textId="1B1B6344"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Meta-analysis</w:t>
            </w:r>
          </w:p>
        </w:tc>
        <w:tc>
          <w:tcPr>
            <w:tcW w:w="614" w:type="pct"/>
            <w:shd w:val="clear" w:color="auto" w:fill="EFFFE9"/>
          </w:tcPr>
          <w:p w14:paraId="4D174A70" w14:textId="04BBE1ED"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To investigate the efficacy and safety of omega-3 fatty acids (O3FA) in treating </w:t>
            </w:r>
            <w:r w:rsidRPr="00D518FF">
              <w:rPr>
                <w:rFonts w:cs="Calibri"/>
                <w:color w:val="000000"/>
                <w:sz w:val="16"/>
                <w:szCs w:val="16"/>
              </w:rPr>
              <w:lastRenderedPageBreak/>
              <w:t>depressive disorders in children and adolescents.</w:t>
            </w:r>
          </w:p>
        </w:tc>
        <w:tc>
          <w:tcPr>
            <w:tcW w:w="318" w:type="pct"/>
            <w:shd w:val="clear" w:color="auto" w:fill="EFFFE9"/>
          </w:tcPr>
          <w:p w14:paraId="118F8FEB" w14:textId="64138027" w:rsidR="00E56B38"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RCT</w:t>
            </w:r>
            <w:r w:rsidR="00E56B38" w:rsidRPr="00D518FF">
              <w:rPr>
                <w:rFonts w:cs="Calibri"/>
                <w:color w:val="000000"/>
                <w:sz w:val="16"/>
                <w:szCs w:val="16"/>
              </w:rPr>
              <w:t>s</w:t>
            </w:r>
          </w:p>
        </w:tc>
        <w:tc>
          <w:tcPr>
            <w:tcW w:w="333" w:type="pct"/>
            <w:shd w:val="clear" w:color="auto" w:fill="EFFFE9"/>
          </w:tcPr>
          <w:p w14:paraId="4B90ED0F" w14:textId="535A631D"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1, 2</w:t>
            </w:r>
          </w:p>
        </w:tc>
        <w:tc>
          <w:tcPr>
            <w:tcW w:w="350" w:type="pct"/>
            <w:shd w:val="clear" w:color="auto" w:fill="EFFFE9"/>
          </w:tcPr>
          <w:p w14:paraId="11E32541" w14:textId="0B3CAA3E"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7</w:t>
            </w:r>
          </w:p>
        </w:tc>
        <w:tc>
          <w:tcPr>
            <w:tcW w:w="450" w:type="pct"/>
            <w:shd w:val="clear" w:color="auto" w:fill="EFFFE9"/>
          </w:tcPr>
          <w:p w14:paraId="5218E90E" w14:textId="097FCBB4" w:rsidR="00E56B38" w:rsidRPr="00D518FF" w:rsidRDefault="004622EE"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w:t>
            </w:r>
            <w:r w:rsidR="00E56B38" w:rsidRPr="00D518FF">
              <w:rPr>
                <w:rFonts w:cs="Calibri"/>
                <w:color w:val="000000"/>
                <w:sz w:val="16"/>
                <w:szCs w:val="16"/>
              </w:rPr>
              <w:t xml:space="preserve">, Embase, Cochrane Library, Web of </w:t>
            </w:r>
            <w:r w:rsidR="00E56B38" w:rsidRPr="00D518FF">
              <w:rPr>
                <w:rFonts w:cs="Calibri"/>
                <w:color w:val="000000"/>
                <w:sz w:val="16"/>
                <w:szCs w:val="16"/>
              </w:rPr>
              <w:lastRenderedPageBreak/>
              <w:t xml:space="preserve">Science, </w:t>
            </w:r>
            <w:r w:rsidRPr="00D518FF">
              <w:rPr>
                <w:rFonts w:cs="Calibri"/>
                <w:color w:val="000000"/>
                <w:sz w:val="16"/>
                <w:szCs w:val="16"/>
              </w:rPr>
              <w:t>PsycINF</w:t>
            </w:r>
            <w:r w:rsidR="00DF0896" w:rsidRPr="00D518FF">
              <w:rPr>
                <w:rFonts w:cs="Calibri"/>
                <w:color w:val="000000"/>
                <w:sz w:val="16"/>
                <w:szCs w:val="16"/>
              </w:rPr>
              <w:t>O, I</w:t>
            </w:r>
            <w:r w:rsidR="00E56B38" w:rsidRPr="00D518FF">
              <w:rPr>
                <w:rFonts w:cs="Calibri"/>
                <w:color w:val="000000"/>
                <w:sz w:val="16"/>
                <w:szCs w:val="16"/>
              </w:rPr>
              <w:t>nternational trials registers, including WHO’s trials portal, US clinicaltrials.gov, EU Clinical Trials Register and Australian New Zealand Clinical Trials Registry</w:t>
            </w:r>
          </w:p>
        </w:tc>
        <w:tc>
          <w:tcPr>
            <w:tcW w:w="301" w:type="pct"/>
            <w:shd w:val="clear" w:color="auto" w:fill="EFFFE9"/>
          </w:tcPr>
          <w:p w14:paraId="20B1B201" w14:textId="06B65BFC"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Jul</w:t>
            </w:r>
            <w:r w:rsidR="00DF0896" w:rsidRPr="00D518FF">
              <w:rPr>
                <w:rFonts w:cs="Calibri"/>
                <w:color w:val="000000"/>
                <w:sz w:val="16"/>
                <w:szCs w:val="16"/>
              </w:rPr>
              <w:t xml:space="preserve"> 20</w:t>
            </w:r>
            <w:r w:rsidRPr="00D518FF">
              <w:rPr>
                <w:rFonts w:cs="Calibri"/>
                <w:color w:val="000000"/>
                <w:sz w:val="16"/>
                <w:szCs w:val="16"/>
              </w:rPr>
              <w:t>19</w:t>
            </w:r>
          </w:p>
        </w:tc>
        <w:tc>
          <w:tcPr>
            <w:tcW w:w="401" w:type="pct"/>
            <w:shd w:val="clear" w:color="auto" w:fill="EFFFE9"/>
          </w:tcPr>
          <w:p w14:paraId="5C0683C3" w14:textId="625E6FC7"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No limitations were applied in the search.</w:t>
            </w:r>
          </w:p>
        </w:tc>
        <w:tc>
          <w:tcPr>
            <w:tcW w:w="300" w:type="pct"/>
            <w:shd w:val="clear" w:color="auto" w:fill="EFFFE9"/>
          </w:tcPr>
          <w:p w14:paraId="00F9C0E9" w14:textId="4704735C"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Jadad score; Cochran</w:t>
            </w:r>
            <w:r w:rsidRPr="00D518FF">
              <w:rPr>
                <w:rFonts w:cs="Calibri"/>
                <w:color w:val="000000"/>
                <w:sz w:val="16"/>
                <w:szCs w:val="16"/>
              </w:rPr>
              <w:lastRenderedPageBreak/>
              <w:t xml:space="preserve">e </w:t>
            </w:r>
            <w:r w:rsidR="00F60E69" w:rsidRPr="00D518FF">
              <w:rPr>
                <w:rFonts w:cs="Calibri"/>
                <w:color w:val="000000"/>
                <w:sz w:val="16"/>
                <w:szCs w:val="16"/>
              </w:rPr>
              <w:t>Risk of Bias tool</w:t>
            </w:r>
          </w:p>
        </w:tc>
        <w:tc>
          <w:tcPr>
            <w:tcW w:w="300" w:type="pct"/>
            <w:shd w:val="clear" w:color="auto" w:fill="EFFFE9"/>
          </w:tcPr>
          <w:p w14:paraId="086A61CC" w14:textId="6BF7C67B"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NR</w:t>
            </w:r>
          </w:p>
        </w:tc>
        <w:tc>
          <w:tcPr>
            <w:tcW w:w="349" w:type="pct"/>
            <w:shd w:val="clear" w:color="auto" w:fill="EFFFE9"/>
          </w:tcPr>
          <w:p w14:paraId="74367698" w14:textId="1B865146" w:rsidR="00E56B38" w:rsidRPr="00D518FF" w:rsidRDefault="00E56B38" w:rsidP="00AA72BD">
            <w:pPr>
              <w:pStyle w:val="2024TABLETEXT"/>
              <w:framePr w:hSpace="0" w:wrap="auto" w:vAnchor="margin" w:yAlign="inline"/>
              <w:spacing w:line="240" w:lineRule="auto"/>
              <w:suppressOverlap w:val="0"/>
              <w:rPr>
                <w:sz w:val="16"/>
                <w:szCs w:val="16"/>
              </w:rPr>
            </w:pPr>
            <w:r w:rsidRPr="00D518FF">
              <w:rPr>
                <w:rFonts w:cs="Calibri"/>
                <w:color w:val="000000"/>
                <w:sz w:val="16"/>
                <w:szCs w:val="16"/>
              </w:rPr>
              <w:t xml:space="preserve">The authors declare that they have no </w:t>
            </w:r>
            <w:r w:rsidRPr="00D518FF">
              <w:rPr>
                <w:rFonts w:cs="Calibri"/>
                <w:color w:val="000000"/>
                <w:sz w:val="16"/>
                <w:szCs w:val="16"/>
              </w:rPr>
              <w:lastRenderedPageBreak/>
              <w:t>competing interests.</w:t>
            </w:r>
          </w:p>
        </w:tc>
        <w:tc>
          <w:tcPr>
            <w:tcW w:w="601" w:type="pct"/>
            <w:shd w:val="clear" w:color="auto" w:fill="EFFFE9"/>
          </w:tcPr>
          <w:p w14:paraId="6870A65B" w14:textId="0924DC30" w:rsidR="00E56B38" w:rsidRPr="00D518FF" w:rsidRDefault="007E18BA" w:rsidP="00AA72BD">
            <w:pPr>
              <w:pStyle w:val="2024TABLETEXT"/>
              <w:framePr w:hSpace="0" w:wrap="auto" w:vAnchor="margin" w:yAlign="inline"/>
              <w:spacing w:line="240" w:lineRule="auto"/>
              <w:suppressOverlap w:val="0"/>
              <w:rPr>
                <w:sz w:val="16"/>
                <w:szCs w:val="16"/>
              </w:rPr>
            </w:pPr>
            <w:r>
              <w:rPr>
                <w:rFonts w:cs="Calibri"/>
                <w:color w:val="000000"/>
                <w:sz w:val="16"/>
                <w:szCs w:val="16"/>
              </w:rPr>
              <w:lastRenderedPageBreak/>
              <w:t>S</w:t>
            </w:r>
            <w:r w:rsidR="00E56B38" w:rsidRPr="00D518FF">
              <w:rPr>
                <w:rFonts w:cs="Calibri"/>
                <w:color w:val="000000"/>
                <w:sz w:val="16"/>
                <w:szCs w:val="16"/>
              </w:rPr>
              <w:t xml:space="preserve">upported by the National Natural Science Foundation of China (Grant No. </w:t>
            </w:r>
            <w:r w:rsidR="00E56B38" w:rsidRPr="00D518FF">
              <w:rPr>
                <w:rFonts w:cs="Calibri"/>
                <w:color w:val="000000"/>
                <w:sz w:val="16"/>
                <w:szCs w:val="16"/>
              </w:rPr>
              <w:lastRenderedPageBreak/>
              <w:t>81873800 and Grant No. 81701342).</w:t>
            </w:r>
          </w:p>
        </w:tc>
      </w:tr>
      <w:tr w:rsidR="00F6089E" w:rsidRPr="00D518FF" w14:paraId="15DCF418" w14:textId="77777777" w:rsidTr="00F6089E">
        <w:trPr>
          <w:trHeight w:val="283"/>
        </w:trPr>
        <w:tc>
          <w:tcPr>
            <w:tcW w:w="326" w:type="pct"/>
          </w:tcPr>
          <w:p w14:paraId="2EF510E6" w14:textId="5ACFB0CB"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lastRenderedPageBreak/>
              <w:t>Zhang 2020</w:t>
            </w:r>
          </w:p>
        </w:tc>
        <w:tc>
          <w:tcPr>
            <w:tcW w:w="359" w:type="pct"/>
          </w:tcPr>
          <w:p w14:paraId="0A960932" w14:textId="36D6F9BF"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Systematic review and meta-analysis</w:t>
            </w:r>
          </w:p>
        </w:tc>
        <w:tc>
          <w:tcPr>
            <w:tcW w:w="614" w:type="pct"/>
          </w:tcPr>
          <w:p w14:paraId="38EB7B23" w14:textId="5A12A9A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To examine the efficacy and safety of omega-3 fatty acids monotherapy for perinatal depression (PND) compared with placebo</w:t>
            </w:r>
          </w:p>
        </w:tc>
        <w:tc>
          <w:tcPr>
            <w:tcW w:w="318" w:type="pct"/>
          </w:tcPr>
          <w:p w14:paraId="3CDFBB7E" w14:textId="307AC3BE"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RCTs</w:t>
            </w:r>
          </w:p>
        </w:tc>
        <w:tc>
          <w:tcPr>
            <w:tcW w:w="333" w:type="pct"/>
          </w:tcPr>
          <w:p w14:paraId="6E289914" w14:textId="4D99296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1</w:t>
            </w:r>
          </w:p>
        </w:tc>
        <w:tc>
          <w:tcPr>
            <w:tcW w:w="350" w:type="pct"/>
          </w:tcPr>
          <w:p w14:paraId="268578F9" w14:textId="5BF31DA0"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6</w:t>
            </w:r>
          </w:p>
        </w:tc>
        <w:tc>
          <w:tcPr>
            <w:tcW w:w="450" w:type="pct"/>
          </w:tcPr>
          <w:p w14:paraId="697EA0BA" w14:textId="438BC3C6"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PubMed, Embase, PsycINFO, MEDLINE, Cochrane Library, CINAHL</w:t>
            </w:r>
          </w:p>
        </w:tc>
        <w:tc>
          <w:tcPr>
            <w:tcW w:w="301" w:type="pct"/>
          </w:tcPr>
          <w:p w14:paraId="39E8E938" w14:textId="16023FF5"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Nov 2019</w:t>
            </w:r>
          </w:p>
        </w:tc>
        <w:tc>
          <w:tcPr>
            <w:tcW w:w="401" w:type="pct"/>
          </w:tcPr>
          <w:p w14:paraId="3747E788" w14:textId="367FA262"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300" w:type="pct"/>
          </w:tcPr>
          <w:p w14:paraId="5C8A0C3E" w14:textId="106ED02F" w:rsidR="00F60E69" w:rsidRPr="00D518FF" w:rsidRDefault="00F60E69" w:rsidP="00F60E69">
            <w:pPr>
              <w:pStyle w:val="2024TABLETEXT"/>
              <w:framePr w:hSpace="0" w:wrap="auto" w:vAnchor="margin" w:yAlign="inline"/>
              <w:spacing w:line="240" w:lineRule="auto"/>
              <w:suppressOverlap w:val="0"/>
              <w:rPr>
                <w:sz w:val="16"/>
                <w:szCs w:val="16"/>
              </w:rPr>
            </w:pPr>
            <w:r w:rsidRPr="00D518FF">
              <w:rPr>
                <w:color w:val="000000"/>
                <w:sz w:val="16"/>
              </w:rPr>
              <w:t xml:space="preserve">Cochrane </w:t>
            </w:r>
            <w:r w:rsidRPr="00D518FF">
              <w:rPr>
                <w:sz w:val="16"/>
                <w:szCs w:val="16"/>
              </w:rPr>
              <w:t>Risk</w:t>
            </w:r>
            <w:r w:rsidRPr="00D518FF">
              <w:rPr>
                <w:color w:val="000000"/>
                <w:sz w:val="16"/>
              </w:rPr>
              <w:t xml:space="preserve"> of </w:t>
            </w:r>
            <w:r w:rsidRPr="00D518FF">
              <w:rPr>
                <w:sz w:val="16"/>
                <w:szCs w:val="16"/>
              </w:rPr>
              <w:t>Bias Tool</w:t>
            </w:r>
          </w:p>
        </w:tc>
        <w:tc>
          <w:tcPr>
            <w:tcW w:w="300" w:type="pct"/>
          </w:tcPr>
          <w:p w14:paraId="37049D6F" w14:textId="0C42D49C"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Not formally reported</w:t>
            </w:r>
          </w:p>
        </w:tc>
        <w:tc>
          <w:tcPr>
            <w:tcW w:w="349" w:type="pct"/>
          </w:tcPr>
          <w:p w14:paraId="47188F47" w14:textId="7AE312D3" w:rsidR="00F60E69" w:rsidRPr="00D518FF" w:rsidRDefault="00F60E69" w:rsidP="00F60E69">
            <w:pPr>
              <w:pStyle w:val="2024TABLETEXT"/>
              <w:framePr w:hSpace="0" w:wrap="auto" w:vAnchor="margin" w:yAlign="inline"/>
              <w:spacing w:line="240" w:lineRule="auto"/>
              <w:suppressOverlap w:val="0"/>
              <w:rPr>
                <w:sz w:val="16"/>
                <w:szCs w:val="16"/>
              </w:rPr>
            </w:pPr>
            <w:r w:rsidRPr="00D518FF">
              <w:rPr>
                <w:rFonts w:cs="Calibri"/>
                <w:color w:val="000000"/>
                <w:sz w:val="16"/>
                <w:szCs w:val="16"/>
              </w:rPr>
              <w:t>None</w:t>
            </w:r>
          </w:p>
        </w:tc>
        <w:tc>
          <w:tcPr>
            <w:tcW w:w="601" w:type="pct"/>
          </w:tcPr>
          <w:p w14:paraId="143D7C79" w14:textId="777BFD56" w:rsidR="00F60E69" w:rsidRPr="00D518FF" w:rsidRDefault="007E18BA" w:rsidP="00F60E69">
            <w:pPr>
              <w:pStyle w:val="2024TABLETEXT"/>
              <w:framePr w:hSpace="0" w:wrap="auto" w:vAnchor="margin" w:yAlign="inline"/>
              <w:spacing w:line="240" w:lineRule="auto"/>
              <w:suppressOverlap w:val="0"/>
              <w:rPr>
                <w:sz w:val="16"/>
                <w:szCs w:val="16"/>
              </w:rPr>
            </w:pPr>
            <w:r>
              <w:rPr>
                <w:rFonts w:cs="Calibri"/>
                <w:color w:val="000000"/>
                <w:sz w:val="16"/>
                <w:szCs w:val="16"/>
              </w:rPr>
              <w:t>S</w:t>
            </w:r>
            <w:r w:rsidR="00F60E69" w:rsidRPr="00D518FF">
              <w:rPr>
                <w:rFonts w:cs="Calibri"/>
                <w:color w:val="000000"/>
                <w:sz w:val="16"/>
                <w:szCs w:val="16"/>
              </w:rPr>
              <w:t>upported in part by the National Natural Science Foundation of China (no. 81871071 and 81171251) and Beijing Municipal Natural Science Foundation (no. 7162101)</w:t>
            </w:r>
          </w:p>
        </w:tc>
      </w:tr>
    </w:tbl>
    <w:p w14:paraId="2CB54B5C" w14:textId="063554EC" w:rsidR="00246758" w:rsidRPr="00D518FF" w:rsidRDefault="00246758" w:rsidP="00AA72BD">
      <w:pPr>
        <w:pStyle w:val="2024TABLEFOOTER"/>
        <w:spacing w:line="240" w:lineRule="auto"/>
        <w:rPr>
          <w:szCs w:val="16"/>
        </w:rPr>
      </w:pPr>
      <w:r w:rsidRPr="00D518FF">
        <w:rPr>
          <w:szCs w:val="16"/>
        </w:rPr>
        <w:t xml:space="preserve">Abbreviations: </w:t>
      </w:r>
      <w:r w:rsidR="00E56B38" w:rsidRPr="00D518FF">
        <w:rPr>
          <w:szCs w:val="16"/>
        </w:rPr>
        <w:t>BD=Bipolar disorder</w:t>
      </w:r>
      <w:r w:rsidR="00A9261B" w:rsidRPr="00D518FF">
        <w:rPr>
          <w:szCs w:val="16"/>
        </w:rPr>
        <w:t xml:space="preserve">; </w:t>
      </w:r>
      <w:r w:rsidR="009C5B40" w:rsidRPr="00D518FF">
        <w:rPr>
          <w:szCs w:val="16"/>
        </w:rPr>
        <w:t xml:space="preserve">CENTRAL=Cochrane Central Register of Controlled Trials; </w:t>
      </w:r>
      <w:r w:rsidR="00A9261B" w:rsidRPr="00D518FF">
        <w:rPr>
          <w:szCs w:val="16"/>
        </w:rPr>
        <w:t xml:space="preserve">CINAHL=Cumulative Index of Nursing and Allied Health Literature; </w:t>
      </w:r>
      <w:r w:rsidR="00E56B38" w:rsidRPr="00D518FF">
        <w:rPr>
          <w:szCs w:val="16"/>
        </w:rPr>
        <w:t xml:space="preserve">MDD=Major depressive disorder, </w:t>
      </w:r>
      <w:r w:rsidRPr="00D518FF">
        <w:rPr>
          <w:szCs w:val="16"/>
        </w:rPr>
        <w:t xml:space="preserve">NR=Not reported; </w:t>
      </w:r>
      <w:r w:rsidR="004622EE" w:rsidRPr="00D518FF">
        <w:rPr>
          <w:szCs w:val="16"/>
        </w:rPr>
        <w:t>RCT</w:t>
      </w:r>
      <w:r w:rsidRPr="00D518FF">
        <w:rPr>
          <w:szCs w:val="16"/>
        </w:rPr>
        <w:t>=randomised controlled trial, GRADE=Grading of Recommendations Assessment, Development and Evaluation, QoL=quality of life</w:t>
      </w:r>
    </w:p>
    <w:p w14:paraId="16BBB401" w14:textId="77777777" w:rsidR="00246758" w:rsidRPr="00D518FF" w:rsidRDefault="00246758" w:rsidP="00AA72BD">
      <w:pPr>
        <w:pStyle w:val="Caption1"/>
        <w:spacing w:before="0" w:after="0"/>
        <w:rPr>
          <w:rFonts w:ascii="Aptos" w:hAnsi="Aptos"/>
          <w:b w:val="0"/>
          <w:bCs w:val="0"/>
          <w:sz w:val="16"/>
          <w:szCs w:val="16"/>
        </w:rPr>
      </w:pPr>
    </w:p>
    <w:p w14:paraId="598EE9D0" w14:textId="4DF3A2DC" w:rsidR="00E47171" w:rsidRPr="00D518FF" w:rsidRDefault="00E47171"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3AA26B61" w14:textId="77777777" w:rsidR="00AC44AA" w:rsidRPr="00D518FF" w:rsidRDefault="00AC44AA" w:rsidP="003F5774">
      <w:pPr>
        <w:pStyle w:val="ListParagraph"/>
        <w:numPr>
          <w:ilvl w:val="0"/>
          <w:numId w:val="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Depression-related emotional functioning/mental health burden</w:t>
      </w:r>
    </w:p>
    <w:p w14:paraId="03FE42AE" w14:textId="77777777" w:rsidR="00AC44AA" w:rsidRPr="00D518FF" w:rsidRDefault="00AC44AA" w:rsidP="003F5774">
      <w:pPr>
        <w:pStyle w:val="ListParagraph"/>
        <w:numPr>
          <w:ilvl w:val="0"/>
          <w:numId w:val="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Improvement in clinical levels of depression (including post-natal depression)</w:t>
      </w:r>
    </w:p>
    <w:p w14:paraId="4C50C9E7" w14:textId="77777777" w:rsidR="00AC44AA" w:rsidRPr="00D518FF" w:rsidRDefault="00AC44AA" w:rsidP="003F5774">
      <w:pPr>
        <w:pStyle w:val="ListParagraph"/>
        <w:numPr>
          <w:ilvl w:val="0"/>
          <w:numId w:val="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Specific depression dimensions (Anhedonia, Distress, Dysfunctional thoughts, Internalizing problems, Rumination, Self-esteem, Anger, Fatigue, Hopelessness, Irritability, Negative mood, Tension)</w:t>
      </w:r>
    </w:p>
    <w:p w14:paraId="525E81B4" w14:textId="77777777" w:rsidR="00AC44AA" w:rsidRPr="00D518FF" w:rsidRDefault="00AC44AA" w:rsidP="003F5774">
      <w:pPr>
        <w:pStyle w:val="ListParagraph"/>
        <w:numPr>
          <w:ilvl w:val="0"/>
          <w:numId w:val="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Physiological symptoms of depression (respiration rate and capacity, heart rate, blood pressure, heart rhythm, vital signs, brain beta-nucleoside triphosphate levels, brain phosphodiester levels, brain phosphomonoester levels, serum norepinephrine levels, serum serotonin levels, frontal lobe phosphocreatine levels, body fat, metabolic measures, lactate levels, urinalysis results, lab panel results, weight, height, physical examination, temperature)</w:t>
      </w:r>
    </w:p>
    <w:p w14:paraId="0EA2A79E" w14:textId="77777777" w:rsidR="00AC44AA" w:rsidRPr="00D518FF" w:rsidRDefault="00AC44AA" w:rsidP="003F5774">
      <w:pPr>
        <w:pStyle w:val="ListParagraph"/>
        <w:numPr>
          <w:ilvl w:val="0"/>
          <w:numId w:val="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Parent to infant bonding</w:t>
      </w:r>
    </w:p>
    <w:p w14:paraId="110507FB" w14:textId="77777777" w:rsidR="00AC44AA" w:rsidRPr="00D518FF" w:rsidRDefault="00AC44AA" w:rsidP="003F5774">
      <w:pPr>
        <w:pStyle w:val="ListParagraph"/>
        <w:numPr>
          <w:ilvl w:val="0"/>
          <w:numId w:val="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78ABEC50" w14:textId="757D3761" w:rsidR="00FF30A3" w:rsidRPr="00D518FF" w:rsidRDefault="00AC44AA" w:rsidP="003F5774">
      <w:pPr>
        <w:pStyle w:val="ListParagraph"/>
        <w:numPr>
          <w:ilvl w:val="0"/>
          <w:numId w:val="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Anxiety-related emotional functioning/mental health burden</w:t>
      </w:r>
    </w:p>
    <w:p w14:paraId="44D86C81" w14:textId="752985C4" w:rsidR="00FF30A3" w:rsidRPr="00B53559" w:rsidRDefault="00CA3FF2" w:rsidP="00B53559">
      <w:pPr>
        <w:pStyle w:val="heading2numbers"/>
        <w:rPr>
          <w:rStyle w:val="Heading1Char"/>
          <w:rFonts w:ascii="Aptos" w:eastAsia="Calibri" w:hAnsi="Aptos"/>
          <w:bCs w:val="0"/>
          <w:color w:val="C00000"/>
          <w:sz w:val="28"/>
          <w:szCs w:val="26"/>
        </w:rPr>
      </w:pPr>
      <w:bookmarkStart w:id="153" w:name="_Toc185254649"/>
      <w:r w:rsidRPr="00B53559">
        <w:rPr>
          <w:rStyle w:val="Heading1Char"/>
          <w:rFonts w:ascii="Aptos" w:eastAsia="Calibri" w:hAnsi="Aptos"/>
          <w:bCs w:val="0"/>
          <w:color w:val="C00000"/>
          <w:sz w:val="28"/>
          <w:szCs w:val="26"/>
        </w:rPr>
        <w:t xml:space="preserve">Dysmenorrhea, </w:t>
      </w:r>
      <w:r w:rsidR="00C16441" w:rsidRPr="00B53559">
        <w:rPr>
          <w:rStyle w:val="Heading1Char"/>
          <w:rFonts w:ascii="Aptos" w:eastAsia="Calibri" w:hAnsi="Aptos"/>
          <w:bCs w:val="0"/>
          <w:color w:val="C00000"/>
          <w:sz w:val="28"/>
          <w:szCs w:val="26"/>
        </w:rPr>
        <w:t>c</w:t>
      </w:r>
      <w:r w:rsidRPr="00B53559">
        <w:rPr>
          <w:rStyle w:val="Heading1Char"/>
          <w:rFonts w:ascii="Aptos" w:eastAsia="Calibri" w:hAnsi="Aptos"/>
          <w:bCs w:val="0"/>
          <w:color w:val="C00000"/>
          <w:sz w:val="28"/>
          <w:szCs w:val="26"/>
        </w:rPr>
        <w:t>ruciferous indoles (indole-3-carbinol, di-indolylmethane)</w:t>
      </w:r>
      <w:bookmarkEnd w:id="153"/>
    </w:p>
    <w:p w14:paraId="3978D484" w14:textId="0AAD4B52" w:rsidR="00FF3F59" w:rsidRPr="00D518FF" w:rsidRDefault="008C7E80" w:rsidP="004C6AA1">
      <w:pPr>
        <w:pStyle w:val="Caption"/>
        <w:spacing w:before="240"/>
        <w:rPr>
          <w:rFonts w:ascii="Aptos" w:hAnsi="Aptos"/>
        </w:rPr>
      </w:pPr>
      <w:bookmarkStart w:id="154" w:name="_Toc185254556"/>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10</w:t>
      </w:r>
      <w:r w:rsidR="00DC4767" w:rsidRPr="004C6AA1">
        <w:rPr>
          <w:rFonts w:ascii="Aptos" w:hAnsi="Aptos"/>
        </w:rPr>
        <w:fldChar w:fldCharType="end"/>
      </w:r>
      <w:r w:rsidR="00FF3F59" w:rsidRPr="00D518FF">
        <w:rPr>
          <w:rFonts w:ascii="Aptos" w:hAnsi="Aptos"/>
        </w:rPr>
        <w:t>. Citation details of included reviews – dysmenorrhea, cruciferous indoles (indole-3-carbinol, di-indolylmethane)</w:t>
      </w:r>
      <w:r w:rsidR="00A6108F" w:rsidRPr="00A6108F">
        <w:rPr>
          <w:rFonts w:ascii="Aptos" w:hAnsi="Aptos"/>
        </w:rPr>
        <w:t xml:space="preserve"> </w:t>
      </w:r>
      <w:r w:rsidR="00A6108F">
        <w:rPr>
          <w:rFonts w:ascii="Aptos" w:hAnsi="Aptos"/>
        </w:rPr>
        <w:t>(n=0).</w:t>
      </w:r>
      <w:bookmarkEnd w:id="154"/>
    </w:p>
    <w:tbl>
      <w:tblPr>
        <w:tblStyle w:val="TableGrid"/>
        <w:tblW w:w="14029" w:type="dxa"/>
        <w:tblLayout w:type="fixed"/>
        <w:tblCellMar>
          <w:top w:w="28" w:type="dxa"/>
          <w:left w:w="57" w:type="dxa"/>
          <w:bottom w:w="28" w:type="dxa"/>
          <w:right w:w="28" w:type="dxa"/>
        </w:tblCellMar>
        <w:tblLook w:val="04A0" w:firstRow="1" w:lastRow="0" w:firstColumn="1" w:lastColumn="0" w:noHBand="0" w:noVBand="1"/>
      </w:tblPr>
      <w:tblGrid>
        <w:gridCol w:w="1271"/>
        <w:gridCol w:w="3969"/>
        <w:gridCol w:w="2410"/>
        <w:gridCol w:w="567"/>
        <w:gridCol w:w="1559"/>
        <w:gridCol w:w="709"/>
        <w:gridCol w:w="709"/>
        <w:gridCol w:w="992"/>
        <w:gridCol w:w="1843"/>
      </w:tblGrid>
      <w:tr w:rsidR="00FF3F59" w:rsidRPr="00D518FF" w14:paraId="4F6311AA" w14:textId="77777777" w:rsidTr="00F6089E">
        <w:trPr>
          <w:trHeight w:val="61"/>
          <w:tblHeader/>
        </w:trPr>
        <w:tc>
          <w:tcPr>
            <w:tcW w:w="1271" w:type="dxa"/>
            <w:shd w:val="clear" w:color="auto" w:fill="D9D9D9" w:themeFill="background1" w:themeFillShade="D9"/>
          </w:tcPr>
          <w:p w14:paraId="6B7DAB72"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969" w:type="dxa"/>
            <w:shd w:val="clear" w:color="auto" w:fill="D9D9D9" w:themeFill="background1" w:themeFillShade="D9"/>
            <w:noWrap/>
            <w:hideMark/>
          </w:tcPr>
          <w:p w14:paraId="4F2734B1"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410" w:type="dxa"/>
            <w:shd w:val="clear" w:color="auto" w:fill="D9D9D9" w:themeFill="background1" w:themeFillShade="D9"/>
            <w:noWrap/>
            <w:hideMark/>
          </w:tcPr>
          <w:p w14:paraId="2E1D42F1"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339DECD2"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559" w:type="dxa"/>
            <w:shd w:val="clear" w:color="auto" w:fill="D9D9D9" w:themeFill="background1" w:themeFillShade="D9"/>
            <w:noWrap/>
            <w:hideMark/>
          </w:tcPr>
          <w:p w14:paraId="4C9302E3"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3EE2AD0F"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709" w:type="dxa"/>
            <w:shd w:val="clear" w:color="auto" w:fill="D9D9D9" w:themeFill="background1" w:themeFillShade="D9"/>
            <w:noWrap/>
            <w:hideMark/>
          </w:tcPr>
          <w:p w14:paraId="1915F630"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992" w:type="dxa"/>
            <w:shd w:val="clear" w:color="auto" w:fill="D9D9D9" w:themeFill="background1" w:themeFillShade="D9"/>
            <w:noWrap/>
            <w:hideMark/>
          </w:tcPr>
          <w:p w14:paraId="7A924BD4"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843" w:type="dxa"/>
            <w:shd w:val="clear" w:color="auto" w:fill="D9D9D9" w:themeFill="background1" w:themeFillShade="D9"/>
            <w:noWrap/>
            <w:hideMark/>
          </w:tcPr>
          <w:p w14:paraId="5973ED4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4FF39C8A" w14:textId="77777777" w:rsidTr="00F6089E">
        <w:trPr>
          <w:trHeight w:val="55"/>
        </w:trPr>
        <w:tc>
          <w:tcPr>
            <w:tcW w:w="14029" w:type="dxa"/>
            <w:gridSpan w:val="9"/>
          </w:tcPr>
          <w:p w14:paraId="26A9822C" w14:textId="7F0DAA6D" w:rsidR="00FF3F59" w:rsidRPr="00D518FF" w:rsidRDefault="00FF3F59">
            <w:pPr>
              <w:rPr>
                <w:rFonts w:ascii="Aptos" w:hAnsi="Aptos" w:cs="Arial"/>
                <w:sz w:val="16"/>
                <w:szCs w:val="16"/>
              </w:rPr>
            </w:pPr>
            <w:r w:rsidRPr="00D518FF">
              <w:rPr>
                <w:rFonts w:ascii="Aptos" w:hAnsi="Aptos"/>
                <w:sz w:val="20"/>
                <w:szCs w:val="20"/>
              </w:rPr>
              <w:t>No reviews were identified for inclusion in the Overview</w:t>
            </w:r>
          </w:p>
        </w:tc>
      </w:tr>
    </w:tbl>
    <w:p w14:paraId="177ECAE7" w14:textId="29C35742" w:rsidR="00472400" w:rsidRPr="00B53559" w:rsidRDefault="00795516" w:rsidP="00B53559">
      <w:pPr>
        <w:pStyle w:val="heading2numbers"/>
        <w:rPr>
          <w:rStyle w:val="Heading1Char"/>
          <w:rFonts w:ascii="Aptos" w:eastAsia="Calibri" w:hAnsi="Aptos"/>
          <w:bCs w:val="0"/>
          <w:color w:val="C00000"/>
          <w:sz w:val="28"/>
          <w:szCs w:val="26"/>
        </w:rPr>
      </w:pPr>
      <w:bookmarkStart w:id="155" w:name="_Toc185254650"/>
      <w:r w:rsidRPr="00B53559">
        <w:rPr>
          <w:rStyle w:val="Heading1Char"/>
          <w:rFonts w:ascii="Aptos" w:eastAsia="Calibri" w:hAnsi="Aptos"/>
          <w:bCs w:val="0"/>
          <w:color w:val="C00000"/>
          <w:sz w:val="28"/>
          <w:szCs w:val="26"/>
        </w:rPr>
        <w:lastRenderedPageBreak/>
        <w:t xml:space="preserve">Premenstrual syndrome (PMS), </w:t>
      </w:r>
      <w:r w:rsidR="00C16441" w:rsidRPr="00B53559">
        <w:rPr>
          <w:rStyle w:val="Heading1Char"/>
          <w:rFonts w:ascii="Aptos" w:eastAsia="Calibri" w:hAnsi="Aptos"/>
          <w:bCs w:val="0"/>
          <w:color w:val="C00000"/>
          <w:sz w:val="28"/>
          <w:szCs w:val="26"/>
        </w:rPr>
        <w:t>c</w:t>
      </w:r>
      <w:r w:rsidRPr="00B53559">
        <w:rPr>
          <w:rStyle w:val="Heading1Char"/>
          <w:rFonts w:ascii="Aptos" w:eastAsia="Calibri" w:hAnsi="Aptos"/>
          <w:bCs w:val="0"/>
          <w:color w:val="C00000"/>
          <w:sz w:val="28"/>
          <w:szCs w:val="26"/>
        </w:rPr>
        <w:t>ruciferous indoles (indole-3-carbinol, di-indolylmethane)</w:t>
      </w:r>
      <w:bookmarkEnd w:id="155"/>
    </w:p>
    <w:p w14:paraId="1745B5D8" w14:textId="2ED7F741" w:rsidR="00FF3F59" w:rsidRPr="00D518FF" w:rsidRDefault="008C7E80" w:rsidP="004C6AA1">
      <w:pPr>
        <w:pStyle w:val="Caption"/>
        <w:spacing w:before="240"/>
        <w:rPr>
          <w:rFonts w:ascii="Aptos" w:hAnsi="Aptos"/>
        </w:rPr>
      </w:pPr>
      <w:bookmarkStart w:id="156" w:name="_Toc185254557"/>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11</w:t>
      </w:r>
      <w:r w:rsidR="00DC4767" w:rsidRPr="004C6AA1">
        <w:rPr>
          <w:rFonts w:ascii="Aptos" w:hAnsi="Aptos"/>
        </w:rPr>
        <w:fldChar w:fldCharType="end"/>
      </w:r>
      <w:r w:rsidR="00FF3F59" w:rsidRPr="00D518FF">
        <w:rPr>
          <w:rFonts w:ascii="Aptos" w:hAnsi="Aptos"/>
        </w:rPr>
        <w:t>. Citation details of included reviews – premenstrual syndrome (PMS), cruciferous indoles (indole-3-carbinol, di-indolylmethane)</w:t>
      </w:r>
      <w:r w:rsidR="00A6108F">
        <w:rPr>
          <w:rFonts w:ascii="Aptos" w:hAnsi="Aptos"/>
        </w:rPr>
        <w:t xml:space="preserve"> (n=0).</w:t>
      </w:r>
      <w:bookmarkEnd w:id="156"/>
    </w:p>
    <w:tbl>
      <w:tblPr>
        <w:tblStyle w:val="TableGrid"/>
        <w:tblW w:w="14029" w:type="dxa"/>
        <w:tblLayout w:type="fixed"/>
        <w:tblCellMar>
          <w:top w:w="28" w:type="dxa"/>
          <w:left w:w="57" w:type="dxa"/>
          <w:bottom w:w="28" w:type="dxa"/>
          <w:right w:w="28" w:type="dxa"/>
        </w:tblCellMar>
        <w:tblLook w:val="04A0" w:firstRow="1" w:lastRow="0" w:firstColumn="1" w:lastColumn="0" w:noHBand="0" w:noVBand="1"/>
      </w:tblPr>
      <w:tblGrid>
        <w:gridCol w:w="1271"/>
        <w:gridCol w:w="3969"/>
        <w:gridCol w:w="2410"/>
        <w:gridCol w:w="567"/>
        <w:gridCol w:w="1559"/>
        <w:gridCol w:w="709"/>
        <w:gridCol w:w="709"/>
        <w:gridCol w:w="992"/>
        <w:gridCol w:w="1843"/>
      </w:tblGrid>
      <w:tr w:rsidR="00FF3F59" w:rsidRPr="00D518FF" w14:paraId="0F3077EA" w14:textId="77777777" w:rsidTr="00E77295">
        <w:trPr>
          <w:trHeight w:val="61"/>
          <w:tblHeader/>
        </w:trPr>
        <w:tc>
          <w:tcPr>
            <w:tcW w:w="1271" w:type="dxa"/>
            <w:shd w:val="clear" w:color="auto" w:fill="D9D9D9" w:themeFill="background1" w:themeFillShade="D9"/>
          </w:tcPr>
          <w:p w14:paraId="685DCD19"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969" w:type="dxa"/>
            <w:shd w:val="clear" w:color="auto" w:fill="D9D9D9" w:themeFill="background1" w:themeFillShade="D9"/>
            <w:noWrap/>
            <w:hideMark/>
          </w:tcPr>
          <w:p w14:paraId="719229A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410" w:type="dxa"/>
            <w:shd w:val="clear" w:color="auto" w:fill="D9D9D9" w:themeFill="background1" w:themeFillShade="D9"/>
            <w:noWrap/>
            <w:hideMark/>
          </w:tcPr>
          <w:p w14:paraId="0F55936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6104FA9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559" w:type="dxa"/>
            <w:shd w:val="clear" w:color="auto" w:fill="D9D9D9" w:themeFill="background1" w:themeFillShade="D9"/>
            <w:noWrap/>
            <w:hideMark/>
          </w:tcPr>
          <w:p w14:paraId="170E255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14BBFE3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709" w:type="dxa"/>
            <w:shd w:val="clear" w:color="auto" w:fill="D9D9D9" w:themeFill="background1" w:themeFillShade="D9"/>
            <w:noWrap/>
            <w:hideMark/>
          </w:tcPr>
          <w:p w14:paraId="0B150609"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992" w:type="dxa"/>
            <w:shd w:val="clear" w:color="auto" w:fill="D9D9D9" w:themeFill="background1" w:themeFillShade="D9"/>
            <w:noWrap/>
            <w:hideMark/>
          </w:tcPr>
          <w:p w14:paraId="409550A0"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843" w:type="dxa"/>
            <w:shd w:val="clear" w:color="auto" w:fill="D9D9D9" w:themeFill="background1" w:themeFillShade="D9"/>
            <w:noWrap/>
            <w:hideMark/>
          </w:tcPr>
          <w:p w14:paraId="3B42DD4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13A1C562" w14:textId="77777777" w:rsidTr="00E77295">
        <w:trPr>
          <w:trHeight w:val="55"/>
        </w:trPr>
        <w:tc>
          <w:tcPr>
            <w:tcW w:w="14029" w:type="dxa"/>
            <w:gridSpan w:val="9"/>
          </w:tcPr>
          <w:p w14:paraId="5175148A" w14:textId="5507A6C2" w:rsidR="00FF3F59" w:rsidRPr="00D518FF" w:rsidRDefault="00FF3F59">
            <w:pPr>
              <w:rPr>
                <w:rFonts w:ascii="Aptos" w:hAnsi="Aptos" w:cs="Arial"/>
                <w:sz w:val="16"/>
                <w:szCs w:val="16"/>
              </w:rPr>
            </w:pPr>
            <w:r w:rsidRPr="00D518FF">
              <w:rPr>
                <w:rFonts w:ascii="Aptos" w:hAnsi="Aptos"/>
                <w:sz w:val="20"/>
                <w:szCs w:val="20"/>
              </w:rPr>
              <w:t>No reviews were identified for inclusion in the Overview</w:t>
            </w:r>
          </w:p>
        </w:tc>
      </w:tr>
    </w:tbl>
    <w:p w14:paraId="520E0B78" w14:textId="1EBF6B5F" w:rsidR="00472400" w:rsidRPr="00B53559" w:rsidRDefault="006A303E" w:rsidP="00B53559">
      <w:pPr>
        <w:pStyle w:val="heading2numbers"/>
        <w:rPr>
          <w:rStyle w:val="Heading1Char"/>
          <w:rFonts w:ascii="Aptos" w:eastAsia="Calibri" w:hAnsi="Aptos"/>
          <w:bCs w:val="0"/>
          <w:color w:val="C00000"/>
          <w:sz w:val="28"/>
          <w:szCs w:val="26"/>
        </w:rPr>
      </w:pPr>
      <w:bookmarkStart w:id="157" w:name="_Toc185254651"/>
      <w:r w:rsidRPr="00B53559">
        <w:rPr>
          <w:rStyle w:val="Heading1Char"/>
          <w:rFonts w:ascii="Aptos" w:eastAsia="Calibri" w:hAnsi="Aptos"/>
          <w:bCs w:val="0"/>
          <w:color w:val="C00000"/>
          <w:sz w:val="28"/>
          <w:szCs w:val="26"/>
        </w:rPr>
        <w:t xml:space="preserve">Atopic disorders (including eczema, dermatitis, allergic rhinitis, allergies), </w:t>
      </w:r>
      <w:r w:rsidR="00C16441" w:rsidRPr="00B53559">
        <w:rPr>
          <w:rStyle w:val="Heading1Char"/>
          <w:rFonts w:ascii="Aptos" w:eastAsia="Calibri" w:hAnsi="Aptos"/>
          <w:bCs w:val="0"/>
          <w:color w:val="C00000"/>
          <w:sz w:val="28"/>
          <w:szCs w:val="26"/>
        </w:rPr>
        <w:t>z</w:t>
      </w:r>
      <w:r w:rsidRPr="00B53559">
        <w:rPr>
          <w:rStyle w:val="Heading1Char"/>
          <w:rFonts w:ascii="Aptos" w:eastAsia="Calibri" w:hAnsi="Aptos"/>
          <w:bCs w:val="0"/>
          <w:color w:val="C00000"/>
          <w:sz w:val="28"/>
          <w:szCs w:val="26"/>
        </w:rPr>
        <w:t>inc</w:t>
      </w:r>
      <w:bookmarkEnd w:id="157"/>
    </w:p>
    <w:p w14:paraId="6EE202CD" w14:textId="25D01AFA" w:rsidR="00FF3F59" w:rsidRPr="00D518FF" w:rsidRDefault="00345928" w:rsidP="004C6AA1">
      <w:pPr>
        <w:pStyle w:val="Caption"/>
        <w:spacing w:before="240"/>
        <w:rPr>
          <w:rFonts w:ascii="Aptos" w:hAnsi="Aptos"/>
        </w:rPr>
      </w:pPr>
      <w:bookmarkStart w:id="158" w:name="_Toc185254558"/>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12</w:t>
      </w:r>
      <w:r w:rsidR="00DC4767" w:rsidRPr="004C6AA1">
        <w:rPr>
          <w:rFonts w:ascii="Aptos" w:hAnsi="Aptos"/>
        </w:rPr>
        <w:fldChar w:fldCharType="end"/>
      </w:r>
      <w:r w:rsidR="00FF3F59" w:rsidRPr="00D518FF">
        <w:rPr>
          <w:rFonts w:ascii="Aptos" w:hAnsi="Aptos"/>
        </w:rPr>
        <w:t>. Citation details of included reviews – atopic disorders (including eczema, dermatitis, allergic rhinitis, allergies), zinc (n=3).</w:t>
      </w:r>
      <w:bookmarkEnd w:id="158"/>
    </w:p>
    <w:tbl>
      <w:tblPr>
        <w:tblStyle w:val="TableGrid"/>
        <w:tblW w:w="14029" w:type="dxa"/>
        <w:tblLayout w:type="fixed"/>
        <w:tblCellMar>
          <w:top w:w="28" w:type="dxa"/>
          <w:left w:w="57" w:type="dxa"/>
          <w:bottom w:w="28" w:type="dxa"/>
          <w:right w:w="28" w:type="dxa"/>
        </w:tblCellMar>
        <w:tblLook w:val="04A0" w:firstRow="1" w:lastRow="0" w:firstColumn="1" w:lastColumn="0" w:noHBand="0" w:noVBand="1"/>
      </w:tblPr>
      <w:tblGrid>
        <w:gridCol w:w="988"/>
        <w:gridCol w:w="3543"/>
        <w:gridCol w:w="3119"/>
        <w:gridCol w:w="567"/>
        <w:gridCol w:w="2126"/>
        <w:gridCol w:w="709"/>
        <w:gridCol w:w="567"/>
        <w:gridCol w:w="992"/>
        <w:gridCol w:w="1418"/>
      </w:tblGrid>
      <w:tr w:rsidR="00FF3F59" w:rsidRPr="00D518FF" w14:paraId="0C88B1DC" w14:textId="77777777" w:rsidTr="00F6089E">
        <w:trPr>
          <w:trHeight w:val="61"/>
          <w:tblHeader/>
        </w:trPr>
        <w:tc>
          <w:tcPr>
            <w:tcW w:w="988" w:type="dxa"/>
            <w:shd w:val="clear" w:color="auto" w:fill="D9D9D9" w:themeFill="background1" w:themeFillShade="D9"/>
          </w:tcPr>
          <w:p w14:paraId="6F9257A0"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543" w:type="dxa"/>
            <w:shd w:val="clear" w:color="auto" w:fill="D9D9D9" w:themeFill="background1" w:themeFillShade="D9"/>
            <w:noWrap/>
            <w:hideMark/>
          </w:tcPr>
          <w:p w14:paraId="5C38775B"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3119" w:type="dxa"/>
            <w:shd w:val="clear" w:color="auto" w:fill="D9D9D9" w:themeFill="background1" w:themeFillShade="D9"/>
            <w:noWrap/>
            <w:hideMark/>
          </w:tcPr>
          <w:p w14:paraId="7D47BCF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442A3B6F"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2126" w:type="dxa"/>
            <w:shd w:val="clear" w:color="auto" w:fill="D9D9D9" w:themeFill="background1" w:themeFillShade="D9"/>
            <w:noWrap/>
            <w:hideMark/>
          </w:tcPr>
          <w:p w14:paraId="2336DF2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0B1C90A0"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567" w:type="dxa"/>
            <w:shd w:val="clear" w:color="auto" w:fill="D9D9D9" w:themeFill="background1" w:themeFillShade="D9"/>
            <w:noWrap/>
            <w:hideMark/>
          </w:tcPr>
          <w:p w14:paraId="61E50458"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992" w:type="dxa"/>
            <w:shd w:val="clear" w:color="auto" w:fill="D9D9D9" w:themeFill="background1" w:themeFillShade="D9"/>
            <w:noWrap/>
            <w:hideMark/>
          </w:tcPr>
          <w:p w14:paraId="29E482FB"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418" w:type="dxa"/>
            <w:shd w:val="clear" w:color="auto" w:fill="D9D9D9" w:themeFill="background1" w:themeFillShade="D9"/>
            <w:noWrap/>
            <w:hideMark/>
          </w:tcPr>
          <w:p w14:paraId="3E8196F3"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388D5AB3" w14:textId="77777777" w:rsidTr="00A6108F">
        <w:trPr>
          <w:trHeight w:val="55"/>
        </w:trPr>
        <w:tc>
          <w:tcPr>
            <w:tcW w:w="988" w:type="dxa"/>
            <w:shd w:val="clear" w:color="auto" w:fill="EFFFE9"/>
          </w:tcPr>
          <w:p w14:paraId="731C06A2" w14:textId="77777777" w:rsidR="00FF3F59" w:rsidRPr="00D518FF" w:rsidRDefault="00FF3F59">
            <w:pPr>
              <w:rPr>
                <w:rFonts w:ascii="Aptos" w:hAnsi="Aptos" w:cs="Arial"/>
                <w:sz w:val="16"/>
                <w:szCs w:val="16"/>
              </w:rPr>
            </w:pPr>
            <w:r w:rsidRPr="00D518FF">
              <w:rPr>
                <w:rFonts w:ascii="Aptos" w:hAnsi="Aptos" w:cs="Arial"/>
                <w:sz w:val="16"/>
                <w:szCs w:val="16"/>
              </w:rPr>
              <w:t>Bath-Hextall 2012</w:t>
            </w:r>
          </w:p>
        </w:tc>
        <w:tc>
          <w:tcPr>
            <w:tcW w:w="3543" w:type="dxa"/>
            <w:shd w:val="clear" w:color="auto" w:fill="EFFFE9"/>
          </w:tcPr>
          <w:p w14:paraId="15375A28" w14:textId="77777777" w:rsidR="00FF3F59" w:rsidRPr="00D518FF" w:rsidRDefault="00FF3F59">
            <w:pPr>
              <w:rPr>
                <w:rFonts w:ascii="Aptos" w:hAnsi="Aptos" w:cs="Arial"/>
                <w:sz w:val="16"/>
                <w:szCs w:val="16"/>
              </w:rPr>
            </w:pPr>
            <w:r w:rsidRPr="00D518FF">
              <w:rPr>
                <w:rFonts w:ascii="Aptos" w:hAnsi="Aptos" w:cs="Arial"/>
                <w:sz w:val="16"/>
                <w:szCs w:val="16"/>
              </w:rPr>
              <w:t>Dietary supplements for established atopic eczema</w:t>
            </w:r>
          </w:p>
        </w:tc>
        <w:tc>
          <w:tcPr>
            <w:tcW w:w="3119" w:type="dxa"/>
            <w:shd w:val="clear" w:color="auto" w:fill="EFFFE9"/>
          </w:tcPr>
          <w:p w14:paraId="078A7A31" w14:textId="77777777" w:rsidR="00FF3F59" w:rsidRPr="00D518FF" w:rsidRDefault="00FF3F59">
            <w:pPr>
              <w:rPr>
                <w:rFonts w:ascii="Aptos" w:hAnsi="Aptos" w:cs="Arial"/>
                <w:sz w:val="16"/>
                <w:szCs w:val="16"/>
              </w:rPr>
            </w:pPr>
            <w:r w:rsidRPr="00D518FF">
              <w:rPr>
                <w:rFonts w:ascii="Aptos" w:hAnsi="Aptos" w:cs="Arial"/>
                <w:sz w:val="16"/>
                <w:szCs w:val="16"/>
              </w:rPr>
              <w:t>Bath-Hextall, F. J., Jenkinson, C., Humphreys, R., &amp; Williams, H. C</w:t>
            </w:r>
          </w:p>
        </w:tc>
        <w:tc>
          <w:tcPr>
            <w:tcW w:w="567" w:type="dxa"/>
            <w:shd w:val="clear" w:color="auto" w:fill="EFFFE9"/>
          </w:tcPr>
          <w:p w14:paraId="667E4C1E" w14:textId="77777777" w:rsidR="00FF3F59" w:rsidRPr="00D518FF" w:rsidRDefault="00FF3F59">
            <w:pPr>
              <w:rPr>
                <w:rFonts w:ascii="Aptos" w:hAnsi="Aptos" w:cs="Arial"/>
                <w:sz w:val="16"/>
                <w:szCs w:val="16"/>
              </w:rPr>
            </w:pPr>
            <w:r w:rsidRPr="00D518FF">
              <w:rPr>
                <w:rFonts w:ascii="Aptos" w:hAnsi="Aptos" w:cs="Arial"/>
                <w:sz w:val="16"/>
                <w:szCs w:val="16"/>
              </w:rPr>
              <w:t>2012</w:t>
            </w:r>
          </w:p>
        </w:tc>
        <w:tc>
          <w:tcPr>
            <w:tcW w:w="2126" w:type="dxa"/>
            <w:shd w:val="clear" w:color="auto" w:fill="EFFFE9"/>
          </w:tcPr>
          <w:p w14:paraId="163AFC15" w14:textId="77777777" w:rsidR="00FF3F59" w:rsidRPr="00D518FF" w:rsidRDefault="00FF3F59">
            <w:pPr>
              <w:rPr>
                <w:rFonts w:ascii="Aptos" w:hAnsi="Aptos" w:cs="Arial"/>
                <w:sz w:val="16"/>
                <w:szCs w:val="16"/>
              </w:rPr>
            </w:pPr>
            <w:r w:rsidRPr="00D518FF">
              <w:rPr>
                <w:rFonts w:ascii="Aptos" w:hAnsi="Aptos" w:cs="Arial"/>
                <w:sz w:val="16"/>
                <w:szCs w:val="16"/>
              </w:rPr>
              <w:t>Cochrane Database of Systematic Reviews</w:t>
            </w:r>
          </w:p>
        </w:tc>
        <w:tc>
          <w:tcPr>
            <w:tcW w:w="709" w:type="dxa"/>
            <w:shd w:val="clear" w:color="auto" w:fill="EFFFE9"/>
          </w:tcPr>
          <w:p w14:paraId="6FE57BA8" w14:textId="77777777" w:rsidR="00FF3F59" w:rsidRPr="00D518FF" w:rsidRDefault="00FF3F59">
            <w:pPr>
              <w:rPr>
                <w:rFonts w:ascii="Aptos" w:hAnsi="Aptos" w:cs="Arial"/>
                <w:sz w:val="16"/>
                <w:szCs w:val="16"/>
              </w:rPr>
            </w:pPr>
            <w:r w:rsidRPr="00D518FF">
              <w:rPr>
                <w:rFonts w:ascii="Aptos" w:hAnsi="Aptos" w:cs="Arial"/>
                <w:sz w:val="16"/>
                <w:szCs w:val="16"/>
              </w:rPr>
              <w:t>2</w:t>
            </w:r>
          </w:p>
        </w:tc>
        <w:tc>
          <w:tcPr>
            <w:tcW w:w="567" w:type="dxa"/>
            <w:shd w:val="clear" w:color="auto" w:fill="EFFFE9"/>
          </w:tcPr>
          <w:p w14:paraId="51C5C78D" w14:textId="77777777" w:rsidR="00FF3F59" w:rsidRPr="00D518FF" w:rsidRDefault="00FF3F59">
            <w:pPr>
              <w:rPr>
                <w:rFonts w:ascii="Aptos" w:hAnsi="Aptos" w:cs="Arial"/>
                <w:sz w:val="16"/>
                <w:szCs w:val="16"/>
              </w:rPr>
            </w:pPr>
            <w:r w:rsidRPr="00D518FF">
              <w:rPr>
                <w:rFonts w:ascii="Aptos" w:hAnsi="Aptos" w:cs="Arial"/>
                <w:sz w:val="16"/>
                <w:szCs w:val="16"/>
              </w:rPr>
              <w:t>2</w:t>
            </w:r>
          </w:p>
        </w:tc>
        <w:tc>
          <w:tcPr>
            <w:tcW w:w="992" w:type="dxa"/>
            <w:shd w:val="clear" w:color="auto" w:fill="EFFFE9"/>
          </w:tcPr>
          <w:p w14:paraId="2B855F3D" w14:textId="77777777" w:rsidR="00FF3F59" w:rsidRPr="00D518FF" w:rsidRDefault="00FF3F59">
            <w:pPr>
              <w:rPr>
                <w:rFonts w:ascii="Aptos" w:hAnsi="Aptos" w:cs="Arial"/>
                <w:sz w:val="16"/>
                <w:szCs w:val="16"/>
              </w:rPr>
            </w:pPr>
            <w:r w:rsidRPr="00D518FF">
              <w:rPr>
                <w:rFonts w:ascii="Aptos" w:hAnsi="Aptos" w:cs="Arial"/>
                <w:sz w:val="16"/>
                <w:szCs w:val="16"/>
              </w:rPr>
              <w:t>CD005205</w:t>
            </w:r>
          </w:p>
        </w:tc>
        <w:tc>
          <w:tcPr>
            <w:tcW w:w="1418" w:type="dxa"/>
            <w:shd w:val="clear" w:color="auto" w:fill="EFFFE9"/>
          </w:tcPr>
          <w:p w14:paraId="36A37A08" w14:textId="77777777" w:rsidR="00FF3F59" w:rsidRPr="00D518FF" w:rsidRDefault="00FF3F59">
            <w:pPr>
              <w:rPr>
                <w:rFonts w:ascii="Aptos" w:hAnsi="Aptos" w:cs="Arial"/>
                <w:sz w:val="16"/>
                <w:szCs w:val="16"/>
              </w:rPr>
            </w:pPr>
            <w:r w:rsidRPr="00D518FF">
              <w:rPr>
                <w:rFonts w:ascii="Aptos" w:hAnsi="Aptos" w:cs="Arial"/>
                <w:sz w:val="16"/>
                <w:szCs w:val="16"/>
              </w:rPr>
              <w:t>10.1002/14651858.CD005205.pub3</w:t>
            </w:r>
          </w:p>
        </w:tc>
      </w:tr>
      <w:tr w:rsidR="00FF3F59" w:rsidRPr="00D518FF" w14:paraId="4521ADD8" w14:textId="77777777" w:rsidTr="00F6089E">
        <w:trPr>
          <w:trHeight w:val="55"/>
        </w:trPr>
        <w:tc>
          <w:tcPr>
            <w:tcW w:w="988" w:type="dxa"/>
          </w:tcPr>
          <w:p w14:paraId="21DD5E0B" w14:textId="77777777" w:rsidR="00FF3F59" w:rsidRPr="00D518FF" w:rsidRDefault="00FF3F59">
            <w:pPr>
              <w:rPr>
                <w:rFonts w:ascii="Aptos" w:hAnsi="Aptos" w:cs="Arial"/>
                <w:sz w:val="16"/>
                <w:szCs w:val="16"/>
              </w:rPr>
            </w:pPr>
            <w:r w:rsidRPr="00D518FF">
              <w:rPr>
                <w:rFonts w:ascii="Aptos" w:hAnsi="Aptos" w:cs="Arial"/>
                <w:sz w:val="16"/>
                <w:szCs w:val="16"/>
              </w:rPr>
              <w:t>Dhaliwal 2020</w:t>
            </w:r>
          </w:p>
        </w:tc>
        <w:tc>
          <w:tcPr>
            <w:tcW w:w="3543" w:type="dxa"/>
          </w:tcPr>
          <w:p w14:paraId="446D9DBE" w14:textId="77777777" w:rsidR="00FF3F59" w:rsidRPr="00D518FF" w:rsidRDefault="00FF3F59">
            <w:pPr>
              <w:rPr>
                <w:rFonts w:ascii="Aptos" w:hAnsi="Aptos" w:cs="Arial"/>
                <w:sz w:val="16"/>
                <w:szCs w:val="16"/>
              </w:rPr>
            </w:pPr>
            <w:r w:rsidRPr="00D518FF">
              <w:rPr>
                <w:rFonts w:ascii="Aptos" w:hAnsi="Aptos" w:cs="Arial"/>
                <w:sz w:val="16"/>
                <w:szCs w:val="16"/>
              </w:rPr>
              <w:t>Effects of Zinc Supplementation on Inflammatory Skin Diseases: A Systematic Review of the Clinical Evidence</w:t>
            </w:r>
          </w:p>
        </w:tc>
        <w:tc>
          <w:tcPr>
            <w:tcW w:w="3119" w:type="dxa"/>
          </w:tcPr>
          <w:p w14:paraId="3C496262" w14:textId="77777777" w:rsidR="00FF3F59" w:rsidRPr="00D518FF" w:rsidRDefault="00FF3F59">
            <w:pPr>
              <w:rPr>
                <w:rFonts w:ascii="Aptos" w:hAnsi="Aptos" w:cs="Arial"/>
                <w:sz w:val="16"/>
                <w:szCs w:val="16"/>
              </w:rPr>
            </w:pPr>
            <w:r w:rsidRPr="00D518FF">
              <w:rPr>
                <w:rFonts w:ascii="Aptos" w:hAnsi="Aptos" w:cs="Arial"/>
                <w:sz w:val="16"/>
                <w:szCs w:val="16"/>
              </w:rPr>
              <w:t>Dhaliwal, S.; Nguyen, M.; Vaughn, A. R.; Notay, M.; Chambers, C. J.; Sivamani, R. K.</w:t>
            </w:r>
          </w:p>
        </w:tc>
        <w:tc>
          <w:tcPr>
            <w:tcW w:w="567" w:type="dxa"/>
          </w:tcPr>
          <w:p w14:paraId="665013B4" w14:textId="77777777" w:rsidR="00FF3F59" w:rsidRPr="00D518FF" w:rsidRDefault="00FF3F59">
            <w:pPr>
              <w:rPr>
                <w:rFonts w:ascii="Aptos" w:hAnsi="Aptos" w:cs="Arial"/>
                <w:sz w:val="16"/>
                <w:szCs w:val="16"/>
              </w:rPr>
            </w:pPr>
            <w:r w:rsidRPr="00D518FF">
              <w:rPr>
                <w:rFonts w:ascii="Aptos" w:hAnsi="Aptos" w:cs="Arial"/>
                <w:sz w:val="16"/>
                <w:szCs w:val="16"/>
              </w:rPr>
              <w:t>2020</w:t>
            </w:r>
          </w:p>
        </w:tc>
        <w:tc>
          <w:tcPr>
            <w:tcW w:w="2126" w:type="dxa"/>
          </w:tcPr>
          <w:p w14:paraId="2910D2E2" w14:textId="77777777" w:rsidR="00FF3F59" w:rsidRPr="00D518FF" w:rsidRDefault="00FF3F59">
            <w:pPr>
              <w:rPr>
                <w:rFonts w:ascii="Aptos" w:hAnsi="Aptos" w:cs="Arial"/>
                <w:sz w:val="16"/>
                <w:szCs w:val="16"/>
              </w:rPr>
            </w:pPr>
            <w:r w:rsidRPr="00D518FF">
              <w:rPr>
                <w:rFonts w:ascii="Aptos" w:hAnsi="Aptos" w:cs="Arial"/>
                <w:sz w:val="16"/>
                <w:szCs w:val="16"/>
              </w:rPr>
              <w:t>American journal of clinical dermatology</w:t>
            </w:r>
          </w:p>
        </w:tc>
        <w:tc>
          <w:tcPr>
            <w:tcW w:w="709" w:type="dxa"/>
          </w:tcPr>
          <w:p w14:paraId="0576F090" w14:textId="77777777" w:rsidR="00FF3F59" w:rsidRPr="00D518FF" w:rsidRDefault="00FF3F59">
            <w:pPr>
              <w:rPr>
                <w:rFonts w:ascii="Aptos" w:hAnsi="Aptos" w:cs="Arial"/>
                <w:sz w:val="16"/>
                <w:szCs w:val="16"/>
              </w:rPr>
            </w:pPr>
            <w:r w:rsidRPr="00D518FF">
              <w:rPr>
                <w:rFonts w:ascii="Aptos" w:hAnsi="Aptos" w:cs="Arial"/>
                <w:sz w:val="16"/>
                <w:szCs w:val="16"/>
              </w:rPr>
              <w:t>21</w:t>
            </w:r>
          </w:p>
        </w:tc>
        <w:tc>
          <w:tcPr>
            <w:tcW w:w="567" w:type="dxa"/>
          </w:tcPr>
          <w:p w14:paraId="3EF76A3A" w14:textId="77777777" w:rsidR="00FF3F59" w:rsidRPr="00D518FF" w:rsidRDefault="00FF3F59">
            <w:pPr>
              <w:rPr>
                <w:rFonts w:ascii="Aptos" w:hAnsi="Aptos" w:cs="Arial"/>
                <w:sz w:val="16"/>
                <w:szCs w:val="16"/>
              </w:rPr>
            </w:pPr>
            <w:r w:rsidRPr="00D518FF">
              <w:rPr>
                <w:rFonts w:ascii="Aptos" w:hAnsi="Aptos" w:cs="Arial"/>
                <w:sz w:val="16"/>
                <w:szCs w:val="16"/>
              </w:rPr>
              <w:t>1</w:t>
            </w:r>
          </w:p>
        </w:tc>
        <w:tc>
          <w:tcPr>
            <w:tcW w:w="992" w:type="dxa"/>
          </w:tcPr>
          <w:p w14:paraId="34B30977" w14:textId="77777777" w:rsidR="00FF3F59" w:rsidRPr="00D518FF" w:rsidRDefault="00FF3F59">
            <w:pPr>
              <w:rPr>
                <w:rFonts w:ascii="Aptos" w:hAnsi="Aptos" w:cs="Arial"/>
                <w:sz w:val="16"/>
                <w:szCs w:val="16"/>
              </w:rPr>
            </w:pPr>
            <w:r w:rsidRPr="00D518FF">
              <w:rPr>
                <w:rFonts w:ascii="Aptos" w:hAnsi="Aptos" w:cs="Arial"/>
                <w:sz w:val="16"/>
                <w:szCs w:val="16"/>
              </w:rPr>
              <w:t>21-39</w:t>
            </w:r>
          </w:p>
        </w:tc>
        <w:tc>
          <w:tcPr>
            <w:tcW w:w="1418" w:type="dxa"/>
          </w:tcPr>
          <w:p w14:paraId="537EDE44" w14:textId="77777777" w:rsidR="00FF3F59" w:rsidRPr="00D518FF" w:rsidRDefault="00FF3F59">
            <w:pPr>
              <w:rPr>
                <w:rFonts w:ascii="Aptos" w:hAnsi="Aptos" w:cs="Arial"/>
                <w:sz w:val="16"/>
                <w:szCs w:val="16"/>
              </w:rPr>
            </w:pPr>
            <w:r w:rsidRPr="00D518FF">
              <w:rPr>
                <w:rFonts w:ascii="Aptos" w:hAnsi="Aptos" w:cs="Arial"/>
                <w:sz w:val="16"/>
                <w:szCs w:val="16"/>
              </w:rPr>
              <w:t>10.1007/s40257-019-00484-0</w:t>
            </w:r>
          </w:p>
        </w:tc>
      </w:tr>
      <w:tr w:rsidR="00FF3F59" w:rsidRPr="00D518FF" w14:paraId="5E5820A0" w14:textId="77777777" w:rsidTr="00F6089E">
        <w:trPr>
          <w:trHeight w:val="55"/>
        </w:trPr>
        <w:tc>
          <w:tcPr>
            <w:tcW w:w="988" w:type="dxa"/>
          </w:tcPr>
          <w:p w14:paraId="38171AD3" w14:textId="77777777" w:rsidR="00FF3F59" w:rsidRPr="00D518FF" w:rsidRDefault="00FF3F59">
            <w:pPr>
              <w:rPr>
                <w:rFonts w:ascii="Aptos" w:hAnsi="Aptos" w:cs="Arial"/>
                <w:sz w:val="16"/>
                <w:szCs w:val="16"/>
              </w:rPr>
            </w:pPr>
            <w:r w:rsidRPr="00D518FF">
              <w:rPr>
                <w:rFonts w:ascii="Aptos" w:hAnsi="Aptos" w:cs="Arial"/>
                <w:sz w:val="16"/>
                <w:szCs w:val="16"/>
              </w:rPr>
              <w:t>Gray 2019</w:t>
            </w:r>
          </w:p>
        </w:tc>
        <w:tc>
          <w:tcPr>
            <w:tcW w:w="3543" w:type="dxa"/>
          </w:tcPr>
          <w:p w14:paraId="696CE4F2" w14:textId="77777777" w:rsidR="00FF3F59" w:rsidRPr="00D518FF" w:rsidRDefault="00FF3F59">
            <w:pPr>
              <w:rPr>
                <w:rFonts w:ascii="Aptos" w:hAnsi="Aptos" w:cs="Arial"/>
                <w:sz w:val="16"/>
                <w:szCs w:val="16"/>
              </w:rPr>
            </w:pPr>
            <w:r w:rsidRPr="00D518FF">
              <w:rPr>
                <w:rFonts w:ascii="Aptos" w:hAnsi="Aptos" w:cs="Arial"/>
                <w:sz w:val="16"/>
                <w:szCs w:val="16"/>
              </w:rPr>
              <w:t>Zinc and atopic dermatitis: a systematic review and meta-analysis</w:t>
            </w:r>
          </w:p>
        </w:tc>
        <w:tc>
          <w:tcPr>
            <w:tcW w:w="3119" w:type="dxa"/>
          </w:tcPr>
          <w:p w14:paraId="1197FF05" w14:textId="77777777" w:rsidR="00FF3F59" w:rsidRPr="00D518FF" w:rsidRDefault="00FF3F59">
            <w:pPr>
              <w:rPr>
                <w:rFonts w:ascii="Aptos" w:hAnsi="Aptos" w:cs="Arial"/>
                <w:sz w:val="16"/>
                <w:szCs w:val="16"/>
              </w:rPr>
            </w:pPr>
            <w:r w:rsidRPr="00D518FF">
              <w:rPr>
                <w:rFonts w:ascii="Aptos" w:hAnsi="Aptos" w:cs="Arial"/>
                <w:sz w:val="16"/>
                <w:szCs w:val="16"/>
              </w:rPr>
              <w:t>Gray, N. A.; Dhana, A.; Stein, D. J.; Khumalo, N. P.</w:t>
            </w:r>
          </w:p>
        </w:tc>
        <w:tc>
          <w:tcPr>
            <w:tcW w:w="567" w:type="dxa"/>
          </w:tcPr>
          <w:p w14:paraId="0F1F13E6" w14:textId="77777777" w:rsidR="00FF3F59" w:rsidRPr="00D518FF" w:rsidRDefault="00FF3F59">
            <w:pPr>
              <w:rPr>
                <w:rFonts w:ascii="Aptos" w:hAnsi="Aptos" w:cs="Arial"/>
                <w:sz w:val="16"/>
                <w:szCs w:val="16"/>
              </w:rPr>
            </w:pPr>
            <w:r w:rsidRPr="00D518FF">
              <w:rPr>
                <w:rFonts w:ascii="Aptos" w:hAnsi="Aptos" w:cs="Arial"/>
                <w:sz w:val="16"/>
                <w:szCs w:val="16"/>
              </w:rPr>
              <w:t>2019</w:t>
            </w:r>
          </w:p>
        </w:tc>
        <w:tc>
          <w:tcPr>
            <w:tcW w:w="2126" w:type="dxa"/>
          </w:tcPr>
          <w:p w14:paraId="364B110F" w14:textId="77777777" w:rsidR="00FF3F59" w:rsidRPr="00D518FF" w:rsidRDefault="00FF3F59">
            <w:pPr>
              <w:rPr>
                <w:rFonts w:ascii="Aptos" w:hAnsi="Aptos" w:cs="Arial"/>
                <w:sz w:val="16"/>
                <w:szCs w:val="16"/>
              </w:rPr>
            </w:pPr>
            <w:r w:rsidRPr="00D518FF">
              <w:rPr>
                <w:rFonts w:ascii="Aptos" w:hAnsi="Aptos" w:cs="Arial"/>
                <w:sz w:val="16"/>
                <w:szCs w:val="16"/>
              </w:rPr>
              <w:t>Journal of the European Academy of Dermatology and Venereology: JEADV</w:t>
            </w:r>
          </w:p>
        </w:tc>
        <w:tc>
          <w:tcPr>
            <w:tcW w:w="709" w:type="dxa"/>
          </w:tcPr>
          <w:p w14:paraId="78DA3042" w14:textId="77777777" w:rsidR="00FF3F59" w:rsidRPr="00D518FF" w:rsidRDefault="00FF3F59">
            <w:pPr>
              <w:rPr>
                <w:rFonts w:ascii="Aptos" w:hAnsi="Aptos" w:cs="Arial"/>
                <w:sz w:val="16"/>
                <w:szCs w:val="16"/>
              </w:rPr>
            </w:pPr>
            <w:r w:rsidRPr="00D518FF">
              <w:rPr>
                <w:rFonts w:ascii="Aptos" w:hAnsi="Aptos" w:cs="Arial"/>
                <w:sz w:val="16"/>
                <w:szCs w:val="16"/>
              </w:rPr>
              <w:t>33</w:t>
            </w:r>
          </w:p>
        </w:tc>
        <w:tc>
          <w:tcPr>
            <w:tcW w:w="567" w:type="dxa"/>
          </w:tcPr>
          <w:p w14:paraId="657A3C93" w14:textId="77777777" w:rsidR="00FF3F59" w:rsidRPr="00D518FF" w:rsidRDefault="00FF3F59">
            <w:pPr>
              <w:rPr>
                <w:rFonts w:ascii="Aptos" w:hAnsi="Aptos" w:cs="Arial"/>
                <w:sz w:val="16"/>
                <w:szCs w:val="16"/>
              </w:rPr>
            </w:pPr>
            <w:r w:rsidRPr="00D518FF">
              <w:rPr>
                <w:rFonts w:ascii="Aptos" w:hAnsi="Aptos" w:cs="Arial"/>
                <w:sz w:val="16"/>
                <w:szCs w:val="16"/>
              </w:rPr>
              <w:t>6</w:t>
            </w:r>
          </w:p>
        </w:tc>
        <w:tc>
          <w:tcPr>
            <w:tcW w:w="992" w:type="dxa"/>
          </w:tcPr>
          <w:p w14:paraId="1D72C31F" w14:textId="77777777" w:rsidR="00FF3F59" w:rsidRPr="00D518FF" w:rsidRDefault="00FF3F59">
            <w:pPr>
              <w:rPr>
                <w:rFonts w:ascii="Aptos" w:hAnsi="Aptos" w:cs="Arial"/>
                <w:sz w:val="16"/>
                <w:szCs w:val="16"/>
              </w:rPr>
            </w:pPr>
            <w:r w:rsidRPr="00D518FF">
              <w:rPr>
                <w:rFonts w:ascii="Aptos" w:hAnsi="Aptos" w:cs="Arial"/>
                <w:sz w:val="16"/>
                <w:szCs w:val="16"/>
              </w:rPr>
              <w:t>1042-1050</w:t>
            </w:r>
          </w:p>
        </w:tc>
        <w:tc>
          <w:tcPr>
            <w:tcW w:w="1418" w:type="dxa"/>
          </w:tcPr>
          <w:p w14:paraId="56B44F6E" w14:textId="77777777" w:rsidR="00FF3F59" w:rsidRPr="00D518FF" w:rsidRDefault="00FF3F59">
            <w:pPr>
              <w:rPr>
                <w:rFonts w:ascii="Aptos" w:hAnsi="Aptos" w:cs="Arial"/>
                <w:sz w:val="16"/>
                <w:szCs w:val="16"/>
              </w:rPr>
            </w:pPr>
            <w:r w:rsidRPr="00D518FF">
              <w:rPr>
                <w:rFonts w:ascii="Aptos" w:hAnsi="Aptos" w:cs="Arial"/>
                <w:sz w:val="16"/>
                <w:szCs w:val="16"/>
              </w:rPr>
              <w:t>10.1111/jdv.15524</w:t>
            </w:r>
          </w:p>
        </w:tc>
      </w:tr>
    </w:tbl>
    <w:p w14:paraId="74DD580F" w14:textId="77777777" w:rsidR="00FF3F59" w:rsidRDefault="00FF3F59" w:rsidP="00AA72BD">
      <w:pPr>
        <w:pStyle w:val="2024TABLECAPTION"/>
        <w:spacing w:before="120"/>
        <w:rPr>
          <w:rFonts w:ascii="Aptos" w:hAnsi="Aptos"/>
        </w:rPr>
      </w:pPr>
    </w:p>
    <w:p w14:paraId="29838855" w14:textId="3BE1292D" w:rsidR="006A303E" w:rsidRPr="00D518FF" w:rsidRDefault="00345928" w:rsidP="00345928">
      <w:pPr>
        <w:pStyle w:val="Caption"/>
        <w:rPr>
          <w:rFonts w:ascii="Aptos" w:hAnsi="Aptos"/>
        </w:rPr>
      </w:pPr>
      <w:bookmarkStart w:id="159" w:name="_Toc185254559"/>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13</w:t>
      </w:r>
      <w:r w:rsidR="00DC4767" w:rsidRPr="004C6AA1">
        <w:rPr>
          <w:rFonts w:ascii="Aptos" w:hAnsi="Aptos"/>
        </w:rPr>
        <w:fldChar w:fldCharType="end"/>
      </w:r>
      <w:r w:rsidR="006A303E" w:rsidRPr="00D518FF">
        <w:rPr>
          <w:rFonts w:ascii="Aptos" w:hAnsi="Aptos"/>
        </w:rPr>
        <w:t xml:space="preserve">. Characteristics of included reviews – </w:t>
      </w:r>
      <w:r w:rsidR="00263530" w:rsidRPr="00D518FF">
        <w:rPr>
          <w:rFonts w:ascii="Aptos" w:hAnsi="Aptos"/>
        </w:rPr>
        <w:t xml:space="preserve">Atopic disorders (including eczema, dermatitis, allergic rhinitis, allergies), </w:t>
      </w:r>
      <w:r w:rsidR="00F54C4B" w:rsidRPr="00D518FF">
        <w:rPr>
          <w:rFonts w:ascii="Aptos" w:hAnsi="Aptos"/>
        </w:rPr>
        <w:t>z</w:t>
      </w:r>
      <w:r w:rsidR="00263530" w:rsidRPr="00D518FF">
        <w:rPr>
          <w:rFonts w:ascii="Aptos" w:hAnsi="Aptos"/>
        </w:rPr>
        <w:t>inc</w:t>
      </w:r>
      <w:r w:rsidR="00A6108F">
        <w:rPr>
          <w:rFonts w:ascii="Aptos" w:hAnsi="Aptos"/>
        </w:rPr>
        <w:t xml:space="preserve"> (n=3)</w:t>
      </w:r>
      <w:r w:rsidR="006A303E" w:rsidRPr="00D518FF">
        <w:rPr>
          <w:rFonts w:ascii="Aptos" w:hAnsi="Aptos"/>
        </w:rPr>
        <w:t>.</w:t>
      </w:r>
      <w:bookmarkEnd w:id="159"/>
    </w:p>
    <w:tbl>
      <w:tblPr>
        <w:tblStyle w:val="TableGrid"/>
        <w:tblW w:w="14038" w:type="dxa"/>
        <w:tblCellMar>
          <w:top w:w="28" w:type="dxa"/>
          <w:left w:w="57" w:type="dxa"/>
          <w:bottom w:w="28" w:type="dxa"/>
          <w:right w:w="0" w:type="dxa"/>
        </w:tblCellMar>
        <w:tblLook w:val="04A0" w:firstRow="1" w:lastRow="0" w:firstColumn="1" w:lastColumn="0" w:noHBand="0" w:noVBand="1"/>
      </w:tblPr>
      <w:tblGrid>
        <w:gridCol w:w="766"/>
        <w:gridCol w:w="928"/>
        <w:gridCol w:w="1418"/>
        <w:gridCol w:w="849"/>
        <w:gridCol w:w="1131"/>
        <w:gridCol w:w="851"/>
        <w:gridCol w:w="1423"/>
        <w:gridCol w:w="851"/>
        <w:gridCol w:w="992"/>
        <w:gridCol w:w="1436"/>
        <w:gridCol w:w="985"/>
        <w:gridCol w:w="1406"/>
        <w:gridCol w:w="1002"/>
      </w:tblGrid>
      <w:tr w:rsidR="00F306BC" w:rsidRPr="00D518FF" w14:paraId="429E42D2" w14:textId="77777777" w:rsidTr="00F6089E">
        <w:trPr>
          <w:trHeight w:val="163"/>
        </w:trPr>
        <w:tc>
          <w:tcPr>
            <w:tcW w:w="766" w:type="dxa"/>
            <w:vMerge w:val="restart"/>
            <w:shd w:val="clear" w:color="auto" w:fill="D9D9D9" w:themeFill="background1" w:themeFillShade="D9"/>
          </w:tcPr>
          <w:p w14:paraId="3611F3EE"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Review ID</w:t>
            </w:r>
          </w:p>
        </w:tc>
        <w:tc>
          <w:tcPr>
            <w:tcW w:w="4326" w:type="dxa"/>
            <w:gridSpan w:val="4"/>
            <w:shd w:val="clear" w:color="auto" w:fill="D9D9D9" w:themeFill="background1" w:themeFillShade="D9"/>
          </w:tcPr>
          <w:p w14:paraId="69C7BD23"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Review details</w:t>
            </w:r>
          </w:p>
        </w:tc>
        <w:tc>
          <w:tcPr>
            <w:tcW w:w="4117" w:type="dxa"/>
            <w:gridSpan w:val="4"/>
            <w:shd w:val="clear" w:color="auto" w:fill="D9D9D9" w:themeFill="background1" w:themeFillShade="D9"/>
          </w:tcPr>
          <w:p w14:paraId="2EAFD317"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Search details</w:t>
            </w:r>
          </w:p>
        </w:tc>
        <w:tc>
          <w:tcPr>
            <w:tcW w:w="2421" w:type="dxa"/>
            <w:gridSpan w:val="2"/>
            <w:shd w:val="clear" w:color="auto" w:fill="D9D9D9" w:themeFill="background1" w:themeFillShade="D9"/>
          </w:tcPr>
          <w:p w14:paraId="2A41D7FF"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Quality assessment</w:t>
            </w:r>
          </w:p>
        </w:tc>
        <w:tc>
          <w:tcPr>
            <w:tcW w:w="2408" w:type="dxa"/>
            <w:gridSpan w:val="2"/>
            <w:shd w:val="clear" w:color="auto" w:fill="D9D9D9" w:themeFill="background1" w:themeFillShade="D9"/>
          </w:tcPr>
          <w:p w14:paraId="3B0825C8"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Other</w:t>
            </w:r>
          </w:p>
        </w:tc>
      </w:tr>
      <w:tr w:rsidR="00F6089E" w:rsidRPr="00D518FF" w14:paraId="19BA0212" w14:textId="77777777" w:rsidTr="00F6089E">
        <w:trPr>
          <w:trHeight w:val="163"/>
        </w:trPr>
        <w:tc>
          <w:tcPr>
            <w:tcW w:w="766" w:type="dxa"/>
            <w:vMerge/>
            <w:shd w:val="clear" w:color="auto" w:fill="D9D9D9" w:themeFill="background1" w:themeFillShade="D9"/>
          </w:tcPr>
          <w:p w14:paraId="4C7651F9" w14:textId="77777777" w:rsidR="006A303E" w:rsidRPr="00D518FF" w:rsidRDefault="006A303E" w:rsidP="00AA72BD">
            <w:pPr>
              <w:pStyle w:val="Caption1"/>
              <w:spacing w:before="0" w:after="0"/>
              <w:rPr>
                <w:rFonts w:ascii="Aptos" w:hAnsi="Aptos"/>
                <w:sz w:val="16"/>
                <w:szCs w:val="16"/>
              </w:rPr>
            </w:pPr>
          </w:p>
        </w:tc>
        <w:tc>
          <w:tcPr>
            <w:tcW w:w="928" w:type="dxa"/>
            <w:shd w:val="clear" w:color="auto" w:fill="D9D9D9" w:themeFill="background1" w:themeFillShade="D9"/>
          </w:tcPr>
          <w:p w14:paraId="72339592"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Review design</w:t>
            </w:r>
          </w:p>
        </w:tc>
        <w:tc>
          <w:tcPr>
            <w:tcW w:w="1418" w:type="dxa"/>
            <w:shd w:val="clear" w:color="auto" w:fill="D9D9D9" w:themeFill="background1" w:themeFillShade="D9"/>
          </w:tcPr>
          <w:p w14:paraId="3FFDF342"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Aim of the review (as reported by the SR)</w:t>
            </w:r>
          </w:p>
        </w:tc>
        <w:tc>
          <w:tcPr>
            <w:tcW w:w="849" w:type="dxa"/>
            <w:shd w:val="clear" w:color="auto" w:fill="D9D9D9" w:themeFill="background1" w:themeFillShade="D9"/>
          </w:tcPr>
          <w:p w14:paraId="0C69F024"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Types of studies included</w:t>
            </w:r>
          </w:p>
        </w:tc>
        <w:tc>
          <w:tcPr>
            <w:tcW w:w="1131" w:type="dxa"/>
            <w:shd w:val="clear" w:color="auto" w:fill="D9D9D9" w:themeFill="background1" w:themeFillShade="D9"/>
          </w:tcPr>
          <w:p w14:paraId="572E3B4A" w14:textId="6F9F78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Outcomes relevant to the Overview^</w:t>
            </w:r>
          </w:p>
        </w:tc>
        <w:tc>
          <w:tcPr>
            <w:tcW w:w="851" w:type="dxa"/>
            <w:shd w:val="clear" w:color="auto" w:fill="D9D9D9" w:themeFill="background1" w:themeFillShade="D9"/>
          </w:tcPr>
          <w:p w14:paraId="23A57827"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 of databases searched</w:t>
            </w:r>
          </w:p>
        </w:tc>
        <w:tc>
          <w:tcPr>
            <w:tcW w:w="1423" w:type="dxa"/>
            <w:shd w:val="clear" w:color="auto" w:fill="D9D9D9" w:themeFill="background1" w:themeFillShade="D9"/>
          </w:tcPr>
          <w:p w14:paraId="1DFF23B9"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Names of databases searched</w:t>
            </w:r>
          </w:p>
        </w:tc>
        <w:tc>
          <w:tcPr>
            <w:tcW w:w="851" w:type="dxa"/>
            <w:shd w:val="clear" w:color="auto" w:fill="D9D9D9" w:themeFill="background1" w:themeFillShade="D9"/>
          </w:tcPr>
          <w:p w14:paraId="600A227B"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Date of last search</w:t>
            </w:r>
          </w:p>
        </w:tc>
        <w:tc>
          <w:tcPr>
            <w:tcW w:w="992" w:type="dxa"/>
            <w:shd w:val="clear" w:color="auto" w:fill="D9D9D9" w:themeFill="background1" w:themeFillShade="D9"/>
          </w:tcPr>
          <w:p w14:paraId="7FD9C450"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 xml:space="preserve">Search restrictions </w:t>
            </w:r>
          </w:p>
        </w:tc>
        <w:tc>
          <w:tcPr>
            <w:tcW w:w="1436" w:type="dxa"/>
            <w:shd w:val="clear" w:color="auto" w:fill="D9D9D9" w:themeFill="background1" w:themeFillShade="D9"/>
          </w:tcPr>
          <w:p w14:paraId="604D2606"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RoB tool used</w:t>
            </w:r>
          </w:p>
        </w:tc>
        <w:tc>
          <w:tcPr>
            <w:tcW w:w="985" w:type="dxa"/>
            <w:shd w:val="clear" w:color="auto" w:fill="D9D9D9" w:themeFill="background1" w:themeFillShade="D9"/>
          </w:tcPr>
          <w:p w14:paraId="0AB8A2DA"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Certainty of evidence reported</w:t>
            </w:r>
          </w:p>
        </w:tc>
        <w:tc>
          <w:tcPr>
            <w:tcW w:w="1406" w:type="dxa"/>
            <w:shd w:val="clear" w:color="auto" w:fill="D9D9D9" w:themeFill="background1" w:themeFillShade="D9"/>
          </w:tcPr>
          <w:p w14:paraId="684C4389"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Conflicts of interest</w:t>
            </w:r>
          </w:p>
        </w:tc>
        <w:tc>
          <w:tcPr>
            <w:tcW w:w="1002" w:type="dxa"/>
            <w:shd w:val="clear" w:color="auto" w:fill="D9D9D9" w:themeFill="background1" w:themeFillShade="D9"/>
          </w:tcPr>
          <w:p w14:paraId="50C7BD67" w14:textId="77777777" w:rsidR="006A303E" w:rsidRPr="00D518FF" w:rsidRDefault="006A303E" w:rsidP="00AA72BD">
            <w:pPr>
              <w:pStyle w:val="Caption1"/>
              <w:spacing w:before="0" w:after="0"/>
              <w:rPr>
                <w:rFonts w:ascii="Aptos" w:hAnsi="Aptos"/>
                <w:sz w:val="16"/>
                <w:szCs w:val="16"/>
              </w:rPr>
            </w:pPr>
            <w:r w:rsidRPr="00D518FF">
              <w:rPr>
                <w:rFonts w:ascii="Aptos" w:hAnsi="Aptos"/>
                <w:sz w:val="16"/>
                <w:szCs w:val="16"/>
              </w:rPr>
              <w:t>Funding sources</w:t>
            </w:r>
          </w:p>
        </w:tc>
      </w:tr>
      <w:tr w:rsidR="00F6089E" w:rsidRPr="00D518FF" w14:paraId="4BF463F1" w14:textId="77777777" w:rsidTr="00A6108F">
        <w:trPr>
          <w:trHeight w:val="345"/>
        </w:trPr>
        <w:tc>
          <w:tcPr>
            <w:tcW w:w="766" w:type="dxa"/>
            <w:shd w:val="clear" w:color="auto" w:fill="EFFFE9"/>
          </w:tcPr>
          <w:p w14:paraId="0FEE245D" w14:textId="164BFC79" w:rsidR="00F60E69" w:rsidRPr="00D518FF" w:rsidRDefault="00F60E69" w:rsidP="00F60E69">
            <w:pPr>
              <w:rPr>
                <w:rFonts w:ascii="Aptos" w:hAnsi="Aptos" w:cs="Arial"/>
                <w:sz w:val="16"/>
                <w:szCs w:val="16"/>
              </w:rPr>
            </w:pPr>
            <w:r w:rsidRPr="00D518FF">
              <w:rPr>
                <w:rFonts w:ascii="Aptos" w:hAnsi="Aptos" w:cs="Arial"/>
                <w:sz w:val="16"/>
                <w:szCs w:val="16"/>
              </w:rPr>
              <w:t>Bath-Hextall 2012</w:t>
            </w:r>
          </w:p>
        </w:tc>
        <w:tc>
          <w:tcPr>
            <w:tcW w:w="928" w:type="dxa"/>
            <w:shd w:val="clear" w:color="auto" w:fill="EFFFE9"/>
          </w:tcPr>
          <w:p w14:paraId="3DF5C3A0" w14:textId="1ACF8F9A" w:rsidR="00F60E69" w:rsidRPr="00D518FF" w:rsidRDefault="00F60E69" w:rsidP="00F60E69">
            <w:pPr>
              <w:rPr>
                <w:rFonts w:ascii="Aptos" w:hAnsi="Aptos" w:cs="Arial"/>
                <w:sz w:val="16"/>
                <w:szCs w:val="16"/>
              </w:rPr>
            </w:pPr>
            <w:r w:rsidRPr="00D518FF">
              <w:rPr>
                <w:rFonts w:ascii="Aptos" w:hAnsi="Aptos" w:cs="Arial"/>
                <w:sz w:val="16"/>
                <w:szCs w:val="16"/>
              </w:rPr>
              <w:t>Cochrane review</w:t>
            </w:r>
          </w:p>
        </w:tc>
        <w:tc>
          <w:tcPr>
            <w:tcW w:w="1418" w:type="dxa"/>
            <w:shd w:val="clear" w:color="auto" w:fill="EFFFE9"/>
          </w:tcPr>
          <w:p w14:paraId="185EA1AD" w14:textId="27C4C523" w:rsidR="00F60E69" w:rsidRPr="00D518FF" w:rsidRDefault="00F60E69" w:rsidP="00F60E69">
            <w:pPr>
              <w:rPr>
                <w:rFonts w:ascii="Aptos" w:hAnsi="Aptos" w:cs="Arial"/>
                <w:sz w:val="16"/>
                <w:szCs w:val="16"/>
              </w:rPr>
            </w:pPr>
            <w:r w:rsidRPr="00D518FF">
              <w:rPr>
                <w:rFonts w:ascii="Aptos" w:hAnsi="Aptos" w:cs="Arial"/>
                <w:sz w:val="16"/>
                <w:szCs w:val="16"/>
              </w:rPr>
              <w:t>To evaluate dietary supplements for treating established atopic eczema/dermatitis.</w:t>
            </w:r>
          </w:p>
        </w:tc>
        <w:tc>
          <w:tcPr>
            <w:tcW w:w="849" w:type="dxa"/>
            <w:shd w:val="clear" w:color="auto" w:fill="EFFFE9"/>
          </w:tcPr>
          <w:p w14:paraId="016D2771" w14:textId="7409217C"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1131" w:type="dxa"/>
            <w:shd w:val="clear" w:color="auto" w:fill="EFFFE9"/>
          </w:tcPr>
          <w:p w14:paraId="538ED95D" w14:textId="7514031A" w:rsidR="00F60E69" w:rsidRPr="00D518FF" w:rsidRDefault="00F60E69" w:rsidP="00F60E69">
            <w:pPr>
              <w:rPr>
                <w:rFonts w:ascii="Aptos" w:hAnsi="Aptos" w:cs="Arial"/>
                <w:sz w:val="16"/>
                <w:szCs w:val="16"/>
              </w:rPr>
            </w:pPr>
            <w:r w:rsidRPr="00D518FF">
              <w:rPr>
                <w:rFonts w:ascii="Aptos" w:hAnsi="Aptos" w:cs="Arial"/>
                <w:sz w:val="16"/>
                <w:szCs w:val="16"/>
              </w:rPr>
              <w:t>1, 4</w:t>
            </w:r>
          </w:p>
        </w:tc>
        <w:tc>
          <w:tcPr>
            <w:tcW w:w="851" w:type="dxa"/>
            <w:shd w:val="clear" w:color="auto" w:fill="EFFFE9"/>
          </w:tcPr>
          <w:p w14:paraId="2A35B149" w14:textId="30542278" w:rsidR="00F60E69" w:rsidRPr="00D518FF" w:rsidRDefault="00F60E69" w:rsidP="00F60E69">
            <w:pPr>
              <w:rPr>
                <w:rFonts w:ascii="Aptos" w:hAnsi="Aptos" w:cs="Arial"/>
                <w:sz w:val="16"/>
                <w:szCs w:val="16"/>
              </w:rPr>
            </w:pPr>
            <w:r w:rsidRPr="00D518FF">
              <w:rPr>
                <w:rFonts w:ascii="Aptos" w:hAnsi="Aptos" w:cs="Arial"/>
                <w:sz w:val="16"/>
                <w:szCs w:val="16"/>
              </w:rPr>
              <w:t>9</w:t>
            </w:r>
          </w:p>
        </w:tc>
        <w:tc>
          <w:tcPr>
            <w:tcW w:w="1423" w:type="dxa"/>
            <w:shd w:val="clear" w:color="auto" w:fill="EFFFE9"/>
          </w:tcPr>
          <w:p w14:paraId="68DEFD0E" w14:textId="0A417B4A" w:rsidR="00F60E69" w:rsidRPr="00D518FF" w:rsidRDefault="00F60E69" w:rsidP="00F60E69">
            <w:pPr>
              <w:rPr>
                <w:rFonts w:ascii="Aptos" w:hAnsi="Aptos" w:cs="Arial"/>
                <w:sz w:val="16"/>
                <w:szCs w:val="16"/>
              </w:rPr>
            </w:pPr>
            <w:r w:rsidRPr="00D518FF">
              <w:rPr>
                <w:rFonts w:ascii="Aptos" w:hAnsi="Aptos" w:cs="Arial"/>
                <w:sz w:val="16"/>
                <w:szCs w:val="16"/>
              </w:rPr>
              <w:t>Cochrane Skin Group Specialised Register, CENTRAL, MEDLINE, EMBASE, PsycINFO, AMED, LILACS, ISI Web of Science, GREAT (Global Resource of EczemA Trials) database</w:t>
            </w:r>
          </w:p>
        </w:tc>
        <w:tc>
          <w:tcPr>
            <w:tcW w:w="851" w:type="dxa"/>
            <w:shd w:val="clear" w:color="auto" w:fill="EFFFE9"/>
          </w:tcPr>
          <w:p w14:paraId="4D9F037D" w14:textId="0D238D98" w:rsidR="00F60E69" w:rsidRPr="00D518FF" w:rsidRDefault="00F60E69" w:rsidP="00F60E69">
            <w:pPr>
              <w:rPr>
                <w:rFonts w:ascii="Aptos" w:hAnsi="Aptos" w:cs="Arial"/>
                <w:sz w:val="16"/>
                <w:szCs w:val="16"/>
              </w:rPr>
            </w:pPr>
            <w:r w:rsidRPr="00D518FF">
              <w:rPr>
                <w:rFonts w:ascii="Aptos" w:hAnsi="Aptos" w:cs="Arial"/>
                <w:sz w:val="16"/>
                <w:szCs w:val="16"/>
              </w:rPr>
              <w:t>Jul 2010</w:t>
            </w:r>
          </w:p>
        </w:tc>
        <w:tc>
          <w:tcPr>
            <w:tcW w:w="992" w:type="dxa"/>
            <w:shd w:val="clear" w:color="auto" w:fill="EFFFE9"/>
          </w:tcPr>
          <w:p w14:paraId="6855A07C" w14:textId="7C2135F7" w:rsidR="00F60E69" w:rsidRPr="00D518FF" w:rsidRDefault="00F60E69" w:rsidP="00F60E69">
            <w:pPr>
              <w:rPr>
                <w:rFonts w:ascii="Aptos" w:hAnsi="Aptos" w:cs="Arial"/>
                <w:sz w:val="16"/>
                <w:szCs w:val="16"/>
              </w:rPr>
            </w:pPr>
            <w:r w:rsidRPr="00D518FF">
              <w:rPr>
                <w:rFonts w:ascii="Aptos" w:hAnsi="Aptos" w:cs="Arial"/>
                <w:sz w:val="16"/>
                <w:szCs w:val="16"/>
              </w:rPr>
              <w:t>None</w:t>
            </w:r>
          </w:p>
        </w:tc>
        <w:tc>
          <w:tcPr>
            <w:tcW w:w="1436" w:type="dxa"/>
            <w:shd w:val="clear" w:color="auto" w:fill="EFFFE9"/>
          </w:tcPr>
          <w:p w14:paraId="4C7E2258" w14:textId="7CCC28F2" w:rsidR="00C602F7" w:rsidRPr="00C602F7" w:rsidRDefault="00C602F7" w:rsidP="00C602F7">
            <w:pPr>
              <w:rPr>
                <w:rFonts w:ascii="Aptos" w:hAnsi="Aptos"/>
                <w:sz w:val="16"/>
              </w:rPr>
            </w:pPr>
            <w:r w:rsidRPr="00C602F7">
              <w:rPr>
                <w:rFonts w:ascii="Aptos" w:hAnsi="Aptos"/>
                <w:sz w:val="16"/>
              </w:rPr>
              <w:t>(a) method of generation of randomisation sequence;</w:t>
            </w:r>
            <w:r w:rsidRPr="00C602F7">
              <w:rPr>
                <w:rFonts w:ascii="Aptos" w:hAnsi="Aptos"/>
                <w:sz w:val="16"/>
              </w:rPr>
              <w:br/>
              <w:t>(b) method of allocation concealment</w:t>
            </w:r>
            <w:r w:rsidRPr="00C602F7">
              <w:rPr>
                <w:rFonts w:ascii="Aptos" w:hAnsi="Aptos"/>
                <w:sz w:val="16"/>
              </w:rPr>
              <w:br/>
              <w:t xml:space="preserve">(c) </w:t>
            </w:r>
            <w:r>
              <w:rPr>
                <w:rFonts w:ascii="Aptos" w:hAnsi="Aptos"/>
                <w:sz w:val="16"/>
              </w:rPr>
              <w:t>blinding</w:t>
            </w:r>
            <w:r w:rsidRPr="00C602F7">
              <w:rPr>
                <w:rFonts w:ascii="Aptos" w:hAnsi="Aptos"/>
                <w:sz w:val="16"/>
              </w:rPr>
              <w:br/>
              <w:t xml:space="preserve">(d) how many participants were lost to follow up in </w:t>
            </w:r>
            <w:r w:rsidRPr="00C602F7">
              <w:rPr>
                <w:rFonts w:ascii="Aptos" w:hAnsi="Aptos"/>
                <w:sz w:val="16"/>
              </w:rPr>
              <w:lastRenderedPageBreak/>
              <w:t xml:space="preserve">each treatment group, whether reasons for losses were adequately reported, </w:t>
            </w:r>
          </w:p>
          <w:p w14:paraId="1DF87A24" w14:textId="2121D557" w:rsidR="00C602F7" w:rsidRPr="00C602F7" w:rsidRDefault="00C602F7" w:rsidP="00C602F7">
            <w:pPr>
              <w:rPr>
                <w:rFonts w:ascii="Aptos" w:hAnsi="Aptos"/>
                <w:sz w:val="16"/>
              </w:rPr>
            </w:pPr>
            <w:r w:rsidRPr="00C602F7">
              <w:rPr>
                <w:rFonts w:ascii="Aptos" w:hAnsi="Aptos"/>
                <w:sz w:val="16"/>
              </w:rPr>
              <w:t xml:space="preserve">(e) degree of certainty that the participants had atopic eczema; (f) baseline comparability of participants </w:t>
            </w:r>
            <w:r w:rsidRPr="00C602F7">
              <w:rPr>
                <w:rFonts w:ascii="Aptos" w:hAnsi="Aptos"/>
                <w:sz w:val="16"/>
              </w:rPr>
              <w:br/>
              <w:t xml:space="preserve">(g) assessment of compliance with treatment. </w:t>
            </w:r>
          </w:p>
          <w:p w14:paraId="37FA993A" w14:textId="0BB347CF" w:rsidR="00F60E69" w:rsidRPr="00D518FF" w:rsidRDefault="00F60E69" w:rsidP="00F60E69">
            <w:pPr>
              <w:rPr>
                <w:rFonts w:ascii="Aptos" w:hAnsi="Aptos" w:cs="Arial"/>
                <w:sz w:val="16"/>
                <w:szCs w:val="16"/>
              </w:rPr>
            </w:pPr>
          </w:p>
        </w:tc>
        <w:tc>
          <w:tcPr>
            <w:tcW w:w="985" w:type="dxa"/>
            <w:shd w:val="clear" w:color="auto" w:fill="EFFFE9"/>
          </w:tcPr>
          <w:p w14:paraId="23D51A4B" w14:textId="42E7D5BE" w:rsidR="00F60E69" w:rsidRPr="00D518FF" w:rsidRDefault="00F60E69" w:rsidP="00F60E69">
            <w:pPr>
              <w:rPr>
                <w:rFonts w:ascii="Aptos" w:hAnsi="Aptos" w:cs="Arial"/>
                <w:sz w:val="16"/>
                <w:szCs w:val="16"/>
              </w:rPr>
            </w:pPr>
            <w:r w:rsidRPr="00D518FF">
              <w:rPr>
                <w:rFonts w:ascii="Aptos" w:hAnsi="Aptos" w:cs="Arial"/>
                <w:sz w:val="16"/>
                <w:szCs w:val="16"/>
              </w:rPr>
              <w:lastRenderedPageBreak/>
              <w:t>Not reported</w:t>
            </w:r>
          </w:p>
        </w:tc>
        <w:tc>
          <w:tcPr>
            <w:tcW w:w="1406" w:type="dxa"/>
            <w:shd w:val="clear" w:color="auto" w:fill="EFFFE9"/>
          </w:tcPr>
          <w:p w14:paraId="415E6904" w14:textId="52FFBB6E"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1002" w:type="dxa"/>
            <w:shd w:val="clear" w:color="auto" w:fill="EFFFE9"/>
          </w:tcPr>
          <w:p w14:paraId="5DEF9A04" w14:textId="37C649E5" w:rsidR="00F60E69" w:rsidRPr="00D518FF" w:rsidRDefault="00F60E69" w:rsidP="00F60E69">
            <w:pPr>
              <w:rPr>
                <w:rFonts w:ascii="Aptos" w:hAnsi="Aptos" w:cs="Arial"/>
                <w:sz w:val="16"/>
                <w:szCs w:val="16"/>
              </w:rPr>
            </w:pPr>
            <w:r w:rsidRPr="00D518FF">
              <w:rPr>
                <w:rFonts w:ascii="Aptos" w:hAnsi="Aptos" w:cs="Arial"/>
                <w:sz w:val="16"/>
                <w:szCs w:val="16"/>
              </w:rPr>
              <w:t>NR</w:t>
            </w:r>
          </w:p>
        </w:tc>
      </w:tr>
      <w:tr w:rsidR="001F2487" w:rsidRPr="00D518FF" w14:paraId="2F846CA1" w14:textId="77777777" w:rsidTr="00F6089E">
        <w:trPr>
          <w:trHeight w:val="646"/>
        </w:trPr>
        <w:tc>
          <w:tcPr>
            <w:tcW w:w="766" w:type="dxa"/>
          </w:tcPr>
          <w:p w14:paraId="79AB023E" w14:textId="7C217D4E" w:rsidR="005C2D0A" w:rsidRPr="00D518FF" w:rsidRDefault="005C2D0A" w:rsidP="00AA72BD">
            <w:pPr>
              <w:rPr>
                <w:rFonts w:ascii="Aptos" w:hAnsi="Aptos" w:cs="Arial"/>
                <w:sz w:val="16"/>
                <w:szCs w:val="16"/>
              </w:rPr>
            </w:pPr>
            <w:r w:rsidRPr="00D518FF">
              <w:rPr>
                <w:rFonts w:ascii="Aptos" w:hAnsi="Aptos" w:cs="Arial"/>
                <w:sz w:val="16"/>
                <w:szCs w:val="16"/>
              </w:rPr>
              <w:t>Dhaliwal 2020</w:t>
            </w:r>
          </w:p>
        </w:tc>
        <w:tc>
          <w:tcPr>
            <w:tcW w:w="928" w:type="dxa"/>
          </w:tcPr>
          <w:p w14:paraId="308201BB" w14:textId="42CBA06A" w:rsidR="005C2D0A" w:rsidRPr="00D518FF" w:rsidRDefault="005C2D0A" w:rsidP="00AA72BD">
            <w:pPr>
              <w:rPr>
                <w:rFonts w:ascii="Aptos" w:hAnsi="Aptos" w:cs="Arial"/>
                <w:sz w:val="16"/>
                <w:szCs w:val="16"/>
              </w:rPr>
            </w:pPr>
            <w:r w:rsidRPr="00D518FF">
              <w:rPr>
                <w:rFonts w:ascii="Aptos" w:hAnsi="Aptos" w:cs="Arial"/>
                <w:sz w:val="16"/>
                <w:szCs w:val="16"/>
              </w:rPr>
              <w:t>Systematic Review</w:t>
            </w:r>
          </w:p>
        </w:tc>
        <w:tc>
          <w:tcPr>
            <w:tcW w:w="1418" w:type="dxa"/>
          </w:tcPr>
          <w:p w14:paraId="06892A7E" w14:textId="62558123" w:rsidR="005C2D0A" w:rsidRPr="00D518FF" w:rsidRDefault="005C2D0A" w:rsidP="00AA72BD">
            <w:pPr>
              <w:rPr>
                <w:rFonts w:ascii="Aptos" w:hAnsi="Aptos" w:cs="Arial"/>
                <w:sz w:val="16"/>
                <w:szCs w:val="16"/>
              </w:rPr>
            </w:pPr>
            <w:r w:rsidRPr="00D518FF">
              <w:rPr>
                <w:rFonts w:ascii="Aptos" w:hAnsi="Aptos" w:cs="Arial"/>
                <w:sz w:val="16"/>
                <w:szCs w:val="16"/>
              </w:rPr>
              <w:t>To determine the effect of zinc supplementation on inflammatory dermatologic conditions.</w:t>
            </w:r>
          </w:p>
        </w:tc>
        <w:tc>
          <w:tcPr>
            <w:tcW w:w="849" w:type="dxa"/>
          </w:tcPr>
          <w:p w14:paraId="572FE928" w14:textId="7A02FE6C" w:rsidR="005C2D0A" w:rsidRPr="00D518FF" w:rsidRDefault="002C0FBD" w:rsidP="00AA72BD">
            <w:pPr>
              <w:rPr>
                <w:rFonts w:ascii="Aptos" w:hAnsi="Aptos" w:cs="Arial"/>
                <w:sz w:val="16"/>
                <w:szCs w:val="16"/>
              </w:rPr>
            </w:pPr>
            <w:r w:rsidRPr="00D518FF">
              <w:rPr>
                <w:rFonts w:ascii="Aptos" w:hAnsi="Aptos" w:cs="Arial"/>
                <w:sz w:val="16"/>
                <w:szCs w:val="16"/>
              </w:rPr>
              <w:t>P</w:t>
            </w:r>
            <w:r w:rsidR="005C2D0A" w:rsidRPr="00D518FF">
              <w:rPr>
                <w:rFonts w:ascii="Aptos" w:hAnsi="Aptos" w:cs="Arial"/>
                <w:sz w:val="16"/>
                <w:szCs w:val="16"/>
              </w:rPr>
              <w:t xml:space="preserve">ublished clinical studies </w:t>
            </w:r>
          </w:p>
        </w:tc>
        <w:tc>
          <w:tcPr>
            <w:tcW w:w="1131" w:type="dxa"/>
          </w:tcPr>
          <w:p w14:paraId="64108503" w14:textId="1BC7F5D5" w:rsidR="005C2D0A" w:rsidRPr="00D518FF" w:rsidRDefault="005C2D0A" w:rsidP="00AA72BD">
            <w:pPr>
              <w:rPr>
                <w:rFonts w:ascii="Aptos" w:hAnsi="Aptos" w:cs="Arial"/>
                <w:sz w:val="16"/>
                <w:szCs w:val="16"/>
              </w:rPr>
            </w:pPr>
            <w:r w:rsidRPr="00D518FF">
              <w:rPr>
                <w:rFonts w:ascii="Aptos" w:hAnsi="Aptos" w:cs="Arial"/>
                <w:sz w:val="16"/>
                <w:szCs w:val="16"/>
              </w:rPr>
              <w:t>1, 4</w:t>
            </w:r>
          </w:p>
        </w:tc>
        <w:tc>
          <w:tcPr>
            <w:tcW w:w="851" w:type="dxa"/>
          </w:tcPr>
          <w:p w14:paraId="68CBA9FD" w14:textId="770EBBDF" w:rsidR="005C2D0A" w:rsidRPr="00D518FF" w:rsidRDefault="005C2D0A" w:rsidP="00AA72BD">
            <w:pPr>
              <w:rPr>
                <w:rFonts w:ascii="Aptos" w:hAnsi="Aptos" w:cs="Arial"/>
                <w:sz w:val="16"/>
                <w:szCs w:val="16"/>
              </w:rPr>
            </w:pPr>
            <w:r w:rsidRPr="00D518FF">
              <w:rPr>
                <w:rFonts w:ascii="Aptos" w:hAnsi="Aptos" w:cs="Arial"/>
                <w:sz w:val="16"/>
                <w:szCs w:val="16"/>
              </w:rPr>
              <w:t>4</w:t>
            </w:r>
          </w:p>
        </w:tc>
        <w:tc>
          <w:tcPr>
            <w:tcW w:w="1423" w:type="dxa"/>
          </w:tcPr>
          <w:p w14:paraId="6845504F" w14:textId="7D2F7095" w:rsidR="005C2D0A" w:rsidRPr="00D518FF" w:rsidRDefault="009C5B40" w:rsidP="00AA72BD">
            <w:pPr>
              <w:rPr>
                <w:rFonts w:ascii="Aptos" w:hAnsi="Aptos" w:cs="Arial"/>
                <w:sz w:val="16"/>
                <w:szCs w:val="16"/>
              </w:rPr>
            </w:pPr>
            <w:r w:rsidRPr="00D518FF">
              <w:rPr>
                <w:rFonts w:ascii="Aptos" w:hAnsi="Aptos" w:cs="Arial"/>
                <w:sz w:val="16"/>
                <w:szCs w:val="16"/>
              </w:rPr>
              <w:t>CENTRAL</w:t>
            </w:r>
            <w:r w:rsidR="005C2D0A" w:rsidRPr="00D518FF">
              <w:rPr>
                <w:rFonts w:ascii="Aptos" w:hAnsi="Aptos" w:cs="Arial"/>
                <w:sz w:val="16"/>
                <w:szCs w:val="16"/>
              </w:rPr>
              <w:t>, EMBASE, MEDLINE, Ovid</w:t>
            </w:r>
          </w:p>
        </w:tc>
        <w:tc>
          <w:tcPr>
            <w:tcW w:w="851" w:type="dxa"/>
          </w:tcPr>
          <w:p w14:paraId="4626DB23" w14:textId="17418C70" w:rsidR="005C2D0A" w:rsidRPr="00D518FF" w:rsidRDefault="005C2D0A" w:rsidP="00AA72BD">
            <w:pPr>
              <w:rPr>
                <w:rFonts w:ascii="Aptos" w:hAnsi="Aptos" w:cs="Arial"/>
                <w:sz w:val="16"/>
                <w:szCs w:val="16"/>
              </w:rPr>
            </w:pPr>
            <w:r w:rsidRPr="00D518FF">
              <w:rPr>
                <w:rFonts w:ascii="Aptos" w:hAnsi="Aptos" w:cs="Arial"/>
                <w:sz w:val="16"/>
                <w:szCs w:val="16"/>
              </w:rPr>
              <w:t>May</w:t>
            </w:r>
            <w:r w:rsidR="00DF0896" w:rsidRPr="00D518FF">
              <w:rPr>
                <w:rFonts w:ascii="Aptos" w:hAnsi="Aptos" w:cs="Arial"/>
                <w:sz w:val="16"/>
                <w:szCs w:val="16"/>
              </w:rPr>
              <w:t xml:space="preserve"> 20</w:t>
            </w:r>
            <w:r w:rsidRPr="00D518FF">
              <w:rPr>
                <w:rFonts w:ascii="Aptos" w:hAnsi="Aptos" w:cs="Arial"/>
                <w:sz w:val="16"/>
                <w:szCs w:val="16"/>
              </w:rPr>
              <w:t>19</w:t>
            </w:r>
          </w:p>
        </w:tc>
        <w:tc>
          <w:tcPr>
            <w:tcW w:w="992" w:type="dxa"/>
          </w:tcPr>
          <w:p w14:paraId="5BB1B1E5" w14:textId="6C0D2D12" w:rsidR="005C2D0A" w:rsidRPr="00D518FF" w:rsidRDefault="005C2D0A" w:rsidP="00AA72BD">
            <w:pPr>
              <w:rPr>
                <w:rFonts w:ascii="Aptos" w:hAnsi="Aptos" w:cs="Arial"/>
                <w:sz w:val="16"/>
                <w:szCs w:val="16"/>
              </w:rPr>
            </w:pPr>
            <w:r w:rsidRPr="00D518FF">
              <w:rPr>
                <w:rFonts w:ascii="Aptos" w:hAnsi="Aptos" w:cs="Arial"/>
                <w:sz w:val="16"/>
                <w:szCs w:val="16"/>
              </w:rPr>
              <w:t>English only</w:t>
            </w:r>
          </w:p>
        </w:tc>
        <w:tc>
          <w:tcPr>
            <w:tcW w:w="1436" w:type="dxa"/>
          </w:tcPr>
          <w:p w14:paraId="4B027269" w14:textId="4D0DB55A" w:rsidR="005C2D0A" w:rsidRPr="00D518FF" w:rsidRDefault="005C2D0A" w:rsidP="00AA72BD">
            <w:pPr>
              <w:rPr>
                <w:rFonts w:ascii="Aptos" w:hAnsi="Aptos" w:cs="Arial"/>
                <w:sz w:val="16"/>
                <w:szCs w:val="16"/>
              </w:rPr>
            </w:pPr>
            <w:r w:rsidRPr="00D518FF">
              <w:rPr>
                <w:rFonts w:ascii="Aptos" w:hAnsi="Aptos" w:cs="Arial"/>
                <w:sz w:val="16"/>
                <w:szCs w:val="16"/>
              </w:rPr>
              <w:t>Jadad score</w:t>
            </w:r>
          </w:p>
        </w:tc>
        <w:tc>
          <w:tcPr>
            <w:tcW w:w="985" w:type="dxa"/>
          </w:tcPr>
          <w:p w14:paraId="37EC0647" w14:textId="21F30B66" w:rsidR="005C2D0A" w:rsidRPr="00D518FF" w:rsidRDefault="005C2D0A" w:rsidP="00AA72BD">
            <w:pPr>
              <w:rPr>
                <w:rFonts w:ascii="Aptos" w:hAnsi="Aptos" w:cs="Arial"/>
                <w:sz w:val="16"/>
                <w:szCs w:val="16"/>
              </w:rPr>
            </w:pPr>
            <w:r w:rsidRPr="00D518FF">
              <w:rPr>
                <w:rFonts w:ascii="Aptos" w:hAnsi="Aptos" w:cs="Arial"/>
                <w:sz w:val="16"/>
                <w:szCs w:val="16"/>
              </w:rPr>
              <w:t>Not reported</w:t>
            </w:r>
          </w:p>
        </w:tc>
        <w:tc>
          <w:tcPr>
            <w:tcW w:w="1406" w:type="dxa"/>
          </w:tcPr>
          <w:p w14:paraId="74B9AD5A" w14:textId="04090965" w:rsidR="005C2D0A" w:rsidRPr="00D518FF" w:rsidRDefault="005C2D0A" w:rsidP="00AA72BD">
            <w:pPr>
              <w:rPr>
                <w:rFonts w:ascii="Aptos" w:hAnsi="Aptos" w:cs="Arial"/>
                <w:sz w:val="16"/>
                <w:szCs w:val="16"/>
              </w:rPr>
            </w:pPr>
            <w:r w:rsidRPr="00D518FF">
              <w:rPr>
                <w:rFonts w:ascii="Aptos" w:hAnsi="Aptos" w:cs="Arial"/>
                <w:sz w:val="16"/>
                <w:szCs w:val="16"/>
              </w:rPr>
              <w:t>Raja K. Sivamani serves as a scientific advisor and editor to LearnHealth and as a consultant to Burt’s Bees and Derma- la. Cindy J. Chambers serves as a consultant to Burt’s Bees. Simran Dhaliwal, Mimi Nguyen, Alexandra R. Vaughn, and Manisha Notay have no conflicts of interest that are directly relevant to the content of this article.</w:t>
            </w:r>
          </w:p>
        </w:tc>
        <w:tc>
          <w:tcPr>
            <w:tcW w:w="1002" w:type="dxa"/>
          </w:tcPr>
          <w:p w14:paraId="123C548D" w14:textId="69BA2A27" w:rsidR="005C2D0A" w:rsidRPr="00D518FF" w:rsidRDefault="005C2D0A" w:rsidP="00AA72BD">
            <w:pPr>
              <w:rPr>
                <w:rFonts w:ascii="Aptos" w:hAnsi="Aptos" w:cs="Arial"/>
                <w:sz w:val="16"/>
                <w:szCs w:val="16"/>
              </w:rPr>
            </w:pPr>
            <w:r w:rsidRPr="00D518FF">
              <w:rPr>
                <w:rFonts w:ascii="Aptos" w:hAnsi="Aptos" w:cs="Arial"/>
                <w:sz w:val="16"/>
                <w:szCs w:val="16"/>
              </w:rPr>
              <w:t>No sources of funding were received for the preparation of this article.</w:t>
            </w:r>
          </w:p>
        </w:tc>
      </w:tr>
      <w:tr w:rsidR="001F2487" w:rsidRPr="00D518FF" w14:paraId="6D3B87D2" w14:textId="77777777" w:rsidTr="00F6089E">
        <w:trPr>
          <w:trHeight w:val="646"/>
        </w:trPr>
        <w:tc>
          <w:tcPr>
            <w:tcW w:w="766" w:type="dxa"/>
          </w:tcPr>
          <w:p w14:paraId="1AF1D51A" w14:textId="2BD100E3" w:rsidR="005C2D0A" w:rsidRPr="00D518FF" w:rsidRDefault="005C2D0A" w:rsidP="00AA72BD">
            <w:pPr>
              <w:rPr>
                <w:rFonts w:ascii="Aptos" w:hAnsi="Aptos" w:cs="Arial"/>
                <w:sz w:val="16"/>
                <w:szCs w:val="16"/>
              </w:rPr>
            </w:pPr>
            <w:r w:rsidRPr="00D518FF">
              <w:rPr>
                <w:rFonts w:ascii="Aptos" w:hAnsi="Aptos" w:cs="Arial"/>
                <w:sz w:val="16"/>
                <w:szCs w:val="16"/>
              </w:rPr>
              <w:t>Gray 2019</w:t>
            </w:r>
          </w:p>
        </w:tc>
        <w:tc>
          <w:tcPr>
            <w:tcW w:w="928" w:type="dxa"/>
          </w:tcPr>
          <w:p w14:paraId="4A890BC1" w14:textId="37F69B8B" w:rsidR="005C2D0A" w:rsidRPr="00D518FF" w:rsidRDefault="005C2D0A" w:rsidP="00AA72BD">
            <w:pPr>
              <w:rPr>
                <w:rFonts w:ascii="Aptos" w:hAnsi="Aptos" w:cs="Arial"/>
                <w:sz w:val="16"/>
                <w:szCs w:val="16"/>
              </w:rPr>
            </w:pPr>
            <w:r w:rsidRPr="00D518FF">
              <w:rPr>
                <w:rFonts w:ascii="Aptos" w:hAnsi="Aptos" w:cs="Arial"/>
                <w:sz w:val="16"/>
                <w:szCs w:val="16"/>
              </w:rPr>
              <w:t>Systematic review and meta- analysis</w:t>
            </w:r>
          </w:p>
        </w:tc>
        <w:tc>
          <w:tcPr>
            <w:tcW w:w="1418" w:type="dxa"/>
          </w:tcPr>
          <w:p w14:paraId="0694C5A1" w14:textId="1D43F1E4" w:rsidR="005C2D0A" w:rsidRPr="00D518FF" w:rsidRDefault="005C2D0A" w:rsidP="00AA72BD">
            <w:pPr>
              <w:rPr>
                <w:rFonts w:ascii="Aptos" w:hAnsi="Aptos" w:cs="Arial"/>
                <w:sz w:val="16"/>
                <w:szCs w:val="16"/>
              </w:rPr>
            </w:pPr>
            <w:r w:rsidRPr="00D518FF">
              <w:rPr>
                <w:rFonts w:ascii="Aptos" w:hAnsi="Aptos" w:cs="Arial"/>
                <w:sz w:val="16"/>
                <w:szCs w:val="16"/>
              </w:rPr>
              <w:t>To determine (i) the association between zinc levels or zinc deficiency and AD and (ii) the efficacy of oral zinc supplementation in the treatment of AD</w:t>
            </w:r>
          </w:p>
        </w:tc>
        <w:tc>
          <w:tcPr>
            <w:tcW w:w="849" w:type="dxa"/>
          </w:tcPr>
          <w:p w14:paraId="146E7527" w14:textId="1CDF36E1" w:rsidR="005C2D0A" w:rsidRPr="00D518FF" w:rsidRDefault="002C0FBD" w:rsidP="00AA72BD">
            <w:pPr>
              <w:rPr>
                <w:rFonts w:ascii="Aptos" w:hAnsi="Aptos" w:cs="Arial"/>
                <w:sz w:val="16"/>
                <w:szCs w:val="16"/>
              </w:rPr>
            </w:pPr>
            <w:r w:rsidRPr="00D518FF">
              <w:rPr>
                <w:rFonts w:ascii="Aptos" w:hAnsi="Aptos" w:cs="Arial"/>
                <w:sz w:val="16"/>
                <w:szCs w:val="16"/>
              </w:rPr>
              <w:t>C</w:t>
            </w:r>
            <w:r w:rsidR="005C2D0A" w:rsidRPr="00D518FF">
              <w:rPr>
                <w:rFonts w:ascii="Aptos" w:hAnsi="Aptos" w:cs="Arial"/>
                <w:sz w:val="16"/>
                <w:szCs w:val="16"/>
              </w:rPr>
              <w:t xml:space="preserve">ase–control, cross-sectional, cohort, </w:t>
            </w:r>
            <w:r w:rsidR="004622EE" w:rsidRPr="00D518FF">
              <w:rPr>
                <w:rFonts w:ascii="Aptos" w:hAnsi="Aptos" w:cs="Arial"/>
                <w:sz w:val="16"/>
                <w:szCs w:val="16"/>
              </w:rPr>
              <w:t>RCT</w:t>
            </w:r>
          </w:p>
        </w:tc>
        <w:tc>
          <w:tcPr>
            <w:tcW w:w="1131" w:type="dxa"/>
          </w:tcPr>
          <w:p w14:paraId="6C910D77" w14:textId="612EA9BE" w:rsidR="005C2D0A" w:rsidRPr="00D518FF" w:rsidRDefault="005C2D0A" w:rsidP="00AA72BD">
            <w:pPr>
              <w:rPr>
                <w:rFonts w:ascii="Aptos" w:hAnsi="Aptos" w:cs="Arial"/>
                <w:sz w:val="16"/>
                <w:szCs w:val="16"/>
              </w:rPr>
            </w:pPr>
            <w:r w:rsidRPr="00D518FF">
              <w:rPr>
                <w:rFonts w:ascii="Aptos" w:hAnsi="Aptos" w:cs="Arial"/>
                <w:sz w:val="16"/>
                <w:szCs w:val="16"/>
              </w:rPr>
              <w:t>1, 4</w:t>
            </w:r>
          </w:p>
        </w:tc>
        <w:tc>
          <w:tcPr>
            <w:tcW w:w="851" w:type="dxa"/>
          </w:tcPr>
          <w:p w14:paraId="13BE8632" w14:textId="3D03D248" w:rsidR="005C2D0A" w:rsidRPr="00D518FF" w:rsidRDefault="005C2D0A" w:rsidP="00AA72BD">
            <w:pPr>
              <w:rPr>
                <w:rFonts w:ascii="Aptos" w:hAnsi="Aptos" w:cs="Arial"/>
                <w:sz w:val="16"/>
                <w:szCs w:val="16"/>
              </w:rPr>
            </w:pPr>
            <w:r w:rsidRPr="00D518FF">
              <w:rPr>
                <w:rFonts w:ascii="Aptos" w:hAnsi="Aptos" w:cs="Arial"/>
                <w:sz w:val="16"/>
                <w:szCs w:val="16"/>
              </w:rPr>
              <w:t>3</w:t>
            </w:r>
          </w:p>
        </w:tc>
        <w:tc>
          <w:tcPr>
            <w:tcW w:w="1423" w:type="dxa"/>
          </w:tcPr>
          <w:p w14:paraId="0F2ED84D" w14:textId="48B56FEA" w:rsidR="005C2D0A" w:rsidRPr="00D518FF" w:rsidRDefault="004622EE" w:rsidP="00AA72BD">
            <w:pPr>
              <w:rPr>
                <w:rFonts w:ascii="Aptos" w:hAnsi="Aptos" w:cs="Arial"/>
                <w:sz w:val="16"/>
                <w:szCs w:val="16"/>
              </w:rPr>
            </w:pPr>
            <w:r w:rsidRPr="00D518FF">
              <w:rPr>
                <w:rFonts w:ascii="Aptos" w:hAnsi="Aptos" w:cs="Arial"/>
                <w:sz w:val="16"/>
                <w:szCs w:val="16"/>
              </w:rPr>
              <w:t>PubMed</w:t>
            </w:r>
            <w:r w:rsidR="005C2D0A" w:rsidRPr="00D518FF">
              <w:rPr>
                <w:rFonts w:ascii="Aptos" w:hAnsi="Aptos" w:cs="Arial"/>
                <w:sz w:val="16"/>
                <w:szCs w:val="16"/>
              </w:rPr>
              <w:t>, Scopus</w:t>
            </w:r>
            <w:r w:rsidR="009C5B40" w:rsidRPr="00D518FF">
              <w:rPr>
                <w:rFonts w:ascii="Aptos" w:hAnsi="Aptos" w:cs="Arial"/>
                <w:sz w:val="16"/>
                <w:szCs w:val="16"/>
              </w:rPr>
              <w:t xml:space="preserve">, </w:t>
            </w:r>
            <w:r w:rsidR="005C2D0A" w:rsidRPr="00D518FF">
              <w:rPr>
                <w:rFonts w:ascii="Aptos" w:hAnsi="Aptos" w:cs="Arial"/>
                <w:sz w:val="16"/>
                <w:szCs w:val="16"/>
              </w:rPr>
              <w:t>Web of Science</w:t>
            </w:r>
          </w:p>
        </w:tc>
        <w:tc>
          <w:tcPr>
            <w:tcW w:w="851" w:type="dxa"/>
          </w:tcPr>
          <w:p w14:paraId="132CB4ED" w14:textId="73934BEE" w:rsidR="005C2D0A" w:rsidRPr="00D518FF" w:rsidRDefault="005C2D0A" w:rsidP="00AA72BD">
            <w:pPr>
              <w:rPr>
                <w:rFonts w:ascii="Aptos" w:hAnsi="Aptos" w:cs="Arial"/>
                <w:sz w:val="16"/>
                <w:szCs w:val="16"/>
              </w:rPr>
            </w:pPr>
            <w:r w:rsidRPr="00D518FF">
              <w:rPr>
                <w:rFonts w:ascii="Aptos" w:hAnsi="Aptos" w:cs="Arial"/>
                <w:sz w:val="16"/>
                <w:szCs w:val="16"/>
              </w:rPr>
              <w:t>Dec</w:t>
            </w:r>
            <w:r w:rsidR="00DF0896" w:rsidRPr="00D518FF">
              <w:rPr>
                <w:rFonts w:ascii="Aptos" w:hAnsi="Aptos" w:cs="Arial"/>
                <w:sz w:val="16"/>
                <w:szCs w:val="16"/>
              </w:rPr>
              <w:t xml:space="preserve"> 20</w:t>
            </w:r>
            <w:r w:rsidRPr="00D518FF">
              <w:rPr>
                <w:rFonts w:ascii="Aptos" w:hAnsi="Aptos" w:cs="Arial"/>
                <w:sz w:val="16"/>
                <w:szCs w:val="16"/>
              </w:rPr>
              <w:t>17</w:t>
            </w:r>
          </w:p>
        </w:tc>
        <w:tc>
          <w:tcPr>
            <w:tcW w:w="992" w:type="dxa"/>
          </w:tcPr>
          <w:p w14:paraId="3525AF5B" w14:textId="340D190E" w:rsidR="005C2D0A" w:rsidRPr="00D518FF" w:rsidRDefault="005C2D0A" w:rsidP="00AA72BD">
            <w:pPr>
              <w:rPr>
                <w:rFonts w:ascii="Aptos" w:hAnsi="Aptos" w:cs="Arial"/>
                <w:sz w:val="16"/>
                <w:szCs w:val="16"/>
              </w:rPr>
            </w:pPr>
            <w:r w:rsidRPr="00D518FF">
              <w:rPr>
                <w:rFonts w:ascii="Aptos" w:hAnsi="Aptos" w:cs="Arial"/>
                <w:sz w:val="16"/>
                <w:szCs w:val="16"/>
              </w:rPr>
              <w:t>NR</w:t>
            </w:r>
          </w:p>
        </w:tc>
        <w:tc>
          <w:tcPr>
            <w:tcW w:w="1436" w:type="dxa"/>
          </w:tcPr>
          <w:p w14:paraId="01C505F0" w14:textId="74D4E730" w:rsidR="005C2D0A" w:rsidRPr="00D518FF" w:rsidRDefault="005C2D0A" w:rsidP="00AA72BD">
            <w:pPr>
              <w:rPr>
                <w:rFonts w:ascii="Aptos" w:hAnsi="Aptos" w:cs="Arial"/>
                <w:sz w:val="16"/>
                <w:szCs w:val="16"/>
              </w:rPr>
            </w:pPr>
            <w:r w:rsidRPr="00D518FF">
              <w:rPr>
                <w:rFonts w:ascii="Aptos" w:hAnsi="Aptos" w:cs="Arial"/>
                <w:sz w:val="16"/>
                <w:szCs w:val="16"/>
              </w:rPr>
              <w:t xml:space="preserve">Newcastle–Ottawa Scale (non-randomised studies); Cochrane </w:t>
            </w:r>
            <w:r w:rsidR="00F60E69" w:rsidRPr="00D518FF">
              <w:rPr>
                <w:rFonts w:ascii="Aptos" w:hAnsi="Aptos" w:cs="Arial"/>
                <w:sz w:val="16"/>
                <w:szCs w:val="16"/>
              </w:rPr>
              <w:t>Risk of Bias tool</w:t>
            </w:r>
            <w:r w:rsidRPr="00D518FF">
              <w:rPr>
                <w:rFonts w:ascii="Aptos" w:hAnsi="Aptos" w:cs="Arial"/>
                <w:sz w:val="16"/>
                <w:szCs w:val="16"/>
              </w:rPr>
              <w:t xml:space="preserve"> (</w:t>
            </w:r>
            <w:r w:rsidR="004622EE" w:rsidRPr="00D518FF">
              <w:rPr>
                <w:rFonts w:ascii="Aptos" w:hAnsi="Aptos" w:cs="Arial"/>
                <w:sz w:val="16"/>
                <w:szCs w:val="16"/>
              </w:rPr>
              <w:t>RCT</w:t>
            </w:r>
            <w:r w:rsidRPr="00D518FF">
              <w:rPr>
                <w:rFonts w:ascii="Aptos" w:hAnsi="Aptos" w:cs="Arial"/>
                <w:sz w:val="16"/>
                <w:szCs w:val="16"/>
              </w:rPr>
              <w:t>s)</w:t>
            </w:r>
          </w:p>
        </w:tc>
        <w:tc>
          <w:tcPr>
            <w:tcW w:w="985" w:type="dxa"/>
          </w:tcPr>
          <w:p w14:paraId="7E816D6C" w14:textId="021A5AC6" w:rsidR="005C2D0A" w:rsidRPr="00D518FF" w:rsidRDefault="005C2D0A" w:rsidP="00AA72BD">
            <w:pPr>
              <w:rPr>
                <w:rFonts w:ascii="Aptos" w:hAnsi="Aptos" w:cs="Arial"/>
                <w:sz w:val="16"/>
                <w:szCs w:val="16"/>
              </w:rPr>
            </w:pPr>
            <w:r w:rsidRPr="00D518FF">
              <w:rPr>
                <w:rFonts w:ascii="Aptos" w:hAnsi="Aptos" w:cs="Arial"/>
                <w:sz w:val="16"/>
                <w:szCs w:val="16"/>
              </w:rPr>
              <w:t>Not reported</w:t>
            </w:r>
          </w:p>
        </w:tc>
        <w:tc>
          <w:tcPr>
            <w:tcW w:w="1406" w:type="dxa"/>
          </w:tcPr>
          <w:p w14:paraId="464FD301" w14:textId="481903FE" w:rsidR="005C2D0A" w:rsidRPr="00D518FF" w:rsidRDefault="005C2D0A" w:rsidP="00AA72BD">
            <w:pPr>
              <w:rPr>
                <w:rFonts w:ascii="Aptos" w:hAnsi="Aptos" w:cs="Arial"/>
                <w:sz w:val="16"/>
                <w:szCs w:val="16"/>
              </w:rPr>
            </w:pPr>
            <w:r w:rsidRPr="00D518FF">
              <w:rPr>
                <w:rFonts w:ascii="Aptos" w:hAnsi="Aptos" w:cs="Arial"/>
                <w:sz w:val="16"/>
                <w:szCs w:val="16"/>
              </w:rPr>
              <w:t>None declared.</w:t>
            </w:r>
          </w:p>
        </w:tc>
        <w:tc>
          <w:tcPr>
            <w:tcW w:w="1002" w:type="dxa"/>
          </w:tcPr>
          <w:p w14:paraId="7F5EA70D" w14:textId="02BB0B9C" w:rsidR="005C2D0A" w:rsidRPr="00D518FF" w:rsidRDefault="005C2D0A" w:rsidP="00AA72BD">
            <w:pPr>
              <w:rPr>
                <w:rFonts w:ascii="Aptos" w:hAnsi="Aptos" w:cs="Arial"/>
                <w:sz w:val="16"/>
                <w:szCs w:val="16"/>
              </w:rPr>
            </w:pPr>
            <w:r w:rsidRPr="00D518FF">
              <w:rPr>
                <w:rFonts w:ascii="Aptos" w:hAnsi="Aptos" w:cs="Arial"/>
                <w:sz w:val="16"/>
                <w:szCs w:val="16"/>
              </w:rPr>
              <w:t>N.A. Gray is funded by the Discovery Foundation.</w:t>
            </w:r>
          </w:p>
        </w:tc>
      </w:tr>
    </w:tbl>
    <w:p w14:paraId="06483A4D" w14:textId="7E1F3E33" w:rsidR="006A303E" w:rsidRPr="00D518FF" w:rsidRDefault="006A303E" w:rsidP="00AA72BD">
      <w:pPr>
        <w:pStyle w:val="2024TABLETEXT"/>
        <w:framePr w:hSpace="0" w:wrap="auto" w:vAnchor="margin" w:yAlign="inline"/>
        <w:spacing w:line="240" w:lineRule="auto"/>
        <w:suppressOverlap w:val="0"/>
        <w:rPr>
          <w:sz w:val="16"/>
          <w:szCs w:val="16"/>
        </w:rPr>
      </w:pPr>
      <w:r w:rsidRPr="00D518FF">
        <w:rPr>
          <w:sz w:val="16"/>
          <w:szCs w:val="16"/>
        </w:rPr>
        <w:t xml:space="preserve">Abbreviations: </w:t>
      </w:r>
      <w:r w:rsidR="002C0FBD" w:rsidRPr="00D518FF">
        <w:rPr>
          <w:rFonts w:cs="Calibri"/>
          <w:color w:val="000000"/>
          <w:sz w:val="16"/>
          <w:szCs w:val="16"/>
        </w:rPr>
        <w:t xml:space="preserve">AD=atopic dermatitis, </w:t>
      </w:r>
      <w:r w:rsidR="009C5B40" w:rsidRPr="00D518FF">
        <w:rPr>
          <w:rFonts w:cs="Calibri"/>
          <w:color w:val="000000"/>
          <w:sz w:val="16"/>
          <w:szCs w:val="16"/>
        </w:rPr>
        <w:t xml:space="preserve">CENTRAL=Cochrane Central Register of Controlled Trials; </w:t>
      </w:r>
      <w:r w:rsidR="004622EE" w:rsidRPr="00D518FF">
        <w:rPr>
          <w:rFonts w:cs="Calibri"/>
          <w:color w:val="000000"/>
          <w:sz w:val="16"/>
          <w:szCs w:val="16"/>
        </w:rPr>
        <w:t>RCT</w:t>
      </w:r>
      <w:r w:rsidR="002C0FBD" w:rsidRPr="00D518FF">
        <w:rPr>
          <w:rFonts w:cs="Calibri"/>
          <w:color w:val="000000"/>
          <w:sz w:val="16"/>
          <w:szCs w:val="16"/>
        </w:rPr>
        <w:t>=randomised controlled trial</w:t>
      </w:r>
    </w:p>
    <w:p w14:paraId="1BF15F56" w14:textId="77777777" w:rsidR="006A303E" w:rsidRPr="00D518FF" w:rsidRDefault="006A303E" w:rsidP="00AA72BD">
      <w:pPr>
        <w:pStyle w:val="Caption1"/>
        <w:spacing w:before="0" w:after="0"/>
        <w:rPr>
          <w:rFonts w:ascii="Aptos" w:hAnsi="Aptos"/>
          <w:b w:val="0"/>
          <w:bCs w:val="0"/>
          <w:sz w:val="16"/>
          <w:szCs w:val="16"/>
        </w:rPr>
      </w:pPr>
    </w:p>
    <w:p w14:paraId="15E32509" w14:textId="77777777" w:rsidR="006A303E" w:rsidRPr="00D518FF" w:rsidRDefault="006A303E"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1C651930" w14:textId="77777777" w:rsidR="00015D48" w:rsidRPr="00D518FF" w:rsidRDefault="00015D48" w:rsidP="003F5774">
      <w:pPr>
        <w:pStyle w:val="ListParagraph"/>
        <w:numPr>
          <w:ilvl w:val="0"/>
          <w:numId w:val="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severity of condition/improvement of symptoms</w:t>
      </w:r>
    </w:p>
    <w:p w14:paraId="22C60437" w14:textId="5346690B" w:rsidR="00015D48" w:rsidRPr="00D518FF" w:rsidRDefault="00015D48" w:rsidP="003F5774">
      <w:pPr>
        <w:pStyle w:val="ListParagraph"/>
        <w:numPr>
          <w:ilvl w:val="0"/>
          <w:numId w:val="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6D83FF9B" w14:textId="77777777" w:rsidR="00015D48" w:rsidRPr="00D518FF" w:rsidRDefault="00015D48" w:rsidP="003F5774">
      <w:pPr>
        <w:pStyle w:val="ListParagraph"/>
        <w:numPr>
          <w:ilvl w:val="0"/>
          <w:numId w:val="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Long-term measure of control of disease</w:t>
      </w:r>
    </w:p>
    <w:p w14:paraId="0B84E1CC" w14:textId="65C3EB3C" w:rsidR="00015D48" w:rsidRPr="00D518FF" w:rsidRDefault="00015D48" w:rsidP="003F5774">
      <w:pPr>
        <w:pStyle w:val="ListParagraph"/>
        <w:numPr>
          <w:ilvl w:val="0"/>
          <w:numId w:val="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Individual changes in symptoms (including degree of redness of skin, day</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time itch, anterior rhinorrhoea (runny nose): where a study reports 'rhinorrhoea' as the outcome, in the absence of a definition within the paper we assumed that this measured anterior rhinorrhoea. Where the authors reported a combined outcome for anterior and posterior rhinorrhoea and we were not able to obtain individual results, we recorded this as a combined 'anterior and posterior rhinorrhoea' category; posterior rhinorrhoea (post</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nasal drip); nasal blockage or congestion or obstruction; nasal itching; sneezing)</w:t>
      </w:r>
    </w:p>
    <w:p w14:paraId="20B1E741" w14:textId="72A0C2FB" w:rsidR="00015D48" w:rsidRPr="00D518FF" w:rsidRDefault="00015D48" w:rsidP="003F5774">
      <w:pPr>
        <w:pStyle w:val="ListParagraph"/>
        <w:numPr>
          <w:ilvl w:val="0"/>
          <w:numId w:val="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Physical function/ disability (return to work/school)</w:t>
      </w:r>
    </w:p>
    <w:p w14:paraId="58A4E53F" w14:textId="2756AF64" w:rsidR="00015D48" w:rsidRPr="00B53559" w:rsidRDefault="00F873CD" w:rsidP="00B53559">
      <w:pPr>
        <w:pStyle w:val="heading2numbers"/>
        <w:rPr>
          <w:rStyle w:val="Heading1Char"/>
          <w:rFonts w:ascii="Aptos" w:eastAsia="Calibri" w:hAnsi="Aptos"/>
          <w:bCs w:val="0"/>
          <w:color w:val="C00000"/>
          <w:sz w:val="28"/>
          <w:szCs w:val="26"/>
        </w:rPr>
      </w:pPr>
      <w:bookmarkStart w:id="160" w:name="_Toc185254652"/>
      <w:r w:rsidRPr="00B53559">
        <w:rPr>
          <w:rStyle w:val="Heading1Char"/>
          <w:rFonts w:ascii="Aptos" w:eastAsia="Calibri" w:hAnsi="Aptos"/>
          <w:bCs w:val="0"/>
          <w:color w:val="C00000"/>
          <w:sz w:val="28"/>
          <w:szCs w:val="26"/>
        </w:rPr>
        <w:t xml:space="preserve">Fatigue (general) (including myalgic encephalomyelitis (ME) and Chronic Fatigue Syndrome (CFS)), </w:t>
      </w:r>
      <w:r w:rsidR="00C16441" w:rsidRPr="00B53559">
        <w:rPr>
          <w:rStyle w:val="Heading1Char"/>
          <w:rFonts w:ascii="Aptos" w:eastAsia="Calibri" w:hAnsi="Aptos"/>
          <w:bCs w:val="0"/>
          <w:color w:val="C00000"/>
          <w:sz w:val="28"/>
          <w:szCs w:val="26"/>
        </w:rPr>
        <w:t>a</w:t>
      </w:r>
      <w:r w:rsidRPr="00B53559">
        <w:rPr>
          <w:rStyle w:val="Heading1Char"/>
          <w:rFonts w:ascii="Aptos" w:eastAsia="Calibri" w:hAnsi="Aptos"/>
          <w:bCs w:val="0"/>
          <w:color w:val="C00000"/>
          <w:sz w:val="28"/>
          <w:szCs w:val="26"/>
        </w:rPr>
        <w:t>ntioxidants (specifically CoQ10 and alpha-lipoic acid)</w:t>
      </w:r>
      <w:bookmarkEnd w:id="160"/>
    </w:p>
    <w:p w14:paraId="2119631E" w14:textId="4F70560F" w:rsidR="00FF3F59" w:rsidRPr="00D518FF" w:rsidRDefault="00345928" w:rsidP="004C6AA1">
      <w:pPr>
        <w:pStyle w:val="Caption"/>
        <w:spacing w:before="240"/>
        <w:rPr>
          <w:rFonts w:ascii="Aptos" w:hAnsi="Aptos"/>
        </w:rPr>
      </w:pPr>
      <w:bookmarkStart w:id="161" w:name="_Toc185254560"/>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14</w:t>
      </w:r>
      <w:r w:rsidR="00DC4767" w:rsidRPr="004C6AA1">
        <w:rPr>
          <w:rFonts w:ascii="Aptos" w:hAnsi="Aptos"/>
        </w:rPr>
        <w:fldChar w:fldCharType="end"/>
      </w:r>
      <w:r w:rsidR="00FF3F59" w:rsidRPr="00D518FF">
        <w:rPr>
          <w:rFonts w:ascii="Aptos" w:hAnsi="Aptos"/>
        </w:rPr>
        <w:t>. Citation details of included reviews – fatigue (general) (including myalgic encephalomyelitis (ME) and Chronic Fatigue Syndrome (CFS)), antioxidants (specifically CoQ10 and alpha-lipoic acid) (n=6).</w:t>
      </w:r>
      <w:bookmarkEnd w:id="161"/>
    </w:p>
    <w:tbl>
      <w:tblPr>
        <w:tblStyle w:val="TableGrid"/>
        <w:tblW w:w="0" w:type="auto"/>
        <w:tblLayout w:type="fixed"/>
        <w:tblCellMar>
          <w:top w:w="28" w:type="dxa"/>
          <w:left w:w="57" w:type="dxa"/>
          <w:bottom w:w="28" w:type="dxa"/>
          <w:right w:w="28" w:type="dxa"/>
        </w:tblCellMar>
        <w:tblLook w:val="04A0" w:firstRow="1" w:lastRow="0" w:firstColumn="1" w:lastColumn="0" w:noHBand="0" w:noVBand="1"/>
      </w:tblPr>
      <w:tblGrid>
        <w:gridCol w:w="988"/>
        <w:gridCol w:w="3969"/>
        <w:gridCol w:w="3352"/>
        <w:gridCol w:w="536"/>
        <w:gridCol w:w="1474"/>
        <w:gridCol w:w="670"/>
        <w:gridCol w:w="536"/>
        <w:gridCol w:w="804"/>
        <w:gridCol w:w="1700"/>
      </w:tblGrid>
      <w:tr w:rsidR="00FF3F59" w:rsidRPr="00D518FF" w14:paraId="43881CA2" w14:textId="77777777" w:rsidTr="00F6089E">
        <w:trPr>
          <w:trHeight w:val="56"/>
          <w:tblHeader/>
        </w:trPr>
        <w:tc>
          <w:tcPr>
            <w:tcW w:w="988" w:type="dxa"/>
            <w:shd w:val="clear" w:color="auto" w:fill="D9D9D9" w:themeFill="background1" w:themeFillShade="D9"/>
          </w:tcPr>
          <w:p w14:paraId="65FC2AA5"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969" w:type="dxa"/>
            <w:shd w:val="clear" w:color="auto" w:fill="D9D9D9" w:themeFill="background1" w:themeFillShade="D9"/>
            <w:noWrap/>
            <w:hideMark/>
          </w:tcPr>
          <w:p w14:paraId="15FCF75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3352" w:type="dxa"/>
            <w:shd w:val="clear" w:color="auto" w:fill="D9D9D9" w:themeFill="background1" w:themeFillShade="D9"/>
            <w:noWrap/>
            <w:hideMark/>
          </w:tcPr>
          <w:p w14:paraId="24A9F164"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36" w:type="dxa"/>
            <w:shd w:val="clear" w:color="auto" w:fill="D9D9D9" w:themeFill="background1" w:themeFillShade="D9"/>
            <w:noWrap/>
            <w:hideMark/>
          </w:tcPr>
          <w:p w14:paraId="269E5DED"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474" w:type="dxa"/>
            <w:shd w:val="clear" w:color="auto" w:fill="D9D9D9" w:themeFill="background1" w:themeFillShade="D9"/>
            <w:noWrap/>
            <w:hideMark/>
          </w:tcPr>
          <w:p w14:paraId="24860359"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670" w:type="dxa"/>
            <w:shd w:val="clear" w:color="auto" w:fill="D9D9D9" w:themeFill="background1" w:themeFillShade="D9"/>
            <w:noWrap/>
            <w:hideMark/>
          </w:tcPr>
          <w:p w14:paraId="443B344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536" w:type="dxa"/>
            <w:shd w:val="clear" w:color="auto" w:fill="D9D9D9" w:themeFill="background1" w:themeFillShade="D9"/>
            <w:noWrap/>
            <w:hideMark/>
          </w:tcPr>
          <w:p w14:paraId="2E51D53F"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804" w:type="dxa"/>
            <w:shd w:val="clear" w:color="auto" w:fill="D9D9D9" w:themeFill="background1" w:themeFillShade="D9"/>
            <w:noWrap/>
            <w:hideMark/>
          </w:tcPr>
          <w:p w14:paraId="146EADF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700" w:type="dxa"/>
            <w:shd w:val="clear" w:color="auto" w:fill="D9D9D9" w:themeFill="background1" w:themeFillShade="D9"/>
            <w:noWrap/>
            <w:hideMark/>
          </w:tcPr>
          <w:p w14:paraId="75150C5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4C9C8492" w14:textId="77777777" w:rsidTr="00F6089E">
        <w:trPr>
          <w:trHeight w:val="51"/>
        </w:trPr>
        <w:tc>
          <w:tcPr>
            <w:tcW w:w="988" w:type="dxa"/>
          </w:tcPr>
          <w:p w14:paraId="57BF4C64" w14:textId="77777777" w:rsidR="00FF3F59" w:rsidRPr="00D518FF" w:rsidRDefault="00FF3F59">
            <w:pPr>
              <w:rPr>
                <w:rFonts w:ascii="Aptos" w:hAnsi="Aptos" w:cs="Arial"/>
                <w:sz w:val="16"/>
                <w:szCs w:val="16"/>
              </w:rPr>
            </w:pPr>
            <w:r w:rsidRPr="00D518FF">
              <w:rPr>
                <w:rFonts w:ascii="Aptos" w:hAnsi="Aptos" w:cs="Arial"/>
                <w:sz w:val="16"/>
                <w:szCs w:val="16"/>
              </w:rPr>
              <w:t>Campagnolo 2017</w:t>
            </w:r>
          </w:p>
        </w:tc>
        <w:tc>
          <w:tcPr>
            <w:tcW w:w="3969" w:type="dxa"/>
          </w:tcPr>
          <w:p w14:paraId="60E2747D" w14:textId="77777777" w:rsidR="00FF3F59" w:rsidRPr="00D518FF" w:rsidRDefault="00FF3F59">
            <w:pPr>
              <w:rPr>
                <w:rFonts w:ascii="Aptos" w:hAnsi="Aptos" w:cs="Arial"/>
                <w:sz w:val="16"/>
                <w:szCs w:val="16"/>
              </w:rPr>
            </w:pPr>
            <w:r w:rsidRPr="00D518FF">
              <w:rPr>
                <w:rFonts w:ascii="Aptos" w:hAnsi="Aptos" w:cs="Arial"/>
                <w:sz w:val="16"/>
                <w:szCs w:val="16"/>
              </w:rPr>
              <w:t>Dietary and nutrition interventions for the therapeutic treatment of chronic fatigue syndrome/myalgic encephalomyelitis: a systematic review</w:t>
            </w:r>
          </w:p>
        </w:tc>
        <w:tc>
          <w:tcPr>
            <w:tcW w:w="3352" w:type="dxa"/>
          </w:tcPr>
          <w:p w14:paraId="6A9BC948" w14:textId="77777777" w:rsidR="00FF3F59" w:rsidRPr="00D518FF" w:rsidRDefault="00FF3F59">
            <w:pPr>
              <w:rPr>
                <w:rFonts w:ascii="Aptos" w:hAnsi="Aptos" w:cs="Arial"/>
                <w:sz w:val="16"/>
                <w:szCs w:val="16"/>
              </w:rPr>
            </w:pPr>
            <w:r w:rsidRPr="00D518FF">
              <w:rPr>
                <w:rFonts w:ascii="Aptos" w:hAnsi="Aptos" w:cs="Arial"/>
                <w:sz w:val="16"/>
                <w:szCs w:val="16"/>
              </w:rPr>
              <w:t>Campagnolo, N.; Johnston, S.; Collatz, A.; Staines, D.; Marshall-Gradisnik, S.</w:t>
            </w:r>
          </w:p>
        </w:tc>
        <w:tc>
          <w:tcPr>
            <w:tcW w:w="536" w:type="dxa"/>
          </w:tcPr>
          <w:p w14:paraId="7585C23E" w14:textId="77777777" w:rsidR="00FF3F59" w:rsidRPr="00D518FF" w:rsidRDefault="00FF3F59">
            <w:pPr>
              <w:rPr>
                <w:rFonts w:ascii="Aptos" w:hAnsi="Aptos" w:cs="Arial"/>
                <w:sz w:val="16"/>
                <w:szCs w:val="16"/>
              </w:rPr>
            </w:pPr>
            <w:r w:rsidRPr="00D518FF">
              <w:rPr>
                <w:rFonts w:ascii="Aptos" w:hAnsi="Aptos" w:cs="Arial"/>
                <w:sz w:val="16"/>
                <w:szCs w:val="16"/>
              </w:rPr>
              <w:t>2017</w:t>
            </w:r>
          </w:p>
        </w:tc>
        <w:tc>
          <w:tcPr>
            <w:tcW w:w="1474" w:type="dxa"/>
          </w:tcPr>
          <w:p w14:paraId="2779C4BA" w14:textId="77777777" w:rsidR="00FF3F59" w:rsidRPr="00D518FF" w:rsidRDefault="00FF3F59">
            <w:pPr>
              <w:rPr>
                <w:rFonts w:ascii="Aptos" w:hAnsi="Aptos" w:cs="Arial"/>
                <w:sz w:val="16"/>
                <w:szCs w:val="16"/>
              </w:rPr>
            </w:pPr>
            <w:r w:rsidRPr="00D518FF">
              <w:rPr>
                <w:rFonts w:ascii="Aptos" w:hAnsi="Aptos" w:cs="Arial"/>
                <w:sz w:val="16"/>
                <w:szCs w:val="16"/>
              </w:rPr>
              <w:t>Journal of Human Nutrition and Dietetics</w:t>
            </w:r>
          </w:p>
        </w:tc>
        <w:tc>
          <w:tcPr>
            <w:tcW w:w="670" w:type="dxa"/>
          </w:tcPr>
          <w:p w14:paraId="057CE552" w14:textId="77777777" w:rsidR="00FF3F59" w:rsidRPr="00D518FF" w:rsidRDefault="00FF3F59">
            <w:pPr>
              <w:rPr>
                <w:rFonts w:ascii="Aptos" w:hAnsi="Aptos" w:cs="Arial"/>
                <w:sz w:val="16"/>
                <w:szCs w:val="16"/>
              </w:rPr>
            </w:pPr>
            <w:r w:rsidRPr="00D518FF">
              <w:rPr>
                <w:rFonts w:ascii="Aptos" w:hAnsi="Aptos" w:cs="Arial"/>
                <w:sz w:val="16"/>
                <w:szCs w:val="16"/>
              </w:rPr>
              <w:t>30</w:t>
            </w:r>
          </w:p>
        </w:tc>
        <w:tc>
          <w:tcPr>
            <w:tcW w:w="536" w:type="dxa"/>
          </w:tcPr>
          <w:p w14:paraId="237634C9" w14:textId="77777777" w:rsidR="00FF3F59" w:rsidRPr="00D518FF" w:rsidRDefault="00FF3F59">
            <w:pPr>
              <w:rPr>
                <w:rFonts w:ascii="Aptos" w:hAnsi="Aptos" w:cs="Arial"/>
                <w:sz w:val="16"/>
                <w:szCs w:val="16"/>
              </w:rPr>
            </w:pPr>
            <w:r w:rsidRPr="00D518FF">
              <w:rPr>
                <w:rFonts w:ascii="Aptos" w:hAnsi="Aptos" w:cs="Arial"/>
                <w:sz w:val="16"/>
                <w:szCs w:val="16"/>
              </w:rPr>
              <w:t>3</w:t>
            </w:r>
          </w:p>
        </w:tc>
        <w:tc>
          <w:tcPr>
            <w:tcW w:w="804" w:type="dxa"/>
          </w:tcPr>
          <w:p w14:paraId="08D3CD21" w14:textId="77777777" w:rsidR="00FF3F59" w:rsidRPr="00D518FF" w:rsidRDefault="00FF3F59">
            <w:pPr>
              <w:rPr>
                <w:rFonts w:ascii="Aptos" w:hAnsi="Aptos" w:cs="Arial"/>
                <w:sz w:val="16"/>
                <w:szCs w:val="16"/>
              </w:rPr>
            </w:pPr>
            <w:r w:rsidRPr="00D518FF">
              <w:rPr>
                <w:rFonts w:ascii="Aptos" w:hAnsi="Aptos" w:cs="Arial"/>
                <w:sz w:val="16"/>
                <w:szCs w:val="16"/>
              </w:rPr>
              <w:t>247-259</w:t>
            </w:r>
          </w:p>
        </w:tc>
        <w:tc>
          <w:tcPr>
            <w:tcW w:w="1700" w:type="dxa"/>
          </w:tcPr>
          <w:p w14:paraId="407110C1" w14:textId="77777777" w:rsidR="00FF3F59" w:rsidRPr="00D518FF" w:rsidRDefault="00FF3F59">
            <w:pPr>
              <w:rPr>
                <w:rFonts w:ascii="Aptos" w:hAnsi="Aptos" w:cs="Arial"/>
                <w:sz w:val="16"/>
                <w:szCs w:val="16"/>
              </w:rPr>
            </w:pPr>
            <w:r w:rsidRPr="00D518FF">
              <w:rPr>
                <w:rFonts w:ascii="Aptos" w:hAnsi="Aptos" w:cs="Arial"/>
                <w:sz w:val="16"/>
                <w:szCs w:val="16"/>
              </w:rPr>
              <w:t>https://dx.doi.org/10.1111/jhn.12435</w:t>
            </w:r>
          </w:p>
        </w:tc>
      </w:tr>
      <w:tr w:rsidR="00FF3F59" w:rsidRPr="00D518FF" w14:paraId="598D9E5C" w14:textId="77777777" w:rsidTr="00F6089E">
        <w:trPr>
          <w:trHeight w:val="51"/>
        </w:trPr>
        <w:tc>
          <w:tcPr>
            <w:tcW w:w="988" w:type="dxa"/>
          </w:tcPr>
          <w:p w14:paraId="2B96A151" w14:textId="77777777" w:rsidR="00FF3F59" w:rsidRPr="00D518FF" w:rsidRDefault="00FF3F59">
            <w:pPr>
              <w:rPr>
                <w:rFonts w:ascii="Aptos" w:hAnsi="Aptos" w:cs="Arial"/>
                <w:sz w:val="16"/>
                <w:szCs w:val="16"/>
              </w:rPr>
            </w:pPr>
            <w:r w:rsidRPr="00D518FF">
              <w:rPr>
                <w:rFonts w:ascii="Aptos" w:hAnsi="Aptos" w:cs="Arial"/>
                <w:sz w:val="16"/>
                <w:szCs w:val="16"/>
              </w:rPr>
              <w:t>Kim 2020</w:t>
            </w:r>
          </w:p>
        </w:tc>
        <w:tc>
          <w:tcPr>
            <w:tcW w:w="3969" w:type="dxa"/>
          </w:tcPr>
          <w:p w14:paraId="4CB776D1" w14:textId="77777777" w:rsidR="00FF3F59" w:rsidRPr="00D518FF" w:rsidRDefault="00FF3F59">
            <w:pPr>
              <w:rPr>
                <w:rFonts w:ascii="Aptos" w:hAnsi="Aptos" w:cs="Arial"/>
                <w:sz w:val="16"/>
                <w:szCs w:val="16"/>
              </w:rPr>
            </w:pPr>
            <w:r w:rsidRPr="00D518FF">
              <w:rPr>
                <w:rFonts w:ascii="Aptos" w:hAnsi="Aptos" w:cs="Arial"/>
                <w:sz w:val="16"/>
                <w:szCs w:val="16"/>
              </w:rPr>
              <w:t>Systematic review of randomized controlled trials for chronic fatigue syndrome/myalgic encephalomyelitis (CFS/ME)</w:t>
            </w:r>
          </w:p>
        </w:tc>
        <w:tc>
          <w:tcPr>
            <w:tcW w:w="3352" w:type="dxa"/>
          </w:tcPr>
          <w:p w14:paraId="35561A53" w14:textId="77777777" w:rsidR="00FF3F59" w:rsidRPr="00D518FF" w:rsidRDefault="00FF3F59">
            <w:pPr>
              <w:rPr>
                <w:rFonts w:ascii="Aptos" w:hAnsi="Aptos" w:cs="Arial"/>
                <w:sz w:val="16"/>
                <w:szCs w:val="16"/>
              </w:rPr>
            </w:pPr>
            <w:r w:rsidRPr="00D518FF">
              <w:rPr>
                <w:rFonts w:ascii="Aptos" w:hAnsi="Aptos" w:cs="Arial"/>
                <w:sz w:val="16"/>
                <w:szCs w:val="16"/>
              </w:rPr>
              <w:t>Kim, D. Y.; Lee, J. S.; Park, S. Y.; Kim, S. J.; Son, C. G.</w:t>
            </w:r>
          </w:p>
        </w:tc>
        <w:tc>
          <w:tcPr>
            <w:tcW w:w="536" w:type="dxa"/>
          </w:tcPr>
          <w:p w14:paraId="433CB94B" w14:textId="77777777" w:rsidR="00FF3F59" w:rsidRPr="00D518FF" w:rsidRDefault="00FF3F59">
            <w:pPr>
              <w:rPr>
                <w:rFonts w:ascii="Aptos" w:hAnsi="Aptos" w:cs="Arial"/>
                <w:sz w:val="16"/>
                <w:szCs w:val="16"/>
              </w:rPr>
            </w:pPr>
            <w:r w:rsidRPr="00D518FF">
              <w:rPr>
                <w:rFonts w:ascii="Aptos" w:hAnsi="Aptos" w:cs="Arial"/>
                <w:sz w:val="16"/>
                <w:szCs w:val="16"/>
              </w:rPr>
              <w:t>2020</w:t>
            </w:r>
          </w:p>
        </w:tc>
        <w:tc>
          <w:tcPr>
            <w:tcW w:w="1474" w:type="dxa"/>
          </w:tcPr>
          <w:p w14:paraId="0B9D559B" w14:textId="77777777" w:rsidR="00FF3F59" w:rsidRPr="00D518FF" w:rsidRDefault="00FF3F59">
            <w:pPr>
              <w:rPr>
                <w:rFonts w:ascii="Aptos" w:hAnsi="Aptos" w:cs="Arial"/>
                <w:sz w:val="16"/>
                <w:szCs w:val="16"/>
              </w:rPr>
            </w:pPr>
            <w:r w:rsidRPr="00D518FF">
              <w:rPr>
                <w:rFonts w:ascii="Aptos" w:hAnsi="Aptos" w:cs="Arial"/>
                <w:sz w:val="16"/>
                <w:szCs w:val="16"/>
              </w:rPr>
              <w:t>Journal of translational medicine</w:t>
            </w:r>
          </w:p>
        </w:tc>
        <w:tc>
          <w:tcPr>
            <w:tcW w:w="670" w:type="dxa"/>
          </w:tcPr>
          <w:p w14:paraId="2DE9C93E" w14:textId="77777777" w:rsidR="00FF3F59" w:rsidRPr="00D518FF" w:rsidRDefault="00FF3F59">
            <w:pPr>
              <w:rPr>
                <w:rFonts w:ascii="Aptos" w:hAnsi="Aptos" w:cs="Arial"/>
                <w:sz w:val="16"/>
                <w:szCs w:val="16"/>
              </w:rPr>
            </w:pPr>
            <w:r w:rsidRPr="00D518FF">
              <w:rPr>
                <w:rFonts w:ascii="Aptos" w:hAnsi="Aptos" w:cs="Arial"/>
                <w:sz w:val="16"/>
                <w:szCs w:val="16"/>
              </w:rPr>
              <w:t>18</w:t>
            </w:r>
          </w:p>
        </w:tc>
        <w:tc>
          <w:tcPr>
            <w:tcW w:w="536" w:type="dxa"/>
          </w:tcPr>
          <w:p w14:paraId="7CDA1042" w14:textId="77777777" w:rsidR="00FF3F59" w:rsidRPr="00D518FF" w:rsidRDefault="00FF3F59">
            <w:pPr>
              <w:rPr>
                <w:rFonts w:ascii="Aptos" w:hAnsi="Aptos" w:cs="Arial"/>
                <w:sz w:val="16"/>
                <w:szCs w:val="16"/>
              </w:rPr>
            </w:pPr>
            <w:r w:rsidRPr="00D518FF">
              <w:rPr>
                <w:rFonts w:ascii="Aptos" w:hAnsi="Aptos" w:cs="Arial"/>
                <w:sz w:val="16"/>
                <w:szCs w:val="16"/>
              </w:rPr>
              <w:t>1</w:t>
            </w:r>
          </w:p>
        </w:tc>
        <w:tc>
          <w:tcPr>
            <w:tcW w:w="804" w:type="dxa"/>
          </w:tcPr>
          <w:p w14:paraId="54AEB1C8" w14:textId="77777777" w:rsidR="00FF3F59" w:rsidRPr="00D518FF" w:rsidRDefault="00FF3F59">
            <w:pPr>
              <w:rPr>
                <w:rFonts w:ascii="Aptos" w:hAnsi="Aptos" w:cs="Arial"/>
                <w:sz w:val="16"/>
                <w:szCs w:val="16"/>
              </w:rPr>
            </w:pPr>
            <w:r w:rsidRPr="00D518FF">
              <w:rPr>
                <w:rFonts w:ascii="Aptos" w:hAnsi="Aptos" w:cs="Arial"/>
                <w:sz w:val="16"/>
                <w:szCs w:val="16"/>
              </w:rPr>
              <w:t>7</w:t>
            </w:r>
          </w:p>
        </w:tc>
        <w:tc>
          <w:tcPr>
            <w:tcW w:w="1700" w:type="dxa"/>
          </w:tcPr>
          <w:p w14:paraId="4CE71E98" w14:textId="77777777" w:rsidR="00FF3F59" w:rsidRPr="00D518FF" w:rsidRDefault="00FF3F59">
            <w:pPr>
              <w:rPr>
                <w:rFonts w:ascii="Aptos" w:hAnsi="Aptos" w:cs="Arial"/>
                <w:sz w:val="16"/>
                <w:szCs w:val="16"/>
              </w:rPr>
            </w:pPr>
            <w:r w:rsidRPr="00D518FF">
              <w:rPr>
                <w:rFonts w:ascii="Aptos" w:hAnsi="Aptos" w:cs="Arial"/>
                <w:sz w:val="16"/>
                <w:szCs w:val="16"/>
              </w:rPr>
              <w:t>10.1186/s12967-019-02196-9</w:t>
            </w:r>
          </w:p>
        </w:tc>
      </w:tr>
      <w:tr w:rsidR="00FF3F59" w:rsidRPr="00D518FF" w14:paraId="7831CDA3" w14:textId="77777777" w:rsidTr="00A6108F">
        <w:trPr>
          <w:trHeight w:val="51"/>
        </w:trPr>
        <w:tc>
          <w:tcPr>
            <w:tcW w:w="988" w:type="dxa"/>
            <w:shd w:val="clear" w:color="auto" w:fill="EFFFE9"/>
          </w:tcPr>
          <w:p w14:paraId="290113E7" w14:textId="77777777" w:rsidR="00FF3F59" w:rsidRPr="00D518FF" w:rsidRDefault="00FF3F59">
            <w:pPr>
              <w:rPr>
                <w:rFonts w:ascii="Aptos" w:hAnsi="Aptos" w:cs="Arial"/>
                <w:sz w:val="16"/>
                <w:szCs w:val="16"/>
              </w:rPr>
            </w:pPr>
            <w:r w:rsidRPr="00D518FF">
              <w:rPr>
                <w:rFonts w:ascii="Aptos" w:hAnsi="Aptos" w:cs="Arial"/>
                <w:sz w:val="16"/>
                <w:szCs w:val="16"/>
              </w:rPr>
              <w:t>Marx 2019</w:t>
            </w:r>
          </w:p>
        </w:tc>
        <w:tc>
          <w:tcPr>
            <w:tcW w:w="3969" w:type="dxa"/>
            <w:shd w:val="clear" w:color="auto" w:fill="EFFFE9"/>
          </w:tcPr>
          <w:p w14:paraId="29654EA6" w14:textId="77777777" w:rsidR="00FF3F59" w:rsidRPr="00D518FF" w:rsidRDefault="00FF3F59">
            <w:pPr>
              <w:rPr>
                <w:rFonts w:ascii="Aptos" w:hAnsi="Aptos" w:cs="Arial"/>
                <w:sz w:val="16"/>
                <w:szCs w:val="16"/>
              </w:rPr>
            </w:pPr>
            <w:r w:rsidRPr="00D518FF">
              <w:rPr>
                <w:rFonts w:ascii="Aptos" w:hAnsi="Aptos" w:cs="Arial"/>
                <w:sz w:val="16"/>
                <w:szCs w:val="16"/>
              </w:rPr>
              <w:t>The effect of emerging nutraceutical interventions for clinical and biological outcomes in multiple sclerosis: A systematic review</w:t>
            </w:r>
          </w:p>
        </w:tc>
        <w:tc>
          <w:tcPr>
            <w:tcW w:w="3352" w:type="dxa"/>
            <w:shd w:val="clear" w:color="auto" w:fill="EFFFE9"/>
          </w:tcPr>
          <w:p w14:paraId="2E8705F4" w14:textId="77777777" w:rsidR="00FF3F59" w:rsidRPr="00D518FF" w:rsidRDefault="00FF3F59">
            <w:pPr>
              <w:rPr>
                <w:rFonts w:ascii="Aptos" w:hAnsi="Aptos" w:cs="Arial"/>
                <w:sz w:val="16"/>
                <w:szCs w:val="16"/>
              </w:rPr>
            </w:pPr>
            <w:r w:rsidRPr="00D518FF">
              <w:rPr>
                <w:rFonts w:ascii="Aptos" w:hAnsi="Aptos" w:cs="Arial"/>
                <w:sz w:val="16"/>
                <w:szCs w:val="16"/>
              </w:rPr>
              <w:t>Marx, W.; Hockey, M.; McGuinness, A. J.; Lane, M.; Christodoulou, J.; van der Mei, I.; Berk, M.; Dean, O. M.; Taylor, B.; Broadley, S.; Lechner-Scott, J.; Jacka, F. N.; Lucas, R. M.; Ponsonby, A. L.; Relief Trial team</w:t>
            </w:r>
          </w:p>
        </w:tc>
        <w:tc>
          <w:tcPr>
            <w:tcW w:w="536" w:type="dxa"/>
            <w:shd w:val="clear" w:color="auto" w:fill="EFFFE9"/>
          </w:tcPr>
          <w:p w14:paraId="0CFC3EB4" w14:textId="77777777" w:rsidR="00FF3F59" w:rsidRPr="00D518FF" w:rsidRDefault="00FF3F59">
            <w:pPr>
              <w:rPr>
                <w:rFonts w:ascii="Aptos" w:hAnsi="Aptos" w:cs="Arial"/>
                <w:sz w:val="16"/>
                <w:szCs w:val="16"/>
              </w:rPr>
            </w:pPr>
            <w:r w:rsidRPr="00D518FF">
              <w:rPr>
                <w:rFonts w:ascii="Aptos" w:hAnsi="Aptos" w:cs="Arial"/>
                <w:sz w:val="16"/>
                <w:szCs w:val="16"/>
              </w:rPr>
              <w:t>2019</w:t>
            </w:r>
          </w:p>
        </w:tc>
        <w:tc>
          <w:tcPr>
            <w:tcW w:w="1474" w:type="dxa"/>
            <w:shd w:val="clear" w:color="auto" w:fill="EFFFE9"/>
          </w:tcPr>
          <w:p w14:paraId="43FE49CB" w14:textId="77777777" w:rsidR="00FF3F59" w:rsidRPr="00D518FF" w:rsidRDefault="00FF3F59">
            <w:pPr>
              <w:rPr>
                <w:rFonts w:ascii="Aptos" w:hAnsi="Aptos" w:cs="Arial"/>
                <w:sz w:val="16"/>
                <w:szCs w:val="16"/>
              </w:rPr>
            </w:pPr>
            <w:r w:rsidRPr="00D518FF">
              <w:rPr>
                <w:rFonts w:ascii="Aptos" w:hAnsi="Aptos" w:cs="Arial"/>
                <w:sz w:val="16"/>
                <w:szCs w:val="16"/>
              </w:rPr>
              <w:t>Multiple sclerosis and related disorders</w:t>
            </w:r>
          </w:p>
        </w:tc>
        <w:tc>
          <w:tcPr>
            <w:tcW w:w="670" w:type="dxa"/>
            <w:shd w:val="clear" w:color="auto" w:fill="EFFFE9"/>
          </w:tcPr>
          <w:p w14:paraId="0D61D8C0" w14:textId="77777777" w:rsidR="00FF3F59" w:rsidRPr="00D518FF" w:rsidRDefault="00FF3F59">
            <w:pPr>
              <w:rPr>
                <w:rFonts w:ascii="Aptos" w:hAnsi="Aptos" w:cs="Arial"/>
                <w:sz w:val="16"/>
                <w:szCs w:val="16"/>
              </w:rPr>
            </w:pPr>
            <w:r w:rsidRPr="00D518FF">
              <w:rPr>
                <w:rFonts w:ascii="Aptos" w:hAnsi="Aptos" w:cs="Arial"/>
                <w:sz w:val="16"/>
                <w:szCs w:val="16"/>
              </w:rPr>
              <w:t>37</w:t>
            </w:r>
          </w:p>
        </w:tc>
        <w:tc>
          <w:tcPr>
            <w:tcW w:w="536" w:type="dxa"/>
            <w:shd w:val="clear" w:color="auto" w:fill="EFFFE9"/>
          </w:tcPr>
          <w:p w14:paraId="7DC4F5B8" w14:textId="77777777" w:rsidR="00FF3F59" w:rsidRPr="00D518FF" w:rsidRDefault="00FF3F59">
            <w:pPr>
              <w:rPr>
                <w:rFonts w:ascii="Aptos" w:hAnsi="Aptos" w:cs="Arial"/>
                <w:sz w:val="16"/>
                <w:szCs w:val="16"/>
              </w:rPr>
            </w:pPr>
          </w:p>
        </w:tc>
        <w:tc>
          <w:tcPr>
            <w:tcW w:w="804" w:type="dxa"/>
            <w:shd w:val="clear" w:color="auto" w:fill="EFFFE9"/>
          </w:tcPr>
          <w:p w14:paraId="081387FD" w14:textId="77777777" w:rsidR="00FF3F59" w:rsidRPr="00D518FF" w:rsidRDefault="00FF3F59">
            <w:pPr>
              <w:rPr>
                <w:rFonts w:ascii="Aptos" w:hAnsi="Aptos" w:cs="Arial"/>
                <w:sz w:val="16"/>
                <w:szCs w:val="16"/>
              </w:rPr>
            </w:pPr>
            <w:r w:rsidRPr="00D518FF">
              <w:rPr>
                <w:rFonts w:ascii="Aptos" w:hAnsi="Aptos" w:cs="Arial"/>
                <w:sz w:val="16"/>
                <w:szCs w:val="16"/>
              </w:rPr>
              <w:t>101486</w:t>
            </w:r>
          </w:p>
        </w:tc>
        <w:tc>
          <w:tcPr>
            <w:tcW w:w="1700" w:type="dxa"/>
            <w:shd w:val="clear" w:color="auto" w:fill="EFFFE9"/>
          </w:tcPr>
          <w:p w14:paraId="70549700" w14:textId="77777777" w:rsidR="00FF3F59" w:rsidRPr="00D518FF" w:rsidRDefault="00FF3F59">
            <w:pPr>
              <w:rPr>
                <w:rFonts w:ascii="Aptos" w:hAnsi="Aptos" w:cs="Arial"/>
                <w:sz w:val="16"/>
                <w:szCs w:val="16"/>
              </w:rPr>
            </w:pPr>
            <w:r w:rsidRPr="00D518FF">
              <w:rPr>
                <w:rFonts w:ascii="Aptos" w:hAnsi="Aptos" w:cs="Arial"/>
                <w:sz w:val="16"/>
                <w:szCs w:val="16"/>
              </w:rPr>
              <w:t>10.1016/j.msard.2019.101486</w:t>
            </w:r>
          </w:p>
        </w:tc>
      </w:tr>
      <w:tr w:rsidR="00FF3F59" w:rsidRPr="00D518FF" w14:paraId="77CF1FCC" w14:textId="77777777" w:rsidTr="00F6089E">
        <w:trPr>
          <w:trHeight w:val="51"/>
        </w:trPr>
        <w:tc>
          <w:tcPr>
            <w:tcW w:w="988" w:type="dxa"/>
          </w:tcPr>
          <w:p w14:paraId="29AAE31F" w14:textId="77777777" w:rsidR="00FF3F59" w:rsidRPr="00D518FF" w:rsidRDefault="00FF3F59">
            <w:pPr>
              <w:rPr>
                <w:rFonts w:ascii="Aptos" w:hAnsi="Aptos" w:cs="Arial"/>
                <w:sz w:val="16"/>
                <w:szCs w:val="16"/>
              </w:rPr>
            </w:pPr>
            <w:r w:rsidRPr="00D518FF">
              <w:rPr>
                <w:rFonts w:ascii="Aptos" w:hAnsi="Aptos" w:cs="Arial"/>
                <w:sz w:val="16"/>
                <w:szCs w:val="16"/>
              </w:rPr>
              <w:t>Mehrabani 2019</w:t>
            </w:r>
          </w:p>
        </w:tc>
        <w:tc>
          <w:tcPr>
            <w:tcW w:w="3969" w:type="dxa"/>
          </w:tcPr>
          <w:p w14:paraId="1BD7EE50" w14:textId="77777777" w:rsidR="00FF3F59" w:rsidRPr="00D518FF" w:rsidRDefault="00FF3F59">
            <w:pPr>
              <w:rPr>
                <w:rFonts w:ascii="Aptos" w:hAnsi="Aptos" w:cs="Arial"/>
                <w:sz w:val="16"/>
                <w:szCs w:val="16"/>
              </w:rPr>
            </w:pPr>
            <w:r w:rsidRPr="00D518FF">
              <w:rPr>
                <w:rFonts w:ascii="Aptos" w:hAnsi="Aptos" w:cs="Arial"/>
                <w:sz w:val="16"/>
                <w:szCs w:val="16"/>
              </w:rPr>
              <w:t>Effect of coenzyme Q10 supplementation on fatigue: A systematic review of interventional studies</w:t>
            </w:r>
          </w:p>
        </w:tc>
        <w:tc>
          <w:tcPr>
            <w:tcW w:w="3352" w:type="dxa"/>
          </w:tcPr>
          <w:p w14:paraId="45DE2291" w14:textId="77777777" w:rsidR="00FF3F59" w:rsidRPr="00D518FF" w:rsidRDefault="00FF3F59">
            <w:pPr>
              <w:rPr>
                <w:rFonts w:ascii="Aptos" w:hAnsi="Aptos" w:cs="Arial"/>
                <w:sz w:val="16"/>
                <w:szCs w:val="16"/>
              </w:rPr>
            </w:pPr>
            <w:r w:rsidRPr="00D518FF">
              <w:rPr>
                <w:rFonts w:ascii="Aptos" w:hAnsi="Aptos" w:cs="Arial"/>
                <w:sz w:val="16"/>
                <w:szCs w:val="16"/>
              </w:rPr>
              <w:t>Mehrabani, S.; Askari, G.; Miraghajani, M.; Tavakoly, R.; Arab, A.</w:t>
            </w:r>
          </w:p>
        </w:tc>
        <w:tc>
          <w:tcPr>
            <w:tcW w:w="536" w:type="dxa"/>
          </w:tcPr>
          <w:p w14:paraId="75E0F4A8" w14:textId="77777777" w:rsidR="00FF3F59" w:rsidRPr="00D518FF" w:rsidRDefault="00FF3F59">
            <w:pPr>
              <w:rPr>
                <w:rFonts w:ascii="Aptos" w:hAnsi="Aptos" w:cs="Arial"/>
                <w:sz w:val="16"/>
                <w:szCs w:val="16"/>
              </w:rPr>
            </w:pPr>
            <w:r w:rsidRPr="00D518FF">
              <w:rPr>
                <w:rFonts w:ascii="Aptos" w:hAnsi="Aptos" w:cs="Arial"/>
                <w:sz w:val="16"/>
                <w:szCs w:val="16"/>
              </w:rPr>
              <w:t>2019</w:t>
            </w:r>
          </w:p>
        </w:tc>
        <w:tc>
          <w:tcPr>
            <w:tcW w:w="1474" w:type="dxa"/>
          </w:tcPr>
          <w:p w14:paraId="5216C505" w14:textId="77777777" w:rsidR="00FF3F59" w:rsidRPr="00D518FF" w:rsidRDefault="00FF3F59">
            <w:pPr>
              <w:rPr>
                <w:rFonts w:ascii="Aptos" w:hAnsi="Aptos" w:cs="Arial"/>
                <w:sz w:val="16"/>
                <w:szCs w:val="16"/>
              </w:rPr>
            </w:pPr>
            <w:r w:rsidRPr="00D518FF">
              <w:rPr>
                <w:rFonts w:ascii="Aptos" w:hAnsi="Aptos" w:cs="Arial"/>
                <w:sz w:val="16"/>
                <w:szCs w:val="16"/>
              </w:rPr>
              <w:t>Complementary therapies in medicine</w:t>
            </w:r>
          </w:p>
        </w:tc>
        <w:tc>
          <w:tcPr>
            <w:tcW w:w="670" w:type="dxa"/>
          </w:tcPr>
          <w:p w14:paraId="4E91318C" w14:textId="77777777" w:rsidR="00FF3F59" w:rsidRPr="00D518FF" w:rsidRDefault="00FF3F59">
            <w:pPr>
              <w:rPr>
                <w:rFonts w:ascii="Aptos" w:hAnsi="Aptos" w:cs="Arial"/>
                <w:sz w:val="16"/>
                <w:szCs w:val="16"/>
              </w:rPr>
            </w:pPr>
            <w:r w:rsidRPr="00D518FF">
              <w:rPr>
                <w:rFonts w:ascii="Aptos" w:hAnsi="Aptos" w:cs="Arial"/>
                <w:sz w:val="16"/>
                <w:szCs w:val="16"/>
              </w:rPr>
              <w:t>43</w:t>
            </w:r>
          </w:p>
        </w:tc>
        <w:tc>
          <w:tcPr>
            <w:tcW w:w="536" w:type="dxa"/>
          </w:tcPr>
          <w:p w14:paraId="3326B4CE" w14:textId="77777777" w:rsidR="00FF3F59" w:rsidRPr="00D518FF" w:rsidRDefault="00FF3F59">
            <w:pPr>
              <w:rPr>
                <w:rFonts w:ascii="Aptos" w:hAnsi="Aptos" w:cs="Arial"/>
                <w:sz w:val="16"/>
                <w:szCs w:val="16"/>
              </w:rPr>
            </w:pPr>
          </w:p>
        </w:tc>
        <w:tc>
          <w:tcPr>
            <w:tcW w:w="804" w:type="dxa"/>
          </w:tcPr>
          <w:p w14:paraId="6EF320B8" w14:textId="77777777" w:rsidR="00FF3F59" w:rsidRPr="00D518FF" w:rsidRDefault="00FF3F59">
            <w:pPr>
              <w:rPr>
                <w:rFonts w:ascii="Aptos" w:hAnsi="Aptos" w:cs="Arial"/>
                <w:sz w:val="16"/>
                <w:szCs w:val="16"/>
              </w:rPr>
            </w:pPr>
            <w:r w:rsidRPr="00D518FF">
              <w:rPr>
                <w:rFonts w:ascii="Aptos" w:hAnsi="Aptos" w:cs="Arial"/>
                <w:sz w:val="16"/>
                <w:szCs w:val="16"/>
              </w:rPr>
              <w:t>181-187</w:t>
            </w:r>
          </w:p>
        </w:tc>
        <w:tc>
          <w:tcPr>
            <w:tcW w:w="1700" w:type="dxa"/>
          </w:tcPr>
          <w:p w14:paraId="003B238A" w14:textId="77777777" w:rsidR="00FF3F59" w:rsidRPr="00D518FF" w:rsidRDefault="00FF3F59">
            <w:pPr>
              <w:rPr>
                <w:rFonts w:ascii="Aptos" w:hAnsi="Aptos" w:cs="Arial"/>
                <w:sz w:val="16"/>
                <w:szCs w:val="16"/>
              </w:rPr>
            </w:pPr>
            <w:r w:rsidRPr="00D518FF">
              <w:rPr>
                <w:rFonts w:ascii="Aptos" w:hAnsi="Aptos" w:cs="Arial"/>
                <w:sz w:val="16"/>
                <w:szCs w:val="16"/>
              </w:rPr>
              <w:t>10.1016/j.ctim.2019.01.022</w:t>
            </w:r>
          </w:p>
        </w:tc>
      </w:tr>
      <w:tr w:rsidR="00FF3F59" w:rsidRPr="00D518FF" w14:paraId="3BBFDF55" w14:textId="77777777" w:rsidTr="00F6089E">
        <w:trPr>
          <w:trHeight w:val="51"/>
        </w:trPr>
        <w:tc>
          <w:tcPr>
            <w:tcW w:w="988" w:type="dxa"/>
          </w:tcPr>
          <w:p w14:paraId="6003DDEE" w14:textId="77777777" w:rsidR="00FF3F59" w:rsidRPr="00D518FF" w:rsidRDefault="00FF3F59">
            <w:pPr>
              <w:rPr>
                <w:rFonts w:ascii="Aptos" w:hAnsi="Aptos" w:cs="Arial"/>
                <w:sz w:val="16"/>
                <w:szCs w:val="16"/>
              </w:rPr>
            </w:pPr>
            <w:r w:rsidRPr="00D518FF">
              <w:rPr>
                <w:rFonts w:ascii="Aptos" w:hAnsi="Aptos" w:cs="Arial"/>
                <w:sz w:val="16"/>
                <w:szCs w:val="16"/>
              </w:rPr>
              <w:t>Pereira 2018</w:t>
            </w:r>
          </w:p>
        </w:tc>
        <w:tc>
          <w:tcPr>
            <w:tcW w:w="3969" w:type="dxa"/>
          </w:tcPr>
          <w:p w14:paraId="0F65CF40" w14:textId="77777777" w:rsidR="00FF3F59" w:rsidRPr="00D518FF" w:rsidRDefault="00FF3F59">
            <w:pPr>
              <w:rPr>
                <w:rFonts w:ascii="Aptos" w:hAnsi="Aptos" w:cs="Arial"/>
                <w:sz w:val="16"/>
                <w:szCs w:val="16"/>
              </w:rPr>
            </w:pPr>
            <w:r w:rsidRPr="00D518FF">
              <w:rPr>
                <w:rFonts w:ascii="Aptos" w:hAnsi="Aptos" w:cs="Arial"/>
                <w:sz w:val="16"/>
                <w:szCs w:val="16"/>
              </w:rPr>
              <w:t>Dietary supplements and fatigue in patients with breast cancer: a systematic review</w:t>
            </w:r>
          </w:p>
        </w:tc>
        <w:tc>
          <w:tcPr>
            <w:tcW w:w="3352" w:type="dxa"/>
          </w:tcPr>
          <w:p w14:paraId="4FCC9148" w14:textId="77777777" w:rsidR="00FF3F59" w:rsidRPr="00D518FF" w:rsidRDefault="00FF3F59">
            <w:pPr>
              <w:rPr>
                <w:rFonts w:ascii="Aptos" w:hAnsi="Aptos" w:cs="Arial"/>
                <w:sz w:val="16"/>
                <w:szCs w:val="16"/>
              </w:rPr>
            </w:pPr>
            <w:r w:rsidRPr="00D518FF">
              <w:rPr>
                <w:rFonts w:ascii="Aptos" w:hAnsi="Aptos" w:cs="Arial"/>
                <w:sz w:val="16"/>
                <w:szCs w:val="16"/>
              </w:rPr>
              <w:t>Pereira, Ptvt; Reis, A. D.; Diniz, R. R.; Lima, F. A.; Leite, R. D.; da Silva, M. C. P.; Guerra, R. N. M.; de Moraes Vieira √â, B.; Garcia, J. B. S.</w:t>
            </w:r>
          </w:p>
        </w:tc>
        <w:tc>
          <w:tcPr>
            <w:tcW w:w="536" w:type="dxa"/>
          </w:tcPr>
          <w:p w14:paraId="75EE587C" w14:textId="77777777" w:rsidR="00FF3F59" w:rsidRPr="00D518FF" w:rsidRDefault="00FF3F59">
            <w:pPr>
              <w:rPr>
                <w:rFonts w:ascii="Aptos" w:hAnsi="Aptos" w:cs="Arial"/>
                <w:sz w:val="16"/>
                <w:szCs w:val="16"/>
              </w:rPr>
            </w:pPr>
            <w:r w:rsidRPr="00D518FF">
              <w:rPr>
                <w:rFonts w:ascii="Aptos" w:hAnsi="Aptos" w:cs="Arial"/>
                <w:sz w:val="16"/>
                <w:szCs w:val="16"/>
              </w:rPr>
              <w:t>2018</w:t>
            </w:r>
          </w:p>
        </w:tc>
        <w:tc>
          <w:tcPr>
            <w:tcW w:w="1474" w:type="dxa"/>
          </w:tcPr>
          <w:p w14:paraId="53C58B60" w14:textId="77777777" w:rsidR="00FF3F59" w:rsidRPr="00D518FF" w:rsidRDefault="00FF3F59">
            <w:pPr>
              <w:rPr>
                <w:rFonts w:ascii="Aptos" w:hAnsi="Aptos" w:cs="Arial"/>
                <w:sz w:val="16"/>
                <w:szCs w:val="16"/>
              </w:rPr>
            </w:pPr>
            <w:r w:rsidRPr="00D518FF">
              <w:rPr>
                <w:rFonts w:ascii="Aptos" w:hAnsi="Aptos" w:cs="Arial"/>
                <w:sz w:val="16"/>
                <w:szCs w:val="16"/>
              </w:rPr>
              <w:t>Breast cancer research and treatment</w:t>
            </w:r>
          </w:p>
        </w:tc>
        <w:tc>
          <w:tcPr>
            <w:tcW w:w="670" w:type="dxa"/>
          </w:tcPr>
          <w:p w14:paraId="5C80C54E" w14:textId="77777777" w:rsidR="00FF3F59" w:rsidRPr="00D518FF" w:rsidRDefault="00FF3F59">
            <w:pPr>
              <w:rPr>
                <w:rFonts w:ascii="Aptos" w:hAnsi="Aptos" w:cs="Arial"/>
                <w:sz w:val="16"/>
                <w:szCs w:val="16"/>
              </w:rPr>
            </w:pPr>
            <w:r w:rsidRPr="00D518FF">
              <w:rPr>
                <w:rFonts w:ascii="Aptos" w:hAnsi="Aptos" w:cs="Arial"/>
                <w:sz w:val="16"/>
                <w:szCs w:val="16"/>
              </w:rPr>
              <w:t>171</w:t>
            </w:r>
          </w:p>
        </w:tc>
        <w:tc>
          <w:tcPr>
            <w:tcW w:w="536" w:type="dxa"/>
          </w:tcPr>
          <w:p w14:paraId="531E1C99" w14:textId="77777777" w:rsidR="00FF3F59" w:rsidRPr="00D518FF" w:rsidRDefault="00FF3F59">
            <w:pPr>
              <w:rPr>
                <w:rFonts w:ascii="Aptos" w:hAnsi="Aptos" w:cs="Arial"/>
                <w:sz w:val="16"/>
                <w:szCs w:val="16"/>
              </w:rPr>
            </w:pPr>
            <w:r w:rsidRPr="00D518FF">
              <w:rPr>
                <w:rFonts w:ascii="Aptos" w:hAnsi="Aptos" w:cs="Arial"/>
                <w:sz w:val="16"/>
                <w:szCs w:val="16"/>
              </w:rPr>
              <w:t>3</w:t>
            </w:r>
          </w:p>
        </w:tc>
        <w:tc>
          <w:tcPr>
            <w:tcW w:w="804" w:type="dxa"/>
          </w:tcPr>
          <w:p w14:paraId="453BFC90" w14:textId="77777777" w:rsidR="00FF3F59" w:rsidRPr="00D518FF" w:rsidRDefault="00FF3F59">
            <w:pPr>
              <w:rPr>
                <w:rFonts w:ascii="Aptos" w:hAnsi="Aptos" w:cs="Arial"/>
                <w:sz w:val="16"/>
                <w:szCs w:val="16"/>
              </w:rPr>
            </w:pPr>
            <w:r w:rsidRPr="00D518FF">
              <w:rPr>
                <w:rFonts w:ascii="Aptos" w:hAnsi="Aptos" w:cs="Arial"/>
                <w:sz w:val="16"/>
                <w:szCs w:val="16"/>
              </w:rPr>
              <w:t>515-526</w:t>
            </w:r>
          </w:p>
        </w:tc>
        <w:tc>
          <w:tcPr>
            <w:tcW w:w="1700" w:type="dxa"/>
          </w:tcPr>
          <w:p w14:paraId="2954F821" w14:textId="77777777" w:rsidR="00FF3F59" w:rsidRPr="00D518FF" w:rsidRDefault="00FF3F59">
            <w:pPr>
              <w:rPr>
                <w:rFonts w:ascii="Aptos" w:hAnsi="Aptos" w:cs="Arial"/>
                <w:sz w:val="16"/>
                <w:szCs w:val="16"/>
              </w:rPr>
            </w:pPr>
            <w:r w:rsidRPr="00D518FF">
              <w:rPr>
                <w:rFonts w:ascii="Aptos" w:hAnsi="Aptos" w:cs="Arial"/>
                <w:sz w:val="16"/>
                <w:szCs w:val="16"/>
              </w:rPr>
              <w:t>10.1007/s10549-018-4857-0</w:t>
            </w:r>
          </w:p>
        </w:tc>
      </w:tr>
      <w:tr w:rsidR="00FF3F59" w:rsidRPr="00D518FF" w14:paraId="25711C6C" w14:textId="77777777" w:rsidTr="00A6108F">
        <w:trPr>
          <w:trHeight w:val="51"/>
        </w:trPr>
        <w:tc>
          <w:tcPr>
            <w:tcW w:w="988" w:type="dxa"/>
            <w:shd w:val="clear" w:color="auto" w:fill="EFFFE9"/>
          </w:tcPr>
          <w:p w14:paraId="4AE79572" w14:textId="77777777" w:rsidR="00FF3F59" w:rsidRPr="00D518FF" w:rsidRDefault="00FF3F59">
            <w:pPr>
              <w:rPr>
                <w:rFonts w:ascii="Aptos" w:hAnsi="Aptos" w:cs="Arial"/>
                <w:sz w:val="16"/>
                <w:szCs w:val="16"/>
              </w:rPr>
            </w:pPr>
            <w:r w:rsidRPr="00D518FF">
              <w:rPr>
                <w:rFonts w:ascii="Aptos" w:hAnsi="Aptos" w:cs="Arial"/>
                <w:sz w:val="16"/>
                <w:szCs w:val="16"/>
              </w:rPr>
              <w:t>Tsai 2022</w:t>
            </w:r>
          </w:p>
        </w:tc>
        <w:tc>
          <w:tcPr>
            <w:tcW w:w="3969" w:type="dxa"/>
            <w:shd w:val="clear" w:color="auto" w:fill="EFFFE9"/>
          </w:tcPr>
          <w:p w14:paraId="315D20E3" w14:textId="77777777" w:rsidR="00FF3F59" w:rsidRPr="00D518FF" w:rsidRDefault="00FF3F59">
            <w:pPr>
              <w:rPr>
                <w:rFonts w:ascii="Aptos" w:hAnsi="Aptos" w:cs="Arial"/>
                <w:sz w:val="16"/>
                <w:szCs w:val="16"/>
              </w:rPr>
            </w:pPr>
            <w:r w:rsidRPr="00D518FF">
              <w:rPr>
                <w:rFonts w:ascii="Aptos" w:hAnsi="Aptos" w:cs="Arial"/>
                <w:sz w:val="16"/>
                <w:szCs w:val="16"/>
              </w:rPr>
              <w:t>Effectiveness of Coenzyme Q10 Supplementation for Reducing Fatigue: A Systematic Review and Meta-Analysis of Randomized Controlled Trials</w:t>
            </w:r>
          </w:p>
        </w:tc>
        <w:tc>
          <w:tcPr>
            <w:tcW w:w="3352" w:type="dxa"/>
            <w:shd w:val="clear" w:color="auto" w:fill="EFFFE9"/>
          </w:tcPr>
          <w:p w14:paraId="5CC38293" w14:textId="77777777" w:rsidR="00FF3F59" w:rsidRPr="00D518FF" w:rsidRDefault="00FF3F59">
            <w:pPr>
              <w:rPr>
                <w:rFonts w:ascii="Aptos" w:hAnsi="Aptos" w:cs="Arial"/>
                <w:sz w:val="16"/>
                <w:szCs w:val="16"/>
              </w:rPr>
            </w:pPr>
            <w:r w:rsidRPr="00D518FF">
              <w:rPr>
                <w:rFonts w:ascii="Aptos" w:hAnsi="Aptos" w:cs="Arial"/>
                <w:sz w:val="16"/>
                <w:szCs w:val="16"/>
              </w:rPr>
              <w:t>Tsai, I. C.; Hsu, C. W.; Chang, C. H.; Tseng, P. T.; Chang, K. V.</w:t>
            </w:r>
          </w:p>
        </w:tc>
        <w:tc>
          <w:tcPr>
            <w:tcW w:w="536" w:type="dxa"/>
            <w:shd w:val="clear" w:color="auto" w:fill="EFFFE9"/>
          </w:tcPr>
          <w:p w14:paraId="537520A3" w14:textId="77777777" w:rsidR="00FF3F59" w:rsidRPr="00D518FF" w:rsidRDefault="00FF3F59">
            <w:pPr>
              <w:rPr>
                <w:rFonts w:ascii="Aptos" w:hAnsi="Aptos" w:cs="Arial"/>
                <w:sz w:val="16"/>
                <w:szCs w:val="16"/>
              </w:rPr>
            </w:pPr>
            <w:r w:rsidRPr="00D518FF">
              <w:rPr>
                <w:rFonts w:ascii="Aptos" w:hAnsi="Aptos" w:cs="Arial"/>
                <w:sz w:val="16"/>
                <w:szCs w:val="16"/>
              </w:rPr>
              <w:t>2022</w:t>
            </w:r>
          </w:p>
        </w:tc>
        <w:tc>
          <w:tcPr>
            <w:tcW w:w="1474" w:type="dxa"/>
            <w:shd w:val="clear" w:color="auto" w:fill="EFFFE9"/>
          </w:tcPr>
          <w:p w14:paraId="4F71E1E2" w14:textId="77777777" w:rsidR="00FF3F59" w:rsidRPr="00D518FF" w:rsidRDefault="00FF3F59">
            <w:pPr>
              <w:rPr>
                <w:rFonts w:ascii="Aptos" w:hAnsi="Aptos" w:cs="Arial"/>
                <w:sz w:val="16"/>
                <w:szCs w:val="16"/>
              </w:rPr>
            </w:pPr>
            <w:r w:rsidRPr="00D518FF">
              <w:rPr>
                <w:rFonts w:ascii="Aptos" w:hAnsi="Aptos" w:cs="Arial"/>
                <w:sz w:val="16"/>
                <w:szCs w:val="16"/>
              </w:rPr>
              <w:t>Frontiers in pharmacology</w:t>
            </w:r>
          </w:p>
        </w:tc>
        <w:tc>
          <w:tcPr>
            <w:tcW w:w="670" w:type="dxa"/>
            <w:shd w:val="clear" w:color="auto" w:fill="EFFFE9"/>
          </w:tcPr>
          <w:p w14:paraId="5EF37EAE" w14:textId="77777777" w:rsidR="00FF3F59" w:rsidRPr="00D518FF" w:rsidRDefault="00FF3F59">
            <w:pPr>
              <w:rPr>
                <w:rFonts w:ascii="Aptos" w:hAnsi="Aptos" w:cs="Arial"/>
                <w:sz w:val="16"/>
                <w:szCs w:val="16"/>
              </w:rPr>
            </w:pPr>
            <w:r w:rsidRPr="00D518FF">
              <w:rPr>
                <w:rFonts w:ascii="Aptos" w:hAnsi="Aptos" w:cs="Arial"/>
                <w:sz w:val="16"/>
                <w:szCs w:val="16"/>
              </w:rPr>
              <w:t>13</w:t>
            </w:r>
          </w:p>
        </w:tc>
        <w:tc>
          <w:tcPr>
            <w:tcW w:w="536" w:type="dxa"/>
            <w:shd w:val="clear" w:color="auto" w:fill="EFFFE9"/>
          </w:tcPr>
          <w:p w14:paraId="3E4FC269" w14:textId="77777777" w:rsidR="00FF3F59" w:rsidRPr="00D518FF" w:rsidRDefault="00FF3F59">
            <w:pPr>
              <w:rPr>
                <w:rFonts w:ascii="Aptos" w:hAnsi="Aptos" w:cs="Arial"/>
                <w:sz w:val="16"/>
                <w:szCs w:val="16"/>
              </w:rPr>
            </w:pPr>
          </w:p>
        </w:tc>
        <w:tc>
          <w:tcPr>
            <w:tcW w:w="804" w:type="dxa"/>
            <w:shd w:val="clear" w:color="auto" w:fill="EFFFE9"/>
          </w:tcPr>
          <w:p w14:paraId="14E210E3" w14:textId="77777777" w:rsidR="00FF3F59" w:rsidRPr="00D518FF" w:rsidRDefault="00FF3F59">
            <w:pPr>
              <w:rPr>
                <w:rFonts w:ascii="Aptos" w:hAnsi="Aptos" w:cs="Arial"/>
                <w:sz w:val="16"/>
                <w:szCs w:val="16"/>
              </w:rPr>
            </w:pPr>
            <w:r w:rsidRPr="00D518FF">
              <w:rPr>
                <w:rFonts w:ascii="Aptos" w:hAnsi="Aptos" w:cs="Arial"/>
                <w:sz w:val="16"/>
                <w:szCs w:val="16"/>
              </w:rPr>
              <w:t>883251</w:t>
            </w:r>
          </w:p>
        </w:tc>
        <w:tc>
          <w:tcPr>
            <w:tcW w:w="1700" w:type="dxa"/>
            <w:shd w:val="clear" w:color="auto" w:fill="EFFFE9"/>
          </w:tcPr>
          <w:p w14:paraId="3FAE86AB" w14:textId="77777777" w:rsidR="00FF3F59" w:rsidRPr="00D518FF" w:rsidRDefault="00FF3F59">
            <w:pPr>
              <w:rPr>
                <w:rFonts w:ascii="Aptos" w:hAnsi="Aptos" w:cs="Arial"/>
                <w:sz w:val="16"/>
                <w:szCs w:val="16"/>
              </w:rPr>
            </w:pPr>
            <w:r w:rsidRPr="00D518FF">
              <w:rPr>
                <w:rFonts w:ascii="Aptos" w:hAnsi="Aptos" w:cs="Arial"/>
                <w:sz w:val="16"/>
                <w:szCs w:val="16"/>
              </w:rPr>
              <w:t>10.3389/fphar.2022.883251</w:t>
            </w:r>
          </w:p>
        </w:tc>
      </w:tr>
    </w:tbl>
    <w:p w14:paraId="7F5C2DF4" w14:textId="77777777" w:rsidR="00FF3F59" w:rsidRPr="00D518FF" w:rsidRDefault="00FF3F59" w:rsidP="00FF3F59">
      <w:pPr>
        <w:pStyle w:val="2024TABLECAPTION"/>
        <w:spacing w:before="120"/>
        <w:rPr>
          <w:rFonts w:ascii="Aptos" w:hAnsi="Aptos"/>
        </w:rPr>
      </w:pPr>
    </w:p>
    <w:p w14:paraId="48FB9427" w14:textId="684535A1" w:rsidR="00015D48" w:rsidRPr="00D518FF" w:rsidRDefault="00345928" w:rsidP="004C6AA1">
      <w:pPr>
        <w:pStyle w:val="Caption"/>
        <w:spacing w:before="240"/>
        <w:rPr>
          <w:rFonts w:ascii="Aptos" w:hAnsi="Aptos"/>
        </w:rPr>
      </w:pPr>
      <w:bookmarkStart w:id="162" w:name="_Toc185254561"/>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15</w:t>
      </w:r>
      <w:r w:rsidR="00DC4767" w:rsidRPr="004C6AA1">
        <w:rPr>
          <w:rFonts w:ascii="Aptos" w:hAnsi="Aptos"/>
        </w:rPr>
        <w:fldChar w:fldCharType="end"/>
      </w:r>
      <w:r w:rsidR="00015D48" w:rsidRPr="00D518FF">
        <w:rPr>
          <w:rFonts w:ascii="Aptos" w:hAnsi="Aptos"/>
        </w:rPr>
        <w:t xml:space="preserve">. Characteristics of included reviews – </w:t>
      </w:r>
      <w:r w:rsidR="00F873CD" w:rsidRPr="00D518FF">
        <w:rPr>
          <w:rFonts w:ascii="Aptos" w:hAnsi="Aptos"/>
        </w:rPr>
        <w:t xml:space="preserve">Fatigue (general) (including myalgic encephalomyelitis and Chronic Fatigue Syndrome), </w:t>
      </w:r>
      <w:r w:rsidR="00C16441" w:rsidRPr="00D518FF">
        <w:rPr>
          <w:rFonts w:ascii="Aptos" w:hAnsi="Aptos"/>
        </w:rPr>
        <w:t>a</w:t>
      </w:r>
      <w:r w:rsidR="00F873CD" w:rsidRPr="00D518FF">
        <w:rPr>
          <w:rFonts w:ascii="Aptos" w:hAnsi="Aptos"/>
        </w:rPr>
        <w:t>ntioxidants (specifically CoQ10 and alpha-lipoic acid)</w:t>
      </w:r>
      <w:bookmarkEnd w:id="162"/>
    </w:p>
    <w:tbl>
      <w:tblPr>
        <w:tblStyle w:val="TableGrid"/>
        <w:tblW w:w="14029" w:type="dxa"/>
        <w:tblLayout w:type="fixed"/>
        <w:tblCellMar>
          <w:top w:w="28" w:type="dxa"/>
          <w:left w:w="57" w:type="dxa"/>
          <w:bottom w:w="28" w:type="dxa"/>
          <w:right w:w="28" w:type="dxa"/>
        </w:tblCellMar>
        <w:tblLook w:val="04A0" w:firstRow="1" w:lastRow="0" w:firstColumn="1" w:lastColumn="0" w:noHBand="0" w:noVBand="1"/>
      </w:tblPr>
      <w:tblGrid>
        <w:gridCol w:w="976"/>
        <w:gridCol w:w="858"/>
        <w:gridCol w:w="1847"/>
        <w:gridCol w:w="1134"/>
        <w:gridCol w:w="850"/>
        <w:gridCol w:w="851"/>
        <w:gridCol w:w="1185"/>
        <w:gridCol w:w="609"/>
        <w:gridCol w:w="929"/>
        <w:gridCol w:w="1105"/>
        <w:gridCol w:w="835"/>
        <w:gridCol w:w="1149"/>
        <w:gridCol w:w="1701"/>
      </w:tblGrid>
      <w:tr w:rsidR="00F306BC" w:rsidRPr="00D518FF" w14:paraId="60443FF7" w14:textId="77777777" w:rsidTr="00F6089E">
        <w:trPr>
          <w:trHeight w:val="163"/>
        </w:trPr>
        <w:tc>
          <w:tcPr>
            <w:tcW w:w="976" w:type="dxa"/>
            <w:vMerge w:val="restart"/>
            <w:shd w:val="clear" w:color="auto" w:fill="D9D9D9" w:themeFill="background1" w:themeFillShade="D9"/>
          </w:tcPr>
          <w:p w14:paraId="766F7614"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Review ID</w:t>
            </w:r>
          </w:p>
        </w:tc>
        <w:tc>
          <w:tcPr>
            <w:tcW w:w="4689" w:type="dxa"/>
            <w:gridSpan w:val="4"/>
            <w:shd w:val="clear" w:color="auto" w:fill="D9D9D9" w:themeFill="background1" w:themeFillShade="D9"/>
          </w:tcPr>
          <w:p w14:paraId="2D11DC45"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Review details</w:t>
            </w:r>
          </w:p>
        </w:tc>
        <w:tc>
          <w:tcPr>
            <w:tcW w:w="3574" w:type="dxa"/>
            <w:gridSpan w:val="4"/>
            <w:shd w:val="clear" w:color="auto" w:fill="D9D9D9" w:themeFill="background1" w:themeFillShade="D9"/>
          </w:tcPr>
          <w:p w14:paraId="213C1869"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Search details</w:t>
            </w:r>
          </w:p>
        </w:tc>
        <w:tc>
          <w:tcPr>
            <w:tcW w:w="1940" w:type="dxa"/>
            <w:gridSpan w:val="2"/>
            <w:shd w:val="clear" w:color="auto" w:fill="D9D9D9" w:themeFill="background1" w:themeFillShade="D9"/>
          </w:tcPr>
          <w:p w14:paraId="198149B7"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Quality assessment</w:t>
            </w:r>
          </w:p>
        </w:tc>
        <w:tc>
          <w:tcPr>
            <w:tcW w:w="2850" w:type="dxa"/>
            <w:gridSpan w:val="2"/>
            <w:shd w:val="clear" w:color="auto" w:fill="D9D9D9" w:themeFill="background1" w:themeFillShade="D9"/>
          </w:tcPr>
          <w:p w14:paraId="0FF5B598"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Other</w:t>
            </w:r>
          </w:p>
        </w:tc>
      </w:tr>
      <w:tr w:rsidR="00A03699" w:rsidRPr="00D518FF" w14:paraId="2F77B1B2" w14:textId="77777777" w:rsidTr="00F6089E">
        <w:trPr>
          <w:trHeight w:val="163"/>
        </w:trPr>
        <w:tc>
          <w:tcPr>
            <w:tcW w:w="976" w:type="dxa"/>
            <w:vMerge/>
            <w:shd w:val="clear" w:color="auto" w:fill="D9D9D9" w:themeFill="background1" w:themeFillShade="D9"/>
          </w:tcPr>
          <w:p w14:paraId="3556C5F7" w14:textId="77777777" w:rsidR="00015D48" w:rsidRPr="00D518FF" w:rsidRDefault="00015D48" w:rsidP="00AA72BD">
            <w:pPr>
              <w:pStyle w:val="Caption1"/>
              <w:spacing w:before="0" w:after="0"/>
              <w:rPr>
                <w:rFonts w:ascii="Aptos" w:hAnsi="Aptos"/>
                <w:sz w:val="16"/>
                <w:szCs w:val="16"/>
              </w:rPr>
            </w:pPr>
          </w:p>
        </w:tc>
        <w:tc>
          <w:tcPr>
            <w:tcW w:w="858" w:type="dxa"/>
            <w:shd w:val="clear" w:color="auto" w:fill="D9D9D9" w:themeFill="background1" w:themeFillShade="D9"/>
          </w:tcPr>
          <w:p w14:paraId="5CF56966"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Review design</w:t>
            </w:r>
          </w:p>
        </w:tc>
        <w:tc>
          <w:tcPr>
            <w:tcW w:w="1847" w:type="dxa"/>
            <w:shd w:val="clear" w:color="auto" w:fill="D9D9D9" w:themeFill="background1" w:themeFillShade="D9"/>
          </w:tcPr>
          <w:p w14:paraId="4DD951A2"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Aim of the review (as reported by the SR)</w:t>
            </w:r>
          </w:p>
        </w:tc>
        <w:tc>
          <w:tcPr>
            <w:tcW w:w="1134" w:type="dxa"/>
            <w:shd w:val="clear" w:color="auto" w:fill="D9D9D9" w:themeFill="background1" w:themeFillShade="D9"/>
          </w:tcPr>
          <w:p w14:paraId="251D9D0E"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Types of studies included</w:t>
            </w:r>
          </w:p>
        </w:tc>
        <w:tc>
          <w:tcPr>
            <w:tcW w:w="850" w:type="dxa"/>
            <w:shd w:val="clear" w:color="auto" w:fill="D9D9D9" w:themeFill="background1" w:themeFillShade="D9"/>
          </w:tcPr>
          <w:p w14:paraId="7C1ED675" w14:textId="7D88F1F9"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Outcomes relevant to the Overview^</w:t>
            </w:r>
          </w:p>
        </w:tc>
        <w:tc>
          <w:tcPr>
            <w:tcW w:w="851" w:type="dxa"/>
            <w:shd w:val="clear" w:color="auto" w:fill="D9D9D9" w:themeFill="background1" w:themeFillShade="D9"/>
          </w:tcPr>
          <w:p w14:paraId="4616456F"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 of databases searched</w:t>
            </w:r>
          </w:p>
        </w:tc>
        <w:tc>
          <w:tcPr>
            <w:tcW w:w="1185" w:type="dxa"/>
            <w:shd w:val="clear" w:color="auto" w:fill="D9D9D9" w:themeFill="background1" w:themeFillShade="D9"/>
          </w:tcPr>
          <w:p w14:paraId="5F72819F"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Names of databases searched</w:t>
            </w:r>
          </w:p>
        </w:tc>
        <w:tc>
          <w:tcPr>
            <w:tcW w:w="609" w:type="dxa"/>
            <w:shd w:val="clear" w:color="auto" w:fill="D9D9D9" w:themeFill="background1" w:themeFillShade="D9"/>
          </w:tcPr>
          <w:p w14:paraId="46E3A9D9"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Date of last search</w:t>
            </w:r>
          </w:p>
        </w:tc>
        <w:tc>
          <w:tcPr>
            <w:tcW w:w="929" w:type="dxa"/>
            <w:shd w:val="clear" w:color="auto" w:fill="D9D9D9" w:themeFill="background1" w:themeFillShade="D9"/>
          </w:tcPr>
          <w:p w14:paraId="26F7B1B1"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 xml:space="preserve">Search restrictions </w:t>
            </w:r>
          </w:p>
        </w:tc>
        <w:tc>
          <w:tcPr>
            <w:tcW w:w="1105" w:type="dxa"/>
            <w:shd w:val="clear" w:color="auto" w:fill="D9D9D9" w:themeFill="background1" w:themeFillShade="D9"/>
          </w:tcPr>
          <w:p w14:paraId="07688E33"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RoB tool used</w:t>
            </w:r>
          </w:p>
        </w:tc>
        <w:tc>
          <w:tcPr>
            <w:tcW w:w="835" w:type="dxa"/>
            <w:shd w:val="clear" w:color="auto" w:fill="D9D9D9" w:themeFill="background1" w:themeFillShade="D9"/>
          </w:tcPr>
          <w:p w14:paraId="5123E529"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Certainty of evidence reported</w:t>
            </w:r>
          </w:p>
        </w:tc>
        <w:tc>
          <w:tcPr>
            <w:tcW w:w="1149" w:type="dxa"/>
            <w:shd w:val="clear" w:color="auto" w:fill="D9D9D9" w:themeFill="background1" w:themeFillShade="D9"/>
          </w:tcPr>
          <w:p w14:paraId="691B3D4B"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Conflicts of interest</w:t>
            </w:r>
          </w:p>
        </w:tc>
        <w:tc>
          <w:tcPr>
            <w:tcW w:w="1701" w:type="dxa"/>
            <w:shd w:val="clear" w:color="auto" w:fill="D9D9D9" w:themeFill="background1" w:themeFillShade="D9"/>
          </w:tcPr>
          <w:p w14:paraId="550B598F" w14:textId="77777777" w:rsidR="00015D48" w:rsidRPr="00D518FF" w:rsidRDefault="00015D48" w:rsidP="00AA72BD">
            <w:pPr>
              <w:pStyle w:val="Caption1"/>
              <w:spacing w:before="0" w:after="0"/>
              <w:rPr>
                <w:rFonts w:ascii="Aptos" w:hAnsi="Aptos"/>
                <w:sz w:val="16"/>
                <w:szCs w:val="16"/>
              </w:rPr>
            </w:pPr>
            <w:r w:rsidRPr="00D518FF">
              <w:rPr>
                <w:rFonts w:ascii="Aptos" w:hAnsi="Aptos"/>
                <w:sz w:val="16"/>
                <w:szCs w:val="16"/>
              </w:rPr>
              <w:t>Funding sources</w:t>
            </w:r>
          </w:p>
        </w:tc>
      </w:tr>
      <w:tr w:rsidR="00961E62" w:rsidRPr="00D518FF" w14:paraId="49D59EDA" w14:textId="77777777" w:rsidTr="00F6089E">
        <w:trPr>
          <w:trHeight w:val="345"/>
        </w:trPr>
        <w:tc>
          <w:tcPr>
            <w:tcW w:w="976" w:type="dxa"/>
          </w:tcPr>
          <w:p w14:paraId="1DE8BEFA" w14:textId="3447C189" w:rsidR="00961E62" w:rsidRPr="00D518FF" w:rsidRDefault="00961E62" w:rsidP="00AA72BD">
            <w:pPr>
              <w:rPr>
                <w:rFonts w:ascii="Aptos" w:hAnsi="Aptos" w:cs="Arial"/>
                <w:sz w:val="16"/>
                <w:szCs w:val="16"/>
              </w:rPr>
            </w:pPr>
            <w:r w:rsidRPr="00D518FF">
              <w:rPr>
                <w:rFonts w:ascii="Aptos" w:hAnsi="Aptos" w:cs="Arial"/>
                <w:sz w:val="16"/>
                <w:szCs w:val="16"/>
              </w:rPr>
              <w:t>Campagnolo 2017</w:t>
            </w:r>
          </w:p>
        </w:tc>
        <w:tc>
          <w:tcPr>
            <w:tcW w:w="858" w:type="dxa"/>
          </w:tcPr>
          <w:p w14:paraId="04F330F9" w14:textId="3FCC0EE5" w:rsidR="00961E62" w:rsidRPr="00D518FF" w:rsidRDefault="00961E62" w:rsidP="00AA72BD">
            <w:pPr>
              <w:rPr>
                <w:rFonts w:ascii="Aptos" w:hAnsi="Aptos" w:cs="Arial"/>
                <w:sz w:val="16"/>
                <w:szCs w:val="16"/>
              </w:rPr>
            </w:pPr>
            <w:r w:rsidRPr="00D518FF">
              <w:rPr>
                <w:rFonts w:ascii="Aptos" w:hAnsi="Aptos" w:cs="Arial"/>
                <w:sz w:val="16"/>
                <w:szCs w:val="16"/>
              </w:rPr>
              <w:t>Systematic review</w:t>
            </w:r>
          </w:p>
        </w:tc>
        <w:tc>
          <w:tcPr>
            <w:tcW w:w="1847" w:type="dxa"/>
          </w:tcPr>
          <w:p w14:paraId="00AA841F" w14:textId="1F3ACD2E" w:rsidR="00961E62" w:rsidRPr="00D518FF" w:rsidRDefault="00961E62" w:rsidP="00AA72BD">
            <w:pPr>
              <w:rPr>
                <w:rFonts w:ascii="Aptos" w:hAnsi="Aptos" w:cs="Arial"/>
                <w:sz w:val="16"/>
                <w:szCs w:val="16"/>
              </w:rPr>
            </w:pPr>
            <w:r w:rsidRPr="00D518FF">
              <w:rPr>
                <w:rFonts w:ascii="Aptos" w:hAnsi="Aptos" w:cs="Arial"/>
                <w:sz w:val="16"/>
                <w:szCs w:val="16"/>
              </w:rPr>
              <w:t>To systematically review original research investigating nutrition interventions in the symptom management of CFS/ME patients measured using patient-centred outcomes including fatigue, quality of life, physical activity and/or psychological wellbeing)</w:t>
            </w:r>
          </w:p>
        </w:tc>
        <w:tc>
          <w:tcPr>
            <w:tcW w:w="1134" w:type="dxa"/>
          </w:tcPr>
          <w:p w14:paraId="289B4D90" w14:textId="3E196F99" w:rsidR="00961E62" w:rsidRPr="00D518FF" w:rsidRDefault="00961E62" w:rsidP="00AA72BD">
            <w:pPr>
              <w:rPr>
                <w:rFonts w:ascii="Aptos" w:hAnsi="Aptos" w:cs="Arial"/>
                <w:sz w:val="16"/>
                <w:szCs w:val="16"/>
              </w:rPr>
            </w:pPr>
            <w:r w:rsidRPr="00D518FF">
              <w:rPr>
                <w:rFonts w:ascii="Aptos" w:hAnsi="Aptos" w:cs="Arial"/>
                <w:sz w:val="16"/>
                <w:szCs w:val="16"/>
              </w:rPr>
              <w:t>intervention research, defined as studies that evaluated the effective- ness of food and/or nutritional supplement on outcome measures;</w:t>
            </w:r>
          </w:p>
        </w:tc>
        <w:tc>
          <w:tcPr>
            <w:tcW w:w="850" w:type="dxa"/>
          </w:tcPr>
          <w:p w14:paraId="68FB5EE9" w14:textId="28034DE3" w:rsidR="00961E62" w:rsidRPr="00D518FF" w:rsidRDefault="00961E62" w:rsidP="00AA72BD">
            <w:pPr>
              <w:rPr>
                <w:rFonts w:ascii="Aptos" w:hAnsi="Aptos" w:cs="Arial"/>
                <w:sz w:val="16"/>
                <w:szCs w:val="16"/>
              </w:rPr>
            </w:pPr>
            <w:r w:rsidRPr="00D518FF">
              <w:rPr>
                <w:rFonts w:ascii="Aptos" w:hAnsi="Aptos" w:cs="Arial"/>
                <w:sz w:val="16"/>
                <w:szCs w:val="16"/>
              </w:rPr>
              <w:t>1</w:t>
            </w:r>
          </w:p>
        </w:tc>
        <w:tc>
          <w:tcPr>
            <w:tcW w:w="851" w:type="dxa"/>
          </w:tcPr>
          <w:p w14:paraId="0E74EE92" w14:textId="5A6302C6" w:rsidR="00961E62" w:rsidRPr="00D518FF" w:rsidRDefault="00961E62" w:rsidP="00AA72BD">
            <w:pPr>
              <w:rPr>
                <w:rFonts w:ascii="Aptos" w:hAnsi="Aptos" w:cs="Arial"/>
                <w:sz w:val="16"/>
                <w:szCs w:val="16"/>
              </w:rPr>
            </w:pPr>
            <w:r w:rsidRPr="00D518FF">
              <w:rPr>
                <w:rFonts w:ascii="Aptos" w:hAnsi="Aptos" w:cs="Arial"/>
                <w:sz w:val="16"/>
                <w:szCs w:val="16"/>
              </w:rPr>
              <w:t>3</w:t>
            </w:r>
          </w:p>
        </w:tc>
        <w:tc>
          <w:tcPr>
            <w:tcW w:w="1185" w:type="dxa"/>
          </w:tcPr>
          <w:p w14:paraId="36F111B5" w14:textId="3244DF09" w:rsidR="00961E62" w:rsidRPr="00D518FF" w:rsidRDefault="00961E62" w:rsidP="00AA72BD">
            <w:pPr>
              <w:rPr>
                <w:rFonts w:ascii="Aptos" w:hAnsi="Aptos" w:cs="Arial"/>
                <w:sz w:val="16"/>
                <w:szCs w:val="16"/>
              </w:rPr>
            </w:pPr>
            <w:r w:rsidRPr="00D518FF">
              <w:rPr>
                <w:rFonts w:ascii="Aptos" w:hAnsi="Aptos" w:cs="Arial"/>
                <w:sz w:val="16"/>
                <w:szCs w:val="16"/>
              </w:rPr>
              <w:t xml:space="preserve">Medline, </w:t>
            </w:r>
            <w:r w:rsidR="00027D07" w:rsidRPr="00D518FF">
              <w:rPr>
                <w:rFonts w:ascii="Aptos" w:hAnsi="Aptos" w:cs="Arial"/>
                <w:sz w:val="16"/>
                <w:szCs w:val="16"/>
              </w:rPr>
              <w:t>CINAHL</w:t>
            </w:r>
            <w:r w:rsidR="00DF0896" w:rsidRPr="00D518FF">
              <w:rPr>
                <w:rFonts w:ascii="Aptos" w:hAnsi="Aptos" w:cs="Arial"/>
                <w:sz w:val="16"/>
                <w:szCs w:val="16"/>
              </w:rPr>
              <w:t>,</w:t>
            </w:r>
            <w:r w:rsidRPr="00D518FF">
              <w:rPr>
                <w:rFonts w:ascii="Aptos" w:hAnsi="Aptos" w:cs="Arial"/>
                <w:sz w:val="16"/>
                <w:szCs w:val="16"/>
              </w:rPr>
              <w:t xml:space="preserve"> Scopus</w:t>
            </w:r>
          </w:p>
        </w:tc>
        <w:tc>
          <w:tcPr>
            <w:tcW w:w="609" w:type="dxa"/>
          </w:tcPr>
          <w:p w14:paraId="59412F35" w14:textId="39F51F34" w:rsidR="00961E62" w:rsidRPr="00D518FF" w:rsidRDefault="00961E62" w:rsidP="00AA72BD">
            <w:pPr>
              <w:rPr>
                <w:rFonts w:ascii="Aptos" w:hAnsi="Aptos" w:cs="Arial"/>
                <w:sz w:val="16"/>
                <w:szCs w:val="16"/>
              </w:rPr>
            </w:pPr>
            <w:r w:rsidRPr="00D518FF">
              <w:rPr>
                <w:rFonts w:ascii="Aptos" w:hAnsi="Aptos" w:cs="Arial"/>
                <w:sz w:val="16"/>
                <w:szCs w:val="16"/>
              </w:rPr>
              <w:t>May</w:t>
            </w:r>
            <w:r w:rsidR="00DF0896" w:rsidRPr="00D518FF">
              <w:rPr>
                <w:rFonts w:ascii="Aptos" w:hAnsi="Aptos" w:cs="Arial"/>
                <w:sz w:val="16"/>
                <w:szCs w:val="16"/>
              </w:rPr>
              <w:t xml:space="preserve"> 20</w:t>
            </w:r>
            <w:r w:rsidRPr="00D518FF">
              <w:rPr>
                <w:rFonts w:ascii="Aptos" w:hAnsi="Aptos" w:cs="Arial"/>
                <w:sz w:val="16"/>
                <w:szCs w:val="16"/>
              </w:rPr>
              <w:t>16</w:t>
            </w:r>
          </w:p>
        </w:tc>
        <w:tc>
          <w:tcPr>
            <w:tcW w:w="929" w:type="dxa"/>
          </w:tcPr>
          <w:p w14:paraId="34BCF805" w14:textId="1C356757" w:rsidR="00961E62" w:rsidRPr="00D518FF" w:rsidRDefault="00961E62" w:rsidP="00AA72BD">
            <w:pPr>
              <w:rPr>
                <w:rFonts w:ascii="Aptos" w:hAnsi="Aptos" w:cs="Arial"/>
                <w:sz w:val="16"/>
                <w:szCs w:val="16"/>
              </w:rPr>
            </w:pPr>
            <w:r w:rsidRPr="00D518FF">
              <w:rPr>
                <w:rFonts w:ascii="Aptos" w:hAnsi="Aptos" w:cs="Arial"/>
                <w:sz w:val="16"/>
                <w:szCs w:val="16"/>
              </w:rPr>
              <w:t>English</w:t>
            </w:r>
            <w:r w:rsidR="00027D07" w:rsidRPr="00D518FF">
              <w:rPr>
                <w:rFonts w:ascii="Aptos" w:hAnsi="Aptos" w:cs="Arial"/>
                <w:sz w:val="16"/>
                <w:szCs w:val="16"/>
              </w:rPr>
              <w:t xml:space="preserve">, </w:t>
            </w:r>
            <w:r w:rsidRPr="00D518FF">
              <w:rPr>
                <w:rFonts w:ascii="Aptos" w:hAnsi="Aptos" w:cs="Arial"/>
                <w:sz w:val="16"/>
                <w:szCs w:val="16"/>
              </w:rPr>
              <w:t>publication date (year 1994–2016) and humans</w:t>
            </w:r>
          </w:p>
        </w:tc>
        <w:tc>
          <w:tcPr>
            <w:tcW w:w="1105" w:type="dxa"/>
          </w:tcPr>
          <w:p w14:paraId="5083A3A5" w14:textId="4C524783" w:rsidR="00961E62" w:rsidRPr="00D518FF" w:rsidRDefault="00961E62" w:rsidP="00AA72BD">
            <w:pPr>
              <w:rPr>
                <w:rFonts w:ascii="Aptos" w:hAnsi="Aptos" w:cs="Arial"/>
                <w:sz w:val="16"/>
                <w:szCs w:val="16"/>
              </w:rPr>
            </w:pPr>
            <w:r w:rsidRPr="00D518FF">
              <w:rPr>
                <w:rFonts w:ascii="Aptos" w:hAnsi="Aptos" w:cs="Arial"/>
                <w:sz w:val="16"/>
                <w:szCs w:val="16"/>
              </w:rPr>
              <w:t>Rosendal scale</w:t>
            </w:r>
          </w:p>
        </w:tc>
        <w:tc>
          <w:tcPr>
            <w:tcW w:w="835" w:type="dxa"/>
          </w:tcPr>
          <w:p w14:paraId="6529C3E3" w14:textId="0B8E5604" w:rsidR="00961E62" w:rsidRPr="00D518FF" w:rsidRDefault="00961E62" w:rsidP="00AA72BD">
            <w:pPr>
              <w:rPr>
                <w:rFonts w:ascii="Aptos" w:hAnsi="Aptos" w:cs="Arial"/>
                <w:sz w:val="16"/>
                <w:szCs w:val="16"/>
              </w:rPr>
            </w:pPr>
            <w:r w:rsidRPr="00D518FF">
              <w:rPr>
                <w:rFonts w:ascii="Aptos" w:hAnsi="Aptos" w:cs="Arial"/>
                <w:sz w:val="16"/>
                <w:szCs w:val="16"/>
              </w:rPr>
              <w:t>Not conducted</w:t>
            </w:r>
          </w:p>
        </w:tc>
        <w:tc>
          <w:tcPr>
            <w:tcW w:w="1149" w:type="dxa"/>
          </w:tcPr>
          <w:p w14:paraId="0E4CB83B" w14:textId="6E86A0BB" w:rsidR="00961E62" w:rsidRPr="00D518FF" w:rsidRDefault="00961E62" w:rsidP="00AA72BD">
            <w:pPr>
              <w:rPr>
                <w:rFonts w:ascii="Aptos" w:hAnsi="Aptos" w:cs="Arial"/>
                <w:sz w:val="16"/>
                <w:szCs w:val="16"/>
              </w:rPr>
            </w:pPr>
            <w:r w:rsidRPr="00D518FF">
              <w:rPr>
                <w:rFonts w:ascii="Aptos" w:hAnsi="Aptos" w:cs="Arial"/>
                <w:sz w:val="16"/>
                <w:szCs w:val="16"/>
              </w:rPr>
              <w:t>The authors declare that they have no conflicts of interest.</w:t>
            </w:r>
          </w:p>
        </w:tc>
        <w:tc>
          <w:tcPr>
            <w:tcW w:w="1701" w:type="dxa"/>
          </w:tcPr>
          <w:p w14:paraId="30445DF7" w14:textId="3DD11880" w:rsidR="00961E62" w:rsidRPr="00D518FF" w:rsidRDefault="00961E62" w:rsidP="00AA72BD">
            <w:pPr>
              <w:rPr>
                <w:rFonts w:ascii="Aptos" w:hAnsi="Aptos" w:cs="Arial"/>
                <w:sz w:val="16"/>
                <w:szCs w:val="16"/>
              </w:rPr>
            </w:pPr>
            <w:r w:rsidRPr="00D518FF">
              <w:rPr>
                <w:rFonts w:ascii="Aptos" w:hAnsi="Aptos" w:cs="Arial"/>
                <w:sz w:val="16"/>
                <w:szCs w:val="16"/>
              </w:rPr>
              <w:t>The Alison Hunter Memorial Foundation, Change for ME, Mason Foundation, the Stafford Medical Research Foundation, the Edward P Evans Foundation, Queens- land Smart State and Advance Queensland provided continued support and funding.</w:t>
            </w:r>
          </w:p>
        </w:tc>
      </w:tr>
      <w:tr w:rsidR="00961E62" w:rsidRPr="00D518FF" w14:paraId="2691DCA4" w14:textId="77777777" w:rsidTr="00F6089E">
        <w:trPr>
          <w:trHeight w:val="646"/>
        </w:trPr>
        <w:tc>
          <w:tcPr>
            <w:tcW w:w="976" w:type="dxa"/>
          </w:tcPr>
          <w:p w14:paraId="233BEE09" w14:textId="3FD861D6" w:rsidR="00961E62" w:rsidRPr="00D518FF" w:rsidRDefault="00961E62" w:rsidP="00AA72BD">
            <w:pPr>
              <w:rPr>
                <w:rFonts w:ascii="Aptos" w:hAnsi="Aptos" w:cs="Arial"/>
                <w:sz w:val="16"/>
                <w:szCs w:val="16"/>
              </w:rPr>
            </w:pPr>
            <w:r w:rsidRPr="00D518FF">
              <w:rPr>
                <w:rFonts w:ascii="Aptos" w:hAnsi="Aptos" w:cs="Arial"/>
                <w:sz w:val="16"/>
                <w:szCs w:val="16"/>
              </w:rPr>
              <w:t>Kim 2020</w:t>
            </w:r>
          </w:p>
        </w:tc>
        <w:tc>
          <w:tcPr>
            <w:tcW w:w="858" w:type="dxa"/>
          </w:tcPr>
          <w:p w14:paraId="4D2784C5" w14:textId="286800E0" w:rsidR="00961E62" w:rsidRPr="00D518FF" w:rsidRDefault="00961E62" w:rsidP="00AA72BD">
            <w:pPr>
              <w:rPr>
                <w:rFonts w:ascii="Aptos" w:hAnsi="Aptos" w:cs="Arial"/>
                <w:sz w:val="16"/>
                <w:szCs w:val="16"/>
              </w:rPr>
            </w:pPr>
            <w:r w:rsidRPr="00D518FF">
              <w:rPr>
                <w:rFonts w:ascii="Aptos" w:hAnsi="Aptos" w:cs="Arial"/>
                <w:sz w:val="16"/>
                <w:szCs w:val="16"/>
              </w:rPr>
              <w:t>Systematic review</w:t>
            </w:r>
          </w:p>
        </w:tc>
        <w:tc>
          <w:tcPr>
            <w:tcW w:w="1847" w:type="dxa"/>
          </w:tcPr>
          <w:p w14:paraId="001D4792" w14:textId="3E127DB5" w:rsidR="00961E62" w:rsidRPr="00D518FF" w:rsidRDefault="001F2487" w:rsidP="00AA72BD">
            <w:pPr>
              <w:rPr>
                <w:rFonts w:ascii="Aptos" w:hAnsi="Aptos" w:cs="Arial"/>
                <w:sz w:val="16"/>
                <w:szCs w:val="16"/>
              </w:rPr>
            </w:pPr>
            <w:r>
              <w:rPr>
                <w:rFonts w:ascii="Aptos" w:hAnsi="Aptos" w:cs="Arial"/>
                <w:sz w:val="16"/>
                <w:szCs w:val="16"/>
              </w:rPr>
              <w:t>To s</w:t>
            </w:r>
            <w:r w:rsidR="00961E62" w:rsidRPr="00D518FF">
              <w:rPr>
                <w:rFonts w:ascii="Aptos" w:hAnsi="Aptos" w:cs="Arial"/>
                <w:sz w:val="16"/>
                <w:szCs w:val="16"/>
              </w:rPr>
              <w:t>ystematically review</w:t>
            </w:r>
            <w:r w:rsidR="00961E62" w:rsidRPr="00D518FF" w:rsidDel="001F2487">
              <w:rPr>
                <w:rFonts w:ascii="Aptos" w:hAnsi="Aptos" w:cs="Arial"/>
                <w:sz w:val="16"/>
                <w:szCs w:val="16"/>
              </w:rPr>
              <w:t xml:space="preserve"> </w:t>
            </w:r>
            <w:r w:rsidR="00961E62" w:rsidRPr="00D518FF">
              <w:rPr>
                <w:rFonts w:ascii="Aptos" w:hAnsi="Aptos" w:cs="Arial"/>
                <w:sz w:val="16"/>
                <w:szCs w:val="16"/>
              </w:rPr>
              <w:t>randomized controlled trials (</w:t>
            </w:r>
            <w:r w:rsidR="004622EE" w:rsidRPr="00D518FF">
              <w:rPr>
                <w:rFonts w:ascii="Aptos" w:hAnsi="Aptos" w:cs="Arial"/>
                <w:sz w:val="16"/>
                <w:szCs w:val="16"/>
              </w:rPr>
              <w:t>RCT</w:t>
            </w:r>
            <w:r w:rsidR="00961E62" w:rsidRPr="00D518FF">
              <w:rPr>
                <w:rFonts w:ascii="Aptos" w:hAnsi="Aptos" w:cs="Arial"/>
                <w:sz w:val="16"/>
                <w:szCs w:val="16"/>
              </w:rPr>
              <w:t>s) for CFS/ME to date.</w:t>
            </w:r>
          </w:p>
        </w:tc>
        <w:tc>
          <w:tcPr>
            <w:tcW w:w="1134" w:type="dxa"/>
          </w:tcPr>
          <w:p w14:paraId="7E4F62E2" w14:textId="0594AD77" w:rsidR="00961E62" w:rsidRPr="00D518FF" w:rsidRDefault="004622EE" w:rsidP="00AA72BD">
            <w:pPr>
              <w:rPr>
                <w:rFonts w:ascii="Aptos" w:hAnsi="Aptos" w:cs="Arial"/>
                <w:sz w:val="16"/>
                <w:szCs w:val="16"/>
              </w:rPr>
            </w:pPr>
            <w:r w:rsidRPr="00D518FF">
              <w:rPr>
                <w:rFonts w:ascii="Aptos" w:hAnsi="Aptos" w:cs="Arial"/>
                <w:sz w:val="16"/>
                <w:szCs w:val="16"/>
              </w:rPr>
              <w:t>RCT</w:t>
            </w:r>
            <w:r w:rsidR="00961E62" w:rsidRPr="00D518FF">
              <w:rPr>
                <w:rFonts w:ascii="Aptos" w:hAnsi="Aptos" w:cs="Arial"/>
                <w:sz w:val="16"/>
                <w:szCs w:val="16"/>
              </w:rPr>
              <w:t>s</w:t>
            </w:r>
          </w:p>
        </w:tc>
        <w:tc>
          <w:tcPr>
            <w:tcW w:w="850" w:type="dxa"/>
          </w:tcPr>
          <w:p w14:paraId="469176CF" w14:textId="21CFC001" w:rsidR="00961E62" w:rsidRPr="00D518FF" w:rsidRDefault="00961E62" w:rsidP="00AA72BD">
            <w:pPr>
              <w:rPr>
                <w:rFonts w:ascii="Aptos" w:hAnsi="Aptos" w:cs="Arial"/>
                <w:sz w:val="16"/>
                <w:szCs w:val="16"/>
              </w:rPr>
            </w:pPr>
            <w:r w:rsidRPr="00D518FF">
              <w:rPr>
                <w:rFonts w:ascii="Aptos" w:hAnsi="Aptos" w:cs="Arial"/>
                <w:sz w:val="16"/>
                <w:szCs w:val="16"/>
              </w:rPr>
              <w:t>1</w:t>
            </w:r>
          </w:p>
        </w:tc>
        <w:tc>
          <w:tcPr>
            <w:tcW w:w="851" w:type="dxa"/>
          </w:tcPr>
          <w:p w14:paraId="5587AAE8" w14:textId="211AE425" w:rsidR="00961E62" w:rsidRPr="00D518FF" w:rsidRDefault="00961E62" w:rsidP="00AA72BD">
            <w:pPr>
              <w:rPr>
                <w:rFonts w:ascii="Aptos" w:hAnsi="Aptos" w:cs="Arial"/>
                <w:sz w:val="16"/>
                <w:szCs w:val="16"/>
              </w:rPr>
            </w:pPr>
            <w:r w:rsidRPr="00D518FF">
              <w:rPr>
                <w:rFonts w:ascii="Aptos" w:hAnsi="Aptos" w:cs="Arial"/>
                <w:sz w:val="16"/>
                <w:szCs w:val="16"/>
              </w:rPr>
              <w:t>2</w:t>
            </w:r>
          </w:p>
        </w:tc>
        <w:tc>
          <w:tcPr>
            <w:tcW w:w="1185" w:type="dxa"/>
          </w:tcPr>
          <w:p w14:paraId="50B4599A" w14:textId="4DE3C6CB" w:rsidR="00961E62" w:rsidRPr="00D518FF" w:rsidRDefault="004622EE" w:rsidP="00AA72BD">
            <w:pPr>
              <w:rPr>
                <w:rFonts w:ascii="Aptos" w:hAnsi="Aptos" w:cs="Arial"/>
                <w:sz w:val="16"/>
                <w:szCs w:val="16"/>
              </w:rPr>
            </w:pPr>
            <w:r w:rsidRPr="00D518FF">
              <w:rPr>
                <w:rFonts w:ascii="Aptos" w:hAnsi="Aptos" w:cs="Arial"/>
                <w:sz w:val="16"/>
                <w:szCs w:val="16"/>
              </w:rPr>
              <w:t>PubMed</w:t>
            </w:r>
            <w:r w:rsidR="00DF0896" w:rsidRPr="00D518FF">
              <w:rPr>
                <w:rFonts w:ascii="Aptos" w:hAnsi="Aptos" w:cs="Arial"/>
                <w:sz w:val="16"/>
                <w:szCs w:val="16"/>
              </w:rPr>
              <w:t>,</w:t>
            </w:r>
            <w:r w:rsidR="00961E62" w:rsidRPr="00D518FF">
              <w:rPr>
                <w:rFonts w:ascii="Aptos" w:hAnsi="Aptos" w:cs="Arial"/>
                <w:sz w:val="16"/>
                <w:szCs w:val="16"/>
              </w:rPr>
              <w:t xml:space="preserve"> Cochrane library</w:t>
            </w:r>
          </w:p>
        </w:tc>
        <w:tc>
          <w:tcPr>
            <w:tcW w:w="609" w:type="dxa"/>
          </w:tcPr>
          <w:p w14:paraId="31DE4230" w14:textId="364E492A" w:rsidR="00961E62" w:rsidRPr="00D518FF" w:rsidRDefault="00961E62" w:rsidP="00AA72BD">
            <w:pPr>
              <w:rPr>
                <w:rFonts w:ascii="Aptos" w:hAnsi="Aptos" w:cs="Arial"/>
                <w:sz w:val="16"/>
                <w:szCs w:val="16"/>
              </w:rPr>
            </w:pPr>
            <w:r w:rsidRPr="00D518FF">
              <w:rPr>
                <w:rFonts w:ascii="Aptos" w:hAnsi="Aptos" w:cs="Arial"/>
                <w:sz w:val="16"/>
                <w:szCs w:val="16"/>
              </w:rPr>
              <w:t>Apr</w:t>
            </w:r>
            <w:r w:rsidR="00DF0896" w:rsidRPr="00D518FF">
              <w:rPr>
                <w:rFonts w:ascii="Aptos" w:hAnsi="Aptos" w:cs="Arial"/>
                <w:sz w:val="16"/>
                <w:szCs w:val="16"/>
              </w:rPr>
              <w:t xml:space="preserve"> 20</w:t>
            </w:r>
            <w:r w:rsidRPr="00D518FF">
              <w:rPr>
                <w:rFonts w:ascii="Aptos" w:hAnsi="Aptos" w:cs="Arial"/>
                <w:sz w:val="16"/>
                <w:szCs w:val="16"/>
              </w:rPr>
              <w:t>19</w:t>
            </w:r>
          </w:p>
        </w:tc>
        <w:tc>
          <w:tcPr>
            <w:tcW w:w="929" w:type="dxa"/>
          </w:tcPr>
          <w:p w14:paraId="369DEBBA" w14:textId="19038488" w:rsidR="00961E62" w:rsidRPr="00D518FF" w:rsidRDefault="00961E62" w:rsidP="00AA72BD">
            <w:pPr>
              <w:rPr>
                <w:rFonts w:ascii="Aptos" w:hAnsi="Aptos" w:cs="Arial"/>
                <w:sz w:val="16"/>
                <w:szCs w:val="16"/>
              </w:rPr>
            </w:pPr>
            <w:r w:rsidRPr="00D518FF">
              <w:rPr>
                <w:rFonts w:ascii="Aptos" w:hAnsi="Aptos" w:cs="Arial"/>
                <w:sz w:val="16"/>
                <w:szCs w:val="16"/>
              </w:rPr>
              <w:t>None</w:t>
            </w:r>
          </w:p>
        </w:tc>
        <w:tc>
          <w:tcPr>
            <w:tcW w:w="1105" w:type="dxa"/>
          </w:tcPr>
          <w:p w14:paraId="63691290" w14:textId="19A5B600" w:rsidR="00961E62" w:rsidRPr="00D518FF" w:rsidRDefault="00961E62" w:rsidP="00AA72BD">
            <w:pPr>
              <w:rPr>
                <w:rFonts w:ascii="Aptos" w:hAnsi="Aptos" w:cs="Arial"/>
                <w:sz w:val="16"/>
                <w:szCs w:val="16"/>
              </w:rPr>
            </w:pPr>
            <w:r w:rsidRPr="00D518FF">
              <w:rPr>
                <w:rFonts w:ascii="Aptos" w:hAnsi="Aptos" w:cs="Arial"/>
                <w:sz w:val="16"/>
                <w:szCs w:val="16"/>
              </w:rPr>
              <w:t>Jadad scale</w:t>
            </w:r>
          </w:p>
        </w:tc>
        <w:tc>
          <w:tcPr>
            <w:tcW w:w="835" w:type="dxa"/>
          </w:tcPr>
          <w:p w14:paraId="50FA0FE7" w14:textId="0543ED21" w:rsidR="00961E62" w:rsidRPr="00D518FF" w:rsidRDefault="00961E62" w:rsidP="00AA72BD">
            <w:pPr>
              <w:rPr>
                <w:rFonts w:ascii="Aptos" w:hAnsi="Aptos" w:cs="Arial"/>
                <w:sz w:val="16"/>
                <w:szCs w:val="16"/>
              </w:rPr>
            </w:pPr>
            <w:r w:rsidRPr="00D518FF">
              <w:rPr>
                <w:rFonts w:ascii="Aptos" w:hAnsi="Aptos" w:cs="Arial"/>
                <w:sz w:val="16"/>
                <w:szCs w:val="16"/>
              </w:rPr>
              <w:t>Not conducted</w:t>
            </w:r>
          </w:p>
        </w:tc>
        <w:tc>
          <w:tcPr>
            <w:tcW w:w="1149" w:type="dxa"/>
          </w:tcPr>
          <w:p w14:paraId="2440F8D8" w14:textId="19ECB746" w:rsidR="00961E62" w:rsidRPr="00D518FF" w:rsidRDefault="00961E62" w:rsidP="00AA72BD">
            <w:pPr>
              <w:rPr>
                <w:rFonts w:ascii="Aptos" w:hAnsi="Aptos" w:cs="Arial"/>
                <w:sz w:val="16"/>
                <w:szCs w:val="16"/>
              </w:rPr>
            </w:pPr>
            <w:r w:rsidRPr="00D518FF">
              <w:rPr>
                <w:rFonts w:ascii="Aptos" w:hAnsi="Aptos" w:cs="Arial"/>
                <w:sz w:val="16"/>
                <w:szCs w:val="16"/>
              </w:rPr>
              <w:t>The authors declare that they have no competing interests.</w:t>
            </w:r>
          </w:p>
        </w:tc>
        <w:tc>
          <w:tcPr>
            <w:tcW w:w="1701" w:type="dxa"/>
          </w:tcPr>
          <w:p w14:paraId="6B974DD5" w14:textId="35B1EE4A" w:rsidR="00961E62" w:rsidRPr="00D518FF" w:rsidRDefault="00961E62" w:rsidP="00AA72BD">
            <w:pPr>
              <w:rPr>
                <w:rFonts w:ascii="Aptos" w:hAnsi="Aptos" w:cs="Arial"/>
                <w:sz w:val="16"/>
                <w:szCs w:val="16"/>
              </w:rPr>
            </w:pPr>
            <w:r w:rsidRPr="00D518FF">
              <w:rPr>
                <w:rFonts w:ascii="Aptos" w:hAnsi="Aptos" w:cs="Arial"/>
                <w:sz w:val="16"/>
                <w:szCs w:val="16"/>
              </w:rPr>
              <w:t>This research was supported by the National Research Foundation of Korea (NRF) funded by the Oriental Medicine R&amp;D Project (NRF</w:t>
            </w:r>
            <w:r w:rsidRPr="00D518FF">
              <w:rPr>
                <w:rFonts w:ascii="Cambria Math" w:hAnsi="Cambria Math" w:cs="Cambria Math"/>
                <w:sz w:val="16"/>
                <w:szCs w:val="16"/>
              </w:rPr>
              <w:t>‐</w:t>
            </w:r>
            <w:r w:rsidRPr="00D518FF">
              <w:rPr>
                <w:rFonts w:ascii="Aptos" w:hAnsi="Aptos" w:cs="Arial"/>
                <w:sz w:val="16"/>
                <w:szCs w:val="16"/>
              </w:rPr>
              <w:t>2018R1A6A1A03025221).</w:t>
            </w:r>
          </w:p>
        </w:tc>
      </w:tr>
      <w:tr w:rsidR="00961E62" w:rsidRPr="00D518FF" w14:paraId="33F66DFC" w14:textId="77777777" w:rsidTr="00A6108F">
        <w:trPr>
          <w:trHeight w:val="646"/>
        </w:trPr>
        <w:tc>
          <w:tcPr>
            <w:tcW w:w="976" w:type="dxa"/>
            <w:shd w:val="clear" w:color="auto" w:fill="EFFFE9"/>
          </w:tcPr>
          <w:p w14:paraId="7BC9AF48" w14:textId="6B2E2A01" w:rsidR="00961E62" w:rsidRPr="00D518FF" w:rsidRDefault="00961E62" w:rsidP="00AA72BD">
            <w:pPr>
              <w:rPr>
                <w:rFonts w:ascii="Aptos" w:hAnsi="Aptos" w:cs="Arial"/>
                <w:sz w:val="16"/>
                <w:szCs w:val="16"/>
              </w:rPr>
            </w:pPr>
            <w:r w:rsidRPr="00D518FF">
              <w:rPr>
                <w:rFonts w:ascii="Aptos" w:hAnsi="Aptos" w:cs="Arial"/>
                <w:sz w:val="16"/>
                <w:szCs w:val="16"/>
              </w:rPr>
              <w:t>Marx 2019</w:t>
            </w:r>
          </w:p>
        </w:tc>
        <w:tc>
          <w:tcPr>
            <w:tcW w:w="858" w:type="dxa"/>
            <w:shd w:val="clear" w:color="auto" w:fill="EFFFE9"/>
          </w:tcPr>
          <w:p w14:paraId="03564636" w14:textId="6064EFAF" w:rsidR="00961E62" w:rsidRPr="00D518FF" w:rsidRDefault="00961E62" w:rsidP="00AA72BD">
            <w:pPr>
              <w:rPr>
                <w:rFonts w:ascii="Aptos" w:hAnsi="Aptos" w:cs="Arial"/>
                <w:sz w:val="16"/>
                <w:szCs w:val="16"/>
              </w:rPr>
            </w:pPr>
            <w:r w:rsidRPr="00D518FF">
              <w:rPr>
                <w:rFonts w:ascii="Aptos" w:hAnsi="Aptos" w:cs="Arial"/>
                <w:sz w:val="16"/>
                <w:szCs w:val="16"/>
              </w:rPr>
              <w:t>Systematic review</w:t>
            </w:r>
          </w:p>
        </w:tc>
        <w:tc>
          <w:tcPr>
            <w:tcW w:w="1847" w:type="dxa"/>
            <w:shd w:val="clear" w:color="auto" w:fill="EFFFE9"/>
          </w:tcPr>
          <w:p w14:paraId="1FD02C0F" w14:textId="7E122670" w:rsidR="00961E62" w:rsidRPr="00D518FF" w:rsidRDefault="00961E62" w:rsidP="00AA72BD">
            <w:pPr>
              <w:rPr>
                <w:rFonts w:ascii="Aptos" w:hAnsi="Aptos" w:cs="Arial"/>
                <w:sz w:val="16"/>
                <w:szCs w:val="16"/>
              </w:rPr>
            </w:pPr>
            <w:r w:rsidRPr="00D518FF">
              <w:rPr>
                <w:rFonts w:ascii="Aptos" w:hAnsi="Aptos" w:cs="Arial"/>
                <w:sz w:val="16"/>
                <w:szCs w:val="16"/>
              </w:rPr>
              <w:t>To investigate the efficacy and safety of emerging nutraceutical interventions for clinical and biological outcomes in people with MS.</w:t>
            </w:r>
          </w:p>
        </w:tc>
        <w:tc>
          <w:tcPr>
            <w:tcW w:w="1134" w:type="dxa"/>
            <w:shd w:val="clear" w:color="auto" w:fill="EFFFE9"/>
          </w:tcPr>
          <w:p w14:paraId="1036F5E6" w14:textId="1EA8C8E5" w:rsidR="00961E62" w:rsidRPr="00D518FF" w:rsidRDefault="00961E62" w:rsidP="00AA72BD">
            <w:pPr>
              <w:rPr>
                <w:rFonts w:ascii="Aptos" w:hAnsi="Aptos" w:cs="Arial"/>
                <w:sz w:val="16"/>
                <w:szCs w:val="16"/>
              </w:rPr>
            </w:pPr>
            <w:r w:rsidRPr="00D518FF">
              <w:rPr>
                <w:rFonts w:ascii="Aptos" w:hAnsi="Aptos" w:cs="Arial"/>
                <w:sz w:val="16"/>
                <w:szCs w:val="16"/>
              </w:rPr>
              <w:t>randomized, parallel or cross-over trial</w:t>
            </w:r>
          </w:p>
        </w:tc>
        <w:tc>
          <w:tcPr>
            <w:tcW w:w="850" w:type="dxa"/>
            <w:shd w:val="clear" w:color="auto" w:fill="EFFFE9"/>
          </w:tcPr>
          <w:p w14:paraId="27841FBE" w14:textId="3A05A53B" w:rsidR="00961E62" w:rsidRPr="00D518FF" w:rsidRDefault="00961E62" w:rsidP="00AA72BD">
            <w:pPr>
              <w:rPr>
                <w:rFonts w:ascii="Aptos" w:hAnsi="Aptos" w:cs="Arial"/>
                <w:sz w:val="16"/>
                <w:szCs w:val="16"/>
              </w:rPr>
            </w:pPr>
            <w:r w:rsidRPr="00D518FF">
              <w:rPr>
                <w:rFonts w:ascii="Aptos" w:hAnsi="Aptos" w:cs="Arial"/>
                <w:sz w:val="16"/>
                <w:szCs w:val="16"/>
              </w:rPr>
              <w:t>1, 4, 5, 6</w:t>
            </w:r>
          </w:p>
        </w:tc>
        <w:tc>
          <w:tcPr>
            <w:tcW w:w="851" w:type="dxa"/>
            <w:shd w:val="clear" w:color="auto" w:fill="EFFFE9"/>
          </w:tcPr>
          <w:p w14:paraId="12C295CA" w14:textId="37000EA7" w:rsidR="00961E62" w:rsidRPr="00D518FF" w:rsidRDefault="00961E62" w:rsidP="00AA72BD">
            <w:pPr>
              <w:rPr>
                <w:rFonts w:ascii="Aptos" w:hAnsi="Aptos" w:cs="Arial"/>
                <w:sz w:val="16"/>
                <w:szCs w:val="16"/>
              </w:rPr>
            </w:pPr>
            <w:r w:rsidRPr="00D518FF">
              <w:rPr>
                <w:rFonts w:ascii="Aptos" w:hAnsi="Aptos" w:cs="Arial"/>
                <w:sz w:val="16"/>
                <w:szCs w:val="16"/>
              </w:rPr>
              <w:t>5</w:t>
            </w:r>
          </w:p>
        </w:tc>
        <w:tc>
          <w:tcPr>
            <w:tcW w:w="1185" w:type="dxa"/>
            <w:shd w:val="clear" w:color="auto" w:fill="EFFFE9"/>
          </w:tcPr>
          <w:p w14:paraId="4DF93116" w14:textId="2F71EC29" w:rsidR="00961E62" w:rsidRPr="00D518FF" w:rsidRDefault="004622EE" w:rsidP="00AA72BD">
            <w:pPr>
              <w:rPr>
                <w:rFonts w:ascii="Aptos" w:hAnsi="Aptos" w:cs="Arial"/>
                <w:sz w:val="16"/>
                <w:szCs w:val="16"/>
              </w:rPr>
            </w:pPr>
            <w:r w:rsidRPr="00D518FF">
              <w:rPr>
                <w:rFonts w:ascii="Aptos" w:hAnsi="Aptos" w:cs="Arial"/>
                <w:sz w:val="16"/>
                <w:szCs w:val="16"/>
              </w:rPr>
              <w:t>PubMed</w:t>
            </w:r>
            <w:r w:rsidR="00961E62" w:rsidRPr="00D518FF">
              <w:rPr>
                <w:rFonts w:ascii="Aptos" w:hAnsi="Aptos" w:cs="Arial"/>
                <w:sz w:val="16"/>
                <w:szCs w:val="16"/>
              </w:rPr>
              <w:t>, Embase, Cochrane Library, Google Scholar</w:t>
            </w:r>
            <w:r w:rsidR="00DF0896" w:rsidRPr="00D518FF">
              <w:rPr>
                <w:rFonts w:ascii="Aptos" w:hAnsi="Aptos" w:cs="Arial"/>
                <w:sz w:val="16"/>
                <w:szCs w:val="16"/>
              </w:rPr>
              <w:t xml:space="preserve">, </w:t>
            </w:r>
            <w:r w:rsidR="00961E62" w:rsidRPr="00D518FF">
              <w:rPr>
                <w:rFonts w:ascii="Aptos" w:hAnsi="Aptos" w:cs="Arial"/>
                <w:sz w:val="16"/>
                <w:szCs w:val="16"/>
              </w:rPr>
              <w:t>Natural Medicines Database</w:t>
            </w:r>
          </w:p>
        </w:tc>
        <w:tc>
          <w:tcPr>
            <w:tcW w:w="609" w:type="dxa"/>
            <w:shd w:val="clear" w:color="auto" w:fill="EFFFE9"/>
          </w:tcPr>
          <w:p w14:paraId="6BDCF680" w14:textId="407DA800" w:rsidR="00961E62" w:rsidRPr="00D518FF" w:rsidRDefault="00961E62" w:rsidP="00AA72BD">
            <w:pPr>
              <w:rPr>
                <w:rFonts w:ascii="Aptos" w:hAnsi="Aptos" w:cs="Arial"/>
                <w:sz w:val="16"/>
                <w:szCs w:val="16"/>
              </w:rPr>
            </w:pPr>
            <w:r w:rsidRPr="00D518FF">
              <w:rPr>
                <w:rFonts w:ascii="Aptos" w:hAnsi="Aptos" w:cs="Arial"/>
                <w:sz w:val="16"/>
                <w:szCs w:val="16"/>
              </w:rPr>
              <w:t>Aug</w:t>
            </w:r>
            <w:r w:rsidR="00DF0896" w:rsidRPr="00D518FF">
              <w:rPr>
                <w:rFonts w:ascii="Aptos" w:hAnsi="Aptos" w:cs="Arial"/>
                <w:sz w:val="16"/>
                <w:szCs w:val="16"/>
              </w:rPr>
              <w:t xml:space="preserve"> 20</w:t>
            </w:r>
            <w:r w:rsidRPr="00D518FF">
              <w:rPr>
                <w:rFonts w:ascii="Aptos" w:hAnsi="Aptos" w:cs="Arial"/>
                <w:sz w:val="16"/>
                <w:szCs w:val="16"/>
              </w:rPr>
              <w:t>18</w:t>
            </w:r>
          </w:p>
        </w:tc>
        <w:tc>
          <w:tcPr>
            <w:tcW w:w="929" w:type="dxa"/>
            <w:shd w:val="clear" w:color="auto" w:fill="EFFFE9"/>
          </w:tcPr>
          <w:p w14:paraId="16E980B7" w14:textId="585817A0" w:rsidR="00961E62" w:rsidRPr="00D518FF" w:rsidRDefault="00961E62" w:rsidP="00AA72BD">
            <w:pPr>
              <w:rPr>
                <w:rFonts w:ascii="Aptos" w:hAnsi="Aptos" w:cs="Arial"/>
                <w:sz w:val="16"/>
                <w:szCs w:val="16"/>
              </w:rPr>
            </w:pPr>
            <w:r w:rsidRPr="00D518FF">
              <w:rPr>
                <w:rFonts w:ascii="Aptos" w:hAnsi="Aptos" w:cs="Arial"/>
                <w:sz w:val="16"/>
                <w:szCs w:val="16"/>
              </w:rPr>
              <w:t>NR</w:t>
            </w:r>
          </w:p>
        </w:tc>
        <w:tc>
          <w:tcPr>
            <w:tcW w:w="1105" w:type="dxa"/>
            <w:shd w:val="clear" w:color="auto" w:fill="EFFFE9"/>
          </w:tcPr>
          <w:p w14:paraId="16FBBBD5" w14:textId="0CB53DCF" w:rsidR="00961E62" w:rsidRPr="00D518FF" w:rsidRDefault="00961E62" w:rsidP="00AA72BD">
            <w:pPr>
              <w:rPr>
                <w:rFonts w:ascii="Aptos" w:hAnsi="Aptos" w:cs="Arial"/>
                <w:sz w:val="16"/>
                <w:szCs w:val="16"/>
              </w:rPr>
            </w:pPr>
            <w:r w:rsidRPr="00D518FF">
              <w:rPr>
                <w:rFonts w:ascii="Aptos" w:hAnsi="Aptos" w:cs="Arial"/>
                <w:sz w:val="16"/>
                <w:szCs w:val="16"/>
              </w:rPr>
              <w:t xml:space="preserve">Jadad Scale </w:t>
            </w:r>
          </w:p>
        </w:tc>
        <w:tc>
          <w:tcPr>
            <w:tcW w:w="835" w:type="dxa"/>
            <w:shd w:val="clear" w:color="auto" w:fill="EFFFE9"/>
          </w:tcPr>
          <w:p w14:paraId="52619B91" w14:textId="2010D876" w:rsidR="00961E62" w:rsidRPr="00D518FF" w:rsidRDefault="00961E62" w:rsidP="00AA72BD">
            <w:pPr>
              <w:rPr>
                <w:rFonts w:ascii="Aptos" w:hAnsi="Aptos" w:cs="Arial"/>
                <w:sz w:val="16"/>
                <w:szCs w:val="16"/>
              </w:rPr>
            </w:pPr>
            <w:r w:rsidRPr="00D518FF">
              <w:rPr>
                <w:rFonts w:ascii="Aptos" w:hAnsi="Aptos" w:cs="Arial"/>
                <w:sz w:val="16"/>
                <w:szCs w:val="16"/>
              </w:rPr>
              <w:t>Not conducted</w:t>
            </w:r>
          </w:p>
        </w:tc>
        <w:tc>
          <w:tcPr>
            <w:tcW w:w="1149" w:type="dxa"/>
            <w:shd w:val="clear" w:color="auto" w:fill="EFFFE9"/>
          </w:tcPr>
          <w:p w14:paraId="0599E491" w14:textId="414CEB6D" w:rsidR="00961E62" w:rsidRPr="00D518FF" w:rsidRDefault="00961E62" w:rsidP="00AA72BD">
            <w:pPr>
              <w:rPr>
                <w:rFonts w:ascii="Aptos" w:hAnsi="Aptos" w:cs="Arial"/>
                <w:sz w:val="16"/>
                <w:szCs w:val="16"/>
              </w:rPr>
            </w:pPr>
            <w:r w:rsidRPr="00D518FF">
              <w:rPr>
                <w:rFonts w:ascii="Aptos" w:hAnsi="Aptos" w:cs="Arial"/>
                <w:sz w:val="16"/>
                <w:szCs w:val="16"/>
              </w:rPr>
              <w:t>NR</w:t>
            </w:r>
          </w:p>
        </w:tc>
        <w:tc>
          <w:tcPr>
            <w:tcW w:w="1701" w:type="dxa"/>
            <w:shd w:val="clear" w:color="auto" w:fill="EFFFE9"/>
          </w:tcPr>
          <w:p w14:paraId="7BE24ED0" w14:textId="0905B9D9" w:rsidR="00961E62" w:rsidRPr="00D518FF" w:rsidRDefault="00961E62" w:rsidP="00AA72BD">
            <w:pPr>
              <w:rPr>
                <w:rFonts w:ascii="Aptos" w:hAnsi="Aptos" w:cs="Arial"/>
                <w:sz w:val="16"/>
                <w:szCs w:val="16"/>
              </w:rPr>
            </w:pPr>
            <w:r w:rsidRPr="00D518FF">
              <w:rPr>
                <w:rFonts w:ascii="Aptos" w:hAnsi="Aptos" w:cs="Arial"/>
                <w:sz w:val="16"/>
                <w:szCs w:val="16"/>
              </w:rPr>
              <w:t>No direct funding was used to create this manuscript.</w:t>
            </w:r>
          </w:p>
        </w:tc>
      </w:tr>
      <w:tr w:rsidR="00F60E69" w:rsidRPr="00D518FF" w14:paraId="0D2A4A8E" w14:textId="77777777" w:rsidTr="00F6089E">
        <w:trPr>
          <w:trHeight w:val="646"/>
        </w:trPr>
        <w:tc>
          <w:tcPr>
            <w:tcW w:w="976" w:type="dxa"/>
          </w:tcPr>
          <w:p w14:paraId="335404FC" w14:textId="650E4B57" w:rsidR="00F60E69" w:rsidRPr="00D518FF" w:rsidRDefault="00F60E69" w:rsidP="00F60E69">
            <w:pPr>
              <w:rPr>
                <w:rFonts w:ascii="Aptos" w:hAnsi="Aptos" w:cs="Arial"/>
                <w:sz w:val="16"/>
                <w:szCs w:val="16"/>
              </w:rPr>
            </w:pPr>
            <w:r w:rsidRPr="00D518FF">
              <w:rPr>
                <w:rFonts w:ascii="Aptos" w:hAnsi="Aptos" w:cs="Arial"/>
                <w:sz w:val="16"/>
                <w:szCs w:val="16"/>
              </w:rPr>
              <w:t>Mehrabani 2019</w:t>
            </w:r>
          </w:p>
        </w:tc>
        <w:tc>
          <w:tcPr>
            <w:tcW w:w="858" w:type="dxa"/>
          </w:tcPr>
          <w:p w14:paraId="39500386" w14:textId="0F85FD2F" w:rsidR="00F60E69" w:rsidRPr="00D518FF" w:rsidRDefault="00F60E69" w:rsidP="00F60E69">
            <w:pPr>
              <w:rPr>
                <w:rFonts w:ascii="Aptos" w:hAnsi="Aptos" w:cs="Arial"/>
                <w:sz w:val="16"/>
                <w:szCs w:val="16"/>
              </w:rPr>
            </w:pPr>
            <w:r w:rsidRPr="00D518FF">
              <w:rPr>
                <w:rFonts w:ascii="Aptos" w:hAnsi="Aptos" w:cs="Arial"/>
                <w:sz w:val="16"/>
                <w:szCs w:val="16"/>
              </w:rPr>
              <w:t>Systematic review</w:t>
            </w:r>
          </w:p>
        </w:tc>
        <w:tc>
          <w:tcPr>
            <w:tcW w:w="1847" w:type="dxa"/>
          </w:tcPr>
          <w:p w14:paraId="4DA40C90" w14:textId="49DA0E10" w:rsidR="00F60E69" w:rsidRPr="00D518FF" w:rsidRDefault="00F60E69" w:rsidP="00F60E69">
            <w:pPr>
              <w:rPr>
                <w:rFonts w:ascii="Aptos" w:hAnsi="Aptos" w:cs="Arial"/>
                <w:sz w:val="16"/>
                <w:szCs w:val="16"/>
              </w:rPr>
            </w:pPr>
            <w:r w:rsidRPr="00D518FF">
              <w:rPr>
                <w:rFonts w:ascii="Aptos" w:hAnsi="Aptos" w:cs="Arial"/>
                <w:sz w:val="16"/>
                <w:szCs w:val="16"/>
              </w:rPr>
              <w:t xml:space="preserve">To investigate the effect of CoQ10 supplementation on fatigue among </w:t>
            </w:r>
            <w:r w:rsidRPr="00D518FF">
              <w:rPr>
                <w:rFonts w:ascii="Aptos" w:hAnsi="Aptos" w:cs="Arial"/>
                <w:sz w:val="16"/>
                <w:szCs w:val="16"/>
              </w:rPr>
              <w:lastRenderedPageBreak/>
              <w:t>adolescent and adult population</w:t>
            </w:r>
          </w:p>
        </w:tc>
        <w:tc>
          <w:tcPr>
            <w:tcW w:w="1134" w:type="dxa"/>
          </w:tcPr>
          <w:p w14:paraId="2982C4D5" w14:textId="4C2FB642" w:rsidR="00F60E69" w:rsidRPr="00D518FF" w:rsidRDefault="00F60E69" w:rsidP="00F60E69">
            <w:pPr>
              <w:rPr>
                <w:rFonts w:ascii="Aptos" w:hAnsi="Aptos" w:cs="Arial"/>
                <w:sz w:val="16"/>
                <w:szCs w:val="16"/>
              </w:rPr>
            </w:pPr>
            <w:r w:rsidRPr="00D518FF">
              <w:rPr>
                <w:rFonts w:ascii="Aptos" w:hAnsi="Aptos" w:cs="Arial"/>
                <w:sz w:val="16"/>
                <w:szCs w:val="16"/>
              </w:rPr>
              <w:lastRenderedPageBreak/>
              <w:t>interventional studies</w:t>
            </w:r>
          </w:p>
        </w:tc>
        <w:tc>
          <w:tcPr>
            <w:tcW w:w="850" w:type="dxa"/>
          </w:tcPr>
          <w:p w14:paraId="18C5F506" w14:textId="05A08B20"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851" w:type="dxa"/>
          </w:tcPr>
          <w:p w14:paraId="7D55B241" w14:textId="468F449E" w:rsidR="00F60E69" w:rsidRPr="00D518FF" w:rsidRDefault="00F60E69" w:rsidP="00F60E69">
            <w:pPr>
              <w:rPr>
                <w:rFonts w:ascii="Aptos" w:hAnsi="Aptos" w:cs="Arial"/>
                <w:sz w:val="16"/>
                <w:szCs w:val="16"/>
              </w:rPr>
            </w:pPr>
            <w:r w:rsidRPr="00D518FF">
              <w:rPr>
                <w:rFonts w:ascii="Aptos" w:hAnsi="Aptos" w:cs="Arial"/>
                <w:sz w:val="16"/>
                <w:szCs w:val="16"/>
              </w:rPr>
              <w:t>6</w:t>
            </w:r>
          </w:p>
        </w:tc>
        <w:tc>
          <w:tcPr>
            <w:tcW w:w="1185" w:type="dxa"/>
          </w:tcPr>
          <w:p w14:paraId="5BA467F7" w14:textId="2FA2F04D" w:rsidR="00F60E69" w:rsidRPr="00D518FF" w:rsidRDefault="00F60E69" w:rsidP="00F60E69">
            <w:pPr>
              <w:rPr>
                <w:rFonts w:ascii="Aptos" w:hAnsi="Aptos" w:cs="Arial"/>
                <w:sz w:val="16"/>
                <w:szCs w:val="16"/>
              </w:rPr>
            </w:pPr>
            <w:r w:rsidRPr="00D518FF">
              <w:rPr>
                <w:rFonts w:ascii="Aptos" w:hAnsi="Aptos" w:cs="Arial"/>
                <w:sz w:val="16"/>
                <w:szCs w:val="16"/>
              </w:rPr>
              <w:t xml:space="preserve">PubMed, Scopus, Cochrane's library, Science direct, Google </w:t>
            </w:r>
            <w:r w:rsidRPr="00D518FF">
              <w:rPr>
                <w:rFonts w:ascii="Aptos" w:hAnsi="Aptos" w:cs="Arial"/>
                <w:sz w:val="16"/>
                <w:szCs w:val="16"/>
              </w:rPr>
              <w:lastRenderedPageBreak/>
              <w:t>Scholar, ISI web of science databases</w:t>
            </w:r>
          </w:p>
        </w:tc>
        <w:tc>
          <w:tcPr>
            <w:tcW w:w="609" w:type="dxa"/>
          </w:tcPr>
          <w:p w14:paraId="4D354E6A" w14:textId="18E98DD2" w:rsidR="00F60E69" w:rsidRPr="00D518FF" w:rsidRDefault="00F60E69" w:rsidP="00F60E69">
            <w:pPr>
              <w:rPr>
                <w:rFonts w:ascii="Aptos" w:hAnsi="Aptos" w:cs="Arial"/>
                <w:sz w:val="16"/>
                <w:szCs w:val="16"/>
              </w:rPr>
            </w:pPr>
            <w:r w:rsidRPr="00D518FF">
              <w:rPr>
                <w:rFonts w:ascii="Aptos" w:hAnsi="Aptos" w:cs="Arial"/>
                <w:sz w:val="16"/>
                <w:szCs w:val="16"/>
              </w:rPr>
              <w:lastRenderedPageBreak/>
              <w:t>Apr 2018</w:t>
            </w:r>
          </w:p>
        </w:tc>
        <w:tc>
          <w:tcPr>
            <w:tcW w:w="929" w:type="dxa"/>
          </w:tcPr>
          <w:p w14:paraId="110E10A0" w14:textId="1665A907" w:rsidR="00F60E69" w:rsidRPr="00D518FF" w:rsidRDefault="00F60E69" w:rsidP="00F60E69">
            <w:pPr>
              <w:rPr>
                <w:rFonts w:ascii="Aptos" w:hAnsi="Aptos" w:cs="Arial"/>
                <w:sz w:val="16"/>
                <w:szCs w:val="16"/>
              </w:rPr>
            </w:pPr>
            <w:r w:rsidRPr="00D518FF">
              <w:rPr>
                <w:rFonts w:ascii="Aptos" w:hAnsi="Aptos" w:cs="Arial"/>
                <w:sz w:val="16"/>
                <w:szCs w:val="16"/>
              </w:rPr>
              <w:t>None</w:t>
            </w:r>
          </w:p>
        </w:tc>
        <w:tc>
          <w:tcPr>
            <w:tcW w:w="1105" w:type="dxa"/>
          </w:tcPr>
          <w:p w14:paraId="63A094FA" w14:textId="398913EF"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835" w:type="dxa"/>
          </w:tcPr>
          <w:p w14:paraId="22802645" w14:textId="2DC1AD8D" w:rsidR="00F60E69" w:rsidRPr="00D518FF" w:rsidRDefault="00F60E69" w:rsidP="00F60E69">
            <w:pPr>
              <w:rPr>
                <w:rFonts w:ascii="Aptos" w:hAnsi="Aptos" w:cs="Arial"/>
                <w:sz w:val="16"/>
                <w:szCs w:val="16"/>
              </w:rPr>
            </w:pPr>
            <w:r w:rsidRPr="00D518FF">
              <w:rPr>
                <w:rFonts w:ascii="Aptos" w:hAnsi="Aptos" w:cs="Arial"/>
                <w:sz w:val="16"/>
                <w:szCs w:val="16"/>
              </w:rPr>
              <w:t>Not conducted</w:t>
            </w:r>
          </w:p>
        </w:tc>
        <w:tc>
          <w:tcPr>
            <w:tcW w:w="1149" w:type="dxa"/>
          </w:tcPr>
          <w:p w14:paraId="2948EAAD" w14:textId="7A2BC8AB" w:rsidR="00F60E69" w:rsidRPr="00D518FF" w:rsidRDefault="00F60E69" w:rsidP="00F60E69">
            <w:pPr>
              <w:rPr>
                <w:rFonts w:ascii="Aptos" w:hAnsi="Aptos" w:cs="Arial"/>
                <w:sz w:val="16"/>
                <w:szCs w:val="16"/>
              </w:rPr>
            </w:pPr>
            <w:r w:rsidRPr="00D518FF">
              <w:rPr>
                <w:rFonts w:ascii="Aptos" w:hAnsi="Aptos" w:cs="Arial"/>
                <w:sz w:val="16"/>
                <w:szCs w:val="16"/>
              </w:rPr>
              <w:t>None</w:t>
            </w:r>
          </w:p>
        </w:tc>
        <w:tc>
          <w:tcPr>
            <w:tcW w:w="1701" w:type="dxa"/>
          </w:tcPr>
          <w:p w14:paraId="6D5FBEDE" w14:textId="7CBE4F23" w:rsidR="00F60E69" w:rsidRPr="00D518FF" w:rsidRDefault="00F60E69" w:rsidP="00F60E69">
            <w:pPr>
              <w:rPr>
                <w:rFonts w:ascii="Aptos" w:hAnsi="Aptos" w:cs="Arial"/>
                <w:sz w:val="16"/>
                <w:szCs w:val="16"/>
              </w:rPr>
            </w:pPr>
            <w:r w:rsidRPr="00D518FF">
              <w:rPr>
                <w:rFonts w:ascii="Aptos" w:hAnsi="Aptos" w:cs="Arial"/>
                <w:sz w:val="16"/>
                <w:szCs w:val="16"/>
              </w:rPr>
              <w:t>NR</w:t>
            </w:r>
          </w:p>
        </w:tc>
      </w:tr>
      <w:tr w:rsidR="00F60E69" w:rsidRPr="00D518FF" w14:paraId="7AD6797E" w14:textId="77777777" w:rsidTr="00F6089E">
        <w:trPr>
          <w:trHeight w:val="646"/>
        </w:trPr>
        <w:tc>
          <w:tcPr>
            <w:tcW w:w="976" w:type="dxa"/>
          </w:tcPr>
          <w:p w14:paraId="0B4D541C" w14:textId="2B44423C" w:rsidR="00F60E69" w:rsidRPr="00D518FF" w:rsidRDefault="00F60E69" w:rsidP="00F60E69">
            <w:pPr>
              <w:rPr>
                <w:rFonts w:ascii="Aptos" w:hAnsi="Aptos" w:cs="Arial"/>
                <w:sz w:val="16"/>
                <w:szCs w:val="16"/>
              </w:rPr>
            </w:pPr>
            <w:r w:rsidRPr="00D518FF">
              <w:rPr>
                <w:rFonts w:ascii="Aptos" w:hAnsi="Aptos" w:cs="Arial"/>
                <w:sz w:val="16"/>
                <w:szCs w:val="16"/>
              </w:rPr>
              <w:t>Pereira 2018</w:t>
            </w:r>
          </w:p>
        </w:tc>
        <w:tc>
          <w:tcPr>
            <w:tcW w:w="858" w:type="dxa"/>
          </w:tcPr>
          <w:p w14:paraId="30A07E54" w14:textId="4EB2CA0D" w:rsidR="00F60E69" w:rsidRPr="00D518FF" w:rsidRDefault="00F60E69" w:rsidP="00F60E69">
            <w:pPr>
              <w:rPr>
                <w:rFonts w:ascii="Aptos" w:hAnsi="Aptos" w:cs="Arial"/>
                <w:sz w:val="16"/>
                <w:szCs w:val="16"/>
              </w:rPr>
            </w:pPr>
            <w:r w:rsidRPr="00D518FF">
              <w:rPr>
                <w:rFonts w:ascii="Aptos" w:hAnsi="Aptos" w:cs="Arial"/>
                <w:sz w:val="16"/>
                <w:szCs w:val="16"/>
              </w:rPr>
              <w:t>Systematic review</w:t>
            </w:r>
          </w:p>
        </w:tc>
        <w:tc>
          <w:tcPr>
            <w:tcW w:w="1847" w:type="dxa"/>
          </w:tcPr>
          <w:p w14:paraId="181B3349" w14:textId="70229423" w:rsidR="00F60E69" w:rsidRPr="00D518FF" w:rsidRDefault="00F60E69" w:rsidP="00F60E69">
            <w:pPr>
              <w:rPr>
                <w:rFonts w:ascii="Aptos" w:hAnsi="Aptos" w:cs="Arial"/>
                <w:sz w:val="16"/>
                <w:szCs w:val="16"/>
              </w:rPr>
            </w:pPr>
            <w:r w:rsidRPr="00D518FF">
              <w:rPr>
                <w:rFonts w:ascii="Aptos" w:hAnsi="Aptos" w:cs="Arial"/>
                <w:sz w:val="16"/>
                <w:szCs w:val="16"/>
              </w:rPr>
              <w:t>To identify dietary supplements that improve fatigue in patients with breast cancer.</w:t>
            </w:r>
          </w:p>
        </w:tc>
        <w:tc>
          <w:tcPr>
            <w:tcW w:w="1134" w:type="dxa"/>
          </w:tcPr>
          <w:p w14:paraId="668B3808" w14:textId="27875024" w:rsidR="00F60E69" w:rsidRPr="00D518FF" w:rsidRDefault="00F60E69" w:rsidP="00F60E69">
            <w:pPr>
              <w:rPr>
                <w:rFonts w:ascii="Aptos" w:hAnsi="Aptos" w:cs="Arial"/>
                <w:sz w:val="16"/>
                <w:szCs w:val="16"/>
              </w:rPr>
            </w:pPr>
            <w:r w:rsidRPr="00D518FF">
              <w:rPr>
                <w:rFonts w:ascii="Aptos" w:hAnsi="Aptos" w:cs="Arial"/>
                <w:sz w:val="16"/>
                <w:szCs w:val="16"/>
              </w:rPr>
              <w:t>Clinical trials</w:t>
            </w:r>
          </w:p>
        </w:tc>
        <w:tc>
          <w:tcPr>
            <w:tcW w:w="850" w:type="dxa"/>
          </w:tcPr>
          <w:p w14:paraId="05F173CF" w14:textId="2DFDD39F"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851" w:type="dxa"/>
          </w:tcPr>
          <w:p w14:paraId="1AF48B11" w14:textId="5196D8CB" w:rsidR="00F60E69" w:rsidRPr="00D518FF" w:rsidRDefault="00F60E69" w:rsidP="00F60E69">
            <w:pPr>
              <w:rPr>
                <w:rFonts w:ascii="Aptos" w:hAnsi="Aptos" w:cs="Arial"/>
                <w:sz w:val="16"/>
                <w:szCs w:val="16"/>
              </w:rPr>
            </w:pPr>
            <w:r w:rsidRPr="00D518FF">
              <w:rPr>
                <w:rFonts w:ascii="Aptos" w:hAnsi="Aptos" w:cs="Arial"/>
                <w:sz w:val="16"/>
                <w:szCs w:val="16"/>
              </w:rPr>
              <w:t>5</w:t>
            </w:r>
          </w:p>
        </w:tc>
        <w:tc>
          <w:tcPr>
            <w:tcW w:w="1185" w:type="dxa"/>
          </w:tcPr>
          <w:p w14:paraId="3287CDDD" w14:textId="5ACE8E71" w:rsidR="00F60E69" w:rsidRPr="00D518FF" w:rsidRDefault="00F60E69" w:rsidP="00F60E69">
            <w:pPr>
              <w:rPr>
                <w:rFonts w:ascii="Aptos" w:hAnsi="Aptos" w:cs="Arial"/>
                <w:sz w:val="16"/>
                <w:szCs w:val="16"/>
              </w:rPr>
            </w:pPr>
            <w:r w:rsidRPr="00D518FF">
              <w:rPr>
                <w:rFonts w:ascii="Aptos" w:hAnsi="Aptos" w:cs="Arial"/>
                <w:sz w:val="16"/>
                <w:szCs w:val="16"/>
              </w:rPr>
              <w:t>PubMed, Scopus (Elsevier), MEDLINE, CENTRAL, CINAHL</w:t>
            </w:r>
          </w:p>
        </w:tc>
        <w:tc>
          <w:tcPr>
            <w:tcW w:w="609" w:type="dxa"/>
          </w:tcPr>
          <w:p w14:paraId="1EF16417" w14:textId="1D91A40E" w:rsidR="00F60E69" w:rsidRPr="00D518FF" w:rsidRDefault="00F60E69" w:rsidP="00F60E69">
            <w:pPr>
              <w:rPr>
                <w:rFonts w:ascii="Aptos" w:hAnsi="Aptos" w:cs="Arial"/>
                <w:sz w:val="16"/>
                <w:szCs w:val="16"/>
              </w:rPr>
            </w:pPr>
            <w:r w:rsidRPr="00D518FF">
              <w:rPr>
                <w:rFonts w:ascii="Aptos" w:hAnsi="Aptos" w:cs="Arial"/>
                <w:sz w:val="16"/>
                <w:szCs w:val="16"/>
              </w:rPr>
              <w:t>Aug 2017</w:t>
            </w:r>
          </w:p>
        </w:tc>
        <w:tc>
          <w:tcPr>
            <w:tcW w:w="929" w:type="dxa"/>
          </w:tcPr>
          <w:p w14:paraId="2D9980CD" w14:textId="23F6E7FA" w:rsidR="00F60E69" w:rsidRPr="00D518FF" w:rsidRDefault="00F60E69" w:rsidP="00F60E69">
            <w:pPr>
              <w:rPr>
                <w:rFonts w:ascii="Aptos" w:hAnsi="Aptos" w:cs="Arial"/>
                <w:sz w:val="16"/>
                <w:szCs w:val="16"/>
              </w:rPr>
            </w:pPr>
            <w:r w:rsidRPr="00D518FF">
              <w:rPr>
                <w:rFonts w:ascii="Aptos" w:hAnsi="Aptos" w:cs="Arial"/>
                <w:sz w:val="16"/>
                <w:szCs w:val="16"/>
              </w:rPr>
              <w:t>None</w:t>
            </w:r>
          </w:p>
        </w:tc>
        <w:tc>
          <w:tcPr>
            <w:tcW w:w="1105" w:type="dxa"/>
          </w:tcPr>
          <w:p w14:paraId="74EF0605" w14:textId="774F6B33"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835" w:type="dxa"/>
          </w:tcPr>
          <w:p w14:paraId="10C6EDF2" w14:textId="734BADC6"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1149" w:type="dxa"/>
          </w:tcPr>
          <w:p w14:paraId="3AA3279E" w14:textId="39567420" w:rsidR="00F60E69" w:rsidRPr="00D518FF" w:rsidRDefault="00F60E69" w:rsidP="00F60E69">
            <w:pPr>
              <w:rPr>
                <w:rFonts w:ascii="Aptos" w:hAnsi="Aptos" w:cs="Arial"/>
                <w:sz w:val="16"/>
                <w:szCs w:val="16"/>
              </w:rPr>
            </w:pPr>
            <w:r w:rsidRPr="00D518FF">
              <w:rPr>
                <w:rFonts w:ascii="Aptos" w:hAnsi="Aptos" w:cs="Arial"/>
                <w:sz w:val="16"/>
                <w:szCs w:val="16"/>
              </w:rPr>
              <w:t>The authors declare no conflicts of interest.</w:t>
            </w:r>
          </w:p>
        </w:tc>
        <w:tc>
          <w:tcPr>
            <w:tcW w:w="1701" w:type="dxa"/>
          </w:tcPr>
          <w:p w14:paraId="2033B5E9" w14:textId="44B1B861" w:rsidR="00F60E69" w:rsidRPr="00D518FF" w:rsidRDefault="00F60E69" w:rsidP="00F60E69">
            <w:pPr>
              <w:rPr>
                <w:rFonts w:ascii="Aptos" w:hAnsi="Aptos" w:cs="Arial"/>
                <w:sz w:val="16"/>
                <w:szCs w:val="16"/>
              </w:rPr>
            </w:pPr>
            <w:r w:rsidRPr="00D518FF">
              <w:rPr>
                <w:rFonts w:ascii="Aptos" w:hAnsi="Aptos" w:cs="Arial"/>
                <w:sz w:val="16"/>
                <w:szCs w:val="16"/>
              </w:rPr>
              <w:t>NR</w:t>
            </w:r>
          </w:p>
        </w:tc>
      </w:tr>
      <w:tr w:rsidR="00F60E69" w:rsidRPr="00D518FF" w14:paraId="2202CDC7" w14:textId="77777777" w:rsidTr="00A6108F">
        <w:trPr>
          <w:trHeight w:val="646"/>
        </w:trPr>
        <w:tc>
          <w:tcPr>
            <w:tcW w:w="976" w:type="dxa"/>
            <w:shd w:val="clear" w:color="auto" w:fill="EFFFE9"/>
          </w:tcPr>
          <w:p w14:paraId="39C91D4A" w14:textId="74ADC93E" w:rsidR="00F60E69" w:rsidRPr="00D518FF" w:rsidRDefault="00F60E69" w:rsidP="00F60E69">
            <w:pPr>
              <w:rPr>
                <w:rFonts w:ascii="Aptos" w:hAnsi="Aptos" w:cs="Arial"/>
                <w:sz w:val="16"/>
                <w:szCs w:val="16"/>
              </w:rPr>
            </w:pPr>
            <w:r w:rsidRPr="00D518FF">
              <w:rPr>
                <w:rFonts w:ascii="Aptos" w:hAnsi="Aptos" w:cs="Arial"/>
                <w:sz w:val="16"/>
                <w:szCs w:val="16"/>
              </w:rPr>
              <w:t>Tsai 2022</w:t>
            </w:r>
          </w:p>
        </w:tc>
        <w:tc>
          <w:tcPr>
            <w:tcW w:w="858" w:type="dxa"/>
            <w:shd w:val="clear" w:color="auto" w:fill="EFFFE9"/>
          </w:tcPr>
          <w:p w14:paraId="737575AC" w14:textId="180746DE"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1847" w:type="dxa"/>
            <w:shd w:val="clear" w:color="auto" w:fill="EFFFE9"/>
          </w:tcPr>
          <w:p w14:paraId="7C3046DC" w14:textId="20279452" w:rsidR="00F60E69" w:rsidRPr="00D518FF" w:rsidRDefault="00F60E69" w:rsidP="00F60E69">
            <w:pPr>
              <w:rPr>
                <w:rFonts w:ascii="Aptos" w:hAnsi="Aptos" w:cs="Arial"/>
                <w:sz w:val="16"/>
                <w:szCs w:val="16"/>
              </w:rPr>
            </w:pPr>
            <w:r w:rsidRPr="00D518FF">
              <w:rPr>
                <w:rFonts w:ascii="Aptos" w:hAnsi="Aptos" w:cs="Arial"/>
                <w:sz w:val="16"/>
                <w:szCs w:val="16"/>
              </w:rPr>
              <w:t>To investigate the effects of CoQ10 treatment on fatigue symptoms and syndromes.</w:t>
            </w:r>
          </w:p>
        </w:tc>
        <w:tc>
          <w:tcPr>
            <w:tcW w:w="1134" w:type="dxa"/>
            <w:shd w:val="clear" w:color="auto" w:fill="EFFFE9"/>
          </w:tcPr>
          <w:p w14:paraId="631B5E08" w14:textId="3673E7F6"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850" w:type="dxa"/>
            <w:shd w:val="clear" w:color="auto" w:fill="EFFFE9"/>
          </w:tcPr>
          <w:p w14:paraId="2BF33957" w14:textId="7DAC484F"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851" w:type="dxa"/>
            <w:shd w:val="clear" w:color="auto" w:fill="EFFFE9"/>
          </w:tcPr>
          <w:p w14:paraId="2CEB8FAE" w14:textId="522E2EEC" w:rsidR="00F60E69" w:rsidRPr="00D518FF" w:rsidRDefault="00F60E69" w:rsidP="00F60E69">
            <w:pPr>
              <w:rPr>
                <w:rFonts w:ascii="Aptos" w:hAnsi="Aptos" w:cs="Arial"/>
                <w:sz w:val="16"/>
                <w:szCs w:val="16"/>
              </w:rPr>
            </w:pPr>
            <w:r w:rsidRPr="00D518FF">
              <w:rPr>
                <w:rFonts w:ascii="Aptos" w:hAnsi="Aptos" w:cs="Arial"/>
                <w:sz w:val="16"/>
                <w:szCs w:val="16"/>
              </w:rPr>
              <w:t>5</w:t>
            </w:r>
          </w:p>
        </w:tc>
        <w:tc>
          <w:tcPr>
            <w:tcW w:w="1185" w:type="dxa"/>
            <w:shd w:val="clear" w:color="auto" w:fill="EFFFE9"/>
          </w:tcPr>
          <w:p w14:paraId="63F3CE37" w14:textId="23F06A6A" w:rsidR="00F60E69" w:rsidRPr="00D518FF" w:rsidRDefault="00F60E69" w:rsidP="00F60E69">
            <w:pPr>
              <w:rPr>
                <w:rFonts w:ascii="Aptos" w:hAnsi="Aptos" w:cs="Arial"/>
                <w:sz w:val="16"/>
                <w:szCs w:val="16"/>
              </w:rPr>
            </w:pPr>
            <w:r w:rsidRPr="00D518FF">
              <w:rPr>
                <w:rFonts w:ascii="Aptos" w:hAnsi="Aptos" w:cs="Arial"/>
                <w:sz w:val="16"/>
                <w:szCs w:val="16"/>
              </w:rPr>
              <w:t>PubMed, Embase, CENTRAL, Web of Science, ClinicalTrials.gov</w:t>
            </w:r>
          </w:p>
        </w:tc>
        <w:tc>
          <w:tcPr>
            <w:tcW w:w="609" w:type="dxa"/>
            <w:shd w:val="clear" w:color="auto" w:fill="EFFFE9"/>
          </w:tcPr>
          <w:p w14:paraId="1B3B032D" w14:textId="592F1B34" w:rsidR="00F60E69" w:rsidRPr="00D518FF" w:rsidRDefault="00F60E69" w:rsidP="00F60E69">
            <w:pPr>
              <w:rPr>
                <w:rFonts w:ascii="Aptos" w:hAnsi="Aptos" w:cs="Arial"/>
                <w:sz w:val="16"/>
                <w:szCs w:val="16"/>
              </w:rPr>
            </w:pPr>
            <w:r w:rsidRPr="00D518FF">
              <w:rPr>
                <w:rFonts w:ascii="Aptos" w:hAnsi="Aptos" w:cs="Arial"/>
                <w:sz w:val="16"/>
                <w:szCs w:val="16"/>
              </w:rPr>
              <w:t xml:space="preserve">Jan 2022 </w:t>
            </w:r>
          </w:p>
        </w:tc>
        <w:tc>
          <w:tcPr>
            <w:tcW w:w="929" w:type="dxa"/>
            <w:shd w:val="clear" w:color="auto" w:fill="EFFFE9"/>
          </w:tcPr>
          <w:p w14:paraId="41F59E1A" w14:textId="774E2B6D" w:rsidR="00F60E69" w:rsidRPr="00D518FF" w:rsidRDefault="00F60E69" w:rsidP="00F60E69">
            <w:pPr>
              <w:rPr>
                <w:rFonts w:ascii="Aptos" w:hAnsi="Aptos" w:cs="Arial"/>
                <w:sz w:val="16"/>
                <w:szCs w:val="16"/>
              </w:rPr>
            </w:pPr>
            <w:r w:rsidRPr="00D518FF">
              <w:rPr>
                <w:rFonts w:ascii="Aptos" w:hAnsi="Aptos" w:cs="Arial"/>
                <w:sz w:val="16"/>
                <w:szCs w:val="16"/>
              </w:rPr>
              <w:t>None</w:t>
            </w:r>
          </w:p>
        </w:tc>
        <w:tc>
          <w:tcPr>
            <w:tcW w:w="1105" w:type="dxa"/>
            <w:shd w:val="clear" w:color="auto" w:fill="EFFFE9"/>
          </w:tcPr>
          <w:p w14:paraId="06BF3399" w14:textId="775B3707"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835" w:type="dxa"/>
            <w:shd w:val="clear" w:color="auto" w:fill="EFFFE9"/>
          </w:tcPr>
          <w:p w14:paraId="702B3A7D" w14:textId="733B473C" w:rsidR="00F60E69" w:rsidRPr="00D518FF" w:rsidRDefault="00F60E69" w:rsidP="00F60E69">
            <w:pPr>
              <w:rPr>
                <w:rFonts w:ascii="Aptos" w:hAnsi="Aptos" w:cs="Arial"/>
                <w:sz w:val="16"/>
                <w:szCs w:val="16"/>
              </w:rPr>
            </w:pPr>
            <w:r w:rsidRPr="00D518FF">
              <w:rPr>
                <w:rFonts w:ascii="Aptos" w:hAnsi="Aptos" w:cs="Arial"/>
                <w:sz w:val="16"/>
                <w:szCs w:val="16"/>
              </w:rPr>
              <w:t>Not conducted</w:t>
            </w:r>
          </w:p>
        </w:tc>
        <w:tc>
          <w:tcPr>
            <w:tcW w:w="1149" w:type="dxa"/>
            <w:shd w:val="clear" w:color="auto" w:fill="EFFFE9"/>
          </w:tcPr>
          <w:p w14:paraId="456FB94F" w14:textId="4428B4C5" w:rsidR="00F60E69" w:rsidRPr="00D518FF" w:rsidRDefault="00F60E69" w:rsidP="00F60E69">
            <w:pPr>
              <w:rPr>
                <w:rFonts w:ascii="Aptos" w:hAnsi="Aptos" w:cs="Arial"/>
                <w:sz w:val="16"/>
                <w:szCs w:val="16"/>
              </w:rPr>
            </w:pPr>
            <w:r w:rsidRPr="00D518FF">
              <w:rPr>
                <w:rFonts w:ascii="Aptos" w:hAnsi="Aptos" w:cs="Arial"/>
                <w:sz w:val="16"/>
                <w:szCs w:val="16"/>
              </w:rPr>
              <w:t>I-CT is the founder of the company InnovaRad Inc.</w:t>
            </w:r>
            <w:r w:rsidRPr="00D518FF">
              <w:rPr>
                <w:rFonts w:ascii="Aptos" w:hAnsi="Aptos" w:cs="Arial"/>
                <w:sz w:val="16"/>
                <w:szCs w:val="16"/>
              </w:rPr>
              <w:br/>
              <w:t>The remaining authors declare that the research was conducted in the absence of any commercial or financial relationships that could be construed as a potential conflict of interest.</w:t>
            </w:r>
          </w:p>
        </w:tc>
        <w:tc>
          <w:tcPr>
            <w:tcW w:w="1701" w:type="dxa"/>
            <w:shd w:val="clear" w:color="auto" w:fill="EFFFE9"/>
          </w:tcPr>
          <w:p w14:paraId="6A24D4C1" w14:textId="68ABB9AA" w:rsidR="00F60E69" w:rsidRPr="00D518FF" w:rsidRDefault="00F60E69" w:rsidP="00F60E69">
            <w:pPr>
              <w:rPr>
                <w:rFonts w:ascii="Aptos" w:hAnsi="Aptos" w:cs="Arial"/>
                <w:sz w:val="16"/>
                <w:szCs w:val="16"/>
              </w:rPr>
            </w:pPr>
            <w:r w:rsidRPr="00D518FF">
              <w:rPr>
                <w:rFonts w:ascii="Aptos" w:hAnsi="Aptos" w:cs="Arial"/>
                <w:sz w:val="16"/>
                <w:szCs w:val="16"/>
              </w:rPr>
              <w:t>This study was funded by the National Taiwan University Hospital, Bei-Hu Branch; Ministry of Science and Technology, Taiwan (MOST 106-2314-B-002-180-MY3 and MOST 109- 2314-B-002-114-MY3); and the Taiwan Society of Ultrasound in Medicine. APC was funded by the Ministry of Science and Technology of Taiwan and Taiwan Society of Ultrasound in Medicine.</w:t>
            </w:r>
          </w:p>
        </w:tc>
      </w:tr>
    </w:tbl>
    <w:p w14:paraId="44CA4796" w14:textId="015B0C3F" w:rsidR="00015D48" w:rsidRPr="00D518FF" w:rsidRDefault="00015D48" w:rsidP="00F306BC">
      <w:pPr>
        <w:pStyle w:val="2024TABLEFOOTER"/>
        <w:spacing w:line="240" w:lineRule="auto"/>
      </w:pPr>
      <w:r w:rsidRPr="00D518FF">
        <w:rPr>
          <w:szCs w:val="16"/>
        </w:rPr>
        <w:t xml:space="preserve">Abbreviations: </w:t>
      </w:r>
      <w:r w:rsidR="009C5B40" w:rsidRPr="00D518FF">
        <w:rPr>
          <w:rFonts w:cs="Calibri"/>
          <w:color w:val="000000"/>
          <w:szCs w:val="16"/>
        </w:rPr>
        <w:t>CENTRAL=Cochrane Central Register of Controlled Trials</w:t>
      </w:r>
      <w:r w:rsidR="009C5B40" w:rsidRPr="00D518FF">
        <w:rPr>
          <w:szCs w:val="16"/>
        </w:rPr>
        <w:t xml:space="preserve">; </w:t>
      </w:r>
      <w:r w:rsidR="00A9261B" w:rsidRPr="00D518FF">
        <w:rPr>
          <w:szCs w:val="16"/>
        </w:rPr>
        <w:t xml:space="preserve">CINAHL=Cumulative Index of Nursing and Allied Health Literature; </w:t>
      </w:r>
      <w:r w:rsidR="002C0FBD" w:rsidRPr="00D518FF">
        <w:rPr>
          <w:szCs w:val="16"/>
        </w:rPr>
        <w:t xml:space="preserve">NR=Not reported; </w:t>
      </w:r>
      <w:r w:rsidR="004622EE" w:rsidRPr="00D518FF">
        <w:rPr>
          <w:szCs w:val="16"/>
        </w:rPr>
        <w:t>RCT</w:t>
      </w:r>
      <w:r w:rsidR="002C0FBD" w:rsidRPr="00D518FF">
        <w:rPr>
          <w:szCs w:val="16"/>
        </w:rPr>
        <w:t>=randomised controlled trial, GRADE=Grading of Recommendations Assessment, Development and Evaluation, QoL=quality of life</w:t>
      </w:r>
    </w:p>
    <w:p w14:paraId="1F290E53" w14:textId="77777777" w:rsidR="00015D48" w:rsidRPr="00D518FF" w:rsidRDefault="00015D48" w:rsidP="00AA72BD">
      <w:pPr>
        <w:pStyle w:val="Caption1"/>
        <w:spacing w:before="0" w:after="0"/>
        <w:rPr>
          <w:rFonts w:ascii="Aptos" w:hAnsi="Aptos"/>
          <w:b w:val="0"/>
          <w:bCs w:val="0"/>
          <w:sz w:val="16"/>
          <w:szCs w:val="16"/>
        </w:rPr>
      </w:pPr>
    </w:p>
    <w:p w14:paraId="05174EE9" w14:textId="77777777" w:rsidR="00015D48" w:rsidRPr="00D518FF" w:rsidRDefault="00015D48"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27789729" w14:textId="77777777" w:rsidR="002772C1" w:rsidRPr="00D518FF" w:rsidRDefault="002772C1" w:rsidP="003F5774">
      <w:pPr>
        <w:pStyle w:val="ListParagraph"/>
        <w:numPr>
          <w:ilvl w:val="0"/>
          <w:numId w:val="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improvement in fatigue severity/burden</w:t>
      </w:r>
    </w:p>
    <w:p w14:paraId="584BCBB9" w14:textId="77777777" w:rsidR="002772C1" w:rsidRPr="00D518FF" w:rsidRDefault="002772C1" w:rsidP="003F5774">
      <w:pPr>
        <w:pStyle w:val="ListParagraph"/>
        <w:numPr>
          <w:ilvl w:val="0"/>
          <w:numId w:val="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Clinical recovery or improvement (dichotomous)</w:t>
      </w:r>
    </w:p>
    <w:p w14:paraId="6ED34B26" w14:textId="77777777" w:rsidR="002772C1" w:rsidRPr="00D518FF" w:rsidRDefault="002772C1" w:rsidP="003F5774">
      <w:pPr>
        <w:pStyle w:val="ListParagraph"/>
        <w:numPr>
          <w:ilvl w:val="0"/>
          <w:numId w:val="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Self-perceived change in overall health</w:t>
      </w:r>
    </w:p>
    <w:p w14:paraId="3AF6F3EE" w14:textId="77777777" w:rsidR="002772C1" w:rsidRPr="00D518FF" w:rsidRDefault="002772C1" w:rsidP="003F5774">
      <w:pPr>
        <w:pStyle w:val="ListParagraph"/>
        <w:numPr>
          <w:ilvl w:val="0"/>
          <w:numId w:val="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Physical function burden from fatigue</w:t>
      </w:r>
    </w:p>
    <w:p w14:paraId="2EF8C65B" w14:textId="77777777" w:rsidR="002772C1" w:rsidRPr="00D518FF" w:rsidRDefault="002772C1" w:rsidP="003F5774">
      <w:pPr>
        <w:pStyle w:val="ListParagraph"/>
        <w:numPr>
          <w:ilvl w:val="0"/>
          <w:numId w:val="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18DE632F" w14:textId="77777777" w:rsidR="002772C1" w:rsidRPr="00D518FF" w:rsidRDefault="002772C1" w:rsidP="003F5774">
      <w:pPr>
        <w:pStyle w:val="ListParagraph"/>
        <w:numPr>
          <w:ilvl w:val="0"/>
          <w:numId w:val="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 from fatigue</w:t>
      </w:r>
    </w:p>
    <w:p w14:paraId="5F017685" w14:textId="6269121F" w:rsidR="002772C1" w:rsidRPr="00D518FF" w:rsidRDefault="002772C1" w:rsidP="003F5774">
      <w:pPr>
        <w:pStyle w:val="ListParagraph"/>
        <w:numPr>
          <w:ilvl w:val="0"/>
          <w:numId w:val="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Sleep quality/quantity</w:t>
      </w:r>
    </w:p>
    <w:p w14:paraId="1B56D3BC" w14:textId="3536D4F0" w:rsidR="002772C1" w:rsidRPr="00B53559" w:rsidRDefault="0085202D" w:rsidP="00B53559">
      <w:pPr>
        <w:pStyle w:val="heading2numbers"/>
        <w:rPr>
          <w:rStyle w:val="Heading1Char"/>
          <w:rFonts w:ascii="Aptos" w:eastAsia="Calibri" w:hAnsi="Aptos"/>
          <w:bCs w:val="0"/>
          <w:color w:val="C00000"/>
          <w:sz w:val="28"/>
          <w:szCs w:val="26"/>
        </w:rPr>
      </w:pPr>
      <w:bookmarkStart w:id="163" w:name="_Toc185254653"/>
      <w:r w:rsidRPr="00B53559">
        <w:rPr>
          <w:rStyle w:val="Heading1Char"/>
          <w:rFonts w:ascii="Aptos" w:eastAsia="Calibri" w:hAnsi="Aptos"/>
          <w:bCs w:val="0"/>
          <w:color w:val="C00000"/>
          <w:sz w:val="28"/>
          <w:szCs w:val="26"/>
        </w:rPr>
        <w:lastRenderedPageBreak/>
        <w:t xml:space="preserve">Headache and migraine, </w:t>
      </w:r>
      <w:r w:rsidR="00C16441" w:rsidRPr="00B53559">
        <w:rPr>
          <w:rStyle w:val="Heading1Char"/>
          <w:rFonts w:ascii="Aptos" w:eastAsia="Calibri" w:hAnsi="Aptos"/>
          <w:bCs w:val="0"/>
          <w:color w:val="C00000"/>
          <w:sz w:val="28"/>
          <w:szCs w:val="26"/>
        </w:rPr>
        <w:t>m</w:t>
      </w:r>
      <w:r w:rsidRPr="00B53559">
        <w:rPr>
          <w:rStyle w:val="Heading1Char"/>
          <w:rFonts w:ascii="Aptos" w:eastAsia="Calibri" w:hAnsi="Aptos"/>
          <w:bCs w:val="0"/>
          <w:color w:val="C00000"/>
          <w:sz w:val="28"/>
          <w:szCs w:val="26"/>
        </w:rPr>
        <w:t>agnesium</w:t>
      </w:r>
      <w:bookmarkEnd w:id="163"/>
    </w:p>
    <w:p w14:paraId="4FE67888" w14:textId="0DD09866" w:rsidR="00FF3F59" w:rsidRPr="00D518FF" w:rsidRDefault="00345928" w:rsidP="004C6AA1">
      <w:pPr>
        <w:pStyle w:val="Caption"/>
        <w:spacing w:before="240"/>
        <w:rPr>
          <w:rFonts w:ascii="Aptos" w:hAnsi="Aptos"/>
        </w:rPr>
      </w:pPr>
      <w:bookmarkStart w:id="164" w:name="_Toc185254562"/>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16</w:t>
      </w:r>
      <w:r w:rsidR="00DC4767" w:rsidRPr="004C6AA1">
        <w:rPr>
          <w:rFonts w:ascii="Aptos" w:hAnsi="Aptos"/>
        </w:rPr>
        <w:fldChar w:fldCharType="end"/>
      </w:r>
      <w:r w:rsidR="00FF3F59" w:rsidRPr="00D518FF">
        <w:rPr>
          <w:rFonts w:ascii="Aptos" w:hAnsi="Aptos"/>
        </w:rPr>
        <w:t>. Citation details of included reviews – headache and migraine, magnesium (n=6)</w:t>
      </w:r>
      <w:r w:rsidR="00A6108F">
        <w:rPr>
          <w:rFonts w:ascii="Aptos" w:hAnsi="Aptos"/>
        </w:rPr>
        <w:t>.</w:t>
      </w:r>
      <w:bookmarkEnd w:id="164"/>
    </w:p>
    <w:tbl>
      <w:tblPr>
        <w:tblStyle w:val="TableGrid"/>
        <w:tblW w:w="0" w:type="auto"/>
        <w:tblLayout w:type="fixed"/>
        <w:tblCellMar>
          <w:top w:w="28" w:type="dxa"/>
          <w:left w:w="57" w:type="dxa"/>
          <w:bottom w:w="28" w:type="dxa"/>
          <w:right w:w="28" w:type="dxa"/>
        </w:tblCellMar>
        <w:tblLook w:val="04A0" w:firstRow="1" w:lastRow="0" w:firstColumn="1" w:lastColumn="0" w:noHBand="0" w:noVBand="1"/>
      </w:tblPr>
      <w:tblGrid>
        <w:gridCol w:w="1271"/>
        <w:gridCol w:w="3827"/>
        <w:gridCol w:w="2552"/>
        <w:gridCol w:w="567"/>
        <w:gridCol w:w="2268"/>
        <w:gridCol w:w="709"/>
        <w:gridCol w:w="567"/>
        <w:gridCol w:w="850"/>
        <w:gridCol w:w="1559"/>
      </w:tblGrid>
      <w:tr w:rsidR="00FF3F59" w:rsidRPr="00D518FF" w14:paraId="07B687A5" w14:textId="77777777" w:rsidTr="00E77295">
        <w:trPr>
          <w:trHeight w:val="61"/>
          <w:tblHeader/>
        </w:trPr>
        <w:tc>
          <w:tcPr>
            <w:tcW w:w="1271" w:type="dxa"/>
            <w:shd w:val="clear" w:color="auto" w:fill="D9D9D9" w:themeFill="background1" w:themeFillShade="D9"/>
          </w:tcPr>
          <w:p w14:paraId="57AAD963"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827" w:type="dxa"/>
            <w:shd w:val="clear" w:color="auto" w:fill="D9D9D9" w:themeFill="background1" w:themeFillShade="D9"/>
            <w:noWrap/>
            <w:hideMark/>
          </w:tcPr>
          <w:p w14:paraId="50629EF4"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552" w:type="dxa"/>
            <w:shd w:val="clear" w:color="auto" w:fill="D9D9D9" w:themeFill="background1" w:themeFillShade="D9"/>
            <w:noWrap/>
            <w:hideMark/>
          </w:tcPr>
          <w:p w14:paraId="7278D75F"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20EB447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2268" w:type="dxa"/>
            <w:shd w:val="clear" w:color="auto" w:fill="D9D9D9" w:themeFill="background1" w:themeFillShade="D9"/>
            <w:noWrap/>
            <w:hideMark/>
          </w:tcPr>
          <w:p w14:paraId="7CAE1A89"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3E3CF86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567" w:type="dxa"/>
            <w:shd w:val="clear" w:color="auto" w:fill="D9D9D9" w:themeFill="background1" w:themeFillShade="D9"/>
            <w:noWrap/>
            <w:hideMark/>
          </w:tcPr>
          <w:p w14:paraId="441239FF"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850" w:type="dxa"/>
            <w:shd w:val="clear" w:color="auto" w:fill="D9D9D9" w:themeFill="background1" w:themeFillShade="D9"/>
            <w:noWrap/>
            <w:hideMark/>
          </w:tcPr>
          <w:p w14:paraId="0A47B66B"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559" w:type="dxa"/>
            <w:shd w:val="clear" w:color="auto" w:fill="D9D9D9" w:themeFill="background1" w:themeFillShade="D9"/>
            <w:noWrap/>
            <w:hideMark/>
          </w:tcPr>
          <w:p w14:paraId="7C2DE4FC"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3797616E" w14:textId="77777777" w:rsidTr="00E77295">
        <w:trPr>
          <w:trHeight w:val="55"/>
        </w:trPr>
        <w:tc>
          <w:tcPr>
            <w:tcW w:w="1271" w:type="dxa"/>
          </w:tcPr>
          <w:p w14:paraId="007E6E3B" w14:textId="77777777" w:rsidR="00FF3F59" w:rsidRPr="00D518FF" w:rsidRDefault="00FF3F59">
            <w:pPr>
              <w:rPr>
                <w:rFonts w:ascii="Aptos" w:hAnsi="Aptos" w:cs="Arial"/>
                <w:sz w:val="16"/>
                <w:szCs w:val="16"/>
              </w:rPr>
            </w:pPr>
            <w:r w:rsidRPr="00D518FF">
              <w:rPr>
                <w:rFonts w:ascii="Aptos" w:hAnsi="Aptos" w:cs="Arial"/>
                <w:sz w:val="16"/>
                <w:szCs w:val="16"/>
              </w:rPr>
              <w:t>Chiu 2016</w:t>
            </w:r>
          </w:p>
        </w:tc>
        <w:tc>
          <w:tcPr>
            <w:tcW w:w="3827" w:type="dxa"/>
          </w:tcPr>
          <w:p w14:paraId="0D578422" w14:textId="77777777" w:rsidR="00FF3F59" w:rsidRPr="00D518FF" w:rsidRDefault="00FF3F59">
            <w:pPr>
              <w:rPr>
                <w:rFonts w:ascii="Aptos" w:hAnsi="Aptos" w:cs="Arial"/>
                <w:sz w:val="16"/>
                <w:szCs w:val="16"/>
              </w:rPr>
            </w:pPr>
            <w:r w:rsidRPr="00D518FF">
              <w:rPr>
                <w:rFonts w:ascii="Aptos" w:hAnsi="Aptos" w:cs="Arial"/>
                <w:sz w:val="16"/>
                <w:szCs w:val="16"/>
              </w:rPr>
              <w:t>Effects of intravenous and oral magnesium on reducing migraine: A meta-analysis of randomized controlled trials</w:t>
            </w:r>
          </w:p>
        </w:tc>
        <w:tc>
          <w:tcPr>
            <w:tcW w:w="2552" w:type="dxa"/>
          </w:tcPr>
          <w:p w14:paraId="7174D6C1" w14:textId="77777777" w:rsidR="00FF3F59" w:rsidRPr="00D518FF" w:rsidRDefault="00FF3F59">
            <w:pPr>
              <w:rPr>
                <w:rFonts w:ascii="Aptos" w:hAnsi="Aptos" w:cs="Arial"/>
                <w:sz w:val="16"/>
                <w:szCs w:val="16"/>
              </w:rPr>
            </w:pPr>
            <w:r w:rsidRPr="00D518FF">
              <w:rPr>
                <w:rFonts w:ascii="Aptos" w:hAnsi="Aptos" w:cs="Arial"/>
                <w:sz w:val="16"/>
                <w:szCs w:val="16"/>
              </w:rPr>
              <w:t>Chiu, H. Y.; Yeh, T. H.; Huang, Y. C.; Chen, P. Y.</w:t>
            </w:r>
          </w:p>
        </w:tc>
        <w:tc>
          <w:tcPr>
            <w:tcW w:w="567" w:type="dxa"/>
          </w:tcPr>
          <w:p w14:paraId="2A5F9D9E" w14:textId="77777777" w:rsidR="00FF3F59" w:rsidRPr="00D518FF" w:rsidRDefault="00FF3F59">
            <w:pPr>
              <w:rPr>
                <w:rFonts w:ascii="Aptos" w:hAnsi="Aptos" w:cs="Arial"/>
                <w:sz w:val="16"/>
                <w:szCs w:val="16"/>
              </w:rPr>
            </w:pPr>
            <w:r w:rsidRPr="00D518FF">
              <w:rPr>
                <w:rFonts w:ascii="Aptos" w:hAnsi="Aptos" w:cs="Arial"/>
                <w:sz w:val="16"/>
                <w:szCs w:val="16"/>
              </w:rPr>
              <w:t>2016</w:t>
            </w:r>
          </w:p>
        </w:tc>
        <w:tc>
          <w:tcPr>
            <w:tcW w:w="2268" w:type="dxa"/>
          </w:tcPr>
          <w:p w14:paraId="312E7D0F" w14:textId="77777777" w:rsidR="00FF3F59" w:rsidRPr="00D518FF" w:rsidRDefault="00FF3F59">
            <w:pPr>
              <w:rPr>
                <w:rFonts w:ascii="Aptos" w:hAnsi="Aptos" w:cs="Arial"/>
                <w:sz w:val="16"/>
                <w:szCs w:val="16"/>
              </w:rPr>
            </w:pPr>
            <w:r w:rsidRPr="00D518FF">
              <w:rPr>
                <w:rFonts w:ascii="Aptos" w:hAnsi="Aptos" w:cs="Arial"/>
                <w:sz w:val="16"/>
                <w:szCs w:val="16"/>
              </w:rPr>
              <w:t>Pain Physician</w:t>
            </w:r>
          </w:p>
        </w:tc>
        <w:tc>
          <w:tcPr>
            <w:tcW w:w="709" w:type="dxa"/>
          </w:tcPr>
          <w:p w14:paraId="5F8066F0" w14:textId="77777777" w:rsidR="00FF3F59" w:rsidRPr="00D518FF" w:rsidRDefault="00FF3F59">
            <w:pPr>
              <w:rPr>
                <w:rFonts w:ascii="Aptos" w:hAnsi="Aptos" w:cs="Arial"/>
                <w:sz w:val="16"/>
                <w:szCs w:val="16"/>
              </w:rPr>
            </w:pPr>
            <w:r w:rsidRPr="00D518FF">
              <w:rPr>
                <w:rFonts w:ascii="Aptos" w:hAnsi="Aptos" w:cs="Arial"/>
                <w:sz w:val="16"/>
                <w:szCs w:val="16"/>
              </w:rPr>
              <w:t>19</w:t>
            </w:r>
          </w:p>
        </w:tc>
        <w:tc>
          <w:tcPr>
            <w:tcW w:w="567" w:type="dxa"/>
          </w:tcPr>
          <w:p w14:paraId="5BF9F1C2" w14:textId="77777777" w:rsidR="00FF3F59" w:rsidRPr="00D518FF" w:rsidRDefault="00FF3F59">
            <w:pPr>
              <w:rPr>
                <w:rFonts w:ascii="Aptos" w:hAnsi="Aptos" w:cs="Arial"/>
                <w:sz w:val="16"/>
                <w:szCs w:val="16"/>
              </w:rPr>
            </w:pPr>
            <w:r w:rsidRPr="00D518FF">
              <w:rPr>
                <w:rFonts w:ascii="Aptos" w:hAnsi="Aptos" w:cs="Arial"/>
                <w:sz w:val="16"/>
                <w:szCs w:val="16"/>
              </w:rPr>
              <w:t>1</w:t>
            </w:r>
          </w:p>
        </w:tc>
        <w:tc>
          <w:tcPr>
            <w:tcW w:w="850" w:type="dxa"/>
          </w:tcPr>
          <w:p w14:paraId="1EBC80E3" w14:textId="77777777" w:rsidR="00FF3F59" w:rsidRPr="00D518FF" w:rsidRDefault="00FF3F59">
            <w:pPr>
              <w:rPr>
                <w:rFonts w:ascii="Aptos" w:hAnsi="Aptos" w:cs="Arial"/>
                <w:sz w:val="16"/>
                <w:szCs w:val="16"/>
              </w:rPr>
            </w:pPr>
            <w:r w:rsidRPr="00D518FF">
              <w:rPr>
                <w:rFonts w:ascii="Aptos" w:hAnsi="Aptos" w:cs="Arial"/>
                <w:sz w:val="16"/>
                <w:szCs w:val="16"/>
              </w:rPr>
              <w:t>E97-E112</w:t>
            </w:r>
          </w:p>
        </w:tc>
        <w:tc>
          <w:tcPr>
            <w:tcW w:w="1559" w:type="dxa"/>
          </w:tcPr>
          <w:p w14:paraId="40A93D09" w14:textId="77777777" w:rsidR="00FF3F59" w:rsidRPr="00D518FF" w:rsidRDefault="00FF3F59">
            <w:pPr>
              <w:rPr>
                <w:rFonts w:ascii="Aptos" w:hAnsi="Aptos" w:cs="Arial"/>
                <w:sz w:val="16"/>
                <w:szCs w:val="16"/>
              </w:rPr>
            </w:pPr>
            <w:r w:rsidRPr="00D518FF">
              <w:rPr>
                <w:rFonts w:ascii="Aptos" w:hAnsi="Aptos" w:cs="Arial"/>
                <w:sz w:val="16"/>
                <w:szCs w:val="16"/>
              </w:rPr>
              <w:t>NR</w:t>
            </w:r>
          </w:p>
        </w:tc>
      </w:tr>
      <w:tr w:rsidR="00FF3F59" w:rsidRPr="00D518FF" w14:paraId="70A80CFE" w14:textId="77777777" w:rsidTr="00A6108F">
        <w:trPr>
          <w:trHeight w:val="55"/>
        </w:trPr>
        <w:tc>
          <w:tcPr>
            <w:tcW w:w="1271" w:type="dxa"/>
            <w:shd w:val="clear" w:color="auto" w:fill="EFFFE9"/>
          </w:tcPr>
          <w:p w14:paraId="458186A9" w14:textId="77777777" w:rsidR="00FF3F59" w:rsidRPr="00D518FF" w:rsidRDefault="00FF3F59">
            <w:pPr>
              <w:rPr>
                <w:rFonts w:ascii="Aptos" w:hAnsi="Aptos" w:cs="Arial"/>
                <w:sz w:val="16"/>
                <w:szCs w:val="16"/>
              </w:rPr>
            </w:pPr>
            <w:r w:rsidRPr="00D518FF">
              <w:rPr>
                <w:rFonts w:ascii="Aptos" w:hAnsi="Aptos" w:cs="Arial"/>
                <w:sz w:val="16"/>
                <w:szCs w:val="16"/>
              </w:rPr>
              <w:t>Okoli 2019</w:t>
            </w:r>
          </w:p>
        </w:tc>
        <w:tc>
          <w:tcPr>
            <w:tcW w:w="3827" w:type="dxa"/>
            <w:shd w:val="clear" w:color="auto" w:fill="EFFFE9"/>
          </w:tcPr>
          <w:p w14:paraId="1517E919" w14:textId="77777777" w:rsidR="00FF3F59" w:rsidRPr="00D518FF" w:rsidRDefault="00FF3F59">
            <w:pPr>
              <w:rPr>
                <w:rFonts w:ascii="Aptos" w:hAnsi="Aptos" w:cs="Arial"/>
                <w:sz w:val="16"/>
                <w:szCs w:val="16"/>
              </w:rPr>
            </w:pPr>
            <w:r w:rsidRPr="00D518FF">
              <w:rPr>
                <w:rFonts w:ascii="Aptos" w:hAnsi="Aptos" w:cs="Arial"/>
                <w:sz w:val="16"/>
                <w:szCs w:val="16"/>
              </w:rPr>
              <w:t>Vitamins and Minerals for Migraine Prophylaxis: A Systematic Review and Meta-analysis</w:t>
            </w:r>
          </w:p>
        </w:tc>
        <w:tc>
          <w:tcPr>
            <w:tcW w:w="2552" w:type="dxa"/>
            <w:shd w:val="clear" w:color="auto" w:fill="EFFFE9"/>
          </w:tcPr>
          <w:p w14:paraId="5156268B" w14:textId="77777777" w:rsidR="00FF3F59" w:rsidRPr="00D518FF" w:rsidRDefault="00FF3F59">
            <w:pPr>
              <w:rPr>
                <w:rFonts w:ascii="Aptos" w:hAnsi="Aptos" w:cs="Arial"/>
                <w:sz w:val="16"/>
                <w:szCs w:val="16"/>
              </w:rPr>
            </w:pPr>
            <w:r w:rsidRPr="00D518FF">
              <w:rPr>
                <w:rFonts w:ascii="Aptos" w:hAnsi="Aptos" w:cs="Arial"/>
                <w:sz w:val="16"/>
                <w:szCs w:val="16"/>
              </w:rPr>
              <w:t>Okoli, G. N.; Rabbani, R.; Kashani, H. H.; Wierzbowski, A. K.; Neilson, C.; Mansouri, B.; Zarychanski, R.; Abou-Setta, A. M.</w:t>
            </w:r>
          </w:p>
        </w:tc>
        <w:tc>
          <w:tcPr>
            <w:tcW w:w="567" w:type="dxa"/>
            <w:shd w:val="clear" w:color="auto" w:fill="EFFFE9"/>
          </w:tcPr>
          <w:p w14:paraId="711180C1" w14:textId="77777777" w:rsidR="00FF3F59" w:rsidRPr="00D518FF" w:rsidRDefault="00FF3F59">
            <w:pPr>
              <w:rPr>
                <w:rFonts w:ascii="Aptos" w:hAnsi="Aptos" w:cs="Arial"/>
                <w:sz w:val="16"/>
                <w:szCs w:val="16"/>
              </w:rPr>
            </w:pPr>
            <w:r w:rsidRPr="00D518FF">
              <w:rPr>
                <w:rFonts w:ascii="Aptos" w:hAnsi="Aptos" w:cs="Arial"/>
                <w:sz w:val="16"/>
                <w:szCs w:val="16"/>
              </w:rPr>
              <w:t>2019</w:t>
            </w:r>
          </w:p>
        </w:tc>
        <w:tc>
          <w:tcPr>
            <w:tcW w:w="2268" w:type="dxa"/>
            <w:shd w:val="clear" w:color="auto" w:fill="EFFFE9"/>
          </w:tcPr>
          <w:p w14:paraId="47855949" w14:textId="77777777" w:rsidR="00FF3F59" w:rsidRPr="00D518FF" w:rsidRDefault="00FF3F59">
            <w:pPr>
              <w:rPr>
                <w:rFonts w:ascii="Aptos" w:hAnsi="Aptos" w:cs="Arial"/>
                <w:sz w:val="16"/>
                <w:szCs w:val="16"/>
              </w:rPr>
            </w:pPr>
            <w:r w:rsidRPr="00D518FF">
              <w:rPr>
                <w:rFonts w:ascii="Aptos" w:hAnsi="Aptos" w:cs="Arial"/>
                <w:sz w:val="16"/>
                <w:szCs w:val="16"/>
              </w:rPr>
              <w:t>The Canadian journal of neurological sciences. Le journal canadien des sciences neurologiques</w:t>
            </w:r>
          </w:p>
        </w:tc>
        <w:tc>
          <w:tcPr>
            <w:tcW w:w="709" w:type="dxa"/>
            <w:shd w:val="clear" w:color="auto" w:fill="EFFFE9"/>
          </w:tcPr>
          <w:p w14:paraId="61BF1205" w14:textId="77777777" w:rsidR="00FF3F59" w:rsidRPr="00D518FF" w:rsidRDefault="00FF3F59">
            <w:pPr>
              <w:rPr>
                <w:rFonts w:ascii="Aptos" w:hAnsi="Aptos" w:cs="Arial"/>
                <w:sz w:val="16"/>
                <w:szCs w:val="16"/>
              </w:rPr>
            </w:pPr>
            <w:r w:rsidRPr="00D518FF">
              <w:rPr>
                <w:rFonts w:ascii="Aptos" w:hAnsi="Aptos" w:cs="Arial"/>
                <w:sz w:val="16"/>
                <w:szCs w:val="16"/>
              </w:rPr>
              <w:t>46</w:t>
            </w:r>
          </w:p>
        </w:tc>
        <w:tc>
          <w:tcPr>
            <w:tcW w:w="567" w:type="dxa"/>
            <w:shd w:val="clear" w:color="auto" w:fill="EFFFE9"/>
          </w:tcPr>
          <w:p w14:paraId="7A23351C" w14:textId="77777777" w:rsidR="00FF3F59" w:rsidRPr="00D518FF" w:rsidRDefault="00FF3F59">
            <w:pPr>
              <w:rPr>
                <w:rFonts w:ascii="Aptos" w:hAnsi="Aptos" w:cs="Arial"/>
                <w:sz w:val="16"/>
                <w:szCs w:val="16"/>
              </w:rPr>
            </w:pPr>
            <w:r w:rsidRPr="00D518FF">
              <w:rPr>
                <w:rFonts w:ascii="Aptos" w:hAnsi="Aptos" w:cs="Arial"/>
                <w:sz w:val="16"/>
                <w:szCs w:val="16"/>
              </w:rPr>
              <w:t>2</w:t>
            </w:r>
          </w:p>
        </w:tc>
        <w:tc>
          <w:tcPr>
            <w:tcW w:w="850" w:type="dxa"/>
            <w:shd w:val="clear" w:color="auto" w:fill="EFFFE9"/>
          </w:tcPr>
          <w:p w14:paraId="33B97792" w14:textId="77777777" w:rsidR="00FF3F59" w:rsidRPr="00D518FF" w:rsidRDefault="00FF3F59">
            <w:pPr>
              <w:rPr>
                <w:rFonts w:ascii="Aptos" w:hAnsi="Aptos" w:cs="Arial"/>
                <w:sz w:val="16"/>
                <w:szCs w:val="16"/>
              </w:rPr>
            </w:pPr>
            <w:r w:rsidRPr="00D518FF">
              <w:rPr>
                <w:rFonts w:ascii="Aptos" w:hAnsi="Aptos" w:cs="Arial"/>
                <w:sz w:val="16"/>
                <w:szCs w:val="16"/>
              </w:rPr>
              <w:t>1-Oct</w:t>
            </w:r>
          </w:p>
        </w:tc>
        <w:tc>
          <w:tcPr>
            <w:tcW w:w="1559" w:type="dxa"/>
            <w:shd w:val="clear" w:color="auto" w:fill="EFFFE9"/>
          </w:tcPr>
          <w:p w14:paraId="6D2CF461" w14:textId="77777777" w:rsidR="00FF3F59" w:rsidRPr="00D518FF" w:rsidRDefault="00FF3F59">
            <w:pPr>
              <w:rPr>
                <w:rFonts w:ascii="Aptos" w:hAnsi="Aptos" w:cs="Arial"/>
                <w:sz w:val="16"/>
                <w:szCs w:val="16"/>
              </w:rPr>
            </w:pPr>
            <w:r w:rsidRPr="00D518FF">
              <w:rPr>
                <w:rFonts w:ascii="Aptos" w:hAnsi="Aptos" w:cs="Arial"/>
                <w:sz w:val="16"/>
                <w:szCs w:val="16"/>
              </w:rPr>
              <w:t>10.1017/cjn.2018.394</w:t>
            </w:r>
          </w:p>
        </w:tc>
      </w:tr>
      <w:tr w:rsidR="00FF3F59" w:rsidRPr="00D518FF" w14:paraId="5D8E25E7" w14:textId="77777777" w:rsidTr="00E77295">
        <w:trPr>
          <w:trHeight w:val="55"/>
        </w:trPr>
        <w:tc>
          <w:tcPr>
            <w:tcW w:w="1271" w:type="dxa"/>
          </w:tcPr>
          <w:p w14:paraId="7A0771DE" w14:textId="77777777" w:rsidR="00FF3F59" w:rsidRPr="00D518FF" w:rsidRDefault="00FF3F59">
            <w:pPr>
              <w:rPr>
                <w:rFonts w:ascii="Aptos" w:hAnsi="Aptos" w:cs="Arial"/>
                <w:sz w:val="16"/>
                <w:szCs w:val="16"/>
              </w:rPr>
            </w:pPr>
            <w:r w:rsidRPr="00D518FF">
              <w:rPr>
                <w:rFonts w:ascii="Aptos" w:hAnsi="Aptos" w:cs="Arial"/>
                <w:sz w:val="16"/>
                <w:szCs w:val="16"/>
              </w:rPr>
              <w:t>Park 2020</w:t>
            </w:r>
          </w:p>
        </w:tc>
        <w:tc>
          <w:tcPr>
            <w:tcW w:w="3827" w:type="dxa"/>
          </w:tcPr>
          <w:p w14:paraId="0AA84CC2" w14:textId="77777777" w:rsidR="00FF3F59" w:rsidRPr="00D518FF" w:rsidRDefault="00FF3F59">
            <w:pPr>
              <w:rPr>
                <w:rFonts w:ascii="Aptos" w:hAnsi="Aptos" w:cs="Arial"/>
                <w:sz w:val="16"/>
                <w:szCs w:val="16"/>
              </w:rPr>
            </w:pPr>
            <w:r w:rsidRPr="00D518FF">
              <w:rPr>
                <w:rFonts w:ascii="Aptos" w:hAnsi="Aptos" w:cs="Arial"/>
                <w:sz w:val="16"/>
                <w:szCs w:val="16"/>
              </w:rPr>
              <w:t>Efficacy and safety of magnesium for the management of chronic pain in adults: A systematic review</w:t>
            </w:r>
          </w:p>
        </w:tc>
        <w:tc>
          <w:tcPr>
            <w:tcW w:w="2552" w:type="dxa"/>
          </w:tcPr>
          <w:p w14:paraId="759572BC" w14:textId="77777777" w:rsidR="00FF3F59" w:rsidRPr="00D518FF" w:rsidRDefault="00FF3F59">
            <w:pPr>
              <w:rPr>
                <w:rFonts w:ascii="Aptos" w:hAnsi="Aptos" w:cs="Arial"/>
                <w:sz w:val="16"/>
                <w:szCs w:val="16"/>
              </w:rPr>
            </w:pPr>
            <w:r w:rsidRPr="00D518FF">
              <w:rPr>
                <w:rFonts w:ascii="Aptos" w:hAnsi="Aptos" w:cs="Arial"/>
                <w:sz w:val="16"/>
                <w:szCs w:val="16"/>
              </w:rPr>
              <w:t>Park, R.; Ho, A. M. H.; Pickering, G.; Arendt-Nielsen, L.; Mohiuddin, M.; Gilron, I.</w:t>
            </w:r>
          </w:p>
        </w:tc>
        <w:tc>
          <w:tcPr>
            <w:tcW w:w="567" w:type="dxa"/>
          </w:tcPr>
          <w:p w14:paraId="015F8259" w14:textId="77777777" w:rsidR="00FF3F59" w:rsidRPr="00D518FF" w:rsidRDefault="00FF3F59">
            <w:pPr>
              <w:rPr>
                <w:rFonts w:ascii="Aptos" w:hAnsi="Aptos" w:cs="Arial"/>
                <w:sz w:val="16"/>
                <w:szCs w:val="16"/>
              </w:rPr>
            </w:pPr>
            <w:r w:rsidRPr="00D518FF">
              <w:rPr>
                <w:rFonts w:ascii="Aptos" w:hAnsi="Aptos" w:cs="Arial"/>
                <w:sz w:val="16"/>
                <w:szCs w:val="16"/>
              </w:rPr>
              <w:t>2020</w:t>
            </w:r>
          </w:p>
        </w:tc>
        <w:tc>
          <w:tcPr>
            <w:tcW w:w="2268" w:type="dxa"/>
          </w:tcPr>
          <w:p w14:paraId="4818411C" w14:textId="77777777" w:rsidR="00FF3F59" w:rsidRPr="00D518FF" w:rsidRDefault="00FF3F59">
            <w:pPr>
              <w:rPr>
                <w:rFonts w:ascii="Aptos" w:hAnsi="Aptos" w:cs="Arial"/>
                <w:sz w:val="16"/>
                <w:szCs w:val="16"/>
              </w:rPr>
            </w:pPr>
            <w:r w:rsidRPr="00D518FF">
              <w:rPr>
                <w:rFonts w:ascii="Aptos" w:hAnsi="Aptos" w:cs="Arial"/>
                <w:sz w:val="16"/>
                <w:szCs w:val="16"/>
              </w:rPr>
              <w:t>Anesthesia and analgesia</w:t>
            </w:r>
          </w:p>
        </w:tc>
        <w:tc>
          <w:tcPr>
            <w:tcW w:w="709" w:type="dxa"/>
          </w:tcPr>
          <w:p w14:paraId="6586B287" w14:textId="77777777" w:rsidR="00FF3F59" w:rsidRPr="00D518FF" w:rsidRDefault="00FF3F59">
            <w:pPr>
              <w:rPr>
                <w:rFonts w:ascii="Aptos" w:hAnsi="Aptos" w:cs="Arial"/>
                <w:sz w:val="16"/>
                <w:szCs w:val="16"/>
              </w:rPr>
            </w:pPr>
            <w:r w:rsidRPr="00D518FF">
              <w:rPr>
                <w:rFonts w:ascii="Aptos" w:hAnsi="Aptos" w:cs="Arial"/>
                <w:sz w:val="16"/>
                <w:szCs w:val="16"/>
              </w:rPr>
              <w:t>131</w:t>
            </w:r>
          </w:p>
        </w:tc>
        <w:tc>
          <w:tcPr>
            <w:tcW w:w="567" w:type="dxa"/>
          </w:tcPr>
          <w:p w14:paraId="7B7BC4CC" w14:textId="77777777" w:rsidR="00FF3F59" w:rsidRPr="00D518FF" w:rsidRDefault="00FF3F59">
            <w:pPr>
              <w:rPr>
                <w:rFonts w:ascii="Aptos" w:hAnsi="Aptos" w:cs="Arial"/>
                <w:sz w:val="16"/>
                <w:szCs w:val="16"/>
              </w:rPr>
            </w:pPr>
            <w:r w:rsidRPr="00D518FF">
              <w:rPr>
                <w:rFonts w:ascii="Aptos" w:hAnsi="Aptos" w:cs="Arial"/>
                <w:sz w:val="16"/>
                <w:szCs w:val="16"/>
              </w:rPr>
              <w:t>3</w:t>
            </w:r>
          </w:p>
        </w:tc>
        <w:tc>
          <w:tcPr>
            <w:tcW w:w="850" w:type="dxa"/>
          </w:tcPr>
          <w:p w14:paraId="5639CB8E" w14:textId="77777777" w:rsidR="00FF3F59" w:rsidRPr="00D518FF" w:rsidRDefault="00FF3F59">
            <w:pPr>
              <w:rPr>
                <w:rFonts w:ascii="Aptos" w:hAnsi="Aptos" w:cs="Arial"/>
                <w:sz w:val="16"/>
                <w:szCs w:val="16"/>
              </w:rPr>
            </w:pPr>
            <w:r w:rsidRPr="00D518FF">
              <w:rPr>
                <w:rFonts w:ascii="Aptos" w:hAnsi="Aptos" w:cs="Arial"/>
                <w:sz w:val="16"/>
                <w:szCs w:val="16"/>
              </w:rPr>
              <w:t>764-775</w:t>
            </w:r>
          </w:p>
        </w:tc>
        <w:tc>
          <w:tcPr>
            <w:tcW w:w="1559" w:type="dxa"/>
          </w:tcPr>
          <w:p w14:paraId="0242F3C3" w14:textId="77777777" w:rsidR="00FF3F59" w:rsidRPr="00D518FF" w:rsidRDefault="00FF3F59">
            <w:pPr>
              <w:rPr>
                <w:rFonts w:ascii="Aptos" w:hAnsi="Aptos" w:cs="Arial"/>
                <w:sz w:val="16"/>
                <w:szCs w:val="16"/>
              </w:rPr>
            </w:pPr>
            <w:r w:rsidRPr="00D518FF">
              <w:rPr>
                <w:rFonts w:ascii="Aptos" w:hAnsi="Aptos" w:cs="Arial"/>
                <w:sz w:val="16"/>
                <w:szCs w:val="16"/>
              </w:rPr>
              <w:t>https://dx.doi.org/10.1213/ANE.0000000000004673</w:t>
            </w:r>
          </w:p>
        </w:tc>
      </w:tr>
      <w:tr w:rsidR="00FF3F59" w:rsidRPr="00D518FF" w14:paraId="4E131469" w14:textId="77777777" w:rsidTr="00E77295">
        <w:trPr>
          <w:trHeight w:val="55"/>
        </w:trPr>
        <w:tc>
          <w:tcPr>
            <w:tcW w:w="1271" w:type="dxa"/>
          </w:tcPr>
          <w:p w14:paraId="3150F340" w14:textId="77777777" w:rsidR="00FF3F59" w:rsidRPr="00D518FF" w:rsidRDefault="00FF3F59">
            <w:pPr>
              <w:rPr>
                <w:rFonts w:ascii="Aptos" w:hAnsi="Aptos" w:cs="Arial"/>
                <w:sz w:val="16"/>
                <w:szCs w:val="16"/>
              </w:rPr>
            </w:pPr>
            <w:r w:rsidRPr="00D518FF">
              <w:rPr>
                <w:rFonts w:ascii="Aptos" w:hAnsi="Aptos" w:cs="Arial"/>
                <w:sz w:val="16"/>
                <w:szCs w:val="16"/>
              </w:rPr>
              <w:t>Pringsheim 2008</w:t>
            </w:r>
          </w:p>
        </w:tc>
        <w:tc>
          <w:tcPr>
            <w:tcW w:w="3827" w:type="dxa"/>
          </w:tcPr>
          <w:p w14:paraId="0990B10D" w14:textId="77777777" w:rsidR="00FF3F59" w:rsidRPr="00D518FF" w:rsidRDefault="00FF3F59">
            <w:pPr>
              <w:rPr>
                <w:rFonts w:ascii="Aptos" w:hAnsi="Aptos" w:cs="Arial"/>
                <w:sz w:val="16"/>
                <w:szCs w:val="16"/>
              </w:rPr>
            </w:pPr>
            <w:r w:rsidRPr="00D518FF">
              <w:rPr>
                <w:rFonts w:ascii="Aptos" w:hAnsi="Aptos" w:cs="Arial"/>
                <w:sz w:val="16"/>
                <w:szCs w:val="16"/>
              </w:rPr>
              <w:t>Acute treatment and prevention of menstrually related migraine headache: Evidence-based review</w:t>
            </w:r>
          </w:p>
        </w:tc>
        <w:tc>
          <w:tcPr>
            <w:tcW w:w="2552" w:type="dxa"/>
          </w:tcPr>
          <w:p w14:paraId="0EE4E830" w14:textId="77777777" w:rsidR="00FF3F59" w:rsidRPr="00D518FF" w:rsidRDefault="00FF3F59">
            <w:pPr>
              <w:rPr>
                <w:rFonts w:ascii="Aptos" w:hAnsi="Aptos" w:cs="Arial"/>
                <w:sz w:val="16"/>
                <w:szCs w:val="16"/>
              </w:rPr>
            </w:pPr>
            <w:r w:rsidRPr="00D518FF">
              <w:rPr>
                <w:rFonts w:ascii="Aptos" w:hAnsi="Aptos" w:cs="Arial"/>
                <w:sz w:val="16"/>
                <w:szCs w:val="16"/>
              </w:rPr>
              <w:t>Pringsheim, T.; Davenport, W. J.; Dodick, D.</w:t>
            </w:r>
          </w:p>
        </w:tc>
        <w:tc>
          <w:tcPr>
            <w:tcW w:w="567" w:type="dxa"/>
          </w:tcPr>
          <w:p w14:paraId="7EAC3035" w14:textId="77777777" w:rsidR="00FF3F59" w:rsidRPr="00D518FF" w:rsidRDefault="00FF3F59">
            <w:pPr>
              <w:rPr>
                <w:rFonts w:ascii="Aptos" w:hAnsi="Aptos" w:cs="Arial"/>
                <w:sz w:val="16"/>
                <w:szCs w:val="16"/>
              </w:rPr>
            </w:pPr>
            <w:r w:rsidRPr="00D518FF">
              <w:rPr>
                <w:rFonts w:ascii="Aptos" w:hAnsi="Aptos" w:cs="Arial"/>
                <w:sz w:val="16"/>
                <w:szCs w:val="16"/>
              </w:rPr>
              <w:t>2008</w:t>
            </w:r>
          </w:p>
        </w:tc>
        <w:tc>
          <w:tcPr>
            <w:tcW w:w="2268" w:type="dxa"/>
          </w:tcPr>
          <w:p w14:paraId="2EC258FE" w14:textId="77777777" w:rsidR="00FF3F59" w:rsidRPr="00D518FF" w:rsidRDefault="00FF3F59">
            <w:pPr>
              <w:rPr>
                <w:rFonts w:ascii="Aptos" w:hAnsi="Aptos" w:cs="Arial"/>
                <w:sz w:val="16"/>
                <w:szCs w:val="16"/>
              </w:rPr>
            </w:pPr>
            <w:r w:rsidRPr="00D518FF">
              <w:rPr>
                <w:rFonts w:ascii="Aptos" w:hAnsi="Aptos" w:cs="Arial"/>
                <w:sz w:val="16"/>
                <w:szCs w:val="16"/>
              </w:rPr>
              <w:t>Neurology</w:t>
            </w:r>
          </w:p>
        </w:tc>
        <w:tc>
          <w:tcPr>
            <w:tcW w:w="709" w:type="dxa"/>
          </w:tcPr>
          <w:p w14:paraId="70DCC5F0" w14:textId="77777777" w:rsidR="00FF3F59" w:rsidRPr="00D518FF" w:rsidRDefault="00FF3F59">
            <w:pPr>
              <w:rPr>
                <w:rFonts w:ascii="Aptos" w:hAnsi="Aptos" w:cs="Arial"/>
                <w:sz w:val="16"/>
                <w:szCs w:val="16"/>
              </w:rPr>
            </w:pPr>
            <w:r w:rsidRPr="00D518FF">
              <w:rPr>
                <w:rFonts w:ascii="Aptos" w:hAnsi="Aptos" w:cs="Arial"/>
                <w:sz w:val="16"/>
                <w:szCs w:val="16"/>
              </w:rPr>
              <w:t>70</w:t>
            </w:r>
          </w:p>
        </w:tc>
        <w:tc>
          <w:tcPr>
            <w:tcW w:w="567" w:type="dxa"/>
          </w:tcPr>
          <w:p w14:paraId="60A274D5" w14:textId="77777777" w:rsidR="00FF3F59" w:rsidRPr="00D518FF" w:rsidRDefault="00FF3F59">
            <w:pPr>
              <w:rPr>
                <w:rFonts w:ascii="Aptos" w:hAnsi="Aptos" w:cs="Arial"/>
                <w:sz w:val="16"/>
                <w:szCs w:val="16"/>
              </w:rPr>
            </w:pPr>
            <w:r w:rsidRPr="00D518FF">
              <w:rPr>
                <w:rFonts w:ascii="Aptos" w:hAnsi="Aptos" w:cs="Arial"/>
                <w:sz w:val="16"/>
                <w:szCs w:val="16"/>
              </w:rPr>
              <w:t>17</w:t>
            </w:r>
          </w:p>
        </w:tc>
        <w:tc>
          <w:tcPr>
            <w:tcW w:w="850" w:type="dxa"/>
          </w:tcPr>
          <w:p w14:paraId="5368F7E7" w14:textId="77777777" w:rsidR="00FF3F59" w:rsidRPr="00D518FF" w:rsidRDefault="00FF3F59">
            <w:pPr>
              <w:rPr>
                <w:rFonts w:ascii="Aptos" w:hAnsi="Aptos" w:cs="Arial"/>
                <w:sz w:val="16"/>
                <w:szCs w:val="16"/>
              </w:rPr>
            </w:pPr>
            <w:r w:rsidRPr="00D518FF">
              <w:rPr>
                <w:rFonts w:ascii="Aptos" w:hAnsi="Aptos" w:cs="Arial"/>
                <w:sz w:val="16"/>
                <w:szCs w:val="16"/>
              </w:rPr>
              <w:t>1555-1563</w:t>
            </w:r>
          </w:p>
        </w:tc>
        <w:tc>
          <w:tcPr>
            <w:tcW w:w="1559" w:type="dxa"/>
          </w:tcPr>
          <w:p w14:paraId="7CFB41AA" w14:textId="77777777" w:rsidR="00FF3F59" w:rsidRPr="00D518FF" w:rsidRDefault="00FF3F59">
            <w:pPr>
              <w:rPr>
                <w:rFonts w:ascii="Aptos" w:hAnsi="Aptos" w:cs="Arial"/>
                <w:sz w:val="16"/>
                <w:szCs w:val="16"/>
              </w:rPr>
            </w:pPr>
            <w:r w:rsidRPr="00D518FF">
              <w:rPr>
                <w:rFonts w:ascii="Aptos" w:hAnsi="Aptos" w:cs="Arial"/>
                <w:sz w:val="16"/>
                <w:szCs w:val="16"/>
              </w:rPr>
              <w:t>https://dx.doi.org/10.1212/01.wnl.0000310638.54698.36</w:t>
            </w:r>
          </w:p>
        </w:tc>
      </w:tr>
      <w:tr w:rsidR="00FF3F59" w:rsidRPr="00D518FF" w14:paraId="6C5D3213" w14:textId="77777777" w:rsidTr="00E77295">
        <w:trPr>
          <w:trHeight w:val="123"/>
        </w:trPr>
        <w:tc>
          <w:tcPr>
            <w:tcW w:w="1271" w:type="dxa"/>
          </w:tcPr>
          <w:p w14:paraId="4D02F183" w14:textId="77777777" w:rsidR="00FF3F59" w:rsidRPr="00D518FF" w:rsidRDefault="00FF3F59">
            <w:pPr>
              <w:rPr>
                <w:rFonts w:ascii="Aptos" w:hAnsi="Aptos" w:cs="Arial"/>
                <w:sz w:val="16"/>
                <w:szCs w:val="16"/>
              </w:rPr>
            </w:pPr>
            <w:r w:rsidRPr="00D518FF">
              <w:rPr>
                <w:rFonts w:ascii="Aptos" w:hAnsi="Aptos" w:cs="Arial"/>
                <w:sz w:val="16"/>
                <w:szCs w:val="16"/>
              </w:rPr>
              <w:t>Pringsheim 2012</w:t>
            </w:r>
          </w:p>
        </w:tc>
        <w:tc>
          <w:tcPr>
            <w:tcW w:w="3827" w:type="dxa"/>
          </w:tcPr>
          <w:p w14:paraId="04F8019D" w14:textId="77777777" w:rsidR="00FF3F59" w:rsidRPr="00D518FF" w:rsidRDefault="00FF3F59">
            <w:pPr>
              <w:rPr>
                <w:rFonts w:ascii="Aptos" w:hAnsi="Aptos" w:cs="Arial"/>
                <w:sz w:val="16"/>
                <w:szCs w:val="16"/>
              </w:rPr>
            </w:pPr>
            <w:r w:rsidRPr="00D518FF">
              <w:rPr>
                <w:rFonts w:ascii="Aptos" w:hAnsi="Aptos" w:cs="Arial"/>
                <w:sz w:val="16"/>
                <w:szCs w:val="16"/>
              </w:rPr>
              <w:t>Systematic review: medications for migraine prophylaxis ‚Äì section II</w:t>
            </w:r>
          </w:p>
        </w:tc>
        <w:tc>
          <w:tcPr>
            <w:tcW w:w="2552" w:type="dxa"/>
          </w:tcPr>
          <w:p w14:paraId="3962A167" w14:textId="77777777" w:rsidR="00FF3F59" w:rsidRPr="00D518FF" w:rsidRDefault="00FF3F59">
            <w:pPr>
              <w:rPr>
                <w:rFonts w:ascii="Aptos" w:hAnsi="Aptos" w:cs="Arial"/>
                <w:sz w:val="16"/>
                <w:szCs w:val="16"/>
              </w:rPr>
            </w:pPr>
            <w:r w:rsidRPr="00D518FF">
              <w:rPr>
                <w:rFonts w:ascii="Aptos" w:hAnsi="Aptos" w:cs="Arial"/>
                <w:sz w:val="16"/>
                <w:szCs w:val="16"/>
              </w:rPr>
              <w:t>Pringsheim, Tamara; Davenport, W. Jeptha; Mackie, Gordon; Worthington, Irene; Aub√©, Michel; Christie, Suzanne N.; Gladstone, Jonathan; Becker, Werner J.</w:t>
            </w:r>
          </w:p>
        </w:tc>
        <w:tc>
          <w:tcPr>
            <w:tcW w:w="567" w:type="dxa"/>
          </w:tcPr>
          <w:p w14:paraId="17D6BD32" w14:textId="77777777" w:rsidR="00FF3F59" w:rsidRPr="00D518FF" w:rsidRDefault="00FF3F59">
            <w:pPr>
              <w:rPr>
                <w:rFonts w:ascii="Aptos" w:hAnsi="Aptos" w:cs="Arial"/>
                <w:sz w:val="16"/>
                <w:szCs w:val="16"/>
              </w:rPr>
            </w:pPr>
            <w:r w:rsidRPr="00D518FF">
              <w:rPr>
                <w:rFonts w:ascii="Aptos" w:hAnsi="Aptos" w:cs="Arial"/>
                <w:sz w:val="16"/>
                <w:szCs w:val="16"/>
              </w:rPr>
              <w:t>2012</w:t>
            </w:r>
          </w:p>
        </w:tc>
        <w:tc>
          <w:tcPr>
            <w:tcW w:w="2268" w:type="dxa"/>
          </w:tcPr>
          <w:p w14:paraId="2424D34D" w14:textId="77777777" w:rsidR="00FF3F59" w:rsidRPr="00D518FF" w:rsidRDefault="00FF3F59">
            <w:pPr>
              <w:rPr>
                <w:rFonts w:ascii="Aptos" w:hAnsi="Aptos" w:cs="Arial"/>
                <w:sz w:val="16"/>
                <w:szCs w:val="16"/>
              </w:rPr>
            </w:pPr>
            <w:r w:rsidRPr="00D518FF">
              <w:rPr>
                <w:rFonts w:ascii="Aptos" w:hAnsi="Aptos" w:cs="Arial"/>
                <w:sz w:val="16"/>
                <w:szCs w:val="16"/>
              </w:rPr>
              <w:t>Canadian Journal of Neurological Sciences</w:t>
            </w:r>
          </w:p>
        </w:tc>
        <w:tc>
          <w:tcPr>
            <w:tcW w:w="709" w:type="dxa"/>
          </w:tcPr>
          <w:p w14:paraId="33CAE3ED" w14:textId="77777777" w:rsidR="00FF3F59" w:rsidRPr="00D518FF" w:rsidRDefault="00FF3F59">
            <w:pPr>
              <w:rPr>
                <w:rFonts w:ascii="Aptos" w:hAnsi="Aptos" w:cs="Arial"/>
                <w:sz w:val="16"/>
                <w:szCs w:val="16"/>
              </w:rPr>
            </w:pPr>
            <w:r w:rsidRPr="00D518FF">
              <w:rPr>
                <w:rFonts w:ascii="Aptos" w:hAnsi="Aptos" w:cs="Arial"/>
                <w:sz w:val="16"/>
                <w:szCs w:val="16"/>
              </w:rPr>
              <w:t>39</w:t>
            </w:r>
          </w:p>
        </w:tc>
        <w:tc>
          <w:tcPr>
            <w:tcW w:w="567" w:type="dxa"/>
          </w:tcPr>
          <w:p w14:paraId="0996C25C" w14:textId="77777777" w:rsidR="00FF3F59" w:rsidRPr="00D518FF" w:rsidRDefault="00FF3F59">
            <w:pPr>
              <w:rPr>
                <w:rFonts w:ascii="Aptos" w:hAnsi="Aptos" w:cs="Arial"/>
                <w:sz w:val="16"/>
                <w:szCs w:val="16"/>
              </w:rPr>
            </w:pPr>
            <w:r w:rsidRPr="00D518FF">
              <w:rPr>
                <w:rFonts w:ascii="Aptos" w:hAnsi="Aptos" w:cs="Arial"/>
                <w:sz w:val="16"/>
                <w:szCs w:val="16"/>
              </w:rPr>
              <w:t>Supplement 2</w:t>
            </w:r>
          </w:p>
        </w:tc>
        <w:tc>
          <w:tcPr>
            <w:tcW w:w="850" w:type="dxa"/>
          </w:tcPr>
          <w:p w14:paraId="77AAECEE" w14:textId="77777777" w:rsidR="00FF3F59" w:rsidRPr="00D518FF" w:rsidRDefault="00FF3F59">
            <w:pPr>
              <w:rPr>
                <w:rFonts w:ascii="Aptos" w:hAnsi="Aptos" w:cs="Arial"/>
                <w:sz w:val="16"/>
                <w:szCs w:val="16"/>
              </w:rPr>
            </w:pPr>
            <w:r w:rsidRPr="00D518FF">
              <w:rPr>
                <w:rFonts w:ascii="Aptos" w:hAnsi="Aptos" w:cs="Arial"/>
                <w:sz w:val="16"/>
                <w:szCs w:val="16"/>
              </w:rPr>
              <w:t>S8-S28</w:t>
            </w:r>
          </w:p>
        </w:tc>
        <w:tc>
          <w:tcPr>
            <w:tcW w:w="1559" w:type="dxa"/>
          </w:tcPr>
          <w:p w14:paraId="7350586D" w14:textId="31372450" w:rsidR="00FF3F59" w:rsidRPr="00D518FF" w:rsidRDefault="00FF3F59">
            <w:pPr>
              <w:rPr>
                <w:rFonts w:ascii="Aptos" w:hAnsi="Aptos" w:cs="Arial"/>
                <w:sz w:val="16"/>
                <w:szCs w:val="16"/>
              </w:rPr>
            </w:pPr>
            <w:hyperlink r:id="rId86" w:history="1">
              <w:r w:rsidRPr="00D518FF">
                <w:rPr>
                  <w:rFonts w:ascii="Aptos" w:hAnsi="Aptos" w:cs="Arial"/>
                  <w:sz w:val="16"/>
                  <w:szCs w:val="16"/>
                </w:rPr>
                <w:t>http://cjns.metapress.com/content/b8311210p2528qt4/?p=4bc8b3cf0a404edfae1649923cd403a5&amp;pi=0</w:t>
              </w:r>
            </w:hyperlink>
          </w:p>
        </w:tc>
      </w:tr>
      <w:tr w:rsidR="00FF3F59" w:rsidRPr="00D518FF" w14:paraId="307BD8EC" w14:textId="77777777" w:rsidTr="00E77295">
        <w:trPr>
          <w:trHeight w:val="55"/>
        </w:trPr>
        <w:tc>
          <w:tcPr>
            <w:tcW w:w="1271" w:type="dxa"/>
          </w:tcPr>
          <w:p w14:paraId="4E56F312" w14:textId="77777777" w:rsidR="00FF3F59" w:rsidRPr="00D518FF" w:rsidRDefault="00FF3F59">
            <w:pPr>
              <w:rPr>
                <w:rFonts w:ascii="Aptos" w:hAnsi="Aptos" w:cs="Arial"/>
                <w:sz w:val="16"/>
                <w:szCs w:val="16"/>
              </w:rPr>
            </w:pPr>
            <w:r w:rsidRPr="00D518FF">
              <w:rPr>
                <w:rFonts w:ascii="Aptos" w:hAnsi="Aptos" w:cs="Arial"/>
                <w:sz w:val="16"/>
                <w:szCs w:val="16"/>
              </w:rPr>
              <w:t>vonLuckner 2018</w:t>
            </w:r>
          </w:p>
        </w:tc>
        <w:tc>
          <w:tcPr>
            <w:tcW w:w="3827" w:type="dxa"/>
          </w:tcPr>
          <w:p w14:paraId="78B7D03A" w14:textId="77777777" w:rsidR="00FF3F59" w:rsidRPr="00D518FF" w:rsidRDefault="00FF3F59">
            <w:pPr>
              <w:rPr>
                <w:rFonts w:ascii="Aptos" w:hAnsi="Aptos" w:cs="Arial"/>
                <w:sz w:val="16"/>
                <w:szCs w:val="16"/>
              </w:rPr>
            </w:pPr>
            <w:r w:rsidRPr="00D518FF">
              <w:rPr>
                <w:rFonts w:ascii="Aptos" w:hAnsi="Aptos" w:cs="Arial"/>
                <w:sz w:val="16"/>
                <w:szCs w:val="16"/>
              </w:rPr>
              <w:t>Magnesium in Migraine Prophylaxis-Is There an Evidence-Based Rationale? A Systematic Review</w:t>
            </w:r>
          </w:p>
        </w:tc>
        <w:tc>
          <w:tcPr>
            <w:tcW w:w="2552" w:type="dxa"/>
          </w:tcPr>
          <w:p w14:paraId="3EBC4758" w14:textId="77777777" w:rsidR="00FF3F59" w:rsidRPr="00D518FF" w:rsidRDefault="00FF3F59">
            <w:pPr>
              <w:rPr>
                <w:rFonts w:ascii="Aptos" w:hAnsi="Aptos" w:cs="Arial"/>
                <w:sz w:val="16"/>
                <w:szCs w:val="16"/>
              </w:rPr>
            </w:pPr>
            <w:r w:rsidRPr="00D518FF">
              <w:rPr>
                <w:rFonts w:ascii="Aptos" w:hAnsi="Aptos" w:cs="Arial"/>
                <w:sz w:val="16"/>
                <w:szCs w:val="16"/>
              </w:rPr>
              <w:t>von Luckner, A.; Riederer, F.</w:t>
            </w:r>
          </w:p>
        </w:tc>
        <w:tc>
          <w:tcPr>
            <w:tcW w:w="567" w:type="dxa"/>
          </w:tcPr>
          <w:p w14:paraId="5809C1A0" w14:textId="77777777" w:rsidR="00FF3F59" w:rsidRPr="00D518FF" w:rsidRDefault="00FF3F59">
            <w:pPr>
              <w:rPr>
                <w:rFonts w:ascii="Aptos" w:hAnsi="Aptos" w:cs="Arial"/>
                <w:sz w:val="16"/>
                <w:szCs w:val="16"/>
              </w:rPr>
            </w:pPr>
            <w:r w:rsidRPr="00D518FF">
              <w:rPr>
                <w:rFonts w:ascii="Aptos" w:hAnsi="Aptos" w:cs="Arial"/>
                <w:sz w:val="16"/>
                <w:szCs w:val="16"/>
              </w:rPr>
              <w:t>2018</w:t>
            </w:r>
          </w:p>
        </w:tc>
        <w:tc>
          <w:tcPr>
            <w:tcW w:w="2268" w:type="dxa"/>
          </w:tcPr>
          <w:p w14:paraId="0955FBFB" w14:textId="77777777" w:rsidR="00FF3F59" w:rsidRPr="00D518FF" w:rsidRDefault="00FF3F59">
            <w:pPr>
              <w:rPr>
                <w:rFonts w:ascii="Aptos" w:hAnsi="Aptos" w:cs="Arial"/>
                <w:sz w:val="16"/>
                <w:szCs w:val="16"/>
              </w:rPr>
            </w:pPr>
            <w:r w:rsidRPr="00D518FF">
              <w:rPr>
                <w:rFonts w:ascii="Aptos" w:hAnsi="Aptos" w:cs="Arial"/>
                <w:sz w:val="16"/>
                <w:szCs w:val="16"/>
              </w:rPr>
              <w:t>Headache</w:t>
            </w:r>
          </w:p>
        </w:tc>
        <w:tc>
          <w:tcPr>
            <w:tcW w:w="709" w:type="dxa"/>
          </w:tcPr>
          <w:p w14:paraId="42B09264" w14:textId="77777777" w:rsidR="00FF3F59" w:rsidRPr="00D518FF" w:rsidRDefault="00FF3F59">
            <w:pPr>
              <w:rPr>
                <w:rFonts w:ascii="Aptos" w:hAnsi="Aptos" w:cs="Arial"/>
                <w:sz w:val="16"/>
                <w:szCs w:val="16"/>
              </w:rPr>
            </w:pPr>
            <w:r w:rsidRPr="00D518FF">
              <w:rPr>
                <w:rFonts w:ascii="Aptos" w:hAnsi="Aptos" w:cs="Arial"/>
                <w:sz w:val="16"/>
                <w:szCs w:val="16"/>
              </w:rPr>
              <w:t>58</w:t>
            </w:r>
          </w:p>
        </w:tc>
        <w:tc>
          <w:tcPr>
            <w:tcW w:w="567" w:type="dxa"/>
          </w:tcPr>
          <w:p w14:paraId="0AECE7BD" w14:textId="77777777" w:rsidR="00FF3F59" w:rsidRPr="00D518FF" w:rsidRDefault="00FF3F59">
            <w:pPr>
              <w:rPr>
                <w:rFonts w:ascii="Aptos" w:hAnsi="Aptos" w:cs="Arial"/>
                <w:sz w:val="16"/>
                <w:szCs w:val="16"/>
              </w:rPr>
            </w:pPr>
            <w:r w:rsidRPr="00D518FF">
              <w:rPr>
                <w:rFonts w:ascii="Aptos" w:hAnsi="Aptos" w:cs="Arial"/>
                <w:sz w:val="16"/>
                <w:szCs w:val="16"/>
              </w:rPr>
              <w:t>2</w:t>
            </w:r>
          </w:p>
        </w:tc>
        <w:tc>
          <w:tcPr>
            <w:tcW w:w="850" w:type="dxa"/>
          </w:tcPr>
          <w:p w14:paraId="3D82F63B" w14:textId="77777777" w:rsidR="00FF3F59" w:rsidRPr="00D518FF" w:rsidRDefault="00FF3F59">
            <w:pPr>
              <w:rPr>
                <w:rFonts w:ascii="Aptos" w:hAnsi="Aptos" w:cs="Arial"/>
                <w:sz w:val="16"/>
                <w:szCs w:val="16"/>
              </w:rPr>
            </w:pPr>
            <w:r w:rsidRPr="00D518FF">
              <w:rPr>
                <w:rFonts w:ascii="Aptos" w:hAnsi="Aptos" w:cs="Arial"/>
                <w:sz w:val="16"/>
                <w:szCs w:val="16"/>
              </w:rPr>
              <w:t>199-209</w:t>
            </w:r>
          </w:p>
        </w:tc>
        <w:tc>
          <w:tcPr>
            <w:tcW w:w="1559" w:type="dxa"/>
          </w:tcPr>
          <w:p w14:paraId="642D1497" w14:textId="77777777" w:rsidR="00FF3F59" w:rsidRPr="00D518FF" w:rsidRDefault="00FF3F59">
            <w:pPr>
              <w:rPr>
                <w:rFonts w:ascii="Aptos" w:hAnsi="Aptos" w:cs="Arial"/>
                <w:sz w:val="16"/>
                <w:szCs w:val="16"/>
              </w:rPr>
            </w:pPr>
            <w:r w:rsidRPr="00D518FF">
              <w:rPr>
                <w:rFonts w:ascii="Aptos" w:hAnsi="Aptos" w:cs="Arial"/>
                <w:sz w:val="16"/>
                <w:szCs w:val="16"/>
              </w:rPr>
              <w:t>10.1111/head.13217</w:t>
            </w:r>
          </w:p>
        </w:tc>
      </w:tr>
    </w:tbl>
    <w:p w14:paraId="6D058C9D" w14:textId="5F19D040" w:rsidR="002772C1" w:rsidRPr="00D518FF" w:rsidRDefault="00345928" w:rsidP="004C6AA1">
      <w:pPr>
        <w:pStyle w:val="Caption"/>
        <w:spacing w:before="240"/>
        <w:rPr>
          <w:rFonts w:ascii="Aptos" w:hAnsi="Aptos"/>
        </w:rPr>
      </w:pPr>
      <w:bookmarkStart w:id="165" w:name="_Toc185254563"/>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17</w:t>
      </w:r>
      <w:r w:rsidR="00DC4767" w:rsidRPr="004C6AA1">
        <w:rPr>
          <w:rFonts w:ascii="Aptos" w:hAnsi="Aptos"/>
        </w:rPr>
        <w:fldChar w:fldCharType="end"/>
      </w:r>
      <w:r w:rsidR="002772C1" w:rsidRPr="00D518FF">
        <w:rPr>
          <w:rFonts w:ascii="Aptos" w:hAnsi="Aptos"/>
        </w:rPr>
        <w:t xml:space="preserve">. </w:t>
      </w:r>
      <w:r w:rsidR="00A6108F" w:rsidRPr="00D518FF">
        <w:rPr>
          <w:rFonts w:ascii="Aptos" w:hAnsi="Aptos"/>
        </w:rPr>
        <w:t xml:space="preserve">Characteristics of included reviews – </w:t>
      </w:r>
      <w:r w:rsidR="00A6108F">
        <w:rPr>
          <w:rFonts w:ascii="Aptos" w:hAnsi="Aptos"/>
        </w:rPr>
        <w:t>h</w:t>
      </w:r>
      <w:r w:rsidR="0085202D" w:rsidRPr="00D518FF">
        <w:rPr>
          <w:rFonts w:ascii="Aptos" w:hAnsi="Aptos"/>
        </w:rPr>
        <w:t xml:space="preserve">eadache and migraine, </w:t>
      </w:r>
      <w:r w:rsidR="00C16441" w:rsidRPr="00D518FF">
        <w:rPr>
          <w:rFonts w:ascii="Aptos" w:hAnsi="Aptos"/>
        </w:rPr>
        <w:t>m</w:t>
      </w:r>
      <w:r w:rsidR="0085202D" w:rsidRPr="00D518FF">
        <w:rPr>
          <w:rFonts w:ascii="Aptos" w:hAnsi="Aptos"/>
        </w:rPr>
        <w:t>agnesium</w:t>
      </w:r>
      <w:r w:rsidR="00A6108F">
        <w:rPr>
          <w:rFonts w:ascii="Aptos" w:hAnsi="Aptos"/>
        </w:rPr>
        <w:t xml:space="preserve"> (n=6).</w:t>
      </w:r>
      <w:bookmarkEnd w:id="165"/>
    </w:p>
    <w:tbl>
      <w:tblPr>
        <w:tblStyle w:val="TableGrid"/>
        <w:tblW w:w="14170" w:type="dxa"/>
        <w:tblLayout w:type="fixed"/>
        <w:tblCellMar>
          <w:top w:w="28" w:type="dxa"/>
          <w:left w:w="57" w:type="dxa"/>
          <w:bottom w:w="28" w:type="dxa"/>
          <w:right w:w="0" w:type="dxa"/>
        </w:tblCellMar>
        <w:tblLook w:val="04A0" w:firstRow="1" w:lastRow="0" w:firstColumn="1" w:lastColumn="0" w:noHBand="0" w:noVBand="1"/>
      </w:tblPr>
      <w:tblGrid>
        <w:gridCol w:w="864"/>
        <w:gridCol w:w="830"/>
        <w:gridCol w:w="2124"/>
        <w:gridCol w:w="927"/>
        <w:gridCol w:w="920"/>
        <w:gridCol w:w="851"/>
        <w:gridCol w:w="1207"/>
        <w:gridCol w:w="614"/>
        <w:gridCol w:w="901"/>
        <w:gridCol w:w="854"/>
        <w:gridCol w:w="960"/>
        <w:gridCol w:w="1942"/>
        <w:gridCol w:w="1176"/>
      </w:tblGrid>
      <w:tr w:rsidR="001F2487" w:rsidRPr="00D518FF" w14:paraId="1C0E9DA2" w14:textId="77777777" w:rsidTr="00F6089E">
        <w:trPr>
          <w:trHeight w:val="163"/>
        </w:trPr>
        <w:tc>
          <w:tcPr>
            <w:tcW w:w="864" w:type="dxa"/>
            <w:vMerge w:val="restart"/>
            <w:shd w:val="clear" w:color="auto" w:fill="D9D9D9" w:themeFill="background1" w:themeFillShade="D9"/>
          </w:tcPr>
          <w:p w14:paraId="08F06185"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Review ID</w:t>
            </w:r>
          </w:p>
        </w:tc>
        <w:tc>
          <w:tcPr>
            <w:tcW w:w="4801" w:type="dxa"/>
            <w:gridSpan w:val="4"/>
            <w:shd w:val="clear" w:color="auto" w:fill="D9D9D9" w:themeFill="background1" w:themeFillShade="D9"/>
          </w:tcPr>
          <w:p w14:paraId="08D9CFCF"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Review details</w:t>
            </w:r>
          </w:p>
        </w:tc>
        <w:tc>
          <w:tcPr>
            <w:tcW w:w="3573" w:type="dxa"/>
            <w:gridSpan w:val="4"/>
            <w:shd w:val="clear" w:color="auto" w:fill="D9D9D9" w:themeFill="background1" w:themeFillShade="D9"/>
          </w:tcPr>
          <w:p w14:paraId="2705FD49"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Search details</w:t>
            </w:r>
          </w:p>
        </w:tc>
        <w:tc>
          <w:tcPr>
            <w:tcW w:w="1814" w:type="dxa"/>
            <w:gridSpan w:val="2"/>
            <w:shd w:val="clear" w:color="auto" w:fill="D9D9D9" w:themeFill="background1" w:themeFillShade="D9"/>
          </w:tcPr>
          <w:p w14:paraId="2BD29F21"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Quality assessment</w:t>
            </w:r>
          </w:p>
        </w:tc>
        <w:tc>
          <w:tcPr>
            <w:tcW w:w="3118" w:type="dxa"/>
            <w:gridSpan w:val="2"/>
            <w:shd w:val="clear" w:color="auto" w:fill="D9D9D9" w:themeFill="background1" w:themeFillShade="D9"/>
          </w:tcPr>
          <w:p w14:paraId="4A2F8503"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Other</w:t>
            </w:r>
          </w:p>
        </w:tc>
      </w:tr>
      <w:tr w:rsidR="00F6089E" w:rsidRPr="00D518FF" w14:paraId="4B4BC187" w14:textId="77777777" w:rsidTr="00F6089E">
        <w:trPr>
          <w:trHeight w:val="163"/>
        </w:trPr>
        <w:tc>
          <w:tcPr>
            <w:tcW w:w="864" w:type="dxa"/>
            <w:vMerge/>
            <w:shd w:val="clear" w:color="auto" w:fill="D9D9D9" w:themeFill="background1" w:themeFillShade="D9"/>
          </w:tcPr>
          <w:p w14:paraId="77C205A6" w14:textId="77777777" w:rsidR="002772C1" w:rsidRPr="00D518FF" w:rsidRDefault="002772C1" w:rsidP="00AA72BD">
            <w:pPr>
              <w:pStyle w:val="Caption1"/>
              <w:spacing w:before="0" w:after="0"/>
              <w:rPr>
                <w:rFonts w:ascii="Aptos" w:hAnsi="Aptos"/>
                <w:sz w:val="16"/>
                <w:szCs w:val="16"/>
              </w:rPr>
            </w:pPr>
          </w:p>
        </w:tc>
        <w:tc>
          <w:tcPr>
            <w:tcW w:w="830" w:type="dxa"/>
            <w:shd w:val="clear" w:color="auto" w:fill="D9D9D9" w:themeFill="background1" w:themeFillShade="D9"/>
          </w:tcPr>
          <w:p w14:paraId="695F9B2D"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Review design</w:t>
            </w:r>
          </w:p>
        </w:tc>
        <w:tc>
          <w:tcPr>
            <w:tcW w:w="2124" w:type="dxa"/>
            <w:shd w:val="clear" w:color="auto" w:fill="D9D9D9" w:themeFill="background1" w:themeFillShade="D9"/>
          </w:tcPr>
          <w:p w14:paraId="13D10084"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Aim of the review (as reported by the SR)</w:t>
            </w:r>
          </w:p>
        </w:tc>
        <w:tc>
          <w:tcPr>
            <w:tcW w:w="927" w:type="dxa"/>
            <w:shd w:val="clear" w:color="auto" w:fill="D9D9D9" w:themeFill="background1" w:themeFillShade="D9"/>
          </w:tcPr>
          <w:p w14:paraId="540D8265"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Types of studies included</w:t>
            </w:r>
          </w:p>
        </w:tc>
        <w:tc>
          <w:tcPr>
            <w:tcW w:w="920" w:type="dxa"/>
            <w:shd w:val="clear" w:color="auto" w:fill="D9D9D9" w:themeFill="background1" w:themeFillShade="D9"/>
          </w:tcPr>
          <w:p w14:paraId="2550509C" w14:textId="6C5E730D"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Outcomes relevant to the Overview^</w:t>
            </w:r>
          </w:p>
        </w:tc>
        <w:tc>
          <w:tcPr>
            <w:tcW w:w="851" w:type="dxa"/>
            <w:shd w:val="clear" w:color="auto" w:fill="D9D9D9" w:themeFill="background1" w:themeFillShade="D9"/>
          </w:tcPr>
          <w:p w14:paraId="15312413"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 of databases searched</w:t>
            </w:r>
          </w:p>
        </w:tc>
        <w:tc>
          <w:tcPr>
            <w:tcW w:w="1207" w:type="dxa"/>
            <w:shd w:val="clear" w:color="auto" w:fill="D9D9D9" w:themeFill="background1" w:themeFillShade="D9"/>
          </w:tcPr>
          <w:p w14:paraId="1941B79C"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Names of databases searched</w:t>
            </w:r>
          </w:p>
        </w:tc>
        <w:tc>
          <w:tcPr>
            <w:tcW w:w="614" w:type="dxa"/>
            <w:shd w:val="clear" w:color="auto" w:fill="D9D9D9" w:themeFill="background1" w:themeFillShade="D9"/>
          </w:tcPr>
          <w:p w14:paraId="092D92D3"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Date of last search</w:t>
            </w:r>
          </w:p>
        </w:tc>
        <w:tc>
          <w:tcPr>
            <w:tcW w:w="901" w:type="dxa"/>
            <w:shd w:val="clear" w:color="auto" w:fill="D9D9D9" w:themeFill="background1" w:themeFillShade="D9"/>
          </w:tcPr>
          <w:p w14:paraId="34665024"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 xml:space="preserve">Search restrictions </w:t>
            </w:r>
          </w:p>
        </w:tc>
        <w:tc>
          <w:tcPr>
            <w:tcW w:w="854" w:type="dxa"/>
            <w:shd w:val="clear" w:color="auto" w:fill="D9D9D9" w:themeFill="background1" w:themeFillShade="D9"/>
          </w:tcPr>
          <w:p w14:paraId="541D445A"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RoB tool used</w:t>
            </w:r>
          </w:p>
        </w:tc>
        <w:tc>
          <w:tcPr>
            <w:tcW w:w="960" w:type="dxa"/>
            <w:shd w:val="clear" w:color="auto" w:fill="D9D9D9" w:themeFill="background1" w:themeFillShade="D9"/>
          </w:tcPr>
          <w:p w14:paraId="01D41148"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Certainty of evidence reported</w:t>
            </w:r>
          </w:p>
        </w:tc>
        <w:tc>
          <w:tcPr>
            <w:tcW w:w="1942" w:type="dxa"/>
            <w:shd w:val="clear" w:color="auto" w:fill="D9D9D9" w:themeFill="background1" w:themeFillShade="D9"/>
          </w:tcPr>
          <w:p w14:paraId="3FA7AFCD"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Conflicts of interest</w:t>
            </w:r>
          </w:p>
        </w:tc>
        <w:tc>
          <w:tcPr>
            <w:tcW w:w="1176" w:type="dxa"/>
            <w:shd w:val="clear" w:color="auto" w:fill="D9D9D9" w:themeFill="background1" w:themeFillShade="D9"/>
          </w:tcPr>
          <w:p w14:paraId="1F10319B" w14:textId="77777777" w:rsidR="002772C1" w:rsidRPr="00D518FF" w:rsidRDefault="002772C1" w:rsidP="00AA72BD">
            <w:pPr>
              <w:pStyle w:val="Caption1"/>
              <w:spacing w:before="0" w:after="0"/>
              <w:rPr>
                <w:rFonts w:ascii="Aptos" w:hAnsi="Aptos"/>
                <w:sz w:val="16"/>
                <w:szCs w:val="16"/>
              </w:rPr>
            </w:pPr>
            <w:r w:rsidRPr="00D518FF">
              <w:rPr>
                <w:rFonts w:ascii="Aptos" w:hAnsi="Aptos"/>
                <w:sz w:val="16"/>
                <w:szCs w:val="16"/>
              </w:rPr>
              <w:t>Funding sources</w:t>
            </w:r>
          </w:p>
        </w:tc>
      </w:tr>
      <w:tr w:rsidR="001F2487" w:rsidRPr="00D518FF" w14:paraId="01114E21" w14:textId="77777777" w:rsidTr="00F6089E">
        <w:trPr>
          <w:trHeight w:val="345"/>
        </w:trPr>
        <w:tc>
          <w:tcPr>
            <w:tcW w:w="864" w:type="dxa"/>
          </w:tcPr>
          <w:p w14:paraId="34F857D5" w14:textId="41919FD0" w:rsidR="00F60E69" w:rsidRPr="00D518FF" w:rsidRDefault="00F60E69" w:rsidP="00F60E69">
            <w:pPr>
              <w:rPr>
                <w:rFonts w:ascii="Aptos" w:hAnsi="Aptos" w:cs="Arial"/>
                <w:sz w:val="16"/>
                <w:szCs w:val="16"/>
              </w:rPr>
            </w:pPr>
            <w:r w:rsidRPr="00D518FF">
              <w:rPr>
                <w:rFonts w:ascii="Aptos" w:hAnsi="Aptos" w:cs="Arial"/>
                <w:sz w:val="16"/>
                <w:szCs w:val="16"/>
              </w:rPr>
              <w:t>Chiu 2016</w:t>
            </w:r>
          </w:p>
        </w:tc>
        <w:tc>
          <w:tcPr>
            <w:tcW w:w="830" w:type="dxa"/>
          </w:tcPr>
          <w:p w14:paraId="364E4F23" w14:textId="66E3584A" w:rsidR="00F60E69" w:rsidRPr="00D518FF" w:rsidRDefault="00F60E69" w:rsidP="00F60E69">
            <w:pPr>
              <w:rPr>
                <w:rFonts w:ascii="Aptos" w:hAnsi="Aptos" w:cs="Arial"/>
                <w:sz w:val="16"/>
                <w:szCs w:val="16"/>
              </w:rPr>
            </w:pPr>
            <w:r w:rsidRPr="00D518FF">
              <w:rPr>
                <w:rFonts w:ascii="Aptos" w:hAnsi="Aptos" w:cs="Arial"/>
                <w:sz w:val="16"/>
                <w:szCs w:val="16"/>
              </w:rPr>
              <w:t>Meta-analysis</w:t>
            </w:r>
          </w:p>
        </w:tc>
        <w:tc>
          <w:tcPr>
            <w:tcW w:w="2124" w:type="dxa"/>
          </w:tcPr>
          <w:p w14:paraId="753EB380" w14:textId="3ABF0B7D" w:rsidR="00F60E69" w:rsidRPr="00D518FF" w:rsidRDefault="00F60E69" w:rsidP="00F60E69">
            <w:pPr>
              <w:rPr>
                <w:rFonts w:ascii="Aptos" w:hAnsi="Aptos" w:cs="Arial"/>
                <w:sz w:val="16"/>
                <w:szCs w:val="16"/>
              </w:rPr>
            </w:pPr>
            <w:r w:rsidRPr="00D518FF">
              <w:rPr>
                <w:rFonts w:ascii="Aptos" w:hAnsi="Aptos" w:cs="Arial"/>
                <w:sz w:val="16"/>
                <w:szCs w:val="16"/>
              </w:rPr>
              <w:t>To evaluate the effects of intravenous magnesium on acute migraine attacks and oral magnesium supplements on migraine prophylaxis.</w:t>
            </w:r>
          </w:p>
        </w:tc>
        <w:tc>
          <w:tcPr>
            <w:tcW w:w="927" w:type="dxa"/>
          </w:tcPr>
          <w:p w14:paraId="017921C7" w14:textId="221966E5"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920" w:type="dxa"/>
          </w:tcPr>
          <w:p w14:paraId="1F116E8A" w14:textId="2CC6DD2F" w:rsidR="00F60E69" w:rsidRPr="00D518FF" w:rsidRDefault="00F60E69" w:rsidP="00F60E69">
            <w:pPr>
              <w:rPr>
                <w:rFonts w:ascii="Aptos" w:hAnsi="Aptos" w:cs="Arial"/>
                <w:sz w:val="16"/>
                <w:szCs w:val="16"/>
              </w:rPr>
            </w:pPr>
            <w:r w:rsidRPr="00D518FF">
              <w:rPr>
                <w:rFonts w:ascii="Aptos" w:hAnsi="Aptos" w:cs="Arial"/>
                <w:sz w:val="16"/>
                <w:szCs w:val="16"/>
              </w:rPr>
              <w:t>2, 3</w:t>
            </w:r>
          </w:p>
        </w:tc>
        <w:tc>
          <w:tcPr>
            <w:tcW w:w="851" w:type="dxa"/>
          </w:tcPr>
          <w:p w14:paraId="7ACA7427" w14:textId="650E1278" w:rsidR="00F60E69" w:rsidRPr="00D518FF" w:rsidRDefault="00F60E69" w:rsidP="00F60E69">
            <w:pPr>
              <w:rPr>
                <w:rFonts w:ascii="Aptos" w:hAnsi="Aptos" w:cs="Arial"/>
                <w:sz w:val="16"/>
                <w:szCs w:val="16"/>
              </w:rPr>
            </w:pPr>
            <w:r w:rsidRPr="00D518FF">
              <w:rPr>
                <w:rFonts w:ascii="Aptos" w:hAnsi="Aptos" w:cs="Arial"/>
                <w:sz w:val="16"/>
                <w:szCs w:val="16"/>
              </w:rPr>
              <w:t>4</w:t>
            </w:r>
          </w:p>
        </w:tc>
        <w:tc>
          <w:tcPr>
            <w:tcW w:w="1207" w:type="dxa"/>
          </w:tcPr>
          <w:p w14:paraId="43D70792" w14:textId="760A5626" w:rsidR="00F60E69" w:rsidRPr="00D518FF" w:rsidRDefault="00F60E69" w:rsidP="00F60E69">
            <w:pPr>
              <w:rPr>
                <w:rFonts w:ascii="Aptos" w:hAnsi="Aptos" w:cs="Arial"/>
                <w:sz w:val="16"/>
                <w:szCs w:val="16"/>
              </w:rPr>
            </w:pPr>
            <w:r w:rsidRPr="00D518FF">
              <w:rPr>
                <w:rFonts w:ascii="Aptos" w:hAnsi="Aptos" w:cs="Arial"/>
                <w:sz w:val="16"/>
                <w:szCs w:val="16"/>
              </w:rPr>
              <w:t xml:space="preserve">EMBASE, PubMed, Wanfang Data Chinese Database, China Knowledge </w:t>
            </w:r>
            <w:r w:rsidRPr="00D518FF">
              <w:rPr>
                <w:rFonts w:ascii="Aptos" w:hAnsi="Aptos" w:cs="Arial"/>
                <w:sz w:val="16"/>
                <w:szCs w:val="16"/>
              </w:rPr>
              <w:lastRenderedPageBreak/>
              <w:t>Resource Integrated Database</w:t>
            </w:r>
          </w:p>
        </w:tc>
        <w:tc>
          <w:tcPr>
            <w:tcW w:w="614" w:type="dxa"/>
          </w:tcPr>
          <w:p w14:paraId="2B4A56D0" w14:textId="2DDB8116" w:rsidR="00F60E69" w:rsidRPr="00D518FF" w:rsidRDefault="00F60E69" w:rsidP="00F60E69">
            <w:pPr>
              <w:rPr>
                <w:rFonts w:ascii="Aptos" w:hAnsi="Aptos" w:cs="Arial"/>
                <w:sz w:val="16"/>
                <w:szCs w:val="16"/>
              </w:rPr>
            </w:pPr>
            <w:r w:rsidRPr="00D518FF">
              <w:rPr>
                <w:rFonts w:ascii="Aptos" w:hAnsi="Aptos" w:cs="Arial"/>
                <w:sz w:val="16"/>
                <w:szCs w:val="16"/>
              </w:rPr>
              <w:lastRenderedPageBreak/>
              <w:t>Feb 2015</w:t>
            </w:r>
          </w:p>
        </w:tc>
        <w:tc>
          <w:tcPr>
            <w:tcW w:w="901" w:type="dxa"/>
          </w:tcPr>
          <w:p w14:paraId="5DF13D2E" w14:textId="0EA06701"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854" w:type="dxa"/>
          </w:tcPr>
          <w:p w14:paraId="0AC502D4" w14:textId="229F2841"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960" w:type="dxa"/>
          </w:tcPr>
          <w:p w14:paraId="430A2ED2" w14:textId="348B0279"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1942" w:type="dxa"/>
          </w:tcPr>
          <w:p w14:paraId="78B303C7" w14:textId="53EABD4A" w:rsidR="00F60E69" w:rsidRPr="00D518FF" w:rsidRDefault="00F60E69" w:rsidP="00F60E69">
            <w:pPr>
              <w:rPr>
                <w:rFonts w:ascii="Aptos" w:hAnsi="Aptos" w:cs="Arial"/>
                <w:sz w:val="16"/>
                <w:szCs w:val="16"/>
              </w:rPr>
            </w:pPr>
            <w:r w:rsidRPr="00D518FF">
              <w:rPr>
                <w:rFonts w:ascii="Aptos" w:hAnsi="Aptos" w:cs="Arial"/>
                <w:sz w:val="16"/>
                <w:szCs w:val="16"/>
              </w:rPr>
              <w:t xml:space="preserve"> The authors declare no potential conflicts of interest</w:t>
            </w:r>
            <w:r w:rsidRPr="00D518FF">
              <w:rPr>
                <w:rFonts w:ascii="Aptos" w:hAnsi="Aptos" w:cs="Arial"/>
                <w:sz w:val="16"/>
                <w:szCs w:val="16"/>
              </w:rPr>
              <w:br/>
              <w:t>with respect to the authorship and/or publication of this article.</w:t>
            </w:r>
          </w:p>
        </w:tc>
        <w:tc>
          <w:tcPr>
            <w:tcW w:w="1176" w:type="dxa"/>
          </w:tcPr>
          <w:p w14:paraId="06A4F32A" w14:textId="6F6C97D9" w:rsidR="00F60E69" w:rsidRPr="00D518FF" w:rsidRDefault="00F60E69" w:rsidP="00F60E69">
            <w:pPr>
              <w:rPr>
                <w:rFonts w:ascii="Aptos" w:hAnsi="Aptos" w:cs="Arial"/>
                <w:sz w:val="16"/>
                <w:szCs w:val="16"/>
              </w:rPr>
            </w:pPr>
            <w:r w:rsidRPr="00D518FF">
              <w:rPr>
                <w:rFonts w:ascii="Aptos" w:hAnsi="Aptos" w:cs="Arial"/>
                <w:sz w:val="16"/>
                <w:szCs w:val="16"/>
              </w:rPr>
              <w:t xml:space="preserve">This meta-analysis was supported by a grant from Taipei Medical University, Taiwan (No. </w:t>
            </w:r>
            <w:r w:rsidRPr="00D518FF">
              <w:rPr>
                <w:rFonts w:ascii="Aptos" w:hAnsi="Aptos" w:cs="Arial"/>
                <w:sz w:val="16"/>
                <w:szCs w:val="16"/>
              </w:rPr>
              <w:lastRenderedPageBreak/>
              <w:t>TMU103-AE1-B11).</w:t>
            </w:r>
          </w:p>
        </w:tc>
      </w:tr>
      <w:tr w:rsidR="00F6089E" w:rsidRPr="00D518FF" w14:paraId="08403A8B" w14:textId="77777777" w:rsidTr="00A6108F">
        <w:trPr>
          <w:trHeight w:val="345"/>
        </w:trPr>
        <w:tc>
          <w:tcPr>
            <w:tcW w:w="864" w:type="dxa"/>
            <w:shd w:val="clear" w:color="auto" w:fill="EFFFE9"/>
          </w:tcPr>
          <w:p w14:paraId="344C370E" w14:textId="71E802FF" w:rsidR="00F60E69" w:rsidRPr="00D518FF" w:rsidRDefault="00F60E69" w:rsidP="00F60E69">
            <w:pPr>
              <w:rPr>
                <w:rFonts w:ascii="Aptos" w:hAnsi="Aptos" w:cs="Arial"/>
                <w:sz w:val="16"/>
                <w:szCs w:val="16"/>
              </w:rPr>
            </w:pPr>
            <w:r w:rsidRPr="00D518FF">
              <w:rPr>
                <w:rFonts w:ascii="Aptos" w:hAnsi="Aptos" w:cs="Arial"/>
                <w:sz w:val="16"/>
                <w:szCs w:val="16"/>
              </w:rPr>
              <w:lastRenderedPageBreak/>
              <w:t>Okoli 2019</w:t>
            </w:r>
          </w:p>
        </w:tc>
        <w:tc>
          <w:tcPr>
            <w:tcW w:w="830" w:type="dxa"/>
            <w:shd w:val="clear" w:color="auto" w:fill="EFFFE9"/>
          </w:tcPr>
          <w:p w14:paraId="6AE8D3D9" w14:textId="4A184986"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2124" w:type="dxa"/>
            <w:shd w:val="clear" w:color="auto" w:fill="EFFFE9"/>
          </w:tcPr>
          <w:p w14:paraId="01141BC7" w14:textId="19A9D269" w:rsidR="00F60E69" w:rsidRPr="00D518FF" w:rsidRDefault="00F60E69" w:rsidP="00F60E69">
            <w:pPr>
              <w:rPr>
                <w:rFonts w:ascii="Aptos" w:hAnsi="Aptos" w:cs="Arial"/>
                <w:sz w:val="16"/>
                <w:szCs w:val="16"/>
              </w:rPr>
            </w:pPr>
            <w:r w:rsidRPr="00D518FF">
              <w:rPr>
                <w:rFonts w:ascii="Aptos" w:hAnsi="Aptos" w:cs="Arial"/>
                <w:sz w:val="16"/>
                <w:szCs w:val="16"/>
              </w:rPr>
              <w:t>To summarize the findings of randomized controlled trials (RCTs) on the efficacy and safety of vitamins and minerals for migraine prophylaxis.</w:t>
            </w:r>
          </w:p>
        </w:tc>
        <w:tc>
          <w:tcPr>
            <w:tcW w:w="927" w:type="dxa"/>
            <w:shd w:val="clear" w:color="auto" w:fill="EFFFE9"/>
          </w:tcPr>
          <w:p w14:paraId="7B7A6300" w14:textId="64D971D3"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920" w:type="dxa"/>
            <w:shd w:val="clear" w:color="auto" w:fill="EFFFE9"/>
          </w:tcPr>
          <w:p w14:paraId="213502AB" w14:textId="78686224" w:rsidR="00F60E69" w:rsidRPr="00D518FF" w:rsidRDefault="00F60E69" w:rsidP="00F60E69">
            <w:pPr>
              <w:rPr>
                <w:rFonts w:ascii="Aptos" w:hAnsi="Aptos" w:cs="Arial"/>
                <w:sz w:val="16"/>
                <w:szCs w:val="16"/>
              </w:rPr>
            </w:pPr>
            <w:r w:rsidRPr="00D518FF">
              <w:rPr>
                <w:rFonts w:ascii="Aptos" w:hAnsi="Aptos" w:cs="Arial"/>
                <w:sz w:val="16"/>
                <w:szCs w:val="16"/>
              </w:rPr>
              <w:t>1, 2, 3</w:t>
            </w:r>
          </w:p>
        </w:tc>
        <w:tc>
          <w:tcPr>
            <w:tcW w:w="851" w:type="dxa"/>
            <w:shd w:val="clear" w:color="auto" w:fill="EFFFE9"/>
          </w:tcPr>
          <w:p w14:paraId="09B42F51" w14:textId="68767A43" w:rsidR="00F60E69" w:rsidRPr="00D518FF" w:rsidRDefault="00F60E69" w:rsidP="00F60E69">
            <w:pPr>
              <w:rPr>
                <w:rFonts w:ascii="Aptos" w:hAnsi="Aptos" w:cs="Arial"/>
                <w:sz w:val="16"/>
                <w:szCs w:val="16"/>
              </w:rPr>
            </w:pPr>
            <w:r w:rsidRPr="00D518FF">
              <w:rPr>
                <w:rFonts w:ascii="Aptos" w:hAnsi="Aptos" w:cs="Arial"/>
                <w:sz w:val="16"/>
                <w:szCs w:val="16"/>
              </w:rPr>
              <w:t>5</w:t>
            </w:r>
          </w:p>
        </w:tc>
        <w:tc>
          <w:tcPr>
            <w:tcW w:w="1207" w:type="dxa"/>
            <w:shd w:val="clear" w:color="auto" w:fill="EFFFE9"/>
          </w:tcPr>
          <w:p w14:paraId="6087FE0E" w14:textId="383E6D84" w:rsidR="00F60E69" w:rsidRPr="00D518FF" w:rsidRDefault="00F60E69" w:rsidP="00F60E69">
            <w:pPr>
              <w:rPr>
                <w:rFonts w:ascii="Aptos" w:hAnsi="Aptos" w:cs="Arial"/>
                <w:sz w:val="16"/>
                <w:szCs w:val="16"/>
              </w:rPr>
            </w:pPr>
            <w:r w:rsidRPr="00D518FF">
              <w:rPr>
                <w:rFonts w:ascii="Aptos" w:hAnsi="Aptos" w:cs="Arial"/>
                <w:sz w:val="16"/>
                <w:szCs w:val="16"/>
              </w:rPr>
              <w:t>Medline, Embase, CENTRAL, PsycINFO, CINAHL</w:t>
            </w:r>
          </w:p>
        </w:tc>
        <w:tc>
          <w:tcPr>
            <w:tcW w:w="614" w:type="dxa"/>
            <w:shd w:val="clear" w:color="auto" w:fill="EFFFE9"/>
          </w:tcPr>
          <w:p w14:paraId="5C2A51CD" w14:textId="4DFC3DA4" w:rsidR="00F60E69" w:rsidRPr="00D518FF" w:rsidRDefault="00F60E69" w:rsidP="00F60E69">
            <w:pPr>
              <w:rPr>
                <w:rFonts w:ascii="Aptos" w:hAnsi="Aptos" w:cs="Arial"/>
                <w:sz w:val="16"/>
                <w:szCs w:val="16"/>
              </w:rPr>
            </w:pPr>
            <w:r w:rsidRPr="00D518FF">
              <w:rPr>
                <w:rFonts w:ascii="Aptos" w:hAnsi="Aptos" w:cs="Arial"/>
                <w:sz w:val="16"/>
                <w:szCs w:val="16"/>
              </w:rPr>
              <w:t>Jun 2017</w:t>
            </w:r>
          </w:p>
        </w:tc>
        <w:tc>
          <w:tcPr>
            <w:tcW w:w="901" w:type="dxa"/>
            <w:shd w:val="clear" w:color="auto" w:fill="EFFFE9"/>
          </w:tcPr>
          <w:p w14:paraId="5E9102D5" w14:textId="375F6DC9"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854" w:type="dxa"/>
            <w:shd w:val="clear" w:color="auto" w:fill="EFFFE9"/>
          </w:tcPr>
          <w:p w14:paraId="7C268BA7" w14:textId="60D58A80"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960" w:type="dxa"/>
            <w:shd w:val="clear" w:color="auto" w:fill="EFFFE9"/>
          </w:tcPr>
          <w:p w14:paraId="6DC8838C" w14:textId="76CD9C6C"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1942" w:type="dxa"/>
            <w:shd w:val="clear" w:color="auto" w:fill="EFFFE9"/>
          </w:tcPr>
          <w:p w14:paraId="406B71B1" w14:textId="48F6DF08" w:rsidR="00F60E69" w:rsidRPr="00D518FF" w:rsidRDefault="00F60E69" w:rsidP="00F60E69">
            <w:pPr>
              <w:rPr>
                <w:rFonts w:ascii="Aptos" w:hAnsi="Aptos" w:cs="Arial"/>
                <w:sz w:val="16"/>
                <w:szCs w:val="16"/>
              </w:rPr>
            </w:pPr>
            <w:r w:rsidRPr="00D518FF">
              <w:rPr>
                <w:rFonts w:ascii="Aptos" w:hAnsi="Aptos" w:cs="Arial"/>
                <w:sz w:val="16"/>
                <w:szCs w:val="16"/>
              </w:rPr>
              <w:t>Dr. Zarychanski is a recipient of the new investigator salary award from the Canadian Institutes of Health Research. Dr. Mansouri has received previous research funding from Allergan Canada Ltd. All other authors declare that they have no competing interests. The primary and corresponding author had full access to data presented in this systematic review and all the authors had final responsibility for the decision to submit a manuscript for publication.</w:t>
            </w:r>
          </w:p>
        </w:tc>
        <w:tc>
          <w:tcPr>
            <w:tcW w:w="1176" w:type="dxa"/>
            <w:shd w:val="clear" w:color="auto" w:fill="EFFFE9"/>
          </w:tcPr>
          <w:p w14:paraId="74F5796D" w14:textId="41D7233A" w:rsidR="00F60E69" w:rsidRPr="00D518FF" w:rsidRDefault="00F60E69" w:rsidP="00F60E69">
            <w:pPr>
              <w:rPr>
                <w:rFonts w:ascii="Aptos" w:hAnsi="Aptos" w:cs="Arial"/>
                <w:sz w:val="16"/>
                <w:szCs w:val="16"/>
              </w:rPr>
            </w:pPr>
            <w:r w:rsidRPr="00D518FF">
              <w:rPr>
                <w:rFonts w:ascii="Aptos" w:hAnsi="Aptos" w:cs="Arial"/>
                <w:sz w:val="16"/>
                <w:szCs w:val="16"/>
              </w:rPr>
              <w:t>No funding was attained for this project.</w:t>
            </w:r>
          </w:p>
        </w:tc>
      </w:tr>
      <w:tr w:rsidR="001F2487" w:rsidRPr="00D518FF" w14:paraId="0568DA44" w14:textId="77777777" w:rsidTr="00F6089E">
        <w:trPr>
          <w:trHeight w:val="646"/>
        </w:trPr>
        <w:tc>
          <w:tcPr>
            <w:tcW w:w="864" w:type="dxa"/>
          </w:tcPr>
          <w:p w14:paraId="2312A836" w14:textId="6CC7D8DC" w:rsidR="00F60E69" w:rsidRPr="00D518FF" w:rsidRDefault="00F60E69" w:rsidP="00F60E69">
            <w:pPr>
              <w:rPr>
                <w:rFonts w:ascii="Aptos" w:hAnsi="Aptos" w:cs="Arial"/>
                <w:sz w:val="16"/>
                <w:szCs w:val="16"/>
              </w:rPr>
            </w:pPr>
            <w:r w:rsidRPr="00D518FF">
              <w:rPr>
                <w:rFonts w:ascii="Aptos" w:hAnsi="Aptos" w:cs="Arial"/>
                <w:sz w:val="16"/>
                <w:szCs w:val="16"/>
              </w:rPr>
              <w:t>Park 2020</w:t>
            </w:r>
          </w:p>
        </w:tc>
        <w:tc>
          <w:tcPr>
            <w:tcW w:w="830" w:type="dxa"/>
          </w:tcPr>
          <w:p w14:paraId="1DCBDE8F" w14:textId="6C7E1A2F" w:rsidR="00F60E69" w:rsidRPr="00D518FF" w:rsidRDefault="00F60E69" w:rsidP="00F60E69">
            <w:pPr>
              <w:rPr>
                <w:rFonts w:ascii="Aptos" w:hAnsi="Aptos" w:cs="Arial"/>
                <w:sz w:val="16"/>
                <w:szCs w:val="16"/>
              </w:rPr>
            </w:pPr>
            <w:r w:rsidRPr="00D518FF">
              <w:rPr>
                <w:rFonts w:ascii="Aptos" w:hAnsi="Aptos" w:cs="Arial"/>
                <w:sz w:val="16"/>
                <w:szCs w:val="16"/>
              </w:rPr>
              <w:t>Systematic Review</w:t>
            </w:r>
          </w:p>
        </w:tc>
        <w:tc>
          <w:tcPr>
            <w:tcW w:w="2124" w:type="dxa"/>
          </w:tcPr>
          <w:p w14:paraId="3125DD9B" w14:textId="44E544DA" w:rsidR="00F60E69" w:rsidRPr="00D518FF" w:rsidRDefault="00F60E69" w:rsidP="00F60E69">
            <w:pPr>
              <w:rPr>
                <w:rFonts w:ascii="Aptos" w:hAnsi="Aptos" w:cs="Arial"/>
                <w:sz w:val="16"/>
                <w:szCs w:val="16"/>
              </w:rPr>
            </w:pPr>
            <w:r w:rsidRPr="00D518FF">
              <w:rPr>
                <w:rFonts w:ascii="Aptos" w:hAnsi="Aptos" w:cs="Arial"/>
                <w:sz w:val="16"/>
                <w:szCs w:val="16"/>
              </w:rPr>
              <w:t>To assess the current evidence of efficacy and safety of magnesium for the treatment of chronic pain</w:t>
            </w:r>
          </w:p>
        </w:tc>
        <w:tc>
          <w:tcPr>
            <w:tcW w:w="927" w:type="dxa"/>
          </w:tcPr>
          <w:p w14:paraId="14B34BFE" w14:textId="1BB97360"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920" w:type="dxa"/>
          </w:tcPr>
          <w:p w14:paraId="3D770A18" w14:textId="69555981" w:rsidR="00F60E69" w:rsidRPr="00D518FF" w:rsidRDefault="00F60E69" w:rsidP="00F60E69">
            <w:pPr>
              <w:rPr>
                <w:rFonts w:ascii="Aptos" w:hAnsi="Aptos" w:cs="Arial"/>
                <w:sz w:val="16"/>
                <w:szCs w:val="16"/>
              </w:rPr>
            </w:pPr>
            <w:r w:rsidRPr="00D518FF">
              <w:rPr>
                <w:rFonts w:ascii="Aptos" w:hAnsi="Aptos" w:cs="Arial"/>
                <w:sz w:val="16"/>
                <w:szCs w:val="16"/>
              </w:rPr>
              <w:t>2</w:t>
            </w:r>
          </w:p>
        </w:tc>
        <w:tc>
          <w:tcPr>
            <w:tcW w:w="851" w:type="dxa"/>
          </w:tcPr>
          <w:p w14:paraId="1ACB04C0" w14:textId="1AFC96BA"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1207" w:type="dxa"/>
          </w:tcPr>
          <w:p w14:paraId="7981FEE8" w14:textId="09A7F374" w:rsidR="00F60E69" w:rsidRPr="00D518FF" w:rsidRDefault="00F60E69" w:rsidP="00F60E69">
            <w:pPr>
              <w:rPr>
                <w:rFonts w:ascii="Aptos" w:hAnsi="Aptos" w:cs="Arial"/>
                <w:sz w:val="16"/>
                <w:szCs w:val="16"/>
              </w:rPr>
            </w:pPr>
            <w:r w:rsidRPr="00D518FF">
              <w:rPr>
                <w:rFonts w:ascii="Aptos" w:hAnsi="Aptos" w:cs="Arial"/>
                <w:sz w:val="16"/>
                <w:szCs w:val="16"/>
              </w:rPr>
              <w:t>CENTRAL, MEDLINE, EMBASE</w:t>
            </w:r>
          </w:p>
        </w:tc>
        <w:tc>
          <w:tcPr>
            <w:tcW w:w="614" w:type="dxa"/>
          </w:tcPr>
          <w:p w14:paraId="0B1CFD3A" w14:textId="5DE94AC5"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901" w:type="dxa"/>
          </w:tcPr>
          <w:p w14:paraId="722B3F9B" w14:textId="722E5B87" w:rsidR="00F60E69" w:rsidRPr="00D518FF" w:rsidRDefault="00F60E69" w:rsidP="00F60E69">
            <w:pPr>
              <w:rPr>
                <w:rFonts w:ascii="Aptos" w:hAnsi="Aptos" w:cs="Arial"/>
                <w:sz w:val="16"/>
                <w:szCs w:val="16"/>
              </w:rPr>
            </w:pPr>
            <w:r w:rsidRPr="00D518FF">
              <w:rPr>
                <w:rFonts w:ascii="Aptos" w:hAnsi="Aptos" w:cs="Arial"/>
                <w:sz w:val="16"/>
                <w:szCs w:val="16"/>
              </w:rPr>
              <w:t>excluded studies that were not published in English</w:t>
            </w:r>
          </w:p>
        </w:tc>
        <w:tc>
          <w:tcPr>
            <w:tcW w:w="854" w:type="dxa"/>
          </w:tcPr>
          <w:p w14:paraId="00341D97" w14:textId="4DC53BF0"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960" w:type="dxa"/>
          </w:tcPr>
          <w:p w14:paraId="6A5FDC21" w14:textId="48547869" w:rsidR="00F60E69" w:rsidRPr="00D518FF" w:rsidRDefault="00F60E69" w:rsidP="00F60E69">
            <w:pPr>
              <w:rPr>
                <w:rFonts w:ascii="Aptos" w:hAnsi="Aptos" w:cs="Arial"/>
                <w:sz w:val="16"/>
                <w:szCs w:val="16"/>
              </w:rPr>
            </w:pPr>
            <w:r w:rsidRPr="00D518FF">
              <w:rPr>
                <w:rFonts w:ascii="Aptos" w:hAnsi="Aptos" w:cs="Arial"/>
                <w:sz w:val="16"/>
                <w:szCs w:val="16"/>
              </w:rPr>
              <w:t xml:space="preserve">We planned to rate the quality of evidence using the Grading of Recommendations Assessment, Development and Evaluation approach, by using a “summary of findings” table. However, the summary of findings table was not included </w:t>
            </w:r>
            <w:r w:rsidRPr="00D518FF">
              <w:rPr>
                <w:rFonts w:ascii="Aptos" w:hAnsi="Aptos" w:cs="Arial"/>
                <w:sz w:val="16"/>
                <w:szCs w:val="16"/>
              </w:rPr>
              <w:lastRenderedPageBreak/>
              <w:t>due to overall lim- ited evidence.</w:t>
            </w:r>
          </w:p>
        </w:tc>
        <w:tc>
          <w:tcPr>
            <w:tcW w:w="1942" w:type="dxa"/>
          </w:tcPr>
          <w:p w14:paraId="7A8CD99E" w14:textId="6B9C371F" w:rsidR="00F60E69" w:rsidRPr="00D518FF" w:rsidRDefault="00F60E69" w:rsidP="00F60E69">
            <w:pPr>
              <w:rPr>
                <w:rFonts w:ascii="Aptos" w:hAnsi="Aptos" w:cs="Arial"/>
                <w:sz w:val="16"/>
                <w:szCs w:val="16"/>
              </w:rPr>
            </w:pPr>
            <w:r w:rsidRPr="00D518FF">
              <w:rPr>
                <w:rFonts w:ascii="Aptos" w:hAnsi="Aptos" w:cs="Arial"/>
                <w:sz w:val="16"/>
                <w:szCs w:val="16"/>
              </w:rPr>
              <w:lastRenderedPageBreak/>
              <w:t>I. Gilron has received support from Biogen, Adynxx, TARIS Biomedical, AstraZeneca, Pfizer, and Johnson and Johnson and has received grants from the Canadian Institutes of Health Research, Physicians’ Services Incorporated Foundation, and Queen’s University.</w:t>
            </w:r>
          </w:p>
        </w:tc>
        <w:tc>
          <w:tcPr>
            <w:tcW w:w="1176" w:type="dxa"/>
          </w:tcPr>
          <w:p w14:paraId="088585C0" w14:textId="62FB9E70" w:rsidR="00F60E69" w:rsidRPr="00D518FF" w:rsidRDefault="00F60E69" w:rsidP="00F60E69">
            <w:pPr>
              <w:rPr>
                <w:rFonts w:ascii="Aptos" w:hAnsi="Aptos" w:cs="Arial"/>
                <w:sz w:val="16"/>
                <w:szCs w:val="16"/>
              </w:rPr>
            </w:pPr>
            <w:r w:rsidRPr="00D518FF">
              <w:rPr>
                <w:rFonts w:ascii="Aptos" w:hAnsi="Aptos" w:cs="Arial"/>
                <w:sz w:val="16"/>
                <w:szCs w:val="16"/>
              </w:rPr>
              <w:t xml:space="preserve">This review is grant funded and has undergone a peer-review process through the Queen’s University Department of Anesthesiology and Perioperative Medicine Vandewater Endowed Studentship. This proj- ect is also supported, in part, by the Chronic Pain Network of the Canadian </w:t>
            </w:r>
            <w:r w:rsidRPr="00D518FF">
              <w:rPr>
                <w:rFonts w:ascii="Aptos" w:hAnsi="Aptos" w:cs="Arial"/>
                <w:sz w:val="16"/>
                <w:szCs w:val="16"/>
              </w:rPr>
              <w:lastRenderedPageBreak/>
              <w:t>Institutes of Health Research Strategy for Patient-Oriented Research.</w:t>
            </w:r>
          </w:p>
        </w:tc>
      </w:tr>
      <w:tr w:rsidR="001F2487" w:rsidRPr="00D518FF" w14:paraId="719A8A13" w14:textId="77777777" w:rsidTr="00F6089E">
        <w:trPr>
          <w:trHeight w:val="646"/>
        </w:trPr>
        <w:tc>
          <w:tcPr>
            <w:tcW w:w="864" w:type="dxa"/>
          </w:tcPr>
          <w:p w14:paraId="7BDBA5B9" w14:textId="49D7633C" w:rsidR="00CA086D" w:rsidRPr="00D518FF" w:rsidRDefault="00CA086D" w:rsidP="00AA72BD">
            <w:pPr>
              <w:rPr>
                <w:rFonts w:ascii="Aptos" w:hAnsi="Aptos" w:cs="Arial"/>
                <w:sz w:val="16"/>
                <w:szCs w:val="16"/>
              </w:rPr>
            </w:pPr>
            <w:r w:rsidRPr="00D518FF">
              <w:rPr>
                <w:rFonts w:ascii="Aptos" w:hAnsi="Aptos" w:cs="Arial"/>
                <w:sz w:val="16"/>
                <w:szCs w:val="16"/>
              </w:rPr>
              <w:lastRenderedPageBreak/>
              <w:t>Pringsheim 2008</w:t>
            </w:r>
          </w:p>
        </w:tc>
        <w:tc>
          <w:tcPr>
            <w:tcW w:w="830" w:type="dxa"/>
          </w:tcPr>
          <w:p w14:paraId="3471B74C" w14:textId="157E6946" w:rsidR="00CA086D" w:rsidRPr="00D518FF" w:rsidRDefault="00CA086D" w:rsidP="00AA72BD">
            <w:pPr>
              <w:rPr>
                <w:rFonts w:ascii="Aptos" w:hAnsi="Aptos" w:cs="Arial"/>
                <w:sz w:val="16"/>
                <w:szCs w:val="16"/>
              </w:rPr>
            </w:pPr>
            <w:r w:rsidRPr="00D518FF">
              <w:rPr>
                <w:rFonts w:ascii="Aptos" w:hAnsi="Aptos" w:cs="Arial"/>
                <w:sz w:val="16"/>
                <w:szCs w:val="16"/>
              </w:rPr>
              <w:t>Systematic Review and Meta-analysis</w:t>
            </w:r>
          </w:p>
        </w:tc>
        <w:tc>
          <w:tcPr>
            <w:tcW w:w="2124" w:type="dxa"/>
          </w:tcPr>
          <w:p w14:paraId="0991B9A7" w14:textId="55046F00" w:rsidR="00CA086D" w:rsidRPr="00D518FF" w:rsidRDefault="00CA086D" w:rsidP="00AA72BD">
            <w:pPr>
              <w:rPr>
                <w:rFonts w:ascii="Aptos" w:hAnsi="Aptos" w:cs="Arial"/>
                <w:sz w:val="16"/>
                <w:szCs w:val="16"/>
              </w:rPr>
            </w:pPr>
            <w:r w:rsidRPr="00D518FF">
              <w:rPr>
                <w:rFonts w:ascii="Aptos" w:hAnsi="Aptos" w:cs="Arial"/>
                <w:sz w:val="16"/>
                <w:szCs w:val="16"/>
              </w:rPr>
              <w:t>To provide a systematic review and meta-analysis of the existing therapy trials for MRM and evidence-based recommendations for acute and short-term preventive treatment of MRM headache</w:t>
            </w:r>
          </w:p>
        </w:tc>
        <w:tc>
          <w:tcPr>
            <w:tcW w:w="927" w:type="dxa"/>
          </w:tcPr>
          <w:p w14:paraId="368BE362" w14:textId="50A80ED2" w:rsidR="00CA086D" w:rsidRPr="00D518FF" w:rsidRDefault="00CA086D" w:rsidP="00AA72BD">
            <w:pPr>
              <w:rPr>
                <w:rFonts w:ascii="Aptos" w:hAnsi="Aptos" w:cs="Arial"/>
                <w:sz w:val="16"/>
                <w:szCs w:val="16"/>
              </w:rPr>
            </w:pPr>
            <w:r w:rsidRPr="00D518FF">
              <w:rPr>
                <w:rFonts w:ascii="Aptos" w:hAnsi="Aptos" w:cs="Arial"/>
                <w:sz w:val="16"/>
                <w:szCs w:val="16"/>
              </w:rPr>
              <w:t xml:space="preserve">placebo-controlled, </w:t>
            </w:r>
            <w:r w:rsidR="00BC6EB6" w:rsidRPr="00D518FF">
              <w:rPr>
                <w:rFonts w:ascii="Aptos" w:hAnsi="Aptos" w:cs="Arial"/>
                <w:sz w:val="16"/>
                <w:szCs w:val="16"/>
              </w:rPr>
              <w:t>RCTs</w:t>
            </w:r>
          </w:p>
        </w:tc>
        <w:tc>
          <w:tcPr>
            <w:tcW w:w="920" w:type="dxa"/>
          </w:tcPr>
          <w:p w14:paraId="2F9EE46B" w14:textId="5FBF845F" w:rsidR="00CA086D" w:rsidRPr="00D518FF" w:rsidRDefault="006830DB" w:rsidP="00AA72BD">
            <w:pPr>
              <w:rPr>
                <w:rFonts w:ascii="Aptos" w:hAnsi="Aptos" w:cs="Arial"/>
                <w:sz w:val="16"/>
                <w:szCs w:val="16"/>
              </w:rPr>
            </w:pPr>
            <w:r w:rsidRPr="00D518FF">
              <w:rPr>
                <w:rFonts w:ascii="Aptos" w:hAnsi="Aptos" w:cs="Arial"/>
                <w:sz w:val="16"/>
                <w:szCs w:val="16"/>
              </w:rPr>
              <w:t>1</w:t>
            </w:r>
          </w:p>
        </w:tc>
        <w:tc>
          <w:tcPr>
            <w:tcW w:w="851" w:type="dxa"/>
          </w:tcPr>
          <w:p w14:paraId="7DADB116" w14:textId="270F60A0" w:rsidR="00CA086D" w:rsidRPr="00D518FF" w:rsidRDefault="00CA086D" w:rsidP="00AA72BD">
            <w:pPr>
              <w:rPr>
                <w:rFonts w:ascii="Aptos" w:hAnsi="Aptos" w:cs="Arial"/>
                <w:sz w:val="16"/>
                <w:szCs w:val="16"/>
              </w:rPr>
            </w:pPr>
            <w:r w:rsidRPr="00D518FF">
              <w:rPr>
                <w:rFonts w:ascii="Aptos" w:hAnsi="Aptos" w:cs="Arial"/>
                <w:sz w:val="16"/>
                <w:szCs w:val="16"/>
              </w:rPr>
              <w:t>3</w:t>
            </w:r>
          </w:p>
        </w:tc>
        <w:tc>
          <w:tcPr>
            <w:tcW w:w="1207" w:type="dxa"/>
          </w:tcPr>
          <w:p w14:paraId="0B6F9F7E" w14:textId="6EA42268" w:rsidR="00CA086D" w:rsidRPr="00D518FF" w:rsidRDefault="00CA086D" w:rsidP="00AA72BD">
            <w:pPr>
              <w:rPr>
                <w:rFonts w:ascii="Aptos" w:hAnsi="Aptos" w:cs="Arial"/>
                <w:sz w:val="16"/>
                <w:szCs w:val="16"/>
              </w:rPr>
            </w:pPr>
            <w:r w:rsidRPr="00D518FF">
              <w:rPr>
                <w:rFonts w:ascii="Aptos" w:hAnsi="Aptos" w:cs="Arial"/>
                <w:sz w:val="16"/>
                <w:szCs w:val="16"/>
              </w:rPr>
              <w:t xml:space="preserve">MEDLINE, EMBASE, Cochrane </w:t>
            </w:r>
            <w:r w:rsidR="00DF0896" w:rsidRPr="00D518FF">
              <w:rPr>
                <w:rFonts w:ascii="Aptos" w:hAnsi="Aptos" w:cs="Arial"/>
                <w:sz w:val="16"/>
                <w:szCs w:val="16"/>
              </w:rPr>
              <w:t>L</w:t>
            </w:r>
            <w:r w:rsidRPr="00D518FF">
              <w:rPr>
                <w:rFonts w:ascii="Aptos" w:hAnsi="Aptos" w:cs="Arial"/>
                <w:sz w:val="16"/>
                <w:szCs w:val="16"/>
              </w:rPr>
              <w:t>ibrary</w:t>
            </w:r>
          </w:p>
        </w:tc>
        <w:tc>
          <w:tcPr>
            <w:tcW w:w="614" w:type="dxa"/>
          </w:tcPr>
          <w:p w14:paraId="54465A0C" w14:textId="62888ED5" w:rsidR="00CA086D" w:rsidRPr="00D518FF" w:rsidRDefault="00CA086D" w:rsidP="00AA72BD">
            <w:pPr>
              <w:rPr>
                <w:rFonts w:ascii="Aptos" w:hAnsi="Aptos" w:cs="Arial"/>
                <w:sz w:val="16"/>
                <w:szCs w:val="16"/>
              </w:rPr>
            </w:pPr>
            <w:r w:rsidRPr="00D518FF">
              <w:rPr>
                <w:rFonts w:ascii="Aptos" w:hAnsi="Aptos" w:cs="Arial"/>
                <w:sz w:val="16"/>
                <w:szCs w:val="16"/>
              </w:rPr>
              <w:t>NR</w:t>
            </w:r>
          </w:p>
        </w:tc>
        <w:tc>
          <w:tcPr>
            <w:tcW w:w="901" w:type="dxa"/>
          </w:tcPr>
          <w:p w14:paraId="29F95DD2" w14:textId="427E642B" w:rsidR="00CA086D" w:rsidRPr="00D518FF" w:rsidRDefault="00CA086D" w:rsidP="00AA72BD">
            <w:pPr>
              <w:rPr>
                <w:rFonts w:ascii="Aptos" w:hAnsi="Aptos" w:cs="Arial"/>
                <w:sz w:val="16"/>
                <w:szCs w:val="16"/>
              </w:rPr>
            </w:pPr>
            <w:r w:rsidRPr="00D518FF">
              <w:rPr>
                <w:rFonts w:ascii="Aptos" w:hAnsi="Aptos" w:cs="Arial"/>
                <w:sz w:val="16"/>
                <w:szCs w:val="16"/>
              </w:rPr>
              <w:t>NR</w:t>
            </w:r>
          </w:p>
        </w:tc>
        <w:tc>
          <w:tcPr>
            <w:tcW w:w="854" w:type="dxa"/>
          </w:tcPr>
          <w:p w14:paraId="5E910480" w14:textId="29C8EBDD" w:rsidR="00CA086D" w:rsidRPr="00D518FF" w:rsidRDefault="00F60E69" w:rsidP="00AA72BD">
            <w:pPr>
              <w:rPr>
                <w:rFonts w:ascii="Aptos" w:hAnsi="Aptos" w:cs="Arial"/>
                <w:sz w:val="16"/>
                <w:szCs w:val="16"/>
              </w:rPr>
            </w:pPr>
            <w:r w:rsidRPr="00D518FF">
              <w:rPr>
                <w:rFonts w:ascii="Aptos" w:hAnsi="Aptos" w:cs="Arial"/>
                <w:sz w:val="16"/>
                <w:szCs w:val="16"/>
              </w:rPr>
              <w:t>Q</w:t>
            </w:r>
            <w:r w:rsidR="00CA086D" w:rsidRPr="00D518FF">
              <w:rPr>
                <w:rFonts w:ascii="Aptos" w:hAnsi="Aptos" w:cs="Arial"/>
                <w:sz w:val="16"/>
                <w:szCs w:val="16"/>
              </w:rPr>
              <w:t>uality criteria developed by the US Preventive Services Task Force (USPSTF)</w:t>
            </w:r>
          </w:p>
        </w:tc>
        <w:tc>
          <w:tcPr>
            <w:tcW w:w="960" w:type="dxa"/>
          </w:tcPr>
          <w:p w14:paraId="7C6679B7" w14:textId="3D393A43" w:rsidR="00CA086D" w:rsidRPr="00D518FF" w:rsidRDefault="00CA086D" w:rsidP="00AA72BD">
            <w:pPr>
              <w:rPr>
                <w:rFonts w:ascii="Aptos" w:hAnsi="Aptos" w:cs="Arial"/>
                <w:sz w:val="16"/>
                <w:szCs w:val="16"/>
              </w:rPr>
            </w:pPr>
            <w:r w:rsidRPr="00D518FF">
              <w:rPr>
                <w:rFonts w:ascii="Aptos" w:hAnsi="Aptos" w:cs="Arial"/>
                <w:sz w:val="16"/>
                <w:szCs w:val="16"/>
              </w:rPr>
              <w:t>NR</w:t>
            </w:r>
          </w:p>
        </w:tc>
        <w:tc>
          <w:tcPr>
            <w:tcW w:w="1942" w:type="dxa"/>
          </w:tcPr>
          <w:p w14:paraId="02584BCF" w14:textId="577CE073" w:rsidR="00CA086D" w:rsidRPr="00D518FF" w:rsidRDefault="00CA086D" w:rsidP="00AA72BD">
            <w:pPr>
              <w:rPr>
                <w:rFonts w:ascii="Aptos" w:hAnsi="Aptos" w:cs="Arial"/>
                <w:sz w:val="16"/>
                <w:szCs w:val="16"/>
              </w:rPr>
            </w:pPr>
            <w:r w:rsidRPr="00D518FF">
              <w:rPr>
                <w:rFonts w:ascii="Aptos" w:hAnsi="Aptos" w:cs="Arial"/>
                <w:sz w:val="16"/>
                <w:szCs w:val="16"/>
              </w:rPr>
              <w:t>Dr. Dodick has provided consulting services for GSK, Merck, Allergan, Endo, Pfizer, Eli Lilly, Addex, Solvay, Neuralieve, and St.</w:t>
            </w:r>
            <w:r w:rsidRPr="00D518FF">
              <w:rPr>
                <w:rFonts w:ascii="Aptos" w:hAnsi="Aptos" w:cs="Arial"/>
                <w:sz w:val="16"/>
                <w:szCs w:val="16"/>
              </w:rPr>
              <w:br/>
              <w:t>Jude, and he has provided research support for Advanced Neurostimulation Systems (ANS) and Medtronic. The other authors report no disclosures.</w:t>
            </w:r>
          </w:p>
        </w:tc>
        <w:tc>
          <w:tcPr>
            <w:tcW w:w="1176" w:type="dxa"/>
          </w:tcPr>
          <w:p w14:paraId="1060EE16" w14:textId="6CBB79E3" w:rsidR="00CA086D" w:rsidRPr="00D518FF" w:rsidRDefault="00CA086D" w:rsidP="00AA72BD">
            <w:pPr>
              <w:rPr>
                <w:rFonts w:ascii="Aptos" w:hAnsi="Aptos" w:cs="Arial"/>
                <w:sz w:val="16"/>
                <w:szCs w:val="16"/>
              </w:rPr>
            </w:pPr>
            <w:r w:rsidRPr="00D518FF">
              <w:rPr>
                <w:rFonts w:ascii="Aptos" w:hAnsi="Aptos" w:cs="Arial"/>
                <w:sz w:val="16"/>
                <w:szCs w:val="16"/>
              </w:rPr>
              <w:t>NR</w:t>
            </w:r>
          </w:p>
        </w:tc>
      </w:tr>
      <w:tr w:rsidR="001F2487" w:rsidRPr="00D518FF" w14:paraId="4DF6C720" w14:textId="77777777" w:rsidTr="00F6089E">
        <w:trPr>
          <w:trHeight w:val="646"/>
        </w:trPr>
        <w:tc>
          <w:tcPr>
            <w:tcW w:w="864" w:type="dxa"/>
          </w:tcPr>
          <w:p w14:paraId="1B04AEB9" w14:textId="6706E39D" w:rsidR="00F60E69" w:rsidRPr="00D518FF" w:rsidRDefault="00F60E69" w:rsidP="00F60E69">
            <w:pPr>
              <w:rPr>
                <w:rFonts w:ascii="Aptos" w:hAnsi="Aptos" w:cs="Arial"/>
                <w:sz w:val="16"/>
                <w:szCs w:val="16"/>
              </w:rPr>
            </w:pPr>
            <w:r w:rsidRPr="00D518FF">
              <w:rPr>
                <w:rFonts w:ascii="Aptos" w:hAnsi="Aptos" w:cs="Arial"/>
                <w:sz w:val="16"/>
                <w:szCs w:val="16"/>
              </w:rPr>
              <w:t>Pringsheim 2012</w:t>
            </w:r>
          </w:p>
        </w:tc>
        <w:tc>
          <w:tcPr>
            <w:tcW w:w="830" w:type="dxa"/>
          </w:tcPr>
          <w:p w14:paraId="1DAFBFFB" w14:textId="71A372DE" w:rsidR="00F60E69" w:rsidRPr="00D518FF" w:rsidRDefault="00F60E69" w:rsidP="00F60E69">
            <w:pPr>
              <w:rPr>
                <w:rFonts w:ascii="Aptos" w:hAnsi="Aptos" w:cs="Arial"/>
                <w:sz w:val="16"/>
                <w:szCs w:val="16"/>
              </w:rPr>
            </w:pPr>
            <w:r w:rsidRPr="00D518FF">
              <w:rPr>
                <w:rFonts w:ascii="Aptos" w:hAnsi="Aptos" w:cs="Arial"/>
                <w:sz w:val="16"/>
                <w:szCs w:val="16"/>
              </w:rPr>
              <w:t>Systematic Review</w:t>
            </w:r>
          </w:p>
        </w:tc>
        <w:tc>
          <w:tcPr>
            <w:tcW w:w="2124" w:type="dxa"/>
          </w:tcPr>
          <w:p w14:paraId="7A64D2AD" w14:textId="267AAF87" w:rsidR="00F60E69" w:rsidRPr="00D518FF" w:rsidRDefault="00F60E69" w:rsidP="00F60E69">
            <w:pPr>
              <w:rPr>
                <w:rFonts w:ascii="Aptos" w:hAnsi="Aptos" w:cs="Arial"/>
                <w:sz w:val="16"/>
                <w:szCs w:val="16"/>
              </w:rPr>
            </w:pPr>
            <w:r w:rsidRPr="00D518FF">
              <w:rPr>
                <w:rFonts w:ascii="Aptos" w:hAnsi="Aptos" w:cs="Arial"/>
                <w:sz w:val="16"/>
                <w:szCs w:val="16"/>
              </w:rPr>
              <w:t>To assess the evidence base for drugs used for prophylaxis of episodic migraine (headache on ≤ 14 days a month) in Canada.</w:t>
            </w:r>
          </w:p>
        </w:tc>
        <w:tc>
          <w:tcPr>
            <w:tcW w:w="927" w:type="dxa"/>
          </w:tcPr>
          <w:p w14:paraId="08F33687" w14:textId="795DA1D3" w:rsidR="00F60E69" w:rsidRPr="00D518FF" w:rsidRDefault="00F60E69" w:rsidP="00F60E69">
            <w:pPr>
              <w:rPr>
                <w:rFonts w:ascii="Aptos" w:hAnsi="Aptos" w:cs="Arial"/>
                <w:sz w:val="16"/>
                <w:szCs w:val="16"/>
              </w:rPr>
            </w:pPr>
            <w:r w:rsidRPr="00D518FF">
              <w:rPr>
                <w:rFonts w:ascii="Aptos" w:hAnsi="Aptos" w:cs="Arial"/>
                <w:sz w:val="16"/>
                <w:szCs w:val="16"/>
              </w:rPr>
              <w:t>prospective, double-blind, randomized controlled trials (RCTs)</w:t>
            </w:r>
          </w:p>
        </w:tc>
        <w:tc>
          <w:tcPr>
            <w:tcW w:w="920" w:type="dxa"/>
          </w:tcPr>
          <w:p w14:paraId="757FA04C" w14:textId="40E0A644" w:rsidR="00F60E69" w:rsidRPr="00D518FF" w:rsidRDefault="00F60E69" w:rsidP="00F60E69">
            <w:pPr>
              <w:rPr>
                <w:rFonts w:ascii="Aptos" w:hAnsi="Aptos" w:cs="Arial"/>
                <w:sz w:val="16"/>
                <w:szCs w:val="16"/>
              </w:rPr>
            </w:pPr>
            <w:r w:rsidRPr="00D518FF">
              <w:rPr>
                <w:rFonts w:ascii="Aptos" w:hAnsi="Aptos" w:cs="Arial"/>
                <w:sz w:val="16"/>
                <w:szCs w:val="16"/>
              </w:rPr>
              <w:t>2, 3</w:t>
            </w:r>
          </w:p>
        </w:tc>
        <w:tc>
          <w:tcPr>
            <w:tcW w:w="851" w:type="dxa"/>
          </w:tcPr>
          <w:p w14:paraId="3C3579D9" w14:textId="6D9E5732"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1207" w:type="dxa"/>
          </w:tcPr>
          <w:p w14:paraId="6A90456F" w14:textId="1C0D4F56" w:rsidR="00F60E69" w:rsidRPr="00D518FF" w:rsidRDefault="00F60E69" w:rsidP="00F60E69">
            <w:pPr>
              <w:rPr>
                <w:rFonts w:ascii="Aptos" w:hAnsi="Aptos" w:cs="Arial"/>
                <w:sz w:val="16"/>
                <w:szCs w:val="16"/>
              </w:rPr>
            </w:pPr>
            <w:r w:rsidRPr="00D518FF">
              <w:rPr>
                <w:rFonts w:ascii="Aptos" w:hAnsi="Aptos" w:cs="Arial"/>
                <w:sz w:val="16"/>
                <w:szCs w:val="16"/>
              </w:rPr>
              <w:t>MEDLINE, EMBASE , Cochrane Collaboration library</w:t>
            </w:r>
          </w:p>
        </w:tc>
        <w:tc>
          <w:tcPr>
            <w:tcW w:w="614" w:type="dxa"/>
          </w:tcPr>
          <w:p w14:paraId="3BC497BB" w14:textId="45A945BF" w:rsidR="00F60E69" w:rsidRPr="00D518FF" w:rsidRDefault="00F60E69" w:rsidP="00F60E69">
            <w:pPr>
              <w:rPr>
                <w:rFonts w:ascii="Aptos" w:hAnsi="Aptos" w:cs="Arial"/>
                <w:sz w:val="16"/>
                <w:szCs w:val="16"/>
              </w:rPr>
            </w:pPr>
            <w:r w:rsidRPr="00D518FF">
              <w:rPr>
                <w:rFonts w:ascii="Aptos" w:hAnsi="Aptos" w:cs="Arial"/>
                <w:sz w:val="16"/>
                <w:szCs w:val="16"/>
              </w:rPr>
              <w:t>Jun 2011</w:t>
            </w:r>
          </w:p>
        </w:tc>
        <w:tc>
          <w:tcPr>
            <w:tcW w:w="901" w:type="dxa"/>
          </w:tcPr>
          <w:p w14:paraId="7FFDA3B1" w14:textId="5A4A276B"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854" w:type="dxa"/>
          </w:tcPr>
          <w:p w14:paraId="407DB76F" w14:textId="09E59060" w:rsidR="00F60E69" w:rsidRPr="00D518FF" w:rsidRDefault="00F60E69" w:rsidP="00F60E69">
            <w:pPr>
              <w:rPr>
                <w:rFonts w:ascii="Aptos" w:hAnsi="Aptos" w:cs="Arial"/>
                <w:sz w:val="16"/>
                <w:szCs w:val="16"/>
              </w:rPr>
            </w:pPr>
            <w:r w:rsidRPr="00D518FF">
              <w:rPr>
                <w:rFonts w:ascii="Aptos" w:hAnsi="Aptos" w:cs="Arial"/>
                <w:sz w:val="16"/>
                <w:szCs w:val="16"/>
              </w:rPr>
              <w:t>Quality criteria developed by the US Preventive Services Task Force (USPSTF)</w:t>
            </w:r>
          </w:p>
        </w:tc>
        <w:tc>
          <w:tcPr>
            <w:tcW w:w="960" w:type="dxa"/>
          </w:tcPr>
          <w:p w14:paraId="31F2FA03" w14:textId="7F691FC5"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1942" w:type="dxa"/>
          </w:tcPr>
          <w:p w14:paraId="516E1304" w14:textId="7EF4B330"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1176" w:type="dxa"/>
          </w:tcPr>
          <w:p w14:paraId="06DC56B3" w14:textId="0C8B2490" w:rsidR="00F60E69" w:rsidRPr="00D518FF" w:rsidRDefault="00F60E69" w:rsidP="00F60E69">
            <w:pPr>
              <w:rPr>
                <w:rFonts w:ascii="Aptos" w:hAnsi="Aptos" w:cs="Arial"/>
                <w:sz w:val="16"/>
                <w:szCs w:val="16"/>
              </w:rPr>
            </w:pPr>
            <w:r w:rsidRPr="00D518FF">
              <w:rPr>
                <w:rFonts w:ascii="Aptos" w:hAnsi="Aptos" w:cs="Arial"/>
                <w:sz w:val="16"/>
                <w:szCs w:val="16"/>
              </w:rPr>
              <w:t>NR</w:t>
            </w:r>
          </w:p>
        </w:tc>
      </w:tr>
      <w:tr w:rsidR="001F2487" w:rsidRPr="00D518FF" w14:paraId="4685AC5B" w14:textId="77777777" w:rsidTr="00F6089E">
        <w:trPr>
          <w:trHeight w:val="646"/>
        </w:trPr>
        <w:tc>
          <w:tcPr>
            <w:tcW w:w="864" w:type="dxa"/>
          </w:tcPr>
          <w:p w14:paraId="31E47194" w14:textId="0E56F0AE" w:rsidR="00F60E69" w:rsidRPr="00D518FF" w:rsidRDefault="00F60E69" w:rsidP="00F60E69">
            <w:pPr>
              <w:rPr>
                <w:rFonts w:ascii="Aptos" w:hAnsi="Aptos" w:cs="Arial"/>
                <w:sz w:val="16"/>
                <w:szCs w:val="16"/>
              </w:rPr>
            </w:pPr>
            <w:r w:rsidRPr="00D518FF">
              <w:rPr>
                <w:rFonts w:ascii="Aptos" w:hAnsi="Aptos" w:cs="Arial"/>
                <w:sz w:val="16"/>
                <w:szCs w:val="16"/>
              </w:rPr>
              <w:t>vonLuckner 2018</w:t>
            </w:r>
          </w:p>
        </w:tc>
        <w:tc>
          <w:tcPr>
            <w:tcW w:w="830" w:type="dxa"/>
          </w:tcPr>
          <w:p w14:paraId="23E60253" w14:textId="4BAC91B4" w:rsidR="00F60E69" w:rsidRPr="00D518FF" w:rsidRDefault="00F60E69" w:rsidP="00F60E69">
            <w:pPr>
              <w:rPr>
                <w:rFonts w:ascii="Aptos" w:hAnsi="Aptos" w:cs="Arial"/>
                <w:sz w:val="16"/>
                <w:szCs w:val="16"/>
              </w:rPr>
            </w:pPr>
            <w:r w:rsidRPr="00D518FF">
              <w:rPr>
                <w:rFonts w:ascii="Aptos" w:hAnsi="Aptos" w:cs="Arial"/>
                <w:sz w:val="16"/>
                <w:szCs w:val="16"/>
              </w:rPr>
              <w:t>Systematic Review</w:t>
            </w:r>
          </w:p>
        </w:tc>
        <w:tc>
          <w:tcPr>
            <w:tcW w:w="2124" w:type="dxa"/>
          </w:tcPr>
          <w:p w14:paraId="49F3EF89" w14:textId="6122B362" w:rsidR="00F60E69" w:rsidRPr="00D518FF" w:rsidRDefault="00F60E69" w:rsidP="00F60E69">
            <w:pPr>
              <w:rPr>
                <w:rFonts w:ascii="Aptos" w:hAnsi="Aptos" w:cs="Arial"/>
                <w:sz w:val="16"/>
                <w:szCs w:val="16"/>
              </w:rPr>
            </w:pPr>
            <w:r w:rsidRPr="00D518FF">
              <w:rPr>
                <w:rFonts w:ascii="Aptos" w:hAnsi="Aptos" w:cs="Arial"/>
                <w:sz w:val="16"/>
                <w:szCs w:val="16"/>
              </w:rPr>
              <w:t>To systematically evaluate the existing evidence base on magnesium in migraine prophylaxis.</w:t>
            </w:r>
          </w:p>
        </w:tc>
        <w:tc>
          <w:tcPr>
            <w:tcW w:w="927" w:type="dxa"/>
          </w:tcPr>
          <w:p w14:paraId="2E393C41" w14:textId="2FD7F4F4" w:rsidR="00F60E69" w:rsidRPr="00D518FF" w:rsidRDefault="00F60E69" w:rsidP="00F60E69">
            <w:pPr>
              <w:rPr>
                <w:rFonts w:ascii="Aptos" w:hAnsi="Aptos" w:cs="Arial"/>
                <w:sz w:val="16"/>
                <w:szCs w:val="16"/>
              </w:rPr>
            </w:pPr>
            <w:r w:rsidRPr="00D518FF">
              <w:rPr>
                <w:rFonts w:ascii="Aptos" w:hAnsi="Aptos" w:cs="Arial"/>
                <w:sz w:val="16"/>
                <w:szCs w:val="16"/>
              </w:rPr>
              <w:t>prospective, randomized, double blind, controlled trials</w:t>
            </w:r>
          </w:p>
        </w:tc>
        <w:tc>
          <w:tcPr>
            <w:tcW w:w="920" w:type="dxa"/>
          </w:tcPr>
          <w:p w14:paraId="64C94927" w14:textId="0ADD09EA"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851" w:type="dxa"/>
          </w:tcPr>
          <w:p w14:paraId="19083835" w14:textId="69D72682" w:rsidR="00F60E69" w:rsidRPr="00D518FF" w:rsidRDefault="00F60E69" w:rsidP="00F60E69">
            <w:pPr>
              <w:rPr>
                <w:rFonts w:ascii="Aptos" w:hAnsi="Aptos" w:cs="Arial"/>
                <w:sz w:val="16"/>
                <w:szCs w:val="16"/>
              </w:rPr>
            </w:pPr>
            <w:r w:rsidRPr="00D518FF">
              <w:rPr>
                <w:rFonts w:ascii="Aptos" w:hAnsi="Aptos" w:cs="Arial"/>
                <w:sz w:val="16"/>
                <w:szCs w:val="16"/>
              </w:rPr>
              <w:t>2</w:t>
            </w:r>
          </w:p>
        </w:tc>
        <w:tc>
          <w:tcPr>
            <w:tcW w:w="1207" w:type="dxa"/>
          </w:tcPr>
          <w:p w14:paraId="6B611754" w14:textId="46E05A23" w:rsidR="00F60E69" w:rsidRPr="00D518FF" w:rsidRDefault="00F60E69" w:rsidP="00F60E69">
            <w:pPr>
              <w:rPr>
                <w:rFonts w:ascii="Aptos" w:hAnsi="Aptos" w:cs="Arial"/>
                <w:sz w:val="16"/>
                <w:szCs w:val="16"/>
              </w:rPr>
            </w:pPr>
            <w:r w:rsidRPr="00D518FF">
              <w:rPr>
                <w:rFonts w:ascii="Aptos" w:hAnsi="Aptos" w:cs="Arial"/>
                <w:sz w:val="16"/>
                <w:szCs w:val="16"/>
              </w:rPr>
              <w:t>PubMed, EMBASE</w:t>
            </w:r>
          </w:p>
        </w:tc>
        <w:tc>
          <w:tcPr>
            <w:tcW w:w="614" w:type="dxa"/>
          </w:tcPr>
          <w:p w14:paraId="06C8D5B3" w14:textId="12A29896" w:rsidR="00F60E69" w:rsidRPr="00D518FF" w:rsidRDefault="00F60E69" w:rsidP="00F60E69">
            <w:pPr>
              <w:rPr>
                <w:rFonts w:ascii="Aptos" w:hAnsi="Aptos" w:cs="Arial"/>
                <w:sz w:val="16"/>
                <w:szCs w:val="16"/>
              </w:rPr>
            </w:pPr>
            <w:r w:rsidRPr="00D518FF">
              <w:rPr>
                <w:rFonts w:ascii="Aptos" w:hAnsi="Aptos" w:cs="Arial"/>
                <w:sz w:val="16"/>
                <w:szCs w:val="16"/>
              </w:rPr>
              <w:t>2016</w:t>
            </w:r>
          </w:p>
        </w:tc>
        <w:tc>
          <w:tcPr>
            <w:tcW w:w="901" w:type="dxa"/>
          </w:tcPr>
          <w:p w14:paraId="61BAE1F5" w14:textId="02C46346"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854" w:type="dxa"/>
          </w:tcPr>
          <w:p w14:paraId="597B5B1B" w14:textId="27EED173"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960" w:type="dxa"/>
          </w:tcPr>
          <w:p w14:paraId="6C62F23F" w14:textId="7C9D1ECF"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1942" w:type="dxa"/>
          </w:tcPr>
          <w:p w14:paraId="2AF45A1E" w14:textId="32B3EA5B" w:rsidR="00F60E69" w:rsidRPr="00D518FF" w:rsidRDefault="00F60E69" w:rsidP="00F60E69">
            <w:pPr>
              <w:rPr>
                <w:rFonts w:ascii="Aptos" w:hAnsi="Aptos" w:cs="Arial"/>
                <w:sz w:val="16"/>
                <w:szCs w:val="16"/>
              </w:rPr>
            </w:pPr>
            <w:r w:rsidRPr="00D518FF">
              <w:rPr>
                <w:rFonts w:ascii="Aptos" w:hAnsi="Aptos" w:cs="Arial"/>
                <w:sz w:val="16"/>
                <w:szCs w:val="16"/>
              </w:rPr>
              <w:t>The authors declare that there is no conflict of interest with regard to this work.</w:t>
            </w:r>
          </w:p>
        </w:tc>
        <w:tc>
          <w:tcPr>
            <w:tcW w:w="1176" w:type="dxa"/>
          </w:tcPr>
          <w:p w14:paraId="7B31F4B5" w14:textId="3B3261FA" w:rsidR="00F60E69" w:rsidRPr="00D518FF" w:rsidRDefault="00F60E69" w:rsidP="00F60E69">
            <w:pPr>
              <w:rPr>
                <w:rFonts w:ascii="Aptos" w:hAnsi="Aptos" w:cs="Arial"/>
                <w:sz w:val="16"/>
                <w:szCs w:val="16"/>
              </w:rPr>
            </w:pPr>
            <w:r w:rsidRPr="00D518FF">
              <w:rPr>
                <w:rFonts w:ascii="Aptos" w:hAnsi="Aptos" w:cs="Arial"/>
                <w:sz w:val="16"/>
                <w:szCs w:val="16"/>
              </w:rPr>
              <w:t>This research received no specific grant from any funding agency in the public, commercial, or not-for- profit sectors. Furthermore, no writing assistance was used.</w:t>
            </w:r>
          </w:p>
        </w:tc>
      </w:tr>
    </w:tbl>
    <w:p w14:paraId="228A0912" w14:textId="61500743" w:rsidR="002772C1" w:rsidRPr="00D518FF" w:rsidRDefault="002772C1" w:rsidP="00AA72BD">
      <w:pPr>
        <w:pStyle w:val="2024TABLEFOOTER"/>
        <w:spacing w:line="240" w:lineRule="auto"/>
        <w:rPr>
          <w:szCs w:val="16"/>
        </w:rPr>
      </w:pPr>
      <w:r w:rsidRPr="00D518FF">
        <w:rPr>
          <w:szCs w:val="16"/>
        </w:rPr>
        <w:t xml:space="preserve">Abbreviations: </w:t>
      </w:r>
      <w:r w:rsidR="002269D9" w:rsidRPr="00D518FF">
        <w:rPr>
          <w:rFonts w:cs="Calibri"/>
          <w:color w:val="000000"/>
          <w:szCs w:val="16"/>
        </w:rPr>
        <w:t>CENTRAL=Cochrane Central Register of Controlled Trials</w:t>
      </w:r>
      <w:r w:rsidR="002269D9" w:rsidRPr="00D518FF">
        <w:rPr>
          <w:szCs w:val="16"/>
        </w:rPr>
        <w:t xml:space="preserve">; </w:t>
      </w:r>
      <w:r w:rsidR="00A9261B" w:rsidRPr="00D518FF">
        <w:rPr>
          <w:szCs w:val="16"/>
        </w:rPr>
        <w:t xml:space="preserve">CINAHL=Cumulative Index of Nursing and Allied Health Literature; </w:t>
      </w:r>
      <w:r w:rsidR="002C0FBD" w:rsidRPr="00D518FF">
        <w:rPr>
          <w:szCs w:val="16"/>
        </w:rPr>
        <w:t xml:space="preserve">NR=Not reported; </w:t>
      </w:r>
      <w:r w:rsidR="004622EE" w:rsidRPr="00D518FF">
        <w:rPr>
          <w:szCs w:val="16"/>
        </w:rPr>
        <w:t>RCT</w:t>
      </w:r>
      <w:r w:rsidR="002C0FBD" w:rsidRPr="00D518FF">
        <w:rPr>
          <w:szCs w:val="16"/>
        </w:rPr>
        <w:t>=randomised controlled trial, GRADE=Grading of Recommendations Assessment, Development and Evaluation, QoL=quality of life</w:t>
      </w:r>
    </w:p>
    <w:p w14:paraId="248AAB04" w14:textId="77777777" w:rsidR="002772C1" w:rsidRPr="00D518FF" w:rsidRDefault="002772C1" w:rsidP="00AA72BD">
      <w:pPr>
        <w:pStyle w:val="Caption1"/>
        <w:spacing w:before="0" w:after="0"/>
        <w:rPr>
          <w:rFonts w:ascii="Aptos" w:hAnsi="Aptos"/>
          <w:b w:val="0"/>
          <w:bCs w:val="0"/>
          <w:sz w:val="16"/>
          <w:szCs w:val="16"/>
        </w:rPr>
      </w:pPr>
    </w:p>
    <w:p w14:paraId="76CF8A1F" w14:textId="77777777" w:rsidR="002772C1" w:rsidRPr="00D518FF" w:rsidRDefault="002772C1"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6940C0D9" w14:textId="77777777" w:rsidR="008D3070" w:rsidRPr="00D518FF" w:rsidRDefault="008D3070" w:rsidP="003F5774">
      <w:pPr>
        <w:pStyle w:val="ListParagraph"/>
        <w:numPr>
          <w:ilvl w:val="0"/>
          <w:numId w:val="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improvement in headache/migraine</w:t>
      </w:r>
    </w:p>
    <w:p w14:paraId="74332FFA" w14:textId="77777777" w:rsidR="008D3070" w:rsidRPr="00D518FF" w:rsidRDefault="008D3070" w:rsidP="003F5774">
      <w:pPr>
        <w:pStyle w:val="ListParagraph"/>
        <w:numPr>
          <w:ilvl w:val="0"/>
          <w:numId w:val="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 pain intensity</w:t>
      </w:r>
    </w:p>
    <w:p w14:paraId="6AC48048" w14:textId="77777777" w:rsidR="008D3070" w:rsidRPr="00D518FF" w:rsidRDefault="008D3070" w:rsidP="003F5774">
      <w:pPr>
        <w:pStyle w:val="ListParagraph"/>
        <w:numPr>
          <w:ilvl w:val="0"/>
          <w:numId w:val="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 pain frequency</w:t>
      </w:r>
    </w:p>
    <w:p w14:paraId="0F7A2ABE" w14:textId="77777777" w:rsidR="008D3070" w:rsidRPr="00D518FF" w:rsidRDefault="008D3070" w:rsidP="003F5774">
      <w:pPr>
        <w:pStyle w:val="ListParagraph"/>
        <w:numPr>
          <w:ilvl w:val="0"/>
          <w:numId w:val="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Headache/migraine</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associated symptoms (nausea and vomiting, photophobia and phonophobia, visual aura)</w:t>
      </w:r>
    </w:p>
    <w:p w14:paraId="5CC673BE" w14:textId="77777777" w:rsidR="008D3070" w:rsidRPr="00D518FF" w:rsidRDefault="008D3070" w:rsidP="003F5774">
      <w:pPr>
        <w:pStyle w:val="ListParagraph"/>
        <w:numPr>
          <w:ilvl w:val="0"/>
          <w:numId w:val="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QoL</w:t>
      </w:r>
    </w:p>
    <w:p w14:paraId="44532D1E" w14:textId="77777777" w:rsidR="008D3070" w:rsidRPr="00D518FF" w:rsidRDefault="008D3070" w:rsidP="003F5774">
      <w:pPr>
        <w:pStyle w:val="ListParagraph"/>
        <w:numPr>
          <w:ilvl w:val="0"/>
          <w:numId w:val="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w:t>
      </w:r>
    </w:p>
    <w:p w14:paraId="4E2B43E4" w14:textId="45453CFB" w:rsidR="008D3070" w:rsidRPr="00D518FF" w:rsidRDefault="008D3070" w:rsidP="003F5774">
      <w:pPr>
        <w:pStyle w:val="ListParagraph"/>
        <w:numPr>
          <w:ilvl w:val="0"/>
          <w:numId w:val="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Medication use</w:t>
      </w:r>
    </w:p>
    <w:p w14:paraId="405A03FB" w14:textId="2C5121DB" w:rsidR="008D3070" w:rsidRPr="00B53559" w:rsidRDefault="00751CFF" w:rsidP="00B53559">
      <w:pPr>
        <w:pStyle w:val="heading2numbers"/>
        <w:rPr>
          <w:rStyle w:val="Heading1Char"/>
          <w:rFonts w:ascii="Aptos" w:eastAsia="Calibri" w:hAnsi="Aptos"/>
          <w:bCs w:val="0"/>
          <w:color w:val="C00000"/>
          <w:sz w:val="28"/>
          <w:szCs w:val="26"/>
        </w:rPr>
      </w:pPr>
      <w:bookmarkStart w:id="166" w:name="_Toc185254654"/>
      <w:r w:rsidRPr="00B53559">
        <w:rPr>
          <w:rStyle w:val="Heading1Char"/>
          <w:rFonts w:ascii="Aptos" w:eastAsia="Calibri" w:hAnsi="Aptos"/>
          <w:bCs w:val="0"/>
          <w:color w:val="C00000"/>
          <w:sz w:val="28"/>
          <w:szCs w:val="26"/>
        </w:rPr>
        <w:t xml:space="preserve">Arthritis/Osteoarthritis, </w:t>
      </w:r>
      <w:r w:rsidR="00C16441" w:rsidRPr="00B53559">
        <w:rPr>
          <w:rStyle w:val="Heading1Char"/>
          <w:rFonts w:ascii="Aptos" w:eastAsia="Calibri" w:hAnsi="Aptos"/>
          <w:bCs w:val="0"/>
          <w:color w:val="C00000"/>
          <w:sz w:val="28"/>
          <w:szCs w:val="26"/>
        </w:rPr>
        <w:t>m</w:t>
      </w:r>
      <w:r w:rsidRPr="00B53559">
        <w:rPr>
          <w:rStyle w:val="Heading1Char"/>
          <w:rFonts w:ascii="Aptos" w:eastAsia="Calibri" w:hAnsi="Aptos"/>
          <w:bCs w:val="0"/>
          <w:color w:val="C00000"/>
          <w:sz w:val="28"/>
          <w:szCs w:val="26"/>
        </w:rPr>
        <w:t>agnesium</w:t>
      </w:r>
      <w:bookmarkEnd w:id="166"/>
    </w:p>
    <w:p w14:paraId="000E57E4" w14:textId="238EA8B0" w:rsidR="00FF3F59" w:rsidRPr="00D518FF" w:rsidRDefault="00345928" w:rsidP="004C6AA1">
      <w:pPr>
        <w:pStyle w:val="Caption"/>
        <w:spacing w:before="240"/>
        <w:rPr>
          <w:rFonts w:ascii="Aptos" w:hAnsi="Aptos"/>
        </w:rPr>
      </w:pPr>
      <w:bookmarkStart w:id="167" w:name="_Toc185254564"/>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18</w:t>
      </w:r>
      <w:r w:rsidR="00DC4767" w:rsidRPr="004C6AA1">
        <w:rPr>
          <w:rFonts w:ascii="Aptos" w:hAnsi="Aptos"/>
        </w:rPr>
        <w:fldChar w:fldCharType="end"/>
      </w:r>
      <w:r w:rsidR="00FF3F59" w:rsidRPr="00D518FF">
        <w:rPr>
          <w:rFonts w:ascii="Aptos" w:hAnsi="Aptos"/>
        </w:rPr>
        <w:t>. Citation details of included reviews – arthritis/osteoarthritis, magnesium (n=0)</w:t>
      </w:r>
      <w:bookmarkEnd w:id="167"/>
    </w:p>
    <w:tbl>
      <w:tblPr>
        <w:tblStyle w:val="TableGrid"/>
        <w:tblW w:w="0" w:type="auto"/>
        <w:tblLayout w:type="fixed"/>
        <w:tblCellMar>
          <w:top w:w="28" w:type="dxa"/>
          <w:left w:w="57" w:type="dxa"/>
          <w:bottom w:w="28" w:type="dxa"/>
          <w:right w:w="28" w:type="dxa"/>
        </w:tblCellMar>
        <w:tblLook w:val="04A0" w:firstRow="1" w:lastRow="0" w:firstColumn="1" w:lastColumn="0" w:noHBand="0" w:noVBand="1"/>
      </w:tblPr>
      <w:tblGrid>
        <w:gridCol w:w="1271"/>
        <w:gridCol w:w="3969"/>
        <w:gridCol w:w="2410"/>
        <w:gridCol w:w="567"/>
        <w:gridCol w:w="1559"/>
        <w:gridCol w:w="709"/>
        <w:gridCol w:w="709"/>
        <w:gridCol w:w="992"/>
        <w:gridCol w:w="1984"/>
      </w:tblGrid>
      <w:tr w:rsidR="00FF3F59" w:rsidRPr="00D518FF" w14:paraId="3E7A929A" w14:textId="77777777" w:rsidTr="00E77295">
        <w:trPr>
          <w:trHeight w:val="61"/>
          <w:tblHeader/>
        </w:trPr>
        <w:tc>
          <w:tcPr>
            <w:tcW w:w="1271" w:type="dxa"/>
            <w:shd w:val="clear" w:color="auto" w:fill="D9D9D9" w:themeFill="background1" w:themeFillShade="D9"/>
          </w:tcPr>
          <w:p w14:paraId="414E71F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Review ID</w:t>
            </w:r>
          </w:p>
        </w:tc>
        <w:tc>
          <w:tcPr>
            <w:tcW w:w="3969" w:type="dxa"/>
            <w:shd w:val="clear" w:color="auto" w:fill="D9D9D9" w:themeFill="background1" w:themeFillShade="D9"/>
            <w:noWrap/>
            <w:hideMark/>
          </w:tcPr>
          <w:p w14:paraId="7976C3A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Title</w:t>
            </w:r>
          </w:p>
        </w:tc>
        <w:tc>
          <w:tcPr>
            <w:tcW w:w="2410" w:type="dxa"/>
            <w:shd w:val="clear" w:color="auto" w:fill="D9D9D9" w:themeFill="background1" w:themeFillShade="D9"/>
            <w:noWrap/>
            <w:hideMark/>
          </w:tcPr>
          <w:p w14:paraId="5C3DE577"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4D98FECA"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Year</w:t>
            </w:r>
          </w:p>
        </w:tc>
        <w:tc>
          <w:tcPr>
            <w:tcW w:w="1559" w:type="dxa"/>
            <w:shd w:val="clear" w:color="auto" w:fill="D9D9D9" w:themeFill="background1" w:themeFillShade="D9"/>
            <w:noWrap/>
            <w:hideMark/>
          </w:tcPr>
          <w:p w14:paraId="01736F31"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447D5C2E"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Volume</w:t>
            </w:r>
          </w:p>
        </w:tc>
        <w:tc>
          <w:tcPr>
            <w:tcW w:w="709" w:type="dxa"/>
            <w:shd w:val="clear" w:color="auto" w:fill="D9D9D9" w:themeFill="background1" w:themeFillShade="D9"/>
            <w:noWrap/>
            <w:hideMark/>
          </w:tcPr>
          <w:p w14:paraId="18461F17"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Issue</w:t>
            </w:r>
          </w:p>
        </w:tc>
        <w:tc>
          <w:tcPr>
            <w:tcW w:w="992" w:type="dxa"/>
            <w:shd w:val="clear" w:color="auto" w:fill="D9D9D9" w:themeFill="background1" w:themeFillShade="D9"/>
            <w:noWrap/>
            <w:hideMark/>
          </w:tcPr>
          <w:p w14:paraId="55237425"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Pages</w:t>
            </w:r>
          </w:p>
        </w:tc>
        <w:tc>
          <w:tcPr>
            <w:tcW w:w="1984" w:type="dxa"/>
            <w:shd w:val="clear" w:color="auto" w:fill="D9D9D9" w:themeFill="background1" w:themeFillShade="D9"/>
            <w:noWrap/>
            <w:hideMark/>
          </w:tcPr>
          <w:p w14:paraId="4C2B9186" w14:textId="77777777" w:rsidR="00FF3F59" w:rsidRPr="00D518FF" w:rsidRDefault="00FF3F59">
            <w:pPr>
              <w:pStyle w:val="Caption1"/>
              <w:spacing w:before="0" w:after="0"/>
              <w:rPr>
                <w:rFonts w:ascii="Aptos" w:hAnsi="Aptos"/>
                <w:sz w:val="16"/>
                <w:szCs w:val="16"/>
              </w:rPr>
            </w:pPr>
            <w:r w:rsidRPr="00D518FF">
              <w:rPr>
                <w:rFonts w:ascii="Aptos" w:hAnsi="Aptos"/>
                <w:sz w:val="16"/>
                <w:szCs w:val="16"/>
              </w:rPr>
              <w:t>DOI</w:t>
            </w:r>
          </w:p>
        </w:tc>
      </w:tr>
      <w:tr w:rsidR="00FF3F59" w:rsidRPr="00D518FF" w14:paraId="4769A050" w14:textId="77777777" w:rsidTr="00E77295">
        <w:trPr>
          <w:trHeight w:val="55"/>
        </w:trPr>
        <w:tc>
          <w:tcPr>
            <w:tcW w:w="14170" w:type="dxa"/>
            <w:gridSpan w:val="9"/>
          </w:tcPr>
          <w:p w14:paraId="7F56FE60" w14:textId="08754735" w:rsidR="00FF3F59" w:rsidRPr="00D518FF" w:rsidRDefault="00FF3F59">
            <w:pPr>
              <w:rPr>
                <w:rFonts w:ascii="Aptos" w:hAnsi="Aptos" w:cs="Arial"/>
                <w:sz w:val="16"/>
                <w:szCs w:val="16"/>
              </w:rPr>
            </w:pPr>
            <w:r w:rsidRPr="00D518FF">
              <w:rPr>
                <w:rFonts w:ascii="Aptos" w:hAnsi="Aptos"/>
                <w:sz w:val="20"/>
                <w:szCs w:val="20"/>
              </w:rPr>
              <w:t>No reviews were identified for inclusion in the Overview</w:t>
            </w:r>
          </w:p>
        </w:tc>
      </w:tr>
    </w:tbl>
    <w:p w14:paraId="16ECCAD0" w14:textId="55E1A013" w:rsidR="00454E8D" w:rsidRPr="00B53559" w:rsidRDefault="00802916" w:rsidP="00B53559">
      <w:pPr>
        <w:pStyle w:val="heading2numbers"/>
        <w:rPr>
          <w:rStyle w:val="Heading1Char"/>
          <w:rFonts w:ascii="Aptos" w:eastAsia="Calibri" w:hAnsi="Aptos"/>
          <w:bCs w:val="0"/>
          <w:color w:val="C00000"/>
          <w:sz w:val="28"/>
          <w:szCs w:val="26"/>
        </w:rPr>
      </w:pPr>
      <w:bookmarkStart w:id="168" w:name="_Toc185254655"/>
      <w:r w:rsidRPr="00B53559">
        <w:rPr>
          <w:rStyle w:val="Heading1Char"/>
          <w:rFonts w:ascii="Aptos" w:eastAsia="Calibri" w:hAnsi="Aptos"/>
          <w:bCs w:val="0"/>
          <w:color w:val="C00000"/>
          <w:sz w:val="28"/>
          <w:szCs w:val="26"/>
        </w:rPr>
        <w:t xml:space="preserve">Hypertension, </w:t>
      </w:r>
      <w:r w:rsidR="00C16441" w:rsidRPr="00B53559">
        <w:rPr>
          <w:rStyle w:val="Heading1Char"/>
          <w:rFonts w:ascii="Aptos" w:eastAsia="Calibri" w:hAnsi="Aptos"/>
          <w:bCs w:val="0"/>
          <w:color w:val="C00000"/>
          <w:sz w:val="28"/>
          <w:szCs w:val="26"/>
        </w:rPr>
        <w:t>o</w:t>
      </w:r>
      <w:r w:rsidRPr="00B53559">
        <w:rPr>
          <w:rStyle w:val="Heading1Char"/>
          <w:rFonts w:ascii="Aptos" w:eastAsia="Calibri" w:hAnsi="Aptos"/>
          <w:bCs w:val="0"/>
          <w:color w:val="C00000"/>
          <w:sz w:val="28"/>
          <w:szCs w:val="26"/>
        </w:rPr>
        <w:t>mega-3</w:t>
      </w:r>
      <w:r w:rsidR="0021231C">
        <w:rPr>
          <w:rStyle w:val="Heading1Char"/>
          <w:rFonts w:ascii="Aptos" w:eastAsia="Calibri" w:hAnsi="Aptos"/>
          <w:bCs w:val="0"/>
          <w:color w:val="C00000"/>
          <w:sz w:val="28"/>
          <w:szCs w:val="26"/>
        </w:rPr>
        <w:t xml:space="preserve"> </w:t>
      </w:r>
      <w:r w:rsidR="0021231C">
        <w:t>fatty acids</w:t>
      </w:r>
      <w:bookmarkEnd w:id="168"/>
    </w:p>
    <w:p w14:paraId="7498A94B" w14:textId="72B8A368" w:rsidR="00A740A6" w:rsidRPr="00D518FF" w:rsidRDefault="00345928" w:rsidP="004C6AA1">
      <w:pPr>
        <w:pStyle w:val="Caption"/>
        <w:spacing w:before="240"/>
        <w:rPr>
          <w:rFonts w:ascii="Aptos" w:hAnsi="Aptos"/>
        </w:rPr>
      </w:pPr>
      <w:bookmarkStart w:id="169" w:name="_Toc185254565"/>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19</w:t>
      </w:r>
      <w:r w:rsidR="00DC4767" w:rsidRPr="004C6AA1">
        <w:rPr>
          <w:rFonts w:ascii="Aptos" w:hAnsi="Aptos"/>
        </w:rPr>
        <w:fldChar w:fldCharType="end"/>
      </w:r>
      <w:r w:rsidR="00A740A6" w:rsidRPr="00D518FF">
        <w:rPr>
          <w:rFonts w:ascii="Aptos" w:hAnsi="Aptos"/>
        </w:rPr>
        <w:t>. Citation details of included reviews – hypertension, omega-3</w:t>
      </w:r>
      <w:r w:rsidR="0021231C">
        <w:rPr>
          <w:rFonts w:ascii="Aptos" w:hAnsi="Aptos"/>
        </w:rPr>
        <w:t xml:space="preserve"> </w:t>
      </w:r>
      <w:r w:rsidR="0021231C">
        <w:t>fatty acids</w:t>
      </w:r>
      <w:r w:rsidR="00A740A6" w:rsidRPr="00D518FF">
        <w:rPr>
          <w:rFonts w:ascii="Aptos" w:hAnsi="Aptos"/>
        </w:rPr>
        <w:t xml:space="preserve"> (n=3)</w:t>
      </w:r>
      <w:bookmarkEnd w:id="169"/>
    </w:p>
    <w:tbl>
      <w:tblPr>
        <w:tblStyle w:val="TableGrid"/>
        <w:tblW w:w="14170" w:type="dxa"/>
        <w:tblLayout w:type="fixed"/>
        <w:tblCellMar>
          <w:top w:w="28" w:type="dxa"/>
          <w:left w:w="57" w:type="dxa"/>
          <w:bottom w:w="28" w:type="dxa"/>
          <w:right w:w="28" w:type="dxa"/>
        </w:tblCellMar>
        <w:tblLook w:val="04A0" w:firstRow="1" w:lastRow="0" w:firstColumn="1" w:lastColumn="0" w:noHBand="0" w:noVBand="1"/>
      </w:tblPr>
      <w:tblGrid>
        <w:gridCol w:w="846"/>
        <w:gridCol w:w="4111"/>
        <w:gridCol w:w="2976"/>
        <w:gridCol w:w="567"/>
        <w:gridCol w:w="1418"/>
        <w:gridCol w:w="709"/>
        <w:gridCol w:w="567"/>
        <w:gridCol w:w="992"/>
        <w:gridCol w:w="1984"/>
      </w:tblGrid>
      <w:tr w:rsidR="00A740A6" w:rsidRPr="00D518FF" w14:paraId="2DE8DD6E" w14:textId="77777777" w:rsidTr="00F6089E">
        <w:trPr>
          <w:trHeight w:val="61"/>
          <w:tblHeader/>
        </w:trPr>
        <w:tc>
          <w:tcPr>
            <w:tcW w:w="846" w:type="dxa"/>
            <w:shd w:val="clear" w:color="auto" w:fill="D9D9D9" w:themeFill="background1" w:themeFillShade="D9"/>
          </w:tcPr>
          <w:p w14:paraId="1FA3A54C"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Review ID</w:t>
            </w:r>
          </w:p>
        </w:tc>
        <w:tc>
          <w:tcPr>
            <w:tcW w:w="4111" w:type="dxa"/>
            <w:shd w:val="clear" w:color="auto" w:fill="D9D9D9" w:themeFill="background1" w:themeFillShade="D9"/>
            <w:noWrap/>
            <w:hideMark/>
          </w:tcPr>
          <w:p w14:paraId="6409229C"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Title</w:t>
            </w:r>
          </w:p>
        </w:tc>
        <w:tc>
          <w:tcPr>
            <w:tcW w:w="2976" w:type="dxa"/>
            <w:shd w:val="clear" w:color="auto" w:fill="D9D9D9" w:themeFill="background1" w:themeFillShade="D9"/>
            <w:noWrap/>
            <w:hideMark/>
          </w:tcPr>
          <w:p w14:paraId="4D8197E2"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7FAC9170"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Year</w:t>
            </w:r>
          </w:p>
        </w:tc>
        <w:tc>
          <w:tcPr>
            <w:tcW w:w="1418" w:type="dxa"/>
            <w:shd w:val="clear" w:color="auto" w:fill="D9D9D9" w:themeFill="background1" w:themeFillShade="D9"/>
            <w:noWrap/>
            <w:hideMark/>
          </w:tcPr>
          <w:p w14:paraId="1A547BD0"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361E936F"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Volume</w:t>
            </w:r>
          </w:p>
        </w:tc>
        <w:tc>
          <w:tcPr>
            <w:tcW w:w="567" w:type="dxa"/>
            <w:shd w:val="clear" w:color="auto" w:fill="D9D9D9" w:themeFill="background1" w:themeFillShade="D9"/>
            <w:noWrap/>
            <w:hideMark/>
          </w:tcPr>
          <w:p w14:paraId="4E0ADDFE"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Issue</w:t>
            </w:r>
          </w:p>
        </w:tc>
        <w:tc>
          <w:tcPr>
            <w:tcW w:w="992" w:type="dxa"/>
            <w:shd w:val="clear" w:color="auto" w:fill="D9D9D9" w:themeFill="background1" w:themeFillShade="D9"/>
            <w:noWrap/>
            <w:hideMark/>
          </w:tcPr>
          <w:p w14:paraId="11F33CDB"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Pages</w:t>
            </w:r>
          </w:p>
        </w:tc>
        <w:tc>
          <w:tcPr>
            <w:tcW w:w="1984" w:type="dxa"/>
            <w:shd w:val="clear" w:color="auto" w:fill="D9D9D9" w:themeFill="background1" w:themeFillShade="D9"/>
            <w:noWrap/>
            <w:hideMark/>
          </w:tcPr>
          <w:p w14:paraId="3B726065"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DOI</w:t>
            </w:r>
          </w:p>
        </w:tc>
      </w:tr>
      <w:tr w:rsidR="00A740A6" w:rsidRPr="00D518FF" w14:paraId="0209459A" w14:textId="77777777" w:rsidTr="00A6108F">
        <w:trPr>
          <w:trHeight w:val="55"/>
        </w:trPr>
        <w:tc>
          <w:tcPr>
            <w:tcW w:w="846" w:type="dxa"/>
            <w:shd w:val="clear" w:color="auto" w:fill="EFFFE9"/>
          </w:tcPr>
          <w:p w14:paraId="59839D86" w14:textId="77777777" w:rsidR="00A740A6" w:rsidRPr="00D518FF" w:rsidRDefault="00A740A6">
            <w:pPr>
              <w:rPr>
                <w:rFonts w:ascii="Aptos" w:hAnsi="Aptos" w:cs="Arial"/>
                <w:sz w:val="16"/>
                <w:szCs w:val="16"/>
              </w:rPr>
            </w:pPr>
            <w:r w:rsidRPr="00D518FF">
              <w:rPr>
                <w:rFonts w:ascii="Aptos" w:hAnsi="Aptos" w:cs="Arial"/>
                <w:sz w:val="16"/>
                <w:szCs w:val="16"/>
              </w:rPr>
              <w:t>Campbell 2013</w:t>
            </w:r>
          </w:p>
        </w:tc>
        <w:tc>
          <w:tcPr>
            <w:tcW w:w="4111" w:type="dxa"/>
            <w:shd w:val="clear" w:color="auto" w:fill="EFFFE9"/>
          </w:tcPr>
          <w:p w14:paraId="293F1258" w14:textId="77777777" w:rsidR="00A740A6" w:rsidRPr="00D518FF" w:rsidRDefault="00A740A6">
            <w:pPr>
              <w:rPr>
                <w:rFonts w:ascii="Aptos" w:hAnsi="Aptos" w:cs="Arial"/>
                <w:sz w:val="16"/>
                <w:szCs w:val="16"/>
              </w:rPr>
            </w:pPr>
            <w:r w:rsidRPr="00D518FF">
              <w:rPr>
                <w:rFonts w:ascii="Aptos" w:hAnsi="Aptos" w:cs="Arial"/>
                <w:sz w:val="16"/>
                <w:szCs w:val="16"/>
              </w:rPr>
              <w:t>A systematic review of fish-oil supplements for the prevention and treatment of hypertension</w:t>
            </w:r>
          </w:p>
        </w:tc>
        <w:tc>
          <w:tcPr>
            <w:tcW w:w="2976" w:type="dxa"/>
            <w:shd w:val="clear" w:color="auto" w:fill="EFFFE9"/>
          </w:tcPr>
          <w:p w14:paraId="73AF8CB0" w14:textId="77777777" w:rsidR="00A740A6" w:rsidRPr="00D518FF" w:rsidRDefault="00A740A6">
            <w:pPr>
              <w:rPr>
                <w:rFonts w:ascii="Aptos" w:hAnsi="Aptos" w:cs="Arial"/>
                <w:sz w:val="16"/>
                <w:szCs w:val="16"/>
              </w:rPr>
            </w:pPr>
            <w:r w:rsidRPr="00D518FF">
              <w:rPr>
                <w:rFonts w:ascii="Aptos" w:hAnsi="Aptos" w:cs="Arial"/>
                <w:sz w:val="16"/>
                <w:szCs w:val="16"/>
              </w:rPr>
              <w:t>Campbell, F.; Dickinson, H. O.; Critchley, J. A.; Ford, G. A.; Bradburn, M.</w:t>
            </w:r>
          </w:p>
        </w:tc>
        <w:tc>
          <w:tcPr>
            <w:tcW w:w="567" w:type="dxa"/>
            <w:shd w:val="clear" w:color="auto" w:fill="EFFFE9"/>
          </w:tcPr>
          <w:p w14:paraId="30B52A29" w14:textId="77777777" w:rsidR="00A740A6" w:rsidRPr="00D518FF" w:rsidRDefault="00A740A6">
            <w:pPr>
              <w:rPr>
                <w:rFonts w:ascii="Aptos" w:hAnsi="Aptos" w:cs="Arial"/>
                <w:sz w:val="16"/>
                <w:szCs w:val="16"/>
              </w:rPr>
            </w:pPr>
            <w:r w:rsidRPr="00D518FF">
              <w:rPr>
                <w:rFonts w:ascii="Aptos" w:hAnsi="Aptos" w:cs="Arial"/>
                <w:sz w:val="16"/>
                <w:szCs w:val="16"/>
              </w:rPr>
              <w:t>2013</w:t>
            </w:r>
          </w:p>
        </w:tc>
        <w:tc>
          <w:tcPr>
            <w:tcW w:w="1418" w:type="dxa"/>
            <w:shd w:val="clear" w:color="auto" w:fill="EFFFE9"/>
          </w:tcPr>
          <w:p w14:paraId="311F21DD" w14:textId="77777777" w:rsidR="00A740A6" w:rsidRPr="00D518FF" w:rsidRDefault="00A740A6">
            <w:pPr>
              <w:rPr>
                <w:rFonts w:ascii="Aptos" w:hAnsi="Aptos" w:cs="Arial"/>
                <w:sz w:val="16"/>
                <w:szCs w:val="16"/>
              </w:rPr>
            </w:pPr>
            <w:r w:rsidRPr="00D518FF">
              <w:rPr>
                <w:rFonts w:ascii="Aptos" w:hAnsi="Aptos" w:cs="Arial"/>
                <w:sz w:val="16"/>
                <w:szCs w:val="16"/>
              </w:rPr>
              <w:t>Eur J Prev Cardiol</w:t>
            </w:r>
          </w:p>
        </w:tc>
        <w:tc>
          <w:tcPr>
            <w:tcW w:w="709" w:type="dxa"/>
            <w:shd w:val="clear" w:color="auto" w:fill="EFFFE9"/>
          </w:tcPr>
          <w:p w14:paraId="1262F341" w14:textId="77777777" w:rsidR="00A740A6" w:rsidRPr="00D518FF" w:rsidRDefault="00A740A6">
            <w:pPr>
              <w:rPr>
                <w:rFonts w:ascii="Aptos" w:hAnsi="Aptos" w:cs="Arial"/>
                <w:sz w:val="16"/>
                <w:szCs w:val="16"/>
              </w:rPr>
            </w:pPr>
            <w:r w:rsidRPr="00D518FF">
              <w:rPr>
                <w:rFonts w:ascii="Aptos" w:hAnsi="Aptos" w:cs="Arial"/>
                <w:sz w:val="16"/>
                <w:szCs w:val="16"/>
              </w:rPr>
              <w:t>20</w:t>
            </w:r>
          </w:p>
        </w:tc>
        <w:tc>
          <w:tcPr>
            <w:tcW w:w="567" w:type="dxa"/>
            <w:shd w:val="clear" w:color="auto" w:fill="EFFFE9"/>
          </w:tcPr>
          <w:p w14:paraId="791AC187" w14:textId="77777777" w:rsidR="00A740A6" w:rsidRPr="00D518FF" w:rsidRDefault="00A740A6">
            <w:pPr>
              <w:rPr>
                <w:rFonts w:ascii="Aptos" w:hAnsi="Aptos" w:cs="Arial"/>
                <w:sz w:val="16"/>
                <w:szCs w:val="16"/>
              </w:rPr>
            </w:pPr>
            <w:r w:rsidRPr="00D518FF">
              <w:rPr>
                <w:rFonts w:ascii="Aptos" w:hAnsi="Aptos" w:cs="Arial"/>
                <w:sz w:val="16"/>
                <w:szCs w:val="16"/>
              </w:rPr>
              <w:t>1</w:t>
            </w:r>
          </w:p>
        </w:tc>
        <w:tc>
          <w:tcPr>
            <w:tcW w:w="992" w:type="dxa"/>
            <w:shd w:val="clear" w:color="auto" w:fill="EFFFE9"/>
          </w:tcPr>
          <w:p w14:paraId="127F4BBC" w14:textId="77777777" w:rsidR="00A740A6" w:rsidRPr="00D518FF" w:rsidRDefault="00A740A6">
            <w:pPr>
              <w:rPr>
                <w:rFonts w:ascii="Aptos" w:hAnsi="Aptos" w:cs="Arial"/>
                <w:sz w:val="16"/>
                <w:szCs w:val="16"/>
              </w:rPr>
            </w:pPr>
            <w:r w:rsidRPr="00D518FF">
              <w:rPr>
                <w:rFonts w:ascii="Aptos" w:hAnsi="Aptos" w:cs="Arial"/>
                <w:sz w:val="16"/>
                <w:szCs w:val="16"/>
              </w:rPr>
              <w:t>107-20</w:t>
            </w:r>
          </w:p>
        </w:tc>
        <w:tc>
          <w:tcPr>
            <w:tcW w:w="1984" w:type="dxa"/>
            <w:shd w:val="clear" w:color="auto" w:fill="EFFFE9"/>
          </w:tcPr>
          <w:p w14:paraId="38893028" w14:textId="77777777" w:rsidR="00A740A6" w:rsidRPr="00D518FF" w:rsidRDefault="00A740A6">
            <w:pPr>
              <w:rPr>
                <w:rFonts w:ascii="Aptos" w:hAnsi="Aptos" w:cs="Arial"/>
                <w:sz w:val="16"/>
                <w:szCs w:val="16"/>
              </w:rPr>
            </w:pPr>
            <w:r w:rsidRPr="00D518FF">
              <w:rPr>
                <w:rFonts w:ascii="Aptos" w:hAnsi="Aptos" w:cs="Arial"/>
                <w:sz w:val="16"/>
                <w:szCs w:val="16"/>
              </w:rPr>
              <w:t>10.1177/2047487312437056</w:t>
            </w:r>
          </w:p>
        </w:tc>
      </w:tr>
      <w:tr w:rsidR="00A740A6" w:rsidRPr="00D518FF" w14:paraId="3CECA8F8" w14:textId="77777777" w:rsidTr="00F6089E">
        <w:trPr>
          <w:trHeight w:val="55"/>
        </w:trPr>
        <w:tc>
          <w:tcPr>
            <w:tcW w:w="846" w:type="dxa"/>
          </w:tcPr>
          <w:p w14:paraId="38BFDAF8" w14:textId="77777777" w:rsidR="00A740A6" w:rsidRPr="00D518FF" w:rsidRDefault="00A740A6">
            <w:pPr>
              <w:rPr>
                <w:rFonts w:ascii="Aptos" w:hAnsi="Aptos" w:cs="Arial"/>
                <w:sz w:val="16"/>
                <w:szCs w:val="16"/>
              </w:rPr>
            </w:pPr>
            <w:r w:rsidRPr="00D518FF">
              <w:rPr>
                <w:rFonts w:ascii="Aptos" w:hAnsi="Aptos" w:cs="Arial"/>
                <w:sz w:val="16"/>
                <w:szCs w:val="16"/>
              </w:rPr>
              <w:t>Guo 2019</w:t>
            </w:r>
          </w:p>
        </w:tc>
        <w:tc>
          <w:tcPr>
            <w:tcW w:w="4111" w:type="dxa"/>
          </w:tcPr>
          <w:p w14:paraId="33403483" w14:textId="77777777" w:rsidR="00A740A6" w:rsidRPr="00D518FF" w:rsidRDefault="00A740A6">
            <w:pPr>
              <w:rPr>
                <w:rFonts w:ascii="Aptos" w:hAnsi="Aptos" w:cs="Arial"/>
                <w:sz w:val="16"/>
                <w:szCs w:val="16"/>
              </w:rPr>
            </w:pPr>
            <w:r w:rsidRPr="00D518FF">
              <w:rPr>
                <w:rFonts w:ascii="Aptos" w:hAnsi="Aptos" w:cs="Arial"/>
                <w:sz w:val="16"/>
                <w:szCs w:val="16"/>
              </w:rPr>
              <w:t>Effects of EPA and DHA on blood pressure and inflammatory factors: a meta-analysis of randomized controlled trials</w:t>
            </w:r>
          </w:p>
        </w:tc>
        <w:tc>
          <w:tcPr>
            <w:tcW w:w="2976" w:type="dxa"/>
          </w:tcPr>
          <w:p w14:paraId="412B5CF5" w14:textId="77777777" w:rsidR="00A740A6" w:rsidRPr="00D518FF" w:rsidRDefault="00A740A6">
            <w:pPr>
              <w:rPr>
                <w:rFonts w:ascii="Aptos" w:hAnsi="Aptos" w:cs="Arial"/>
                <w:sz w:val="16"/>
                <w:szCs w:val="16"/>
              </w:rPr>
            </w:pPr>
            <w:r w:rsidRPr="00D518FF">
              <w:rPr>
                <w:rFonts w:ascii="Aptos" w:hAnsi="Aptos" w:cs="Arial"/>
                <w:sz w:val="16"/>
                <w:szCs w:val="16"/>
              </w:rPr>
              <w:t>Guo, X. F.; Li, K. L.; Li, J. M.; Li, D.</w:t>
            </w:r>
          </w:p>
        </w:tc>
        <w:tc>
          <w:tcPr>
            <w:tcW w:w="567" w:type="dxa"/>
          </w:tcPr>
          <w:p w14:paraId="3799F4E7" w14:textId="77777777" w:rsidR="00A740A6" w:rsidRPr="00D518FF" w:rsidRDefault="00A740A6">
            <w:pPr>
              <w:rPr>
                <w:rFonts w:ascii="Aptos" w:hAnsi="Aptos" w:cs="Arial"/>
                <w:sz w:val="16"/>
                <w:szCs w:val="16"/>
              </w:rPr>
            </w:pPr>
            <w:r w:rsidRPr="00D518FF">
              <w:rPr>
                <w:rFonts w:ascii="Aptos" w:hAnsi="Aptos" w:cs="Arial"/>
                <w:sz w:val="16"/>
                <w:szCs w:val="16"/>
              </w:rPr>
              <w:t>2019</w:t>
            </w:r>
          </w:p>
        </w:tc>
        <w:tc>
          <w:tcPr>
            <w:tcW w:w="1418" w:type="dxa"/>
          </w:tcPr>
          <w:p w14:paraId="285509DA" w14:textId="77777777" w:rsidR="00A740A6" w:rsidRPr="00D518FF" w:rsidRDefault="00A740A6">
            <w:pPr>
              <w:rPr>
                <w:rFonts w:ascii="Aptos" w:hAnsi="Aptos" w:cs="Arial"/>
                <w:sz w:val="16"/>
                <w:szCs w:val="16"/>
              </w:rPr>
            </w:pPr>
            <w:r w:rsidRPr="00D518FF">
              <w:rPr>
                <w:rFonts w:ascii="Aptos" w:hAnsi="Aptos" w:cs="Arial"/>
                <w:sz w:val="16"/>
                <w:szCs w:val="16"/>
              </w:rPr>
              <w:t>Critical reviews in food science and nutrition</w:t>
            </w:r>
          </w:p>
        </w:tc>
        <w:tc>
          <w:tcPr>
            <w:tcW w:w="709" w:type="dxa"/>
          </w:tcPr>
          <w:p w14:paraId="6167B20E" w14:textId="77777777" w:rsidR="00A740A6" w:rsidRPr="00D518FF" w:rsidRDefault="00A740A6">
            <w:pPr>
              <w:rPr>
                <w:rFonts w:ascii="Aptos" w:hAnsi="Aptos" w:cs="Arial"/>
                <w:sz w:val="16"/>
                <w:szCs w:val="16"/>
              </w:rPr>
            </w:pPr>
            <w:r w:rsidRPr="00D518FF">
              <w:rPr>
                <w:rFonts w:ascii="Aptos" w:hAnsi="Aptos" w:cs="Arial"/>
                <w:sz w:val="16"/>
                <w:szCs w:val="16"/>
              </w:rPr>
              <w:t>59</w:t>
            </w:r>
          </w:p>
        </w:tc>
        <w:tc>
          <w:tcPr>
            <w:tcW w:w="567" w:type="dxa"/>
          </w:tcPr>
          <w:p w14:paraId="6226B653" w14:textId="77777777" w:rsidR="00A740A6" w:rsidRPr="00D518FF" w:rsidRDefault="00A740A6">
            <w:pPr>
              <w:rPr>
                <w:rFonts w:ascii="Aptos" w:hAnsi="Aptos" w:cs="Arial"/>
                <w:sz w:val="16"/>
                <w:szCs w:val="16"/>
              </w:rPr>
            </w:pPr>
            <w:r w:rsidRPr="00D518FF">
              <w:rPr>
                <w:rFonts w:ascii="Aptos" w:hAnsi="Aptos" w:cs="Arial"/>
                <w:sz w:val="16"/>
                <w:szCs w:val="16"/>
              </w:rPr>
              <w:t>20</w:t>
            </w:r>
          </w:p>
        </w:tc>
        <w:tc>
          <w:tcPr>
            <w:tcW w:w="992" w:type="dxa"/>
          </w:tcPr>
          <w:p w14:paraId="022D75EF" w14:textId="77777777" w:rsidR="00A740A6" w:rsidRPr="00D518FF" w:rsidRDefault="00A740A6">
            <w:pPr>
              <w:rPr>
                <w:rFonts w:ascii="Aptos" w:hAnsi="Aptos" w:cs="Arial"/>
                <w:sz w:val="16"/>
                <w:szCs w:val="16"/>
              </w:rPr>
            </w:pPr>
            <w:r w:rsidRPr="00D518FF">
              <w:rPr>
                <w:rFonts w:ascii="Aptos" w:hAnsi="Aptos" w:cs="Arial"/>
                <w:sz w:val="16"/>
                <w:szCs w:val="16"/>
              </w:rPr>
              <w:t>3380-3393</w:t>
            </w:r>
          </w:p>
        </w:tc>
        <w:tc>
          <w:tcPr>
            <w:tcW w:w="1984" w:type="dxa"/>
          </w:tcPr>
          <w:p w14:paraId="2511F4E5" w14:textId="77777777" w:rsidR="00A740A6" w:rsidRPr="00D518FF" w:rsidRDefault="00A740A6">
            <w:pPr>
              <w:rPr>
                <w:rFonts w:ascii="Aptos" w:hAnsi="Aptos" w:cs="Arial"/>
                <w:sz w:val="16"/>
                <w:szCs w:val="16"/>
              </w:rPr>
            </w:pPr>
            <w:r w:rsidRPr="00D518FF">
              <w:rPr>
                <w:rFonts w:ascii="Aptos" w:hAnsi="Aptos" w:cs="Arial"/>
                <w:sz w:val="16"/>
                <w:szCs w:val="16"/>
              </w:rPr>
              <w:t>https://dx.doi.org/10.1080/10408398.2018.1492901</w:t>
            </w:r>
          </w:p>
        </w:tc>
      </w:tr>
      <w:tr w:rsidR="00A740A6" w:rsidRPr="00D518FF" w14:paraId="7DBA63F2" w14:textId="77777777" w:rsidTr="00F6089E">
        <w:trPr>
          <w:trHeight w:val="55"/>
        </w:trPr>
        <w:tc>
          <w:tcPr>
            <w:tcW w:w="846" w:type="dxa"/>
          </w:tcPr>
          <w:p w14:paraId="5E1B1047" w14:textId="77777777" w:rsidR="00A740A6" w:rsidRPr="00D518FF" w:rsidRDefault="00A740A6">
            <w:pPr>
              <w:rPr>
                <w:rFonts w:ascii="Aptos" w:hAnsi="Aptos" w:cs="Arial"/>
                <w:sz w:val="16"/>
                <w:szCs w:val="16"/>
              </w:rPr>
            </w:pPr>
            <w:r w:rsidRPr="00D518FF">
              <w:rPr>
                <w:rFonts w:ascii="Aptos" w:hAnsi="Aptos" w:cs="Arial"/>
                <w:sz w:val="16"/>
                <w:szCs w:val="16"/>
              </w:rPr>
              <w:t>Radack 1989</w:t>
            </w:r>
          </w:p>
        </w:tc>
        <w:tc>
          <w:tcPr>
            <w:tcW w:w="4111" w:type="dxa"/>
          </w:tcPr>
          <w:p w14:paraId="4F4C59FF" w14:textId="77777777" w:rsidR="00A740A6" w:rsidRPr="00D518FF" w:rsidRDefault="00A740A6">
            <w:pPr>
              <w:rPr>
                <w:rFonts w:ascii="Aptos" w:hAnsi="Aptos" w:cs="Arial"/>
                <w:sz w:val="16"/>
                <w:szCs w:val="16"/>
              </w:rPr>
            </w:pPr>
            <w:r w:rsidRPr="00D518FF">
              <w:rPr>
                <w:rFonts w:ascii="Aptos" w:hAnsi="Aptos" w:cs="Arial"/>
                <w:sz w:val="16"/>
                <w:szCs w:val="16"/>
              </w:rPr>
              <w:t>The effects of omega-3 polyunsaturated fatty acids on blood pressure: a methodologic analysis of the evidence</w:t>
            </w:r>
          </w:p>
        </w:tc>
        <w:tc>
          <w:tcPr>
            <w:tcW w:w="2976" w:type="dxa"/>
          </w:tcPr>
          <w:p w14:paraId="3F255C2F" w14:textId="77777777" w:rsidR="00A740A6" w:rsidRPr="00D518FF" w:rsidRDefault="00A740A6">
            <w:pPr>
              <w:rPr>
                <w:rFonts w:ascii="Aptos" w:hAnsi="Aptos" w:cs="Arial"/>
                <w:sz w:val="16"/>
                <w:szCs w:val="16"/>
              </w:rPr>
            </w:pPr>
            <w:r w:rsidRPr="00D518FF">
              <w:rPr>
                <w:rFonts w:ascii="Aptos" w:hAnsi="Aptos" w:cs="Arial"/>
                <w:sz w:val="16"/>
                <w:szCs w:val="16"/>
              </w:rPr>
              <w:t>Radack, K.; Deck, C.</w:t>
            </w:r>
          </w:p>
        </w:tc>
        <w:tc>
          <w:tcPr>
            <w:tcW w:w="567" w:type="dxa"/>
          </w:tcPr>
          <w:p w14:paraId="174E5B08" w14:textId="77777777" w:rsidR="00A740A6" w:rsidRPr="00D518FF" w:rsidRDefault="00A740A6">
            <w:pPr>
              <w:rPr>
                <w:rFonts w:ascii="Aptos" w:hAnsi="Aptos" w:cs="Arial"/>
                <w:sz w:val="16"/>
                <w:szCs w:val="16"/>
              </w:rPr>
            </w:pPr>
            <w:r w:rsidRPr="00D518FF">
              <w:rPr>
                <w:rFonts w:ascii="Aptos" w:hAnsi="Aptos" w:cs="Arial"/>
                <w:sz w:val="16"/>
                <w:szCs w:val="16"/>
              </w:rPr>
              <w:t>1989</w:t>
            </w:r>
          </w:p>
        </w:tc>
        <w:tc>
          <w:tcPr>
            <w:tcW w:w="1418" w:type="dxa"/>
          </w:tcPr>
          <w:p w14:paraId="34070139" w14:textId="77777777" w:rsidR="00A740A6" w:rsidRPr="00D518FF" w:rsidRDefault="00A740A6">
            <w:pPr>
              <w:rPr>
                <w:rFonts w:ascii="Aptos" w:hAnsi="Aptos" w:cs="Arial"/>
                <w:sz w:val="16"/>
                <w:szCs w:val="16"/>
              </w:rPr>
            </w:pPr>
            <w:r w:rsidRPr="00D518FF">
              <w:rPr>
                <w:rFonts w:ascii="Aptos" w:hAnsi="Aptos" w:cs="Arial"/>
                <w:sz w:val="16"/>
                <w:szCs w:val="16"/>
              </w:rPr>
              <w:t>Journal of the American College of Nutrition</w:t>
            </w:r>
          </w:p>
        </w:tc>
        <w:tc>
          <w:tcPr>
            <w:tcW w:w="709" w:type="dxa"/>
          </w:tcPr>
          <w:p w14:paraId="0BC6ADD8" w14:textId="77777777" w:rsidR="00A740A6" w:rsidRPr="00D518FF" w:rsidRDefault="00A740A6">
            <w:pPr>
              <w:rPr>
                <w:rFonts w:ascii="Aptos" w:hAnsi="Aptos" w:cs="Arial"/>
                <w:sz w:val="16"/>
                <w:szCs w:val="16"/>
              </w:rPr>
            </w:pPr>
            <w:r w:rsidRPr="00D518FF">
              <w:rPr>
                <w:rFonts w:ascii="Aptos" w:hAnsi="Aptos" w:cs="Arial"/>
                <w:sz w:val="16"/>
                <w:szCs w:val="16"/>
              </w:rPr>
              <w:t>8</w:t>
            </w:r>
          </w:p>
        </w:tc>
        <w:tc>
          <w:tcPr>
            <w:tcW w:w="567" w:type="dxa"/>
          </w:tcPr>
          <w:p w14:paraId="6007EB8B" w14:textId="77777777" w:rsidR="00A740A6" w:rsidRPr="00D518FF" w:rsidRDefault="00A740A6">
            <w:pPr>
              <w:rPr>
                <w:rFonts w:ascii="Aptos" w:hAnsi="Aptos" w:cs="Arial"/>
                <w:sz w:val="16"/>
                <w:szCs w:val="16"/>
              </w:rPr>
            </w:pPr>
            <w:r w:rsidRPr="00D518FF">
              <w:rPr>
                <w:rFonts w:ascii="Aptos" w:hAnsi="Aptos" w:cs="Arial"/>
                <w:sz w:val="16"/>
                <w:szCs w:val="16"/>
              </w:rPr>
              <w:t>5</w:t>
            </w:r>
          </w:p>
        </w:tc>
        <w:tc>
          <w:tcPr>
            <w:tcW w:w="992" w:type="dxa"/>
          </w:tcPr>
          <w:p w14:paraId="2AE4168E" w14:textId="77777777" w:rsidR="00A740A6" w:rsidRPr="00D518FF" w:rsidRDefault="00A740A6">
            <w:pPr>
              <w:rPr>
                <w:rFonts w:ascii="Aptos" w:hAnsi="Aptos" w:cs="Arial"/>
                <w:sz w:val="16"/>
                <w:szCs w:val="16"/>
              </w:rPr>
            </w:pPr>
            <w:r w:rsidRPr="00D518FF">
              <w:rPr>
                <w:rFonts w:ascii="Aptos" w:hAnsi="Aptos" w:cs="Arial"/>
                <w:sz w:val="16"/>
                <w:szCs w:val="16"/>
              </w:rPr>
              <w:t>376-85</w:t>
            </w:r>
          </w:p>
        </w:tc>
        <w:tc>
          <w:tcPr>
            <w:tcW w:w="1984" w:type="dxa"/>
          </w:tcPr>
          <w:p w14:paraId="0B41FE03" w14:textId="4191B929" w:rsidR="00A740A6" w:rsidRPr="00D518FF" w:rsidRDefault="00A740A6">
            <w:pPr>
              <w:rPr>
                <w:rFonts w:ascii="Aptos" w:hAnsi="Aptos" w:cs="Arial"/>
                <w:sz w:val="16"/>
                <w:szCs w:val="16"/>
              </w:rPr>
            </w:pPr>
            <w:hyperlink r:id="rId87" w:tgtFrame="_blank" w:history="1">
              <w:r w:rsidRPr="00D518FF">
                <w:rPr>
                  <w:rFonts w:ascii="Aptos" w:hAnsi="Aptos" w:cs="Arial"/>
                  <w:sz w:val="16"/>
                  <w:szCs w:val="16"/>
                </w:rPr>
                <w:t>10.1080/07315724.1989.10720312</w:t>
              </w:r>
            </w:hyperlink>
          </w:p>
        </w:tc>
      </w:tr>
    </w:tbl>
    <w:p w14:paraId="72993738" w14:textId="77777777" w:rsidR="00A740A6" w:rsidRPr="00D518FF" w:rsidRDefault="00A740A6" w:rsidP="00A740A6">
      <w:pPr>
        <w:pStyle w:val="2024TABLECAPTION"/>
        <w:spacing w:before="120"/>
        <w:rPr>
          <w:rFonts w:ascii="Aptos" w:hAnsi="Aptos"/>
        </w:rPr>
      </w:pPr>
    </w:p>
    <w:p w14:paraId="152D5B1E" w14:textId="1FF31002" w:rsidR="00454E8D" w:rsidRPr="00D518FF" w:rsidRDefault="0006125A" w:rsidP="004C6AA1">
      <w:pPr>
        <w:pStyle w:val="Caption"/>
        <w:spacing w:before="240"/>
        <w:rPr>
          <w:rFonts w:ascii="Aptos" w:hAnsi="Aptos"/>
        </w:rPr>
      </w:pPr>
      <w:bookmarkStart w:id="170" w:name="_Toc185254566"/>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20</w:t>
      </w:r>
      <w:r w:rsidR="00DC4767" w:rsidRPr="004C6AA1">
        <w:rPr>
          <w:rFonts w:ascii="Aptos" w:hAnsi="Aptos"/>
        </w:rPr>
        <w:fldChar w:fldCharType="end"/>
      </w:r>
      <w:r w:rsidR="00454E8D" w:rsidRPr="00D518FF">
        <w:rPr>
          <w:rFonts w:ascii="Aptos" w:hAnsi="Aptos"/>
        </w:rPr>
        <w:t xml:space="preserve">. </w:t>
      </w:r>
      <w:r w:rsidR="00A6108F" w:rsidRPr="00D518FF">
        <w:rPr>
          <w:rFonts w:ascii="Aptos" w:hAnsi="Aptos"/>
        </w:rPr>
        <w:t xml:space="preserve">Characteristics of included reviews – </w:t>
      </w:r>
      <w:r w:rsidR="00A6108F">
        <w:rPr>
          <w:rFonts w:ascii="Aptos" w:hAnsi="Aptos"/>
        </w:rPr>
        <w:t>h</w:t>
      </w:r>
      <w:r w:rsidR="00802916" w:rsidRPr="00D518FF">
        <w:rPr>
          <w:rFonts w:ascii="Aptos" w:hAnsi="Aptos"/>
        </w:rPr>
        <w:t xml:space="preserve">ypertension, </w:t>
      </w:r>
      <w:r w:rsidR="00C16441" w:rsidRPr="00D518FF">
        <w:rPr>
          <w:rFonts w:ascii="Aptos" w:hAnsi="Aptos"/>
        </w:rPr>
        <w:t>o</w:t>
      </w:r>
      <w:r w:rsidR="00802916" w:rsidRPr="00D518FF">
        <w:rPr>
          <w:rFonts w:ascii="Aptos" w:hAnsi="Aptos"/>
        </w:rPr>
        <w:t>mega-3</w:t>
      </w:r>
      <w:r w:rsidR="0021231C">
        <w:rPr>
          <w:rFonts w:ascii="Aptos" w:hAnsi="Aptos"/>
        </w:rPr>
        <w:t xml:space="preserve"> </w:t>
      </w:r>
      <w:r w:rsidR="0021231C">
        <w:t>fatty acids</w:t>
      </w:r>
      <w:r w:rsidR="00A6108F">
        <w:rPr>
          <w:rFonts w:ascii="Aptos" w:hAnsi="Aptos"/>
        </w:rPr>
        <w:t xml:space="preserve"> (n=3).</w:t>
      </w:r>
      <w:bookmarkEnd w:id="170"/>
    </w:p>
    <w:tbl>
      <w:tblPr>
        <w:tblStyle w:val="TableGrid"/>
        <w:tblW w:w="14170" w:type="dxa"/>
        <w:tblCellMar>
          <w:top w:w="28" w:type="dxa"/>
          <w:left w:w="57" w:type="dxa"/>
          <w:bottom w:w="28" w:type="dxa"/>
          <w:right w:w="0" w:type="dxa"/>
        </w:tblCellMar>
        <w:tblLook w:val="04A0" w:firstRow="1" w:lastRow="0" w:firstColumn="1" w:lastColumn="0" w:noHBand="0" w:noVBand="1"/>
      </w:tblPr>
      <w:tblGrid>
        <w:gridCol w:w="846"/>
        <w:gridCol w:w="850"/>
        <w:gridCol w:w="2290"/>
        <w:gridCol w:w="833"/>
        <w:gridCol w:w="950"/>
        <w:gridCol w:w="821"/>
        <w:gridCol w:w="1202"/>
        <w:gridCol w:w="708"/>
        <w:gridCol w:w="993"/>
        <w:gridCol w:w="992"/>
        <w:gridCol w:w="946"/>
        <w:gridCol w:w="1038"/>
        <w:gridCol w:w="1701"/>
      </w:tblGrid>
      <w:tr w:rsidR="00454E8D" w:rsidRPr="00D518FF" w14:paraId="147DB7FA" w14:textId="77777777" w:rsidTr="00F6089E">
        <w:trPr>
          <w:trHeight w:val="163"/>
        </w:trPr>
        <w:tc>
          <w:tcPr>
            <w:tcW w:w="846" w:type="dxa"/>
            <w:vMerge w:val="restart"/>
            <w:shd w:val="clear" w:color="auto" w:fill="D9D9D9" w:themeFill="background1" w:themeFillShade="D9"/>
          </w:tcPr>
          <w:p w14:paraId="080D414E"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Review ID</w:t>
            </w:r>
          </w:p>
        </w:tc>
        <w:tc>
          <w:tcPr>
            <w:tcW w:w="4923" w:type="dxa"/>
            <w:gridSpan w:val="4"/>
            <w:shd w:val="clear" w:color="auto" w:fill="D9D9D9" w:themeFill="background1" w:themeFillShade="D9"/>
          </w:tcPr>
          <w:p w14:paraId="7F8EF1AC"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Review details</w:t>
            </w:r>
          </w:p>
        </w:tc>
        <w:tc>
          <w:tcPr>
            <w:tcW w:w="3724" w:type="dxa"/>
            <w:gridSpan w:val="4"/>
            <w:shd w:val="clear" w:color="auto" w:fill="D9D9D9" w:themeFill="background1" w:themeFillShade="D9"/>
          </w:tcPr>
          <w:p w14:paraId="29DA575C"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Search details</w:t>
            </w:r>
          </w:p>
        </w:tc>
        <w:tc>
          <w:tcPr>
            <w:tcW w:w="1938" w:type="dxa"/>
            <w:gridSpan w:val="2"/>
            <w:shd w:val="clear" w:color="auto" w:fill="D9D9D9" w:themeFill="background1" w:themeFillShade="D9"/>
          </w:tcPr>
          <w:p w14:paraId="38563246"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Quality assessment</w:t>
            </w:r>
          </w:p>
        </w:tc>
        <w:tc>
          <w:tcPr>
            <w:tcW w:w="2739" w:type="dxa"/>
            <w:gridSpan w:val="2"/>
            <w:shd w:val="clear" w:color="auto" w:fill="D9D9D9" w:themeFill="background1" w:themeFillShade="D9"/>
          </w:tcPr>
          <w:p w14:paraId="5DD376B4"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Other</w:t>
            </w:r>
          </w:p>
        </w:tc>
      </w:tr>
      <w:tr w:rsidR="00F6089E" w:rsidRPr="00D518FF" w14:paraId="6AA400BC" w14:textId="77777777" w:rsidTr="00F6089E">
        <w:trPr>
          <w:trHeight w:val="163"/>
        </w:trPr>
        <w:tc>
          <w:tcPr>
            <w:tcW w:w="846" w:type="dxa"/>
            <w:vMerge/>
            <w:shd w:val="clear" w:color="auto" w:fill="D9D9D9" w:themeFill="background1" w:themeFillShade="D9"/>
          </w:tcPr>
          <w:p w14:paraId="3607AA78" w14:textId="77777777" w:rsidR="00454E8D" w:rsidRPr="00D518FF" w:rsidRDefault="00454E8D" w:rsidP="00AA72BD">
            <w:pPr>
              <w:pStyle w:val="Caption1"/>
              <w:spacing w:before="0" w:after="0"/>
              <w:rPr>
                <w:rFonts w:ascii="Aptos" w:hAnsi="Aptos"/>
                <w:sz w:val="16"/>
                <w:szCs w:val="16"/>
              </w:rPr>
            </w:pPr>
          </w:p>
        </w:tc>
        <w:tc>
          <w:tcPr>
            <w:tcW w:w="850" w:type="dxa"/>
            <w:shd w:val="clear" w:color="auto" w:fill="D9D9D9" w:themeFill="background1" w:themeFillShade="D9"/>
          </w:tcPr>
          <w:p w14:paraId="5F237D5B"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Review design</w:t>
            </w:r>
          </w:p>
        </w:tc>
        <w:tc>
          <w:tcPr>
            <w:tcW w:w="2290" w:type="dxa"/>
            <w:shd w:val="clear" w:color="auto" w:fill="D9D9D9" w:themeFill="background1" w:themeFillShade="D9"/>
          </w:tcPr>
          <w:p w14:paraId="6F8CFC00"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Aim of the review (as reported by the SR)</w:t>
            </w:r>
          </w:p>
        </w:tc>
        <w:tc>
          <w:tcPr>
            <w:tcW w:w="833" w:type="dxa"/>
            <w:shd w:val="clear" w:color="auto" w:fill="D9D9D9" w:themeFill="background1" w:themeFillShade="D9"/>
          </w:tcPr>
          <w:p w14:paraId="0EAC7414"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Types of studies included</w:t>
            </w:r>
          </w:p>
        </w:tc>
        <w:tc>
          <w:tcPr>
            <w:tcW w:w="950" w:type="dxa"/>
            <w:shd w:val="clear" w:color="auto" w:fill="D9D9D9" w:themeFill="background1" w:themeFillShade="D9"/>
          </w:tcPr>
          <w:p w14:paraId="08EDE249" w14:textId="103B3B46"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Outcomes relevant to the Overview^</w:t>
            </w:r>
          </w:p>
        </w:tc>
        <w:tc>
          <w:tcPr>
            <w:tcW w:w="821" w:type="dxa"/>
            <w:shd w:val="clear" w:color="auto" w:fill="D9D9D9" w:themeFill="background1" w:themeFillShade="D9"/>
          </w:tcPr>
          <w:p w14:paraId="290EB4C8"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 of databases searched</w:t>
            </w:r>
          </w:p>
        </w:tc>
        <w:tc>
          <w:tcPr>
            <w:tcW w:w="1202" w:type="dxa"/>
            <w:shd w:val="clear" w:color="auto" w:fill="D9D9D9" w:themeFill="background1" w:themeFillShade="D9"/>
          </w:tcPr>
          <w:p w14:paraId="343A2137"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Names of databases searched</w:t>
            </w:r>
          </w:p>
        </w:tc>
        <w:tc>
          <w:tcPr>
            <w:tcW w:w="708" w:type="dxa"/>
            <w:shd w:val="clear" w:color="auto" w:fill="D9D9D9" w:themeFill="background1" w:themeFillShade="D9"/>
          </w:tcPr>
          <w:p w14:paraId="35191C8A"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Date of last search</w:t>
            </w:r>
          </w:p>
        </w:tc>
        <w:tc>
          <w:tcPr>
            <w:tcW w:w="993" w:type="dxa"/>
            <w:shd w:val="clear" w:color="auto" w:fill="D9D9D9" w:themeFill="background1" w:themeFillShade="D9"/>
          </w:tcPr>
          <w:p w14:paraId="1F68A0A5"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 xml:space="preserve">Search restrictions </w:t>
            </w:r>
          </w:p>
        </w:tc>
        <w:tc>
          <w:tcPr>
            <w:tcW w:w="992" w:type="dxa"/>
            <w:shd w:val="clear" w:color="auto" w:fill="D9D9D9" w:themeFill="background1" w:themeFillShade="D9"/>
          </w:tcPr>
          <w:p w14:paraId="0BE78A80"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RoB tool used</w:t>
            </w:r>
          </w:p>
        </w:tc>
        <w:tc>
          <w:tcPr>
            <w:tcW w:w="946" w:type="dxa"/>
            <w:shd w:val="clear" w:color="auto" w:fill="D9D9D9" w:themeFill="background1" w:themeFillShade="D9"/>
          </w:tcPr>
          <w:p w14:paraId="4CB8F896"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Certainty of evidence reported</w:t>
            </w:r>
          </w:p>
        </w:tc>
        <w:tc>
          <w:tcPr>
            <w:tcW w:w="1038" w:type="dxa"/>
            <w:shd w:val="clear" w:color="auto" w:fill="D9D9D9" w:themeFill="background1" w:themeFillShade="D9"/>
          </w:tcPr>
          <w:p w14:paraId="6F257326"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Conflicts of interest</w:t>
            </w:r>
          </w:p>
        </w:tc>
        <w:tc>
          <w:tcPr>
            <w:tcW w:w="1701" w:type="dxa"/>
            <w:shd w:val="clear" w:color="auto" w:fill="D9D9D9" w:themeFill="background1" w:themeFillShade="D9"/>
          </w:tcPr>
          <w:p w14:paraId="0ABF5EC9" w14:textId="77777777" w:rsidR="00454E8D" w:rsidRPr="00D518FF" w:rsidRDefault="00454E8D" w:rsidP="00AA72BD">
            <w:pPr>
              <w:pStyle w:val="Caption1"/>
              <w:spacing w:before="0" w:after="0"/>
              <w:rPr>
                <w:rFonts w:ascii="Aptos" w:hAnsi="Aptos"/>
                <w:sz w:val="16"/>
                <w:szCs w:val="16"/>
              </w:rPr>
            </w:pPr>
            <w:r w:rsidRPr="00D518FF">
              <w:rPr>
                <w:rFonts w:ascii="Aptos" w:hAnsi="Aptos"/>
                <w:sz w:val="16"/>
                <w:szCs w:val="16"/>
              </w:rPr>
              <w:t>Funding sources</w:t>
            </w:r>
          </w:p>
        </w:tc>
      </w:tr>
      <w:tr w:rsidR="00F6089E" w:rsidRPr="00D518FF" w14:paraId="0418CB1C" w14:textId="77777777" w:rsidTr="00A6108F">
        <w:trPr>
          <w:trHeight w:val="345"/>
        </w:trPr>
        <w:tc>
          <w:tcPr>
            <w:tcW w:w="846" w:type="dxa"/>
            <w:shd w:val="clear" w:color="auto" w:fill="EFFFE9"/>
          </w:tcPr>
          <w:p w14:paraId="30BD2395" w14:textId="1FF5CCB7" w:rsidR="00D010FD" w:rsidRPr="00D518FF" w:rsidRDefault="00D010FD" w:rsidP="00AA72BD">
            <w:pPr>
              <w:rPr>
                <w:rFonts w:ascii="Aptos" w:hAnsi="Aptos" w:cs="Arial"/>
                <w:sz w:val="16"/>
                <w:szCs w:val="16"/>
              </w:rPr>
            </w:pPr>
            <w:r w:rsidRPr="00D518FF">
              <w:rPr>
                <w:rFonts w:ascii="Aptos" w:hAnsi="Aptos" w:cs="Arial"/>
                <w:sz w:val="16"/>
                <w:szCs w:val="16"/>
              </w:rPr>
              <w:t>Campbell 2013</w:t>
            </w:r>
          </w:p>
        </w:tc>
        <w:tc>
          <w:tcPr>
            <w:tcW w:w="850" w:type="dxa"/>
            <w:shd w:val="clear" w:color="auto" w:fill="EFFFE9"/>
          </w:tcPr>
          <w:p w14:paraId="630AEB8F" w14:textId="12141C52" w:rsidR="00D010FD" w:rsidRPr="00D518FF" w:rsidRDefault="00D010FD" w:rsidP="00AA72BD">
            <w:pPr>
              <w:rPr>
                <w:rFonts w:ascii="Aptos" w:hAnsi="Aptos" w:cs="Arial"/>
                <w:sz w:val="16"/>
                <w:szCs w:val="16"/>
              </w:rPr>
            </w:pPr>
            <w:r w:rsidRPr="00D518FF">
              <w:rPr>
                <w:rFonts w:ascii="Aptos" w:hAnsi="Aptos" w:cs="Arial"/>
                <w:sz w:val="16"/>
                <w:szCs w:val="16"/>
              </w:rPr>
              <w:t>Systematic review and meta-analysis</w:t>
            </w:r>
          </w:p>
        </w:tc>
        <w:tc>
          <w:tcPr>
            <w:tcW w:w="2290" w:type="dxa"/>
            <w:shd w:val="clear" w:color="auto" w:fill="EFFFE9"/>
          </w:tcPr>
          <w:p w14:paraId="34FBC463" w14:textId="2D8DF940" w:rsidR="00D010FD" w:rsidRPr="00D518FF" w:rsidRDefault="001F2487" w:rsidP="00AA72BD">
            <w:pPr>
              <w:rPr>
                <w:rFonts w:ascii="Aptos" w:hAnsi="Aptos" w:cs="Arial"/>
                <w:sz w:val="16"/>
                <w:szCs w:val="16"/>
              </w:rPr>
            </w:pPr>
            <w:r>
              <w:rPr>
                <w:rFonts w:ascii="Aptos" w:hAnsi="Aptos" w:cs="Arial"/>
                <w:sz w:val="16"/>
                <w:szCs w:val="16"/>
              </w:rPr>
              <w:t>T</w:t>
            </w:r>
            <w:r w:rsidR="00D010FD" w:rsidRPr="00D518FF">
              <w:rPr>
                <w:rFonts w:ascii="Aptos" w:hAnsi="Aptos" w:cs="Arial"/>
                <w:sz w:val="16"/>
                <w:szCs w:val="16"/>
              </w:rPr>
              <w:t>o determine the effectiveness of fish-oil supplements on preventing and treating hypertension.</w:t>
            </w:r>
          </w:p>
        </w:tc>
        <w:tc>
          <w:tcPr>
            <w:tcW w:w="833" w:type="dxa"/>
            <w:shd w:val="clear" w:color="auto" w:fill="EFFFE9"/>
          </w:tcPr>
          <w:p w14:paraId="39A9D1F9" w14:textId="0A38967C" w:rsidR="00D010FD" w:rsidRPr="00D518FF" w:rsidRDefault="004622EE" w:rsidP="00AA72BD">
            <w:pPr>
              <w:rPr>
                <w:rFonts w:ascii="Aptos" w:hAnsi="Aptos" w:cs="Arial"/>
                <w:sz w:val="16"/>
                <w:szCs w:val="16"/>
              </w:rPr>
            </w:pPr>
            <w:r w:rsidRPr="00D518FF">
              <w:rPr>
                <w:rFonts w:ascii="Aptos" w:hAnsi="Aptos" w:cs="Arial"/>
                <w:sz w:val="16"/>
                <w:szCs w:val="16"/>
              </w:rPr>
              <w:t>RCT</w:t>
            </w:r>
            <w:r w:rsidR="00D010FD" w:rsidRPr="00D518FF">
              <w:rPr>
                <w:rFonts w:ascii="Aptos" w:hAnsi="Aptos" w:cs="Arial"/>
                <w:sz w:val="16"/>
                <w:szCs w:val="16"/>
              </w:rPr>
              <w:t>s</w:t>
            </w:r>
          </w:p>
        </w:tc>
        <w:tc>
          <w:tcPr>
            <w:tcW w:w="950" w:type="dxa"/>
            <w:shd w:val="clear" w:color="auto" w:fill="EFFFE9"/>
          </w:tcPr>
          <w:p w14:paraId="42E9064A" w14:textId="08A647A6" w:rsidR="00D010FD" w:rsidRPr="00D518FF" w:rsidRDefault="00D010FD" w:rsidP="00AA72BD">
            <w:pPr>
              <w:rPr>
                <w:rFonts w:ascii="Aptos" w:hAnsi="Aptos" w:cs="Arial"/>
                <w:sz w:val="16"/>
                <w:szCs w:val="16"/>
              </w:rPr>
            </w:pPr>
            <w:r w:rsidRPr="00D518FF">
              <w:rPr>
                <w:rFonts w:ascii="Aptos" w:hAnsi="Aptos" w:cs="Arial"/>
                <w:sz w:val="16"/>
                <w:szCs w:val="16"/>
              </w:rPr>
              <w:t>1</w:t>
            </w:r>
          </w:p>
        </w:tc>
        <w:tc>
          <w:tcPr>
            <w:tcW w:w="821" w:type="dxa"/>
            <w:shd w:val="clear" w:color="auto" w:fill="EFFFE9"/>
          </w:tcPr>
          <w:p w14:paraId="00A30DA4" w14:textId="3BFE457C" w:rsidR="00D010FD" w:rsidRPr="00D518FF" w:rsidRDefault="00D010FD" w:rsidP="00AA72BD">
            <w:pPr>
              <w:rPr>
                <w:rFonts w:ascii="Aptos" w:hAnsi="Aptos" w:cs="Arial"/>
                <w:sz w:val="16"/>
                <w:szCs w:val="16"/>
              </w:rPr>
            </w:pPr>
            <w:r w:rsidRPr="00D518FF">
              <w:rPr>
                <w:rFonts w:ascii="Aptos" w:hAnsi="Aptos" w:cs="Arial"/>
                <w:sz w:val="16"/>
                <w:szCs w:val="16"/>
              </w:rPr>
              <w:t>4</w:t>
            </w:r>
          </w:p>
        </w:tc>
        <w:tc>
          <w:tcPr>
            <w:tcW w:w="1202" w:type="dxa"/>
            <w:shd w:val="clear" w:color="auto" w:fill="EFFFE9"/>
          </w:tcPr>
          <w:p w14:paraId="0A4F0E5E" w14:textId="0FE5EF5D" w:rsidR="00D010FD" w:rsidRPr="00D518FF" w:rsidRDefault="00D010FD" w:rsidP="00AA72BD">
            <w:pPr>
              <w:rPr>
                <w:rFonts w:ascii="Aptos" w:hAnsi="Aptos" w:cs="Arial"/>
                <w:sz w:val="16"/>
                <w:szCs w:val="16"/>
              </w:rPr>
            </w:pPr>
            <w:r w:rsidRPr="00D518FF">
              <w:rPr>
                <w:rFonts w:ascii="Aptos" w:hAnsi="Aptos" w:cs="Arial"/>
                <w:sz w:val="16"/>
                <w:szCs w:val="16"/>
              </w:rPr>
              <w:t>MEDLINE, EMBASE, CENTRAL, Cochrane Collaboration Hypertension Group</w:t>
            </w:r>
          </w:p>
        </w:tc>
        <w:tc>
          <w:tcPr>
            <w:tcW w:w="708" w:type="dxa"/>
            <w:shd w:val="clear" w:color="auto" w:fill="EFFFE9"/>
          </w:tcPr>
          <w:p w14:paraId="15E6F210" w14:textId="031C7A50" w:rsidR="00D010FD" w:rsidRPr="00D518FF" w:rsidRDefault="00D010FD" w:rsidP="00AA72BD">
            <w:pPr>
              <w:rPr>
                <w:rFonts w:ascii="Aptos" w:hAnsi="Aptos" w:cs="Arial"/>
                <w:sz w:val="16"/>
                <w:szCs w:val="16"/>
              </w:rPr>
            </w:pPr>
            <w:r w:rsidRPr="00D518FF">
              <w:rPr>
                <w:rFonts w:ascii="Aptos" w:hAnsi="Aptos" w:cs="Arial"/>
                <w:sz w:val="16"/>
                <w:szCs w:val="16"/>
              </w:rPr>
              <w:t>Jan</w:t>
            </w:r>
            <w:r w:rsidR="00DF0896" w:rsidRPr="00D518FF">
              <w:rPr>
                <w:rFonts w:ascii="Aptos" w:hAnsi="Aptos" w:cs="Arial"/>
                <w:sz w:val="16"/>
                <w:szCs w:val="16"/>
              </w:rPr>
              <w:t xml:space="preserve"> 20</w:t>
            </w:r>
            <w:r w:rsidRPr="00D518FF">
              <w:rPr>
                <w:rFonts w:ascii="Aptos" w:hAnsi="Aptos" w:cs="Arial"/>
                <w:sz w:val="16"/>
                <w:szCs w:val="16"/>
              </w:rPr>
              <w:t>11</w:t>
            </w:r>
          </w:p>
        </w:tc>
        <w:tc>
          <w:tcPr>
            <w:tcW w:w="993" w:type="dxa"/>
            <w:shd w:val="clear" w:color="auto" w:fill="EFFFE9"/>
          </w:tcPr>
          <w:p w14:paraId="57E0FA7C" w14:textId="22656C98" w:rsidR="00D010FD" w:rsidRPr="00D518FF" w:rsidRDefault="00D010FD" w:rsidP="00AA72BD">
            <w:pPr>
              <w:rPr>
                <w:rFonts w:ascii="Aptos" w:hAnsi="Aptos" w:cs="Arial"/>
                <w:sz w:val="16"/>
                <w:szCs w:val="16"/>
              </w:rPr>
            </w:pPr>
            <w:r w:rsidRPr="00D518FF">
              <w:rPr>
                <w:rFonts w:ascii="Aptos" w:hAnsi="Aptos" w:cs="Arial"/>
                <w:sz w:val="16"/>
                <w:szCs w:val="16"/>
              </w:rPr>
              <w:t>English language reports</w:t>
            </w:r>
          </w:p>
        </w:tc>
        <w:tc>
          <w:tcPr>
            <w:tcW w:w="992" w:type="dxa"/>
            <w:shd w:val="clear" w:color="auto" w:fill="EFFFE9"/>
          </w:tcPr>
          <w:p w14:paraId="6CF63EBF" w14:textId="0F2B6B1B" w:rsidR="00D010FD" w:rsidRPr="00D518FF" w:rsidRDefault="00D010FD" w:rsidP="00AA72BD">
            <w:pPr>
              <w:rPr>
                <w:rFonts w:ascii="Aptos" w:hAnsi="Aptos" w:cs="Arial"/>
                <w:sz w:val="16"/>
                <w:szCs w:val="16"/>
              </w:rPr>
            </w:pPr>
            <w:r w:rsidRPr="00D518FF">
              <w:rPr>
                <w:rFonts w:ascii="Aptos" w:hAnsi="Aptos" w:cs="Arial"/>
                <w:sz w:val="16"/>
                <w:szCs w:val="16"/>
              </w:rPr>
              <w:t>NR</w:t>
            </w:r>
          </w:p>
        </w:tc>
        <w:tc>
          <w:tcPr>
            <w:tcW w:w="946" w:type="dxa"/>
            <w:shd w:val="clear" w:color="auto" w:fill="EFFFE9"/>
          </w:tcPr>
          <w:p w14:paraId="3DD229DC" w14:textId="0FB8A28F" w:rsidR="00D010FD" w:rsidRPr="00D518FF" w:rsidRDefault="00D010FD" w:rsidP="00AA72BD">
            <w:pPr>
              <w:rPr>
                <w:rFonts w:ascii="Aptos" w:hAnsi="Aptos" w:cs="Arial"/>
                <w:sz w:val="16"/>
                <w:szCs w:val="16"/>
              </w:rPr>
            </w:pPr>
            <w:r w:rsidRPr="00D518FF">
              <w:rPr>
                <w:rFonts w:ascii="Aptos" w:hAnsi="Aptos" w:cs="Arial"/>
                <w:sz w:val="16"/>
                <w:szCs w:val="16"/>
              </w:rPr>
              <w:t>NR</w:t>
            </w:r>
          </w:p>
        </w:tc>
        <w:tc>
          <w:tcPr>
            <w:tcW w:w="1038" w:type="dxa"/>
            <w:shd w:val="clear" w:color="auto" w:fill="EFFFE9"/>
          </w:tcPr>
          <w:p w14:paraId="429CBC28" w14:textId="394100D2" w:rsidR="00D010FD" w:rsidRPr="00D518FF" w:rsidRDefault="00D010FD" w:rsidP="00AA72BD">
            <w:pPr>
              <w:rPr>
                <w:rFonts w:ascii="Aptos" w:hAnsi="Aptos" w:cs="Arial"/>
                <w:sz w:val="16"/>
                <w:szCs w:val="16"/>
              </w:rPr>
            </w:pPr>
            <w:r w:rsidRPr="00D518FF">
              <w:rPr>
                <w:rFonts w:ascii="Aptos" w:hAnsi="Aptos" w:cs="Arial"/>
                <w:sz w:val="16"/>
                <w:szCs w:val="16"/>
              </w:rPr>
              <w:t xml:space="preserve">None </w:t>
            </w:r>
          </w:p>
        </w:tc>
        <w:tc>
          <w:tcPr>
            <w:tcW w:w="1701" w:type="dxa"/>
            <w:shd w:val="clear" w:color="auto" w:fill="EFFFE9"/>
          </w:tcPr>
          <w:p w14:paraId="11EB1F34" w14:textId="0DC94CF6" w:rsidR="00D010FD" w:rsidRPr="00D518FF" w:rsidRDefault="00D010FD" w:rsidP="00AA72BD">
            <w:pPr>
              <w:rPr>
                <w:rFonts w:ascii="Aptos" w:hAnsi="Aptos" w:cs="Arial"/>
                <w:sz w:val="16"/>
                <w:szCs w:val="16"/>
              </w:rPr>
            </w:pPr>
            <w:r w:rsidRPr="00D518FF">
              <w:rPr>
                <w:rFonts w:ascii="Aptos" w:hAnsi="Aptos" w:cs="Arial"/>
                <w:sz w:val="16"/>
                <w:szCs w:val="16"/>
              </w:rPr>
              <w:t>This research received no specific grant from any funding agency in the public, commercial, or not-for-profit sectors.</w:t>
            </w:r>
          </w:p>
        </w:tc>
      </w:tr>
      <w:tr w:rsidR="00D010FD" w:rsidRPr="00D518FF" w14:paraId="30C72490" w14:textId="77777777" w:rsidTr="00F6089E">
        <w:trPr>
          <w:trHeight w:val="646"/>
        </w:trPr>
        <w:tc>
          <w:tcPr>
            <w:tcW w:w="846" w:type="dxa"/>
          </w:tcPr>
          <w:p w14:paraId="21F5EDB3" w14:textId="5B5239A6" w:rsidR="00D010FD" w:rsidRPr="00D518FF" w:rsidRDefault="00D010FD" w:rsidP="00AA72BD">
            <w:pPr>
              <w:rPr>
                <w:rFonts w:ascii="Aptos" w:hAnsi="Aptos" w:cs="Arial"/>
                <w:sz w:val="16"/>
                <w:szCs w:val="16"/>
              </w:rPr>
            </w:pPr>
            <w:r w:rsidRPr="00D518FF">
              <w:rPr>
                <w:rFonts w:ascii="Aptos" w:hAnsi="Aptos" w:cs="Arial"/>
                <w:sz w:val="16"/>
                <w:szCs w:val="16"/>
              </w:rPr>
              <w:t>Guo 2019</w:t>
            </w:r>
          </w:p>
        </w:tc>
        <w:tc>
          <w:tcPr>
            <w:tcW w:w="850" w:type="dxa"/>
          </w:tcPr>
          <w:p w14:paraId="72ACAE30" w14:textId="72CDCAC0" w:rsidR="00D010FD" w:rsidRPr="00D518FF" w:rsidRDefault="00D010FD" w:rsidP="00AA72BD">
            <w:pPr>
              <w:rPr>
                <w:rFonts w:ascii="Aptos" w:hAnsi="Aptos" w:cs="Arial"/>
                <w:sz w:val="16"/>
                <w:szCs w:val="16"/>
              </w:rPr>
            </w:pPr>
            <w:r w:rsidRPr="00D518FF">
              <w:rPr>
                <w:rFonts w:ascii="Aptos" w:hAnsi="Aptos" w:cs="Arial"/>
                <w:sz w:val="16"/>
                <w:szCs w:val="16"/>
              </w:rPr>
              <w:t>Meta-analysis</w:t>
            </w:r>
          </w:p>
        </w:tc>
        <w:tc>
          <w:tcPr>
            <w:tcW w:w="2290" w:type="dxa"/>
          </w:tcPr>
          <w:p w14:paraId="65A3502F" w14:textId="025A9E0D" w:rsidR="00D010FD" w:rsidRPr="00D518FF" w:rsidRDefault="001F2487" w:rsidP="00AA72BD">
            <w:pPr>
              <w:rPr>
                <w:rFonts w:ascii="Aptos" w:hAnsi="Aptos" w:cs="Arial"/>
                <w:sz w:val="16"/>
                <w:szCs w:val="16"/>
              </w:rPr>
            </w:pPr>
            <w:r>
              <w:rPr>
                <w:rFonts w:ascii="Aptos" w:hAnsi="Aptos" w:cs="Arial"/>
                <w:sz w:val="16"/>
                <w:szCs w:val="16"/>
              </w:rPr>
              <w:t>T</w:t>
            </w:r>
            <w:r w:rsidR="00D010FD" w:rsidRPr="00D518FF">
              <w:rPr>
                <w:rFonts w:ascii="Aptos" w:hAnsi="Aptos" w:cs="Arial"/>
                <w:sz w:val="16"/>
                <w:szCs w:val="16"/>
              </w:rPr>
              <w:t>o address the question of whether EPA and DHA monotherapy have differential effects on blood pressure (systolic blood pressure (SBP) and diastolic blood pressure (DBP)) and inflammatory factors (CRP, IL-6 and TNF-a)</w:t>
            </w:r>
          </w:p>
        </w:tc>
        <w:tc>
          <w:tcPr>
            <w:tcW w:w="833" w:type="dxa"/>
          </w:tcPr>
          <w:p w14:paraId="454818BB" w14:textId="468BC681" w:rsidR="00D010FD" w:rsidRPr="00D518FF" w:rsidRDefault="004622EE" w:rsidP="00AA72BD">
            <w:pPr>
              <w:rPr>
                <w:rFonts w:ascii="Aptos" w:hAnsi="Aptos" w:cs="Arial"/>
                <w:sz w:val="16"/>
                <w:szCs w:val="16"/>
              </w:rPr>
            </w:pPr>
            <w:r w:rsidRPr="00D518FF">
              <w:rPr>
                <w:rFonts w:ascii="Aptos" w:hAnsi="Aptos" w:cs="Arial"/>
                <w:sz w:val="16"/>
                <w:szCs w:val="16"/>
              </w:rPr>
              <w:t>RCT</w:t>
            </w:r>
            <w:r w:rsidR="00D010FD" w:rsidRPr="00D518FF">
              <w:rPr>
                <w:rFonts w:ascii="Aptos" w:hAnsi="Aptos" w:cs="Arial"/>
                <w:sz w:val="16"/>
                <w:szCs w:val="16"/>
              </w:rPr>
              <w:t>s</w:t>
            </w:r>
          </w:p>
        </w:tc>
        <w:tc>
          <w:tcPr>
            <w:tcW w:w="950" w:type="dxa"/>
          </w:tcPr>
          <w:p w14:paraId="79E988DC" w14:textId="13F0BD1E" w:rsidR="00D010FD" w:rsidRPr="00D518FF" w:rsidRDefault="00D010FD" w:rsidP="00AA72BD">
            <w:pPr>
              <w:rPr>
                <w:rFonts w:ascii="Aptos" w:hAnsi="Aptos" w:cs="Arial"/>
                <w:sz w:val="16"/>
                <w:szCs w:val="16"/>
              </w:rPr>
            </w:pPr>
            <w:r w:rsidRPr="00D518FF">
              <w:rPr>
                <w:rFonts w:ascii="Aptos" w:hAnsi="Aptos" w:cs="Arial"/>
                <w:sz w:val="16"/>
                <w:szCs w:val="16"/>
              </w:rPr>
              <w:t>1</w:t>
            </w:r>
          </w:p>
        </w:tc>
        <w:tc>
          <w:tcPr>
            <w:tcW w:w="821" w:type="dxa"/>
          </w:tcPr>
          <w:p w14:paraId="0F345257" w14:textId="50C31ED6" w:rsidR="00D010FD" w:rsidRPr="00D518FF" w:rsidRDefault="00D010FD" w:rsidP="00AA72BD">
            <w:pPr>
              <w:rPr>
                <w:rFonts w:ascii="Aptos" w:hAnsi="Aptos" w:cs="Arial"/>
                <w:sz w:val="16"/>
                <w:szCs w:val="16"/>
              </w:rPr>
            </w:pPr>
            <w:r w:rsidRPr="00D518FF">
              <w:rPr>
                <w:rFonts w:ascii="Aptos" w:hAnsi="Aptos" w:cs="Arial"/>
                <w:sz w:val="16"/>
                <w:szCs w:val="16"/>
              </w:rPr>
              <w:t>2</w:t>
            </w:r>
          </w:p>
        </w:tc>
        <w:tc>
          <w:tcPr>
            <w:tcW w:w="1202" w:type="dxa"/>
          </w:tcPr>
          <w:p w14:paraId="6547952A" w14:textId="3C15D6A6" w:rsidR="00D010FD" w:rsidRPr="00D518FF" w:rsidRDefault="004622EE" w:rsidP="00AA72BD">
            <w:pPr>
              <w:rPr>
                <w:rFonts w:ascii="Aptos" w:hAnsi="Aptos" w:cs="Arial"/>
                <w:sz w:val="16"/>
                <w:szCs w:val="16"/>
              </w:rPr>
            </w:pPr>
            <w:r w:rsidRPr="00D518FF">
              <w:rPr>
                <w:rFonts w:ascii="Aptos" w:hAnsi="Aptos" w:cs="Arial"/>
                <w:sz w:val="16"/>
                <w:szCs w:val="16"/>
              </w:rPr>
              <w:t>PubMed</w:t>
            </w:r>
            <w:r w:rsidR="00DF0896" w:rsidRPr="00D518FF">
              <w:rPr>
                <w:rFonts w:ascii="Aptos" w:hAnsi="Aptos" w:cs="Arial"/>
                <w:sz w:val="16"/>
                <w:szCs w:val="16"/>
              </w:rPr>
              <w:t xml:space="preserve">, </w:t>
            </w:r>
            <w:r w:rsidR="00D010FD" w:rsidRPr="00D518FF">
              <w:rPr>
                <w:rFonts w:ascii="Aptos" w:hAnsi="Aptos" w:cs="Arial"/>
                <w:sz w:val="16"/>
                <w:szCs w:val="16"/>
              </w:rPr>
              <w:t>Scopus</w:t>
            </w:r>
          </w:p>
        </w:tc>
        <w:tc>
          <w:tcPr>
            <w:tcW w:w="708" w:type="dxa"/>
          </w:tcPr>
          <w:p w14:paraId="063269FE" w14:textId="2CD86530" w:rsidR="00D010FD" w:rsidRPr="00D518FF" w:rsidRDefault="00D010FD" w:rsidP="00AA72BD">
            <w:pPr>
              <w:rPr>
                <w:rFonts w:ascii="Aptos" w:hAnsi="Aptos" w:cs="Arial"/>
                <w:sz w:val="16"/>
                <w:szCs w:val="16"/>
              </w:rPr>
            </w:pPr>
            <w:r w:rsidRPr="00D518FF">
              <w:rPr>
                <w:rFonts w:ascii="Aptos" w:hAnsi="Aptos" w:cs="Arial"/>
                <w:sz w:val="16"/>
                <w:szCs w:val="16"/>
              </w:rPr>
              <w:t>Apr 2018</w:t>
            </w:r>
          </w:p>
        </w:tc>
        <w:tc>
          <w:tcPr>
            <w:tcW w:w="993" w:type="dxa"/>
          </w:tcPr>
          <w:p w14:paraId="5718E0CE" w14:textId="4032E1A6" w:rsidR="00D010FD" w:rsidRPr="00D518FF" w:rsidRDefault="00D010FD" w:rsidP="00AA72BD">
            <w:pPr>
              <w:rPr>
                <w:rFonts w:ascii="Aptos" w:hAnsi="Aptos" w:cs="Arial"/>
                <w:sz w:val="16"/>
                <w:szCs w:val="16"/>
              </w:rPr>
            </w:pPr>
            <w:r w:rsidRPr="00D518FF">
              <w:rPr>
                <w:rFonts w:ascii="Aptos" w:hAnsi="Aptos" w:cs="Arial"/>
                <w:sz w:val="16"/>
                <w:szCs w:val="16"/>
              </w:rPr>
              <w:t>NR</w:t>
            </w:r>
          </w:p>
        </w:tc>
        <w:tc>
          <w:tcPr>
            <w:tcW w:w="992" w:type="dxa"/>
          </w:tcPr>
          <w:p w14:paraId="70752D21" w14:textId="411160B6" w:rsidR="00D010FD" w:rsidRPr="00D518FF" w:rsidRDefault="00D010FD" w:rsidP="00AA72BD">
            <w:pPr>
              <w:rPr>
                <w:rFonts w:ascii="Aptos" w:hAnsi="Aptos" w:cs="Arial"/>
                <w:sz w:val="16"/>
                <w:szCs w:val="16"/>
              </w:rPr>
            </w:pPr>
            <w:r w:rsidRPr="00D518FF">
              <w:rPr>
                <w:rFonts w:ascii="Aptos" w:hAnsi="Aptos" w:cs="Arial"/>
                <w:sz w:val="16"/>
                <w:szCs w:val="16"/>
              </w:rPr>
              <w:t>Jadad score</w:t>
            </w:r>
          </w:p>
        </w:tc>
        <w:tc>
          <w:tcPr>
            <w:tcW w:w="946" w:type="dxa"/>
          </w:tcPr>
          <w:p w14:paraId="5A513336" w14:textId="52B7F551" w:rsidR="00D010FD" w:rsidRPr="00D518FF" w:rsidRDefault="00D010FD" w:rsidP="00AA72BD">
            <w:pPr>
              <w:rPr>
                <w:rFonts w:ascii="Aptos" w:hAnsi="Aptos" w:cs="Arial"/>
                <w:sz w:val="16"/>
                <w:szCs w:val="16"/>
              </w:rPr>
            </w:pPr>
            <w:r w:rsidRPr="00D518FF">
              <w:rPr>
                <w:rFonts w:ascii="Aptos" w:hAnsi="Aptos" w:cs="Arial"/>
                <w:sz w:val="16"/>
                <w:szCs w:val="16"/>
              </w:rPr>
              <w:t>NR</w:t>
            </w:r>
          </w:p>
        </w:tc>
        <w:tc>
          <w:tcPr>
            <w:tcW w:w="1038" w:type="dxa"/>
          </w:tcPr>
          <w:p w14:paraId="782691EE" w14:textId="764AFE09" w:rsidR="00D010FD" w:rsidRPr="00D518FF" w:rsidRDefault="00D010FD" w:rsidP="00AA72BD">
            <w:pPr>
              <w:rPr>
                <w:rFonts w:ascii="Aptos" w:hAnsi="Aptos" w:cs="Arial"/>
                <w:sz w:val="16"/>
                <w:szCs w:val="16"/>
              </w:rPr>
            </w:pPr>
            <w:r w:rsidRPr="00D518FF">
              <w:rPr>
                <w:rFonts w:ascii="Aptos" w:hAnsi="Aptos" w:cs="Arial"/>
                <w:sz w:val="16"/>
                <w:szCs w:val="16"/>
              </w:rPr>
              <w:t>NR</w:t>
            </w:r>
          </w:p>
        </w:tc>
        <w:tc>
          <w:tcPr>
            <w:tcW w:w="1701" w:type="dxa"/>
          </w:tcPr>
          <w:p w14:paraId="7AB94634" w14:textId="3600A8C4" w:rsidR="00D010FD" w:rsidRPr="00D518FF" w:rsidRDefault="00D010FD" w:rsidP="00AA72BD">
            <w:pPr>
              <w:rPr>
                <w:rFonts w:ascii="Aptos" w:hAnsi="Aptos" w:cs="Arial"/>
                <w:sz w:val="16"/>
                <w:szCs w:val="16"/>
              </w:rPr>
            </w:pPr>
            <w:r w:rsidRPr="00D518FF">
              <w:rPr>
                <w:rFonts w:ascii="Aptos" w:hAnsi="Aptos" w:cs="Arial"/>
                <w:sz w:val="16"/>
                <w:szCs w:val="16"/>
              </w:rPr>
              <w:t>This work is supported by the National Basic Research Program of China (973 Program: 2015CB553604); by National Natural Science Foundation of China (NSFC: 81773433); by the Key scientific Research Projects in Shandong Provence China (2017YYSP007); and by the 2018 Chinese Nutrition Society (CNS) Nutrition Research Foundation-DSM Research Fund (CNS-DSM2018A30). The funders have no role in study design, data collection and analysis, decision to publish, or preparation of the manuscript.</w:t>
            </w:r>
          </w:p>
        </w:tc>
      </w:tr>
      <w:tr w:rsidR="00D010FD" w:rsidRPr="00D518FF" w14:paraId="6D8C6D50" w14:textId="77777777" w:rsidTr="00F6089E">
        <w:trPr>
          <w:trHeight w:val="646"/>
        </w:trPr>
        <w:tc>
          <w:tcPr>
            <w:tcW w:w="846" w:type="dxa"/>
          </w:tcPr>
          <w:p w14:paraId="5EBBE153" w14:textId="678FD6AC" w:rsidR="00D010FD" w:rsidRPr="00D518FF" w:rsidRDefault="001F2487" w:rsidP="00AA72BD">
            <w:pPr>
              <w:rPr>
                <w:rFonts w:ascii="Aptos" w:hAnsi="Aptos" w:cs="Arial"/>
                <w:sz w:val="16"/>
                <w:szCs w:val="16"/>
              </w:rPr>
            </w:pPr>
            <w:r>
              <w:rPr>
                <w:rFonts w:ascii="Aptos" w:hAnsi="Aptos" w:cs="Arial"/>
                <w:sz w:val="16"/>
                <w:szCs w:val="16"/>
              </w:rPr>
              <w:t xml:space="preserve">Radack </w:t>
            </w:r>
            <w:r w:rsidR="00D010FD" w:rsidRPr="00D518FF">
              <w:rPr>
                <w:rFonts w:ascii="Aptos" w:hAnsi="Aptos" w:cs="Arial"/>
                <w:sz w:val="16"/>
                <w:szCs w:val="16"/>
              </w:rPr>
              <w:t>1989</w:t>
            </w:r>
          </w:p>
        </w:tc>
        <w:tc>
          <w:tcPr>
            <w:tcW w:w="850" w:type="dxa"/>
          </w:tcPr>
          <w:p w14:paraId="68C0075D" w14:textId="13D409CC" w:rsidR="00D010FD" w:rsidRPr="00D518FF" w:rsidRDefault="00D010FD" w:rsidP="00AA72BD">
            <w:pPr>
              <w:rPr>
                <w:rFonts w:ascii="Aptos" w:hAnsi="Aptos" w:cs="Arial"/>
                <w:sz w:val="16"/>
                <w:szCs w:val="16"/>
              </w:rPr>
            </w:pPr>
            <w:r w:rsidRPr="00D518FF">
              <w:rPr>
                <w:rFonts w:ascii="Aptos" w:hAnsi="Aptos" w:cs="Arial"/>
                <w:sz w:val="16"/>
                <w:szCs w:val="16"/>
              </w:rPr>
              <w:t xml:space="preserve">Systematic review and </w:t>
            </w:r>
            <w:r w:rsidRPr="00D518FF">
              <w:rPr>
                <w:rFonts w:ascii="Aptos" w:hAnsi="Aptos" w:cs="Arial"/>
                <w:sz w:val="16"/>
                <w:szCs w:val="16"/>
              </w:rPr>
              <w:lastRenderedPageBreak/>
              <w:t>meta-analysis</w:t>
            </w:r>
          </w:p>
        </w:tc>
        <w:tc>
          <w:tcPr>
            <w:tcW w:w="2290" w:type="dxa"/>
          </w:tcPr>
          <w:p w14:paraId="29E76F4D" w14:textId="32C77A16" w:rsidR="00D010FD" w:rsidRPr="00D518FF" w:rsidRDefault="00D010FD" w:rsidP="00AA72BD">
            <w:pPr>
              <w:rPr>
                <w:rFonts w:ascii="Aptos" w:hAnsi="Aptos" w:cs="Arial"/>
                <w:sz w:val="16"/>
                <w:szCs w:val="16"/>
              </w:rPr>
            </w:pPr>
            <w:r w:rsidRPr="00D518FF">
              <w:rPr>
                <w:rFonts w:ascii="Aptos" w:hAnsi="Aptos" w:cs="Arial"/>
                <w:sz w:val="16"/>
                <w:szCs w:val="16"/>
              </w:rPr>
              <w:lastRenderedPageBreak/>
              <w:t>We attempted to answer the question of whether or not marine ω-3-</w:t>
            </w:r>
            <w:r w:rsidR="004622EE" w:rsidRPr="00D518FF">
              <w:rPr>
                <w:rFonts w:ascii="Aptos" w:hAnsi="Aptos" w:cs="Arial"/>
                <w:sz w:val="16"/>
                <w:szCs w:val="16"/>
              </w:rPr>
              <w:t>PUFA</w:t>
            </w:r>
            <w:r w:rsidRPr="00D518FF">
              <w:rPr>
                <w:rFonts w:ascii="Aptos" w:hAnsi="Aptos" w:cs="Arial"/>
                <w:sz w:val="16"/>
                <w:szCs w:val="16"/>
              </w:rPr>
              <w:t xml:space="preserve">s cause </w:t>
            </w:r>
            <w:r w:rsidRPr="00D518FF">
              <w:rPr>
                <w:rFonts w:ascii="Aptos" w:hAnsi="Aptos" w:cs="Arial"/>
                <w:sz w:val="16"/>
                <w:szCs w:val="16"/>
              </w:rPr>
              <w:lastRenderedPageBreak/>
              <w:t>clinically and statis</w:t>
            </w:r>
            <w:r w:rsidRPr="00D518FF">
              <w:rPr>
                <w:rFonts w:ascii="Aptos" w:hAnsi="Aptos" w:cs="Arial"/>
                <w:sz w:val="16"/>
                <w:szCs w:val="16"/>
              </w:rPr>
              <w:softHyphen/>
              <w:t xml:space="preserve"> tically important reductions in diastolic and systolic BP by applying a quantitative method combining the data from randomized controlled trials to obtain an accurate and reliable estimate of the effect of ω-3- </w:t>
            </w:r>
            <w:r w:rsidR="004622EE" w:rsidRPr="00D518FF">
              <w:rPr>
                <w:rFonts w:ascii="Aptos" w:hAnsi="Aptos" w:cs="Arial"/>
                <w:sz w:val="16"/>
                <w:szCs w:val="16"/>
              </w:rPr>
              <w:t>PUFA</w:t>
            </w:r>
            <w:r w:rsidRPr="00D518FF">
              <w:rPr>
                <w:rFonts w:ascii="Aptos" w:hAnsi="Aptos" w:cs="Arial"/>
                <w:sz w:val="16"/>
                <w:szCs w:val="16"/>
              </w:rPr>
              <w:t xml:space="preserve"> on BP response.</w:t>
            </w:r>
          </w:p>
        </w:tc>
        <w:tc>
          <w:tcPr>
            <w:tcW w:w="833" w:type="dxa"/>
          </w:tcPr>
          <w:p w14:paraId="2EA5A1C2" w14:textId="7C7DD82B" w:rsidR="00D010FD" w:rsidRPr="00D518FF" w:rsidRDefault="004622EE" w:rsidP="00AA72BD">
            <w:pPr>
              <w:rPr>
                <w:rFonts w:ascii="Aptos" w:hAnsi="Aptos" w:cs="Arial"/>
                <w:sz w:val="16"/>
                <w:szCs w:val="16"/>
              </w:rPr>
            </w:pPr>
            <w:r w:rsidRPr="00D518FF">
              <w:rPr>
                <w:rFonts w:ascii="Aptos" w:hAnsi="Aptos" w:cs="Arial"/>
                <w:sz w:val="16"/>
                <w:szCs w:val="16"/>
              </w:rPr>
              <w:lastRenderedPageBreak/>
              <w:t>RCT</w:t>
            </w:r>
            <w:r w:rsidR="00D010FD" w:rsidRPr="00D518FF">
              <w:rPr>
                <w:rFonts w:ascii="Aptos" w:hAnsi="Aptos" w:cs="Arial"/>
                <w:sz w:val="16"/>
                <w:szCs w:val="16"/>
              </w:rPr>
              <w:t>s</w:t>
            </w:r>
          </w:p>
        </w:tc>
        <w:tc>
          <w:tcPr>
            <w:tcW w:w="950" w:type="dxa"/>
          </w:tcPr>
          <w:p w14:paraId="233B5F94" w14:textId="4C12B693" w:rsidR="00D010FD" w:rsidRPr="00D518FF" w:rsidRDefault="00D010FD" w:rsidP="00AA72BD">
            <w:pPr>
              <w:rPr>
                <w:rFonts w:ascii="Aptos" w:hAnsi="Aptos" w:cs="Arial"/>
                <w:sz w:val="16"/>
                <w:szCs w:val="16"/>
              </w:rPr>
            </w:pPr>
            <w:r w:rsidRPr="00D518FF">
              <w:rPr>
                <w:rFonts w:ascii="Aptos" w:hAnsi="Aptos" w:cs="Arial"/>
                <w:sz w:val="16"/>
                <w:szCs w:val="16"/>
              </w:rPr>
              <w:t>1</w:t>
            </w:r>
          </w:p>
        </w:tc>
        <w:tc>
          <w:tcPr>
            <w:tcW w:w="821" w:type="dxa"/>
          </w:tcPr>
          <w:p w14:paraId="37CE6AE9" w14:textId="1401D22F" w:rsidR="00D010FD" w:rsidRPr="00D518FF" w:rsidRDefault="00D010FD" w:rsidP="00AA72BD">
            <w:pPr>
              <w:rPr>
                <w:rFonts w:ascii="Aptos" w:hAnsi="Aptos" w:cs="Arial"/>
                <w:sz w:val="16"/>
                <w:szCs w:val="16"/>
              </w:rPr>
            </w:pPr>
            <w:r w:rsidRPr="00D518FF">
              <w:rPr>
                <w:rFonts w:ascii="Aptos" w:hAnsi="Aptos" w:cs="Arial"/>
                <w:sz w:val="16"/>
                <w:szCs w:val="16"/>
              </w:rPr>
              <w:t>2</w:t>
            </w:r>
          </w:p>
        </w:tc>
        <w:tc>
          <w:tcPr>
            <w:tcW w:w="1202" w:type="dxa"/>
          </w:tcPr>
          <w:p w14:paraId="04E844B0" w14:textId="73FA8414" w:rsidR="00D010FD" w:rsidRPr="00D518FF" w:rsidRDefault="00D010FD" w:rsidP="00AA72BD">
            <w:pPr>
              <w:rPr>
                <w:rFonts w:ascii="Aptos" w:hAnsi="Aptos" w:cs="Arial"/>
                <w:sz w:val="16"/>
                <w:szCs w:val="16"/>
              </w:rPr>
            </w:pPr>
            <w:r w:rsidRPr="00D518FF">
              <w:rPr>
                <w:rFonts w:ascii="Aptos" w:hAnsi="Aptos" w:cs="Arial"/>
                <w:sz w:val="16"/>
                <w:szCs w:val="16"/>
              </w:rPr>
              <w:t>Medline, Index Medicus</w:t>
            </w:r>
          </w:p>
        </w:tc>
        <w:tc>
          <w:tcPr>
            <w:tcW w:w="708" w:type="dxa"/>
          </w:tcPr>
          <w:p w14:paraId="5D9FD7D2" w14:textId="6CA9DAD0" w:rsidR="00D010FD" w:rsidRPr="00D518FF" w:rsidRDefault="00D010FD" w:rsidP="00AA72BD">
            <w:pPr>
              <w:rPr>
                <w:rFonts w:ascii="Aptos" w:hAnsi="Aptos" w:cs="Arial"/>
                <w:sz w:val="16"/>
                <w:szCs w:val="16"/>
              </w:rPr>
            </w:pPr>
            <w:r w:rsidRPr="00D518FF">
              <w:rPr>
                <w:rFonts w:ascii="Aptos" w:hAnsi="Aptos" w:cs="Arial"/>
                <w:sz w:val="16"/>
                <w:szCs w:val="16"/>
              </w:rPr>
              <w:t>Jan</w:t>
            </w:r>
            <w:r w:rsidR="006B3C57" w:rsidRPr="00D518FF">
              <w:rPr>
                <w:rFonts w:ascii="Aptos" w:hAnsi="Aptos" w:cs="Arial"/>
                <w:sz w:val="16"/>
                <w:szCs w:val="16"/>
              </w:rPr>
              <w:t xml:space="preserve"> 19</w:t>
            </w:r>
            <w:r w:rsidRPr="00D518FF">
              <w:rPr>
                <w:rFonts w:ascii="Aptos" w:hAnsi="Aptos" w:cs="Arial"/>
                <w:sz w:val="16"/>
                <w:szCs w:val="16"/>
              </w:rPr>
              <w:t>88</w:t>
            </w:r>
          </w:p>
        </w:tc>
        <w:tc>
          <w:tcPr>
            <w:tcW w:w="993" w:type="dxa"/>
          </w:tcPr>
          <w:p w14:paraId="582782DB" w14:textId="2D893881" w:rsidR="00D010FD" w:rsidRPr="00D518FF" w:rsidRDefault="00D010FD" w:rsidP="00AA72BD">
            <w:pPr>
              <w:rPr>
                <w:rFonts w:ascii="Aptos" w:hAnsi="Aptos" w:cs="Arial"/>
                <w:sz w:val="16"/>
                <w:szCs w:val="16"/>
              </w:rPr>
            </w:pPr>
            <w:r w:rsidRPr="00D518FF">
              <w:rPr>
                <w:rFonts w:ascii="Aptos" w:hAnsi="Aptos" w:cs="Arial"/>
                <w:sz w:val="16"/>
                <w:szCs w:val="16"/>
              </w:rPr>
              <w:t>English, 1970 to January 1988</w:t>
            </w:r>
          </w:p>
        </w:tc>
        <w:tc>
          <w:tcPr>
            <w:tcW w:w="992" w:type="dxa"/>
          </w:tcPr>
          <w:p w14:paraId="7ED3F727" w14:textId="660E3823" w:rsidR="00D010FD" w:rsidRPr="00D518FF" w:rsidRDefault="00F60E69" w:rsidP="00AA72BD">
            <w:pPr>
              <w:rPr>
                <w:rFonts w:ascii="Aptos" w:hAnsi="Aptos" w:cs="Arial"/>
                <w:sz w:val="16"/>
                <w:szCs w:val="16"/>
              </w:rPr>
            </w:pPr>
            <w:r w:rsidRPr="00D518FF">
              <w:rPr>
                <w:rFonts w:ascii="Aptos" w:hAnsi="Aptos" w:cs="Arial"/>
                <w:sz w:val="16"/>
                <w:szCs w:val="16"/>
              </w:rPr>
              <w:t>Seven</w:t>
            </w:r>
            <w:r w:rsidR="00D010FD" w:rsidRPr="00D518FF">
              <w:rPr>
                <w:rFonts w:ascii="Aptos" w:hAnsi="Aptos" w:cs="Arial"/>
                <w:sz w:val="16"/>
                <w:szCs w:val="16"/>
              </w:rPr>
              <w:t xml:space="preserve"> criteria modified </w:t>
            </w:r>
            <w:r w:rsidR="00D010FD" w:rsidRPr="00D518FF">
              <w:rPr>
                <w:rFonts w:ascii="Aptos" w:hAnsi="Aptos" w:cs="Arial"/>
                <w:sz w:val="16"/>
                <w:szCs w:val="16"/>
              </w:rPr>
              <w:lastRenderedPageBreak/>
              <w:t>from Chalmers and DerSimonian to assess the quality of randomized controlled trials</w:t>
            </w:r>
          </w:p>
        </w:tc>
        <w:tc>
          <w:tcPr>
            <w:tcW w:w="946" w:type="dxa"/>
          </w:tcPr>
          <w:p w14:paraId="24BD8D14" w14:textId="7187DEBF" w:rsidR="00D010FD" w:rsidRPr="00D518FF" w:rsidRDefault="00D010FD" w:rsidP="00AA72BD">
            <w:pPr>
              <w:rPr>
                <w:rFonts w:ascii="Aptos" w:hAnsi="Aptos" w:cs="Arial"/>
                <w:sz w:val="16"/>
                <w:szCs w:val="16"/>
              </w:rPr>
            </w:pPr>
            <w:r w:rsidRPr="00D518FF">
              <w:rPr>
                <w:rFonts w:ascii="Aptos" w:hAnsi="Aptos" w:cs="Arial"/>
                <w:sz w:val="16"/>
                <w:szCs w:val="16"/>
              </w:rPr>
              <w:lastRenderedPageBreak/>
              <w:t>NR</w:t>
            </w:r>
          </w:p>
        </w:tc>
        <w:tc>
          <w:tcPr>
            <w:tcW w:w="1038" w:type="dxa"/>
          </w:tcPr>
          <w:p w14:paraId="16DA0020" w14:textId="047932DC" w:rsidR="00D010FD" w:rsidRPr="00D518FF" w:rsidRDefault="00D010FD" w:rsidP="00AA72BD">
            <w:pPr>
              <w:rPr>
                <w:rFonts w:ascii="Aptos" w:hAnsi="Aptos" w:cs="Arial"/>
                <w:sz w:val="16"/>
                <w:szCs w:val="16"/>
              </w:rPr>
            </w:pPr>
            <w:r w:rsidRPr="00D518FF">
              <w:rPr>
                <w:rFonts w:ascii="Aptos" w:hAnsi="Aptos" w:cs="Arial"/>
                <w:sz w:val="16"/>
                <w:szCs w:val="16"/>
              </w:rPr>
              <w:t>NR</w:t>
            </w:r>
          </w:p>
        </w:tc>
        <w:tc>
          <w:tcPr>
            <w:tcW w:w="1701" w:type="dxa"/>
          </w:tcPr>
          <w:p w14:paraId="44438685" w14:textId="38A0E3EF" w:rsidR="00D010FD" w:rsidRPr="00D518FF" w:rsidRDefault="00D010FD" w:rsidP="00AA72BD">
            <w:pPr>
              <w:rPr>
                <w:rFonts w:ascii="Aptos" w:hAnsi="Aptos" w:cs="Arial"/>
                <w:sz w:val="16"/>
                <w:szCs w:val="16"/>
              </w:rPr>
            </w:pPr>
            <w:r w:rsidRPr="00D518FF">
              <w:rPr>
                <w:rFonts w:ascii="Aptos" w:hAnsi="Aptos" w:cs="Arial"/>
                <w:sz w:val="16"/>
                <w:szCs w:val="16"/>
              </w:rPr>
              <w:t>NR</w:t>
            </w:r>
          </w:p>
        </w:tc>
      </w:tr>
    </w:tbl>
    <w:p w14:paraId="2108B181" w14:textId="6668CA64" w:rsidR="00454E8D" w:rsidRPr="00D518FF" w:rsidRDefault="00F60E69" w:rsidP="00AA72BD">
      <w:pPr>
        <w:pStyle w:val="2024TABLEFOOTER"/>
        <w:spacing w:line="240" w:lineRule="auto"/>
        <w:rPr>
          <w:szCs w:val="16"/>
        </w:rPr>
      </w:pPr>
      <w:r w:rsidRPr="00D518FF">
        <w:rPr>
          <w:rFonts w:cs="Arial"/>
          <w:szCs w:val="16"/>
        </w:rPr>
        <w:t xml:space="preserve"> </w:t>
      </w:r>
      <w:r w:rsidR="00454E8D" w:rsidRPr="00D518FF">
        <w:rPr>
          <w:szCs w:val="16"/>
        </w:rPr>
        <w:t xml:space="preserve">Abbreviations: </w:t>
      </w:r>
      <w:r w:rsidR="002269D9" w:rsidRPr="00D518FF">
        <w:rPr>
          <w:rFonts w:cs="Calibri"/>
          <w:color w:val="000000"/>
          <w:szCs w:val="16"/>
        </w:rPr>
        <w:t>CENTRAL=Cochrane Central Register of Controlled Trials</w:t>
      </w:r>
      <w:r w:rsidR="002269D9" w:rsidRPr="00D518FF">
        <w:rPr>
          <w:szCs w:val="16"/>
        </w:rPr>
        <w:t xml:space="preserve">; </w:t>
      </w:r>
      <w:r w:rsidR="00A9261B" w:rsidRPr="00D518FF">
        <w:rPr>
          <w:szCs w:val="16"/>
        </w:rPr>
        <w:t xml:space="preserve">CINAHL=Cumulative Index of Nursing and Allied Health Literature; </w:t>
      </w:r>
      <w:r w:rsidR="007E338A" w:rsidRPr="00D518FF">
        <w:rPr>
          <w:szCs w:val="16"/>
        </w:rPr>
        <w:t>LEAD=</w:t>
      </w:r>
      <w:r w:rsidR="007E338A" w:rsidRPr="00D518FF">
        <w:t xml:space="preserve"> </w:t>
      </w:r>
      <w:r w:rsidR="007E338A" w:rsidRPr="00D518FF">
        <w:rPr>
          <w:szCs w:val="16"/>
        </w:rPr>
        <w:t>Lower Extremity Arterial Disease</w:t>
      </w:r>
      <w:r w:rsidR="002C0FBD" w:rsidRPr="00D518FF">
        <w:rPr>
          <w:szCs w:val="16"/>
        </w:rPr>
        <w:t xml:space="preserve">, NR=Not reported; </w:t>
      </w:r>
      <w:r w:rsidR="004622EE" w:rsidRPr="00D518FF">
        <w:rPr>
          <w:szCs w:val="16"/>
        </w:rPr>
        <w:t>RCT</w:t>
      </w:r>
      <w:r w:rsidR="002C0FBD" w:rsidRPr="00D518FF">
        <w:rPr>
          <w:szCs w:val="16"/>
        </w:rPr>
        <w:t>=randomised controlled trial, GRADE=Grading of Recommendations Assessment, Development and Evaluation, QoL=quality of life</w:t>
      </w:r>
      <w:r w:rsidR="007E338A" w:rsidRPr="00D518FF">
        <w:rPr>
          <w:szCs w:val="16"/>
        </w:rPr>
        <w:t>, EPA=</w:t>
      </w:r>
      <w:r w:rsidR="007E338A" w:rsidRPr="00D518FF">
        <w:rPr>
          <w:rFonts w:cs="Arial"/>
          <w:szCs w:val="16"/>
        </w:rPr>
        <w:t>eicosapentaenoic acid, docosahexaenoic acid (DHA).</w:t>
      </w:r>
    </w:p>
    <w:p w14:paraId="658E73D5" w14:textId="77777777" w:rsidR="00454E8D" w:rsidRPr="00D518FF" w:rsidRDefault="00454E8D" w:rsidP="00AA72BD">
      <w:pPr>
        <w:pStyle w:val="Caption1"/>
        <w:spacing w:before="0" w:after="0"/>
        <w:rPr>
          <w:rFonts w:ascii="Aptos" w:hAnsi="Aptos"/>
          <w:b w:val="0"/>
          <w:bCs w:val="0"/>
          <w:sz w:val="16"/>
          <w:szCs w:val="16"/>
        </w:rPr>
      </w:pPr>
    </w:p>
    <w:p w14:paraId="24FEA7A5" w14:textId="77777777" w:rsidR="00454E8D" w:rsidRPr="00D518FF" w:rsidRDefault="00454E8D"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2EAE1922" w14:textId="77777777" w:rsidR="0037334B" w:rsidRPr="00D518FF" w:rsidRDefault="0037334B" w:rsidP="003F5774">
      <w:pPr>
        <w:pStyle w:val="ListParagraph"/>
        <w:numPr>
          <w:ilvl w:val="0"/>
          <w:numId w:val="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Blood pressure (systolic, diastolic)</w:t>
      </w:r>
    </w:p>
    <w:p w14:paraId="6806EB17" w14:textId="77777777" w:rsidR="0037334B" w:rsidRPr="00D518FF" w:rsidRDefault="0037334B" w:rsidP="003F5774">
      <w:pPr>
        <w:pStyle w:val="ListParagraph"/>
        <w:numPr>
          <w:ilvl w:val="0"/>
          <w:numId w:val="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6C75C4F8" w14:textId="15D903DB" w:rsidR="0037334B" w:rsidRPr="00D518FF" w:rsidRDefault="0037334B" w:rsidP="003F5774">
      <w:pPr>
        <w:pStyle w:val="ListParagraph"/>
        <w:numPr>
          <w:ilvl w:val="0"/>
          <w:numId w:val="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Cardiovascular events (fatal or non</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fatal myocardial infa</w:t>
      </w:r>
      <w:r w:rsidR="004622EE" w:rsidRPr="00D518FF">
        <w:rPr>
          <w:rFonts w:ascii="Aptos" w:hAnsi="Aptos" w:cs="Arial"/>
          <w:color w:val="000000" w:themeColor="text1"/>
          <w:kern w:val="0"/>
          <w:sz w:val="16"/>
          <w:szCs w:val="16"/>
          <w14:ligatures w14:val="none"/>
        </w:rPr>
        <w:t>RCT</w:t>
      </w:r>
      <w:r w:rsidRPr="00D518FF">
        <w:rPr>
          <w:rFonts w:ascii="Aptos" w:hAnsi="Aptos" w:cs="Arial"/>
          <w:color w:val="000000" w:themeColor="text1"/>
          <w:kern w:val="0"/>
          <w:sz w:val="16"/>
          <w:szCs w:val="16"/>
          <w14:ligatures w14:val="none"/>
        </w:rPr>
        <w:t>ion, excluding heart failure and if possible angina)</w:t>
      </w:r>
    </w:p>
    <w:p w14:paraId="7D124258" w14:textId="77777777" w:rsidR="0037334B" w:rsidRPr="00D518FF" w:rsidRDefault="0037334B" w:rsidP="003F5774">
      <w:pPr>
        <w:pStyle w:val="ListParagraph"/>
        <w:numPr>
          <w:ilvl w:val="0"/>
          <w:numId w:val="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Cerebrovascular events (fatal or non</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fatal strokes, excluding transient ischaemic attacks if possible)</w:t>
      </w:r>
    </w:p>
    <w:p w14:paraId="41C4D29C" w14:textId="3B975B8F" w:rsidR="0037334B" w:rsidRPr="00D518FF" w:rsidRDefault="0037334B" w:rsidP="003F5774">
      <w:pPr>
        <w:pStyle w:val="ListParagraph"/>
        <w:numPr>
          <w:ilvl w:val="0"/>
          <w:numId w:val="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Death from cardiovascular</w:t>
      </w:r>
    </w:p>
    <w:p w14:paraId="44E9DAC2" w14:textId="559E03B5" w:rsidR="0037334B" w:rsidRPr="00B53559" w:rsidRDefault="007316D2" w:rsidP="00B53559">
      <w:pPr>
        <w:pStyle w:val="heading2numbers"/>
        <w:rPr>
          <w:rStyle w:val="Heading1Char"/>
          <w:rFonts w:ascii="Aptos" w:eastAsia="Calibri" w:hAnsi="Aptos"/>
          <w:bCs w:val="0"/>
          <w:color w:val="C00000"/>
          <w:sz w:val="28"/>
          <w:szCs w:val="26"/>
        </w:rPr>
      </w:pPr>
      <w:bookmarkStart w:id="171" w:name="_Toc185254656"/>
      <w:r w:rsidRPr="00B53559">
        <w:rPr>
          <w:rStyle w:val="Heading1Char"/>
          <w:rFonts w:ascii="Aptos" w:eastAsia="Calibri" w:hAnsi="Aptos"/>
          <w:bCs w:val="0"/>
          <w:color w:val="C00000"/>
          <w:sz w:val="28"/>
          <w:szCs w:val="26"/>
        </w:rPr>
        <w:t xml:space="preserve">Fibromyalgia, </w:t>
      </w:r>
      <w:r w:rsidR="00C16441" w:rsidRPr="00B53559">
        <w:rPr>
          <w:rStyle w:val="Heading1Char"/>
          <w:rFonts w:ascii="Aptos" w:eastAsia="Calibri" w:hAnsi="Aptos"/>
          <w:bCs w:val="0"/>
          <w:color w:val="C00000"/>
          <w:sz w:val="28"/>
          <w:szCs w:val="26"/>
        </w:rPr>
        <w:t>m</w:t>
      </w:r>
      <w:r w:rsidRPr="00B53559">
        <w:rPr>
          <w:rStyle w:val="Heading1Char"/>
          <w:rFonts w:ascii="Aptos" w:eastAsia="Calibri" w:hAnsi="Aptos"/>
          <w:bCs w:val="0"/>
          <w:color w:val="C00000"/>
          <w:sz w:val="28"/>
          <w:szCs w:val="26"/>
        </w:rPr>
        <w:t>agnesium</w:t>
      </w:r>
      <w:bookmarkEnd w:id="171"/>
    </w:p>
    <w:p w14:paraId="255074E7" w14:textId="4E81992B" w:rsidR="00A740A6" w:rsidRPr="00D518FF" w:rsidRDefault="0006125A" w:rsidP="0006125A">
      <w:pPr>
        <w:pStyle w:val="Caption"/>
        <w:rPr>
          <w:rFonts w:ascii="Aptos" w:hAnsi="Aptos"/>
        </w:rPr>
      </w:pPr>
      <w:bookmarkStart w:id="172" w:name="_Toc185254567"/>
      <w:r w:rsidRPr="00A6108F">
        <w:rPr>
          <w:rFonts w:ascii="Aptos" w:hAnsi="Aptos"/>
        </w:rPr>
        <w:t xml:space="preserve">Table </w:t>
      </w:r>
      <w:r w:rsidR="00DC4767" w:rsidRPr="00A6108F">
        <w:rPr>
          <w:rFonts w:ascii="Aptos" w:hAnsi="Aptos"/>
        </w:rPr>
        <w:fldChar w:fldCharType="begin" w:fldLock="1"/>
      </w:r>
      <w:r w:rsidR="00DC4767" w:rsidRPr="00A6108F">
        <w:rPr>
          <w:rFonts w:ascii="Aptos" w:hAnsi="Aptos"/>
        </w:rPr>
        <w:instrText xml:space="preserve"> STYLEREF 1 \s </w:instrText>
      </w:r>
      <w:r w:rsidR="00DC4767" w:rsidRPr="00A6108F">
        <w:rPr>
          <w:rFonts w:ascii="Aptos" w:hAnsi="Aptos"/>
        </w:rPr>
        <w:fldChar w:fldCharType="separate"/>
      </w:r>
      <w:r w:rsidR="00DC4767" w:rsidRPr="00A6108F">
        <w:rPr>
          <w:rFonts w:ascii="Aptos" w:hAnsi="Aptos"/>
        </w:rPr>
        <w:t>D</w:t>
      </w:r>
      <w:r w:rsidR="00DC4767" w:rsidRPr="00A6108F">
        <w:rPr>
          <w:rFonts w:ascii="Aptos" w:hAnsi="Aptos"/>
        </w:rPr>
        <w:fldChar w:fldCharType="end"/>
      </w:r>
      <w:r w:rsidR="00DC4767" w:rsidRPr="00A6108F">
        <w:rPr>
          <w:rFonts w:ascii="Aptos" w:hAnsi="Aptos"/>
        </w:rPr>
        <w:noBreakHyphen/>
      </w:r>
      <w:r w:rsidR="00DC4767" w:rsidRPr="00A6108F">
        <w:rPr>
          <w:rFonts w:ascii="Aptos" w:hAnsi="Aptos"/>
        </w:rPr>
        <w:fldChar w:fldCharType="begin"/>
      </w:r>
      <w:r w:rsidR="00DC4767" w:rsidRPr="00A6108F">
        <w:rPr>
          <w:rFonts w:ascii="Aptos" w:hAnsi="Aptos"/>
        </w:rPr>
        <w:instrText xml:space="preserve"> SEQ Table \* ARABIC \s 1 </w:instrText>
      </w:r>
      <w:r w:rsidR="00DC4767" w:rsidRPr="00A6108F">
        <w:rPr>
          <w:rFonts w:ascii="Aptos" w:hAnsi="Aptos"/>
        </w:rPr>
        <w:fldChar w:fldCharType="separate"/>
      </w:r>
      <w:r w:rsidR="00C426C6">
        <w:rPr>
          <w:rFonts w:ascii="Aptos" w:hAnsi="Aptos"/>
          <w:noProof/>
        </w:rPr>
        <w:t>21</w:t>
      </w:r>
      <w:r w:rsidR="00DC4767" w:rsidRPr="00A6108F">
        <w:rPr>
          <w:rFonts w:ascii="Aptos" w:hAnsi="Aptos"/>
        </w:rPr>
        <w:fldChar w:fldCharType="end"/>
      </w:r>
      <w:r w:rsidR="00A740A6" w:rsidRPr="00D518FF">
        <w:rPr>
          <w:rFonts w:ascii="Aptos" w:hAnsi="Aptos"/>
        </w:rPr>
        <w:t>. Citation details of included reviews – fibromyalgia, magnesium (n=3)</w:t>
      </w:r>
      <w:r w:rsidR="00A6108F">
        <w:rPr>
          <w:rFonts w:ascii="Aptos" w:hAnsi="Aptos"/>
        </w:rPr>
        <w:t>.</w:t>
      </w:r>
      <w:bookmarkEnd w:id="172"/>
    </w:p>
    <w:tbl>
      <w:tblPr>
        <w:tblStyle w:val="TableGrid"/>
        <w:tblW w:w="0" w:type="auto"/>
        <w:tblLayout w:type="fixed"/>
        <w:tblCellMar>
          <w:top w:w="28" w:type="dxa"/>
          <w:left w:w="57" w:type="dxa"/>
          <w:bottom w:w="28" w:type="dxa"/>
          <w:right w:w="28" w:type="dxa"/>
        </w:tblCellMar>
        <w:tblLook w:val="04A0" w:firstRow="1" w:lastRow="0" w:firstColumn="1" w:lastColumn="0" w:noHBand="0" w:noVBand="1"/>
      </w:tblPr>
      <w:tblGrid>
        <w:gridCol w:w="1271"/>
        <w:gridCol w:w="3969"/>
        <w:gridCol w:w="2410"/>
        <w:gridCol w:w="567"/>
        <w:gridCol w:w="1559"/>
        <w:gridCol w:w="709"/>
        <w:gridCol w:w="709"/>
        <w:gridCol w:w="992"/>
        <w:gridCol w:w="1984"/>
      </w:tblGrid>
      <w:tr w:rsidR="00A740A6" w:rsidRPr="00D518FF" w14:paraId="02583314" w14:textId="77777777" w:rsidTr="00F6089E">
        <w:trPr>
          <w:trHeight w:val="161"/>
          <w:tblHeader/>
        </w:trPr>
        <w:tc>
          <w:tcPr>
            <w:tcW w:w="1271" w:type="dxa"/>
            <w:shd w:val="clear" w:color="auto" w:fill="D9D9D9" w:themeFill="background1" w:themeFillShade="D9"/>
          </w:tcPr>
          <w:p w14:paraId="1AA176AC"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Review ID</w:t>
            </w:r>
          </w:p>
        </w:tc>
        <w:tc>
          <w:tcPr>
            <w:tcW w:w="3969" w:type="dxa"/>
            <w:shd w:val="clear" w:color="auto" w:fill="D9D9D9" w:themeFill="background1" w:themeFillShade="D9"/>
            <w:noWrap/>
            <w:hideMark/>
          </w:tcPr>
          <w:p w14:paraId="3F52532A"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Title</w:t>
            </w:r>
          </w:p>
        </w:tc>
        <w:tc>
          <w:tcPr>
            <w:tcW w:w="2410" w:type="dxa"/>
            <w:shd w:val="clear" w:color="auto" w:fill="D9D9D9" w:themeFill="background1" w:themeFillShade="D9"/>
            <w:noWrap/>
            <w:hideMark/>
          </w:tcPr>
          <w:p w14:paraId="544D5251"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355BC205"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Year</w:t>
            </w:r>
          </w:p>
        </w:tc>
        <w:tc>
          <w:tcPr>
            <w:tcW w:w="1559" w:type="dxa"/>
            <w:shd w:val="clear" w:color="auto" w:fill="D9D9D9" w:themeFill="background1" w:themeFillShade="D9"/>
            <w:noWrap/>
            <w:hideMark/>
          </w:tcPr>
          <w:p w14:paraId="1C2F166E"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557C40EB"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Volume</w:t>
            </w:r>
          </w:p>
        </w:tc>
        <w:tc>
          <w:tcPr>
            <w:tcW w:w="709" w:type="dxa"/>
            <w:shd w:val="clear" w:color="auto" w:fill="D9D9D9" w:themeFill="background1" w:themeFillShade="D9"/>
            <w:noWrap/>
            <w:hideMark/>
          </w:tcPr>
          <w:p w14:paraId="1AD351BD"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Issue</w:t>
            </w:r>
          </w:p>
        </w:tc>
        <w:tc>
          <w:tcPr>
            <w:tcW w:w="992" w:type="dxa"/>
            <w:shd w:val="clear" w:color="auto" w:fill="D9D9D9" w:themeFill="background1" w:themeFillShade="D9"/>
            <w:noWrap/>
            <w:hideMark/>
          </w:tcPr>
          <w:p w14:paraId="37F37562"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Pages</w:t>
            </w:r>
          </w:p>
        </w:tc>
        <w:tc>
          <w:tcPr>
            <w:tcW w:w="1984" w:type="dxa"/>
            <w:shd w:val="clear" w:color="auto" w:fill="D9D9D9" w:themeFill="background1" w:themeFillShade="D9"/>
            <w:noWrap/>
            <w:hideMark/>
          </w:tcPr>
          <w:p w14:paraId="11EB1383"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DOI</w:t>
            </w:r>
          </w:p>
        </w:tc>
      </w:tr>
      <w:tr w:rsidR="00A740A6" w:rsidRPr="00D518FF" w14:paraId="2126B989" w14:textId="77777777" w:rsidTr="00E77295">
        <w:trPr>
          <w:trHeight w:val="55"/>
        </w:trPr>
        <w:tc>
          <w:tcPr>
            <w:tcW w:w="1271" w:type="dxa"/>
          </w:tcPr>
          <w:p w14:paraId="0CAC395F" w14:textId="77777777" w:rsidR="00A740A6" w:rsidRPr="00D518FF" w:rsidRDefault="00A740A6">
            <w:pPr>
              <w:rPr>
                <w:rFonts w:ascii="Aptos" w:hAnsi="Aptos" w:cs="Arial"/>
                <w:sz w:val="16"/>
                <w:szCs w:val="16"/>
              </w:rPr>
            </w:pPr>
            <w:r w:rsidRPr="00D518FF">
              <w:rPr>
                <w:rFonts w:ascii="Aptos" w:hAnsi="Aptos" w:cs="Arial"/>
                <w:sz w:val="16"/>
                <w:szCs w:val="16"/>
              </w:rPr>
              <w:t>Holdcraft 2003</w:t>
            </w:r>
          </w:p>
        </w:tc>
        <w:tc>
          <w:tcPr>
            <w:tcW w:w="3969" w:type="dxa"/>
          </w:tcPr>
          <w:p w14:paraId="4621A058" w14:textId="77777777" w:rsidR="00A740A6" w:rsidRPr="00D518FF" w:rsidRDefault="00A740A6">
            <w:pPr>
              <w:rPr>
                <w:rFonts w:ascii="Aptos" w:hAnsi="Aptos" w:cs="Arial"/>
                <w:sz w:val="16"/>
                <w:szCs w:val="16"/>
              </w:rPr>
            </w:pPr>
            <w:r w:rsidRPr="00D518FF">
              <w:rPr>
                <w:rFonts w:ascii="Aptos" w:hAnsi="Aptos" w:cs="Arial"/>
                <w:sz w:val="16"/>
                <w:szCs w:val="16"/>
              </w:rPr>
              <w:t>Complementary and alternative medicine in fibromyalgia and related syndromes</w:t>
            </w:r>
          </w:p>
        </w:tc>
        <w:tc>
          <w:tcPr>
            <w:tcW w:w="2410" w:type="dxa"/>
          </w:tcPr>
          <w:p w14:paraId="13112E99" w14:textId="77777777" w:rsidR="00A740A6" w:rsidRPr="00D518FF" w:rsidRDefault="00A740A6">
            <w:pPr>
              <w:rPr>
                <w:rFonts w:ascii="Aptos" w:hAnsi="Aptos" w:cs="Arial"/>
                <w:sz w:val="16"/>
                <w:szCs w:val="16"/>
              </w:rPr>
            </w:pPr>
            <w:r w:rsidRPr="00D518FF">
              <w:rPr>
                <w:rFonts w:ascii="Aptos" w:hAnsi="Aptos" w:cs="Arial"/>
                <w:sz w:val="16"/>
                <w:szCs w:val="16"/>
              </w:rPr>
              <w:t>Holdcraft, L. C.; Assefi, N.; Buchwald, D.</w:t>
            </w:r>
          </w:p>
        </w:tc>
        <w:tc>
          <w:tcPr>
            <w:tcW w:w="567" w:type="dxa"/>
          </w:tcPr>
          <w:p w14:paraId="15355796" w14:textId="77777777" w:rsidR="00A740A6" w:rsidRPr="00D518FF" w:rsidRDefault="00A740A6">
            <w:pPr>
              <w:rPr>
                <w:rFonts w:ascii="Aptos" w:hAnsi="Aptos" w:cs="Arial"/>
                <w:sz w:val="16"/>
                <w:szCs w:val="16"/>
              </w:rPr>
            </w:pPr>
            <w:r w:rsidRPr="00D518FF">
              <w:rPr>
                <w:rFonts w:ascii="Aptos" w:hAnsi="Aptos" w:cs="Arial"/>
                <w:sz w:val="16"/>
                <w:szCs w:val="16"/>
              </w:rPr>
              <w:t>2003</w:t>
            </w:r>
          </w:p>
        </w:tc>
        <w:tc>
          <w:tcPr>
            <w:tcW w:w="1559" w:type="dxa"/>
          </w:tcPr>
          <w:p w14:paraId="3A6DCB37" w14:textId="77777777" w:rsidR="00A740A6" w:rsidRPr="00D518FF" w:rsidRDefault="00A740A6">
            <w:pPr>
              <w:rPr>
                <w:rFonts w:ascii="Aptos" w:hAnsi="Aptos" w:cs="Arial"/>
                <w:sz w:val="16"/>
                <w:szCs w:val="16"/>
              </w:rPr>
            </w:pPr>
            <w:r w:rsidRPr="00D518FF">
              <w:rPr>
                <w:rFonts w:ascii="Aptos" w:hAnsi="Aptos" w:cs="Arial"/>
                <w:sz w:val="16"/>
                <w:szCs w:val="16"/>
              </w:rPr>
              <w:t>Best Practice and Research in Clinical Rheumatology</w:t>
            </w:r>
          </w:p>
        </w:tc>
        <w:tc>
          <w:tcPr>
            <w:tcW w:w="709" w:type="dxa"/>
          </w:tcPr>
          <w:p w14:paraId="2119DFE3" w14:textId="77777777" w:rsidR="00A740A6" w:rsidRPr="00D518FF" w:rsidRDefault="00A740A6">
            <w:pPr>
              <w:rPr>
                <w:rFonts w:ascii="Aptos" w:hAnsi="Aptos" w:cs="Arial"/>
                <w:sz w:val="16"/>
                <w:szCs w:val="16"/>
              </w:rPr>
            </w:pPr>
            <w:r w:rsidRPr="00D518FF">
              <w:rPr>
                <w:rFonts w:ascii="Aptos" w:hAnsi="Aptos" w:cs="Arial"/>
                <w:sz w:val="16"/>
                <w:szCs w:val="16"/>
              </w:rPr>
              <w:t>17</w:t>
            </w:r>
          </w:p>
        </w:tc>
        <w:tc>
          <w:tcPr>
            <w:tcW w:w="709" w:type="dxa"/>
          </w:tcPr>
          <w:p w14:paraId="78AED84F" w14:textId="77777777" w:rsidR="00A740A6" w:rsidRPr="00D518FF" w:rsidRDefault="00A740A6">
            <w:pPr>
              <w:rPr>
                <w:rFonts w:ascii="Aptos" w:hAnsi="Aptos" w:cs="Arial"/>
                <w:sz w:val="16"/>
                <w:szCs w:val="16"/>
              </w:rPr>
            </w:pPr>
            <w:r w:rsidRPr="00D518FF">
              <w:rPr>
                <w:rFonts w:ascii="Aptos" w:hAnsi="Aptos" w:cs="Arial"/>
                <w:sz w:val="16"/>
                <w:szCs w:val="16"/>
              </w:rPr>
              <w:t>4</w:t>
            </w:r>
          </w:p>
        </w:tc>
        <w:tc>
          <w:tcPr>
            <w:tcW w:w="992" w:type="dxa"/>
          </w:tcPr>
          <w:p w14:paraId="66AD4E86" w14:textId="77777777" w:rsidR="00A740A6" w:rsidRPr="00D518FF" w:rsidRDefault="00A740A6">
            <w:pPr>
              <w:rPr>
                <w:rFonts w:ascii="Aptos" w:hAnsi="Aptos" w:cs="Arial"/>
                <w:sz w:val="16"/>
                <w:szCs w:val="16"/>
              </w:rPr>
            </w:pPr>
            <w:r w:rsidRPr="00D518FF">
              <w:rPr>
                <w:rFonts w:ascii="Aptos" w:hAnsi="Aptos" w:cs="Arial"/>
                <w:sz w:val="16"/>
                <w:szCs w:val="16"/>
              </w:rPr>
              <w:t>667-683</w:t>
            </w:r>
          </w:p>
        </w:tc>
        <w:tc>
          <w:tcPr>
            <w:tcW w:w="1984" w:type="dxa"/>
          </w:tcPr>
          <w:p w14:paraId="21AA6663" w14:textId="77777777" w:rsidR="00A740A6" w:rsidRPr="00D518FF" w:rsidRDefault="00A740A6">
            <w:pPr>
              <w:rPr>
                <w:rFonts w:ascii="Aptos" w:hAnsi="Aptos" w:cs="Arial"/>
                <w:sz w:val="16"/>
                <w:szCs w:val="16"/>
              </w:rPr>
            </w:pPr>
            <w:r w:rsidRPr="00D518FF">
              <w:rPr>
                <w:rFonts w:ascii="Aptos" w:hAnsi="Aptos" w:cs="Arial"/>
                <w:sz w:val="16"/>
                <w:szCs w:val="16"/>
              </w:rPr>
              <w:t>https://dx.doi.org/10.1016/S1521-6942%2803%2900037-8</w:t>
            </w:r>
          </w:p>
        </w:tc>
      </w:tr>
      <w:tr w:rsidR="00A740A6" w:rsidRPr="00D518FF" w14:paraId="7592DD0D" w14:textId="77777777" w:rsidTr="00E77295">
        <w:trPr>
          <w:trHeight w:val="55"/>
        </w:trPr>
        <w:tc>
          <w:tcPr>
            <w:tcW w:w="1271" w:type="dxa"/>
          </w:tcPr>
          <w:p w14:paraId="65A880E1" w14:textId="77777777" w:rsidR="00A740A6" w:rsidRPr="00D518FF" w:rsidRDefault="00A740A6">
            <w:pPr>
              <w:rPr>
                <w:rFonts w:ascii="Aptos" w:hAnsi="Aptos" w:cs="Arial"/>
                <w:sz w:val="16"/>
                <w:szCs w:val="16"/>
              </w:rPr>
            </w:pPr>
            <w:r w:rsidRPr="00D518FF">
              <w:rPr>
                <w:rFonts w:ascii="Aptos" w:hAnsi="Aptos" w:cs="Arial"/>
                <w:sz w:val="16"/>
                <w:szCs w:val="16"/>
              </w:rPr>
              <w:t>Porter 2010</w:t>
            </w:r>
          </w:p>
        </w:tc>
        <w:tc>
          <w:tcPr>
            <w:tcW w:w="3969" w:type="dxa"/>
          </w:tcPr>
          <w:p w14:paraId="0C6515DA" w14:textId="77777777" w:rsidR="00A740A6" w:rsidRPr="00D518FF" w:rsidRDefault="00A740A6">
            <w:pPr>
              <w:rPr>
                <w:rFonts w:ascii="Aptos" w:hAnsi="Aptos" w:cs="Arial"/>
                <w:sz w:val="16"/>
                <w:szCs w:val="16"/>
              </w:rPr>
            </w:pPr>
            <w:r w:rsidRPr="00D518FF">
              <w:rPr>
                <w:rFonts w:ascii="Aptos" w:hAnsi="Aptos" w:cs="Arial"/>
                <w:sz w:val="16"/>
                <w:szCs w:val="16"/>
              </w:rPr>
              <w:t>Alternative medical interventions used in the treatment and management of myalgic encephalomyelitis/chronic fatigue syndrome and fibromyalgia</w:t>
            </w:r>
          </w:p>
        </w:tc>
        <w:tc>
          <w:tcPr>
            <w:tcW w:w="2410" w:type="dxa"/>
          </w:tcPr>
          <w:p w14:paraId="1D040511" w14:textId="77777777" w:rsidR="00A740A6" w:rsidRPr="00D518FF" w:rsidRDefault="00A740A6">
            <w:pPr>
              <w:rPr>
                <w:rFonts w:ascii="Aptos" w:hAnsi="Aptos" w:cs="Arial"/>
                <w:sz w:val="16"/>
                <w:szCs w:val="16"/>
              </w:rPr>
            </w:pPr>
            <w:r w:rsidRPr="00D518FF">
              <w:rPr>
                <w:rFonts w:ascii="Aptos" w:hAnsi="Aptos" w:cs="Arial"/>
                <w:sz w:val="16"/>
                <w:szCs w:val="16"/>
              </w:rPr>
              <w:t>Porter, N. S.; Jason, L. A.; Boulton, A.; Bothne, N.; Coleman, B.</w:t>
            </w:r>
          </w:p>
        </w:tc>
        <w:tc>
          <w:tcPr>
            <w:tcW w:w="567" w:type="dxa"/>
          </w:tcPr>
          <w:p w14:paraId="3E4331D8" w14:textId="77777777" w:rsidR="00A740A6" w:rsidRPr="00D518FF" w:rsidRDefault="00A740A6">
            <w:pPr>
              <w:rPr>
                <w:rFonts w:ascii="Aptos" w:hAnsi="Aptos" w:cs="Arial"/>
                <w:sz w:val="16"/>
                <w:szCs w:val="16"/>
              </w:rPr>
            </w:pPr>
            <w:r w:rsidRPr="00D518FF">
              <w:rPr>
                <w:rFonts w:ascii="Aptos" w:hAnsi="Aptos" w:cs="Arial"/>
                <w:sz w:val="16"/>
                <w:szCs w:val="16"/>
              </w:rPr>
              <w:t>2010</w:t>
            </w:r>
          </w:p>
        </w:tc>
        <w:tc>
          <w:tcPr>
            <w:tcW w:w="1559" w:type="dxa"/>
          </w:tcPr>
          <w:p w14:paraId="32DC0F0D" w14:textId="77777777" w:rsidR="00A740A6" w:rsidRPr="00D518FF" w:rsidRDefault="00A740A6">
            <w:pPr>
              <w:rPr>
                <w:rFonts w:ascii="Aptos" w:hAnsi="Aptos" w:cs="Arial"/>
                <w:sz w:val="16"/>
                <w:szCs w:val="16"/>
              </w:rPr>
            </w:pPr>
            <w:r w:rsidRPr="00D518FF">
              <w:rPr>
                <w:rFonts w:ascii="Aptos" w:hAnsi="Aptos" w:cs="Arial"/>
                <w:sz w:val="16"/>
                <w:szCs w:val="16"/>
              </w:rPr>
              <w:t>Journal of Alternative and Complementary Medicine</w:t>
            </w:r>
          </w:p>
        </w:tc>
        <w:tc>
          <w:tcPr>
            <w:tcW w:w="709" w:type="dxa"/>
          </w:tcPr>
          <w:p w14:paraId="3F3A288F" w14:textId="77777777" w:rsidR="00A740A6" w:rsidRPr="00D518FF" w:rsidRDefault="00A740A6">
            <w:pPr>
              <w:rPr>
                <w:rFonts w:ascii="Aptos" w:hAnsi="Aptos" w:cs="Arial"/>
                <w:sz w:val="16"/>
                <w:szCs w:val="16"/>
              </w:rPr>
            </w:pPr>
            <w:r w:rsidRPr="00D518FF">
              <w:rPr>
                <w:rFonts w:ascii="Aptos" w:hAnsi="Aptos" w:cs="Arial"/>
                <w:sz w:val="16"/>
                <w:szCs w:val="16"/>
              </w:rPr>
              <w:t>16</w:t>
            </w:r>
          </w:p>
        </w:tc>
        <w:tc>
          <w:tcPr>
            <w:tcW w:w="709" w:type="dxa"/>
          </w:tcPr>
          <w:p w14:paraId="3532D0B0" w14:textId="77777777" w:rsidR="00A740A6" w:rsidRPr="00D518FF" w:rsidRDefault="00A740A6">
            <w:pPr>
              <w:rPr>
                <w:rFonts w:ascii="Aptos" w:hAnsi="Aptos" w:cs="Arial"/>
                <w:sz w:val="16"/>
                <w:szCs w:val="16"/>
              </w:rPr>
            </w:pPr>
            <w:r w:rsidRPr="00D518FF">
              <w:rPr>
                <w:rFonts w:ascii="Aptos" w:hAnsi="Aptos" w:cs="Arial"/>
                <w:sz w:val="16"/>
                <w:szCs w:val="16"/>
              </w:rPr>
              <w:t>3</w:t>
            </w:r>
          </w:p>
        </w:tc>
        <w:tc>
          <w:tcPr>
            <w:tcW w:w="992" w:type="dxa"/>
          </w:tcPr>
          <w:p w14:paraId="797CC880" w14:textId="77777777" w:rsidR="00A740A6" w:rsidRPr="00D518FF" w:rsidRDefault="00A740A6">
            <w:pPr>
              <w:rPr>
                <w:rFonts w:ascii="Aptos" w:hAnsi="Aptos" w:cs="Arial"/>
                <w:sz w:val="16"/>
                <w:szCs w:val="16"/>
              </w:rPr>
            </w:pPr>
            <w:r w:rsidRPr="00D518FF">
              <w:rPr>
                <w:rFonts w:ascii="Aptos" w:hAnsi="Aptos" w:cs="Arial"/>
                <w:sz w:val="16"/>
                <w:szCs w:val="16"/>
              </w:rPr>
              <w:t>235-249</w:t>
            </w:r>
          </w:p>
        </w:tc>
        <w:tc>
          <w:tcPr>
            <w:tcW w:w="1984" w:type="dxa"/>
          </w:tcPr>
          <w:p w14:paraId="4324CB2A" w14:textId="77777777" w:rsidR="00A740A6" w:rsidRPr="00D518FF" w:rsidRDefault="00A740A6">
            <w:pPr>
              <w:rPr>
                <w:rFonts w:ascii="Aptos" w:hAnsi="Aptos" w:cs="Arial"/>
                <w:sz w:val="16"/>
                <w:szCs w:val="16"/>
              </w:rPr>
            </w:pPr>
            <w:r w:rsidRPr="00D518FF">
              <w:rPr>
                <w:rFonts w:ascii="Aptos" w:hAnsi="Aptos" w:cs="Arial"/>
                <w:sz w:val="16"/>
                <w:szCs w:val="16"/>
              </w:rPr>
              <w:t>https://dx.doi.org/10.1089/acm.2008.0376</w:t>
            </w:r>
          </w:p>
        </w:tc>
      </w:tr>
      <w:tr w:rsidR="00A740A6" w:rsidRPr="00D518FF" w14:paraId="6D63E583" w14:textId="77777777" w:rsidTr="00A6108F">
        <w:trPr>
          <w:trHeight w:val="55"/>
        </w:trPr>
        <w:tc>
          <w:tcPr>
            <w:tcW w:w="1271" w:type="dxa"/>
            <w:shd w:val="clear" w:color="auto" w:fill="EFFFE9"/>
          </w:tcPr>
          <w:p w14:paraId="1E3730EA" w14:textId="77777777" w:rsidR="00A740A6" w:rsidRPr="00D518FF" w:rsidRDefault="00A740A6">
            <w:pPr>
              <w:rPr>
                <w:rFonts w:ascii="Aptos" w:hAnsi="Aptos" w:cs="Arial"/>
                <w:sz w:val="16"/>
                <w:szCs w:val="16"/>
              </w:rPr>
            </w:pPr>
            <w:r w:rsidRPr="00D518FF">
              <w:rPr>
                <w:rFonts w:ascii="Aptos" w:hAnsi="Aptos" w:cs="Arial"/>
                <w:sz w:val="16"/>
                <w:szCs w:val="16"/>
              </w:rPr>
              <w:t>Thorpe 2018</w:t>
            </w:r>
          </w:p>
        </w:tc>
        <w:tc>
          <w:tcPr>
            <w:tcW w:w="3969" w:type="dxa"/>
            <w:shd w:val="clear" w:color="auto" w:fill="EFFFE9"/>
          </w:tcPr>
          <w:p w14:paraId="465C37C8" w14:textId="77777777" w:rsidR="00A740A6" w:rsidRPr="00D518FF" w:rsidRDefault="00A740A6">
            <w:pPr>
              <w:rPr>
                <w:rFonts w:ascii="Aptos" w:hAnsi="Aptos" w:cs="Arial"/>
                <w:sz w:val="16"/>
                <w:szCs w:val="16"/>
              </w:rPr>
            </w:pPr>
            <w:r w:rsidRPr="00D518FF">
              <w:rPr>
                <w:rFonts w:ascii="Aptos" w:hAnsi="Aptos" w:cs="Arial"/>
                <w:sz w:val="16"/>
                <w:szCs w:val="16"/>
              </w:rPr>
              <w:t>Combination pharmacotherapy for the treatment of fibromyalgia in adults</w:t>
            </w:r>
          </w:p>
        </w:tc>
        <w:tc>
          <w:tcPr>
            <w:tcW w:w="2410" w:type="dxa"/>
            <w:shd w:val="clear" w:color="auto" w:fill="EFFFE9"/>
          </w:tcPr>
          <w:p w14:paraId="5AD4C507" w14:textId="77777777" w:rsidR="00A740A6" w:rsidRPr="00D518FF" w:rsidRDefault="00A740A6">
            <w:pPr>
              <w:rPr>
                <w:rFonts w:ascii="Aptos" w:hAnsi="Aptos" w:cs="Arial"/>
                <w:sz w:val="16"/>
                <w:szCs w:val="16"/>
              </w:rPr>
            </w:pPr>
            <w:r w:rsidRPr="00D518FF">
              <w:rPr>
                <w:rFonts w:ascii="Aptos" w:hAnsi="Aptos" w:cs="Arial"/>
                <w:sz w:val="16"/>
                <w:szCs w:val="16"/>
              </w:rPr>
              <w:t>Thorpe, J.; Shum, B.; Moore, R. A.; Wiffen, P. J.; Gilron, I.</w:t>
            </w:r>
          </w:p>
        </w:tc>
        <w:tc>
          <w:tcPr>
            <w:tcW w:w="567" w:type="dxa"/>
            <w:shd w:val="clear" w:color="auto" w:fill="EFFFE9"/>
          </w:tcPr>
          <w:p w14:paraId="2F97816C" w14:textId="77777777" w:rsidR="00A740A6" w:rsidRPr="00D518FF" w:rsidRDefault="00A740A6">
            <w:pPr>
              <w:rPr>
                <w:rFonts w:ascii="Aptos" w:hAnsi="Aptos" w:cs="Arial"/>
                <w:sz w:val="16"/>
                <w:szCs w:val="16"/>
              </w:rPr>
            </w:pPr>
            <w:r w:rsidRPr="00D518FF">
              <w:rPr>
                <w:rFonts w:ascii="Aptos" w:hAnsi="Aptos" w:cs="Arial"/>
                <w:sz w:val="16"/>
                <w:szCs w:val="16"/>
              </w:rPr>
              <w:t>2018</w:t>
            </w:r>
          </w:p>
        </w:tc>
        <w:tc>
          <w:tcPr>
            <w:tcW w:w="1559" w:type="dxa"/>
            <w:shd w:val="clear" w:color="auto" w:fill="EFFFE9"/>
          </w:tcPr>
          <w:p w14:paraId="624CEAF1" w14:textId="77777777" w:rsidR="00A740A6" w:rsidRPr="00D518FF" w:rsidRDefault="00A740A6">
            <w:pPr>
              <w:rPr>
                <w:rFonts w:ascii="Aptos" w:hAnsi="Aptos" w:cs="Arial"/>
                <w:sz w:val="16"/>
                <w:szCs w:val="16"/>
              </w:rPr>
            </w:pPr>
            <w:r w:rsidRPr="00D518FF">
              <w:rPr>
                <w:rFonts w:ascii="Aptos" w:hAnsi="Aptos" w:cs="Arial"/>
                <w:sz w:val="16"/>
                <w:szCs w:val="16"/>
              </w:rPr>
              <w:t>The Cochrane database of systematic reviews</w:t>
            </w:r>
          </w:p>
        </w:tc>
        <w:tc>
          <w:tcPr>
            <w:tcW w:w="709" w:type="dxa"/>
            <w:shd w:val="clear" w:color="auto" w:fill="EFFFE9"/>
          </w:tcPr>
          <w:p w14:paraId="3BDE102B" w14:textId="77777777" w:rsidR="00A740A6" w:rsidRPr="00D518FF" w:rsidRDefault="00A740A6">
            <w:pPr>
              <w:rPr>
                <w:rFonts w:ascii="Aptos" w:hAnsi="Aptos" w:cs="Arial"/>
                <w:sz w:val="16"/>
                <w:szCs w:val="16"/>
              </w:rPr>
            </w:pPr>
            <w:r w:rsidRPr="00D518FF">
              <w:rPr>
                <w:rFonts w:ascii="Aptos" w:hAnsi="Aptos" w:cs="Arial"/>
                <w:sz w:val="16"/>
                <w:szCs w:val="16"/>
              </w:rPr>
              <w:t>2</w:t>
            </w:r>
          </w:p>
        </w:tc>
        <w:tc>
          <w:tcPr>
            <w:tcW w:w="709" w:type="dxa"/>
            <w:shd w:val="clear" w:color="auto" w:fill="EFFFE9"/>
          </w:tcPr>
          <w:p w14:paraId="511F1BAF" w14:textId="77777777" w:rsidR="00A740A6" w:rsidRPr="00D518FF" w:rsidRDefault="00A740A6">
            <w:pPr>
              <w:rPr>
                <w:rFonts w:ascii="Aptos" w:hAnsi="Aptos" w:cs="Arial"/>
                <w:sz w:val="16"/>
                <w:szCs w:val="16"/>
              </w:rPr>
            </w:pPr>
          </w:p>
        </w:tc>
        <w:tc>
          <w:tcPr>
            <w:tcW w:w="992" w:type="dxa"/>
            <w:shd w:val="clear" w:color="auto" w:fill="EFFFE9"/>
          </w:tcPr>
          <w:p w14:paraId="3175EF27" w14:textId="77777777" w:rsidR="00A740A6" w:rsidRPr="00D518FF" w:rsidRDefault="00A740A6">
            <w:pPr>
              <w:rPr>
                <w:rFonts w:ascii="Aptos" w:hAnsi="Aptos" w:cs="Arial"/>
                <w:sz w:val="16"/>
                <w:szCs w:val="16"/>
              </w:rPr>
            </w:pPr>
            <w:r w:rsidRPr="00D518FF">
              <w:rPr>
                <w:rFonts w:ascii="Aptos" w:hAnsi="Aptos" w:cs="Arial"/>
                <w:sz w:val="16"/>
                <w:szCs w:val="16"/>
              </w:rPr>
              <w:t>CD010585</w:t>
            </w:r>
          </w:p>
        </w:tc>
        <w:tc>
          <w:tcPr>
            <w:tcW w:w="1984" w:type="dxa"/>
            <w:shd w:val="clear" w:color="auto" w:fill="EFFFE9"/>
          </w:tcPr>
          <w:p w14:paraId="14647832" w14:textId="77777777" w:rsidR="00A740A6" w:rsidRPr="00D518FF" w:rsidRDefault="00A740A6">
            <w:pPr>
              <w:rPr>
                <w:rFonts w:ascii="Aptos" w:hAnsi="Aptos" w:cs="Arial"/>
                <w:sz w:val="16"/>
                <w:szCs w:val="16"/>
              </w:rPr>
            </w:pPr>
            <w:r w:rsidRPr="00D518FF">
              <w:rPr>
                <w:rFonts w:ascii="Aptos" w:hAnsi="Aptos" w:cs="Arial"/>
                <w:sz w:val="16"/>
                <w:szCs w:val="16"/>
              </w:rPr>
              <w:t>10.1002/14651858.CD010585.pub2</w:t>
            </w:r>
          </w:p>
        </w:tc>
      </w:tr>
    </w:tbl>
    <w:p w14:paraId="2C68BA24" w14:textId="77777777" w:rsidR="00A740A6" w:rsidRPr="00D518FF" w:rsidRDefault="00A740A6" w:rsidP="00A740A6">
      <w:pPr>
        <w:pStyle w:val="2024TABLECAPTION"/>
        <w:spacing w:before="120"/>
        <w:rPr>
          <w:rFonts w:ascii="Aptos" w:hAnsi="Aptos"/>
        </w:rPr>
      </w:pPr>
    </w:p>
    <w:p w14:paraId="5A7A0C7B" w14:textId="02462047" w:rsidR="0037334B" w:rsidRPr="00D518FF" w:rsidRDefault="0006125A" w:rsidP="004C6AA1">
      <w:pPr>
        <w:pStyle w:val="Caption"/>
        <w:spacing w:before="240"/>
        <w:rPr>
          <w:rFonts w:ascii="Aptos" w:hAnsi="Aptos"/>
        </w:rPr>
      </w:pPr>
      <w:bookmarkStart w:id="173" w:name="_Toc185254568"/>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22</w:t>
      </w:r>
      <w:r w:rsidR="00DC4767" w:rsidRPr="004C6AA1">
        <w:rPr>
          <w:rFonts w:ascii="Aptos" w:hAnsi="Aptos"/>
        </w:rPr>
        <w:fldChar w:fldCharType="end"/>
      </w:r>
      <w:r w:rsidR="0037334B" w:rsidRPr="00D518FF">
        <w:rPr>
          <w:rFonts w:ascii="Aptos" w:hAnsi="Aptos"/>
        </w:rPr>
        <w:t xml:space="preserve">. </w:t>
      </w:r>
      <w:r w:rsidR="00A6108F" w:rsidRPr="00D518FF">
        <w:rPr>
          <w:rFonts w:ascii="Aptos" w:hAnsi="Aptos"/>
        </w:rPr>
        <w:t xml:space="preserve">Characteristics of included reviews – </w:t>
      </w:r>
      <w:r w:rsidR="00A6108F">
        <w:rPr>
          <w:rFonts w:ascii="Aptos" w:hAnsi="Aptos"/>
        </w:rPr>
        <w:t>f</w:t>
      </w:r>
      <w:r w:rsidR="00F330F7" w:rsidRPr="00D518FF">
        <w:rPr>
          <w:rFonts w:ascii="Aptos" w:hAnsi="Aptos"/>
        </w:rPr>
        <w:t xml:space="preserve">ibromyalgia, </w:t>
      </w:r>
      <w:r w:rsidR="00C16441" w:rsidRPr="00D518FF">
        <w:rPr>
          <w:rFonts w:ascii="Aptos" w:hAnsi="Aptos"/>
        </w:rPr>
        <w:t>m</w:t>
      </w:r>
      <w:r w:rsidR="00F330F7" w:rsidRPr="00D518FF">
        <w:rPr>
          <w:rFonts w:ascii="Aptos" w:hAnsi="Aptos"/>
        </w:rPr>
        <w:t>agnesium</w:t>
      </w:r>
      <w:r w:rsidR="00A6108F">
        <w:rPr>
          <w:rFonts w:ascii="Aptos" w:hAnsi="Aptos"/>
        </w:rPr>
        <w:t xml:space="preserve"> (n=3).</w:t>
      </w:r>
      <w:bookmarkEnd w:id="173"/>
    </w:p>
    <w:tbl>
      <w:tblPr>
        <w:tblStyle w:val="TableGrid"/>
        <w:tblW w:w="14170" w:type="dxa"/>
        <w:tblLayout w:type="fixed"/>
        <w:tblCellMar>
          <w:top w:w="28" w:type="dxa"/>
          <w:left w:w="57" w:type="dxa"/>
          <w:bottom w:w="28" w:type="dxa"/>
          <w:right w:w="0" w:type="dxa"/>
        </w:tblCellMar>
        <w:tblLook w:val="04A0" w:firstRow="1" w:lastRow="0" w:firstColumn="1" w:lastColumn="0" w:noHBand="0" w:noVBand="1"/>
      </w:tblPr>
      <w:tblGrid>
        <w:gridCol w:w="764"/>
        <w:gridCol w:w="1047"/>
        <w:gridCol w:w="2295"/>
        <w:gridCol w:w="851"/>
        <w:gridCol w:w="850"/>
        <w:gridCol w:w="851"/>
        <w:gridCol w:w="1559"/>
        <w:gridCol w:w="709"/>
        <w:gridCol w:w="992"/>
        <w:gridCol w:w="850"/>
        <w:gridCol w:w="851"/>
        <w:gridCol w:w="992"/>
        <w:gridCol w:w="1559"/>
      </w:tblGrid>
      <w:tr w:rsidR="0037334B" w:rsidRPr="00D518FF" w14:paraId="192C2966" w14:textId="77777777" w:rsidTr="00F614C8">
        <w:trPr>
          <w:trHeight w:val="160"/>
        </w:trPr>
        <w:tc>
          <w:tcPr>
            <w:tcW w:w="764" w:type="dxa"/>
            <w:vMerge w:val="restart"/>
            <w:shd w:val="clear" w:color="auto" w:fill="D9D9D9" w:themeFill="background1" w:themeFillShade="D9"/>
          </w:tcPr>
          <w:p w14:paraId="173DB9E1"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Review ID</w:t>
            </w:r>
          </w:p>
        </w:tc>
        <w:tc>
          <w:tcPr>
            <w:tcW w:w="5043" w:type="dxa"/>
            <w:gridSpan w:val="4"/>
            <w:shd w:val="clear" w:color="auto" w:fill="D9D9D9" w:themeFill="background1" w:themeFillShade="D9"/>
          </w:tcPr>
          <w:p w14:paraId="3610B57F"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Review details</w:t>
            </w:r>
          </w:p>
        </w:tc>
        <w:tc>
          <w:tcPr>
            <w:tcW w:w="4111" w:type="dxa"/>
            <w:gridSpan w:val="4"/>
            <w:shd w:val="clear" w:color="auto" w:fill="D9D9D9" w:themeFill="background1" w:themeFillShade="D9"/>
          </w:tcPr>
          <w:p w14:paraId="3A0F8AED"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Search details</w:t>
            </w:r>
          </w:p>
        </w:tc>
        <w:tc>
          <w:tcPr>
            <w:tcW w:w="1701" w:type="dxa"/>
            <w:gridSpan w:val="2"/>
            <w:shd w:val="clear" w:color="auto" w:fill="D9D9D9" w:themeFill="background1" w:themeFillShade="D9"/>
          </w:tcPr>
          <w:p w14:paraId="01516C03"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Quality assessment</w:t>
            </w:r>
          </w:p>
        </w:tc>
        <w:tc>
          <w:tcPr>
            <w:tcW w:w="2551" w:type="dxa"/>
            <w:gridSpan w:val="2"/>
            <w:shd w:val="clear" w:color="auto" w:fill="D9D9D9" w:themeFill="background1" w:themeFillShade="D9"/>
          </w:tcPr>
          <w:p w14:paraId="2BA94E43"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Other</w:t>
            </w:r>
          </w:p>
        </w:tc>
      </w:tr>
      <w:tr w:rsidR="001F2487" w:rsidRPr="00D518FF" w14:paraId="1F318234" w14:textId="77777777" w:rsidTr="00F614C8">
        <w:trPr>
          <w:trHeight w:val="160"/>
        </w:trPr>
        <w:tc>
          <w:tcPr>
            <w:tcW w:w="764" w:type="dxa"/>
            <w:vMerge/>
            <w:shd w:val="clear" w:color="auto" w:fill="D9D9D9" w:themeFill="background1" w:themeFillShade="D9"/>
          </w:tcPr>
          <w:p w14:paraId="4E3CF0DA" w14:textId="77777777" w:rsidR="0037334B" w:rsidRPr="00D518FF" w:rsidRDefault="0037334B" w:rsidP="00AA72BD">
            <w:pPr>
              <w:pStyle w:val="Caption1"/>
              <w:spacing w:before="0" w:after="0"/>
              <w:rPr>
                <w:rFonts w:ascii="Aptos" w:hAnsi="Aptos"/>
                <w:sz w:val="16"/>
                <w:szCs w:val="16"/>
              </w:rPr>
            </w:pPr>
          </w:p>
        </w:tc>
        <w:tc>
          <w:tcPr>
            <w:tcW w:w="1047" w:type="dxa"/>
            <w:shd w:val="clear" w:color="auto" w:fill="D9D9D9" w:themeFill="background1" w:themeFillShade="D9"/>
          </w:tcPr>
          <w:p w14:paraId="12F0C5A2"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Review design</w:t>
            </w:r>
          </w:p>
        </w:tc>
        <w:tc>
          <w:tcPr>
            <w:tcW w:w="2295" w:type="dxa"/>
            <w:shd w:val="clear" w:color="auto" w:fill="D9D9D9" w:themeFill="background1" w:themeFillShade="D9"/>
          </w:tcPr>
          <w:p w14:paraId="39DA9F55"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Aim of the review (as reported by the SR)</w:t>
            </w:r>
          </w:p>
        </w:tc>
        <w:tc>
          <w:tcPr>
            <w:tcW w:w="851" w:type="dxa"/>
            <w:shd w:val="clear" w:color="auto" w:fill="D9D9D9" w:themeFill="background1" w:themeFillShade="D9"/>
          </w:tcPr>
          <w:p w14:paraId="131F64A9"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Types of studies included</w:t>
            </w:r>
          </w:p>
        </w:tc>
        <w:tc>
          <w:tcPr>
            <w:tcW w:w="850" w:type="dxa"/>
            <w:shd w:val="clear" w:color="auto" w:fill="D9D9D9" w:themeFill="background1" w:themeFillShade="D9"/>
          </w:tcPr>
          <w:p w14:paraId="366566A3" w14:textId="139A8B0B"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Outcomes relevant to the Overvie</w:t>
            </w:r>
            <w:r w:rsidR="006E40AB" w:rsidRPr="00D518FF">
              <w:rPr>
                <w:rFonts w:ascii="Aptos" w:hAnsi="Aptos"/>
                <w:sz w:val="16"/>
                <w:szCs w:val="16"/>
              </w:rPr>
              <w:t>w</w:t>
            </w:r>
            <w:r w:rsidRPr="00D518FF">
              <w:rPr>
                <w:rFonts w:ascii="Aptos" w:hAnsi="Aptos"/>
                <w:sz w:val="16"/>
                <w:szCs w:val="16"/>
              </w:rPr>
              <w:t>^</w:t>
            </w:r>
          </w:p>
        </w:tc>
        <w:tc>
          <w:tcPr>
            <w:tcW w:w="851" w:type="dxa"/>
            <w:shd w:val="clear" w:color="auto" w:fill="D9D9D9" w:themeFill="background1" w:themeFillShade="D9"/>
          </w:tcPr>
          <w:p w14:paraId="6B1F3A61"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 of databases searched</w:t>
            </w:r>
          </w:p>
        </w:tc>
        <w:tc>
          <w:tcPr>
            <w:tcW w:w="1559" w:type="dxa"/>
            <w:shd w:val="clear" w:color="auto" w:fill="D9D9D9" w:themeFill="background1" w:themeFillShade="D9"/>
          </w:tcPr>
          <w:p w14:paraId="280F79CD"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Names of databases searched</w:t>
            </w:r>
          </w:p>
        </w:tc>
        <w:tc>
          <w:tcPr>
            <w:tcW w:w="709" w:type="dxa"/>
            <w:shd w:val="clear" w:color="auto" w:fill="D9D9D9" w:themeFill="background1" w:themeFillShade="D9"/>
          </w:tcPr>
          <w:p w14:paraId="74C069C9"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Date of last search</w:t>
            </w:r>
          </w:p>
        </w:tc>
        <w:tc>
          <w:tcPr>
            <w:tcW w:w="992" w:type="dxa"/>
            <w:shd w:val="clear" w:color="auto" w:fill="D9D9D9" w:themeFill="background1" w:themeFillShade="D9"/>
          </w:tcPr>
          <w:p w14:paraId="14A74CB1"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 xml:space="preserve">Search restrictions </w:t>
            </w:r>
          </w:p>
        </w:tc>
        <w:tc>
          <w:tcPr>
            <w:tcW w:w="850" w:type="dxa"/>
            <w:shd w:val="clear" w:color="auto" w:fill="D9D9D9" w:themeFill="background1" w:themeFillShade="D9"/>
          </w:tcPr>
          <w:p w14:paraId="7135E1C3"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RoB tool used</w:t>
            </w:r>
          </w:p>
        </w:tc>
        <w:tc>
          <w:tcPr>
            <w:tcW w:w="851" w:type="dxa"/>
            <w:shd w:val="clear" w:color="auto" w:fill="D9D9D9" w:themeFill="background1" w:themeFillShade="D9"/>
          </w:tcPr>
          <w:p w14:paraId="3B22F046"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Certainty of evidence reported</w:t>
            </w:r>
          </w:p>
        </w:tc>
        <w:tc>
          <w:tcPr>
            <w:tcW w:w="992" w:type="dxa"/>
            <w:shd w:val="clear" w:color="auto" w:fill="D9D9D9" w:themeFill="background1" w:themeFillShade="D9"/>
          </w:tcPr>
          <w:p w14:paraId="46687FA0"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Conflicts of interest</w:t>
            </w:r>
          </w:p>
        </w:tc>
        <w:tc>
          <w:tcPr>
            <w:tcW w:w="1559" w:type="dxa"/>
            <w:shd w:val="clear" w:color="auto" w:fill="D9D9D9" w:themeFill="background1" w:themeFillShade="D9"/>
          </w:tcPr>
          <w:p w14:paraId="31F500EE" w14:textId="77777777" w:rsidR="0037334B" w:rsidRPr="00D518FF" w:rsidRDefault="0037334B" w:rsidP="00AA72BD">
            <w:pPr>
              <w:pStyle w:val="Caption1"/>
              <w:spacing w:before="0" w:after="0"/>
              <w:rPr>
                <w:rFonts w:ascii="Aptos" w:hAnsi="Aptos"/>
                <w:sz w:val="16"/>
                <w:szCs w:val="16"/>
              </w:rPr>
            </w:pPr>
            <w:r w:rsidRPr="00D518FF">
              <w:rPr>
                <w:rFonts w:ascii="Aptos" w:hAnsi="Aptos"/>
                <w:sz w:val="16"/>
                <w:szCs w:val="16"/>
              </w:rPr>
              <w:t>Funding sources</w:t>
            </w:r>
          </w:p>
        </w:tc>
      </w:tr>
      <w:tr w:rsidR="001F2487" w:rsidRPr="00D518FF" w14:paraId="0B638B77" w14:textId="77777777" w:rsidTr="00F614C8">
        <w:trPr>
          <w:trHeight w:val="340"/>
        </w:trPr>
        <w:tc>
          <w:tcPr>
            <w:tcW w:w="764" w:type="dxa"/>
          </w:tcPr>
          <w:p w14:paraId="495CD344" w14:textId="5C1D66C3" w:rsidR="00D2410C" w:rsidRPr="00D518FF" w:rsidRDefault="00D2410C" w:rsidP="00AA72BD">
            <w:pPr>
              <w:rPr>
                <w:rFonts w:ascii="Aptos" w:hAnsi="Aptos" w:cs="Arial"/>
                <w:sz w:val="16"/>
                <w:szCs w:val="16"/>
              </w:rPr>
            </w:pPr>
            <w:r w:rsidRPr="00D518FF">
              <w:rPr>
                <w:rFonts w:ascii="Aptos" w:hAnsi="Aptos" w:cs="Arial"/>
                <w:sz w:val="16"/>
                <w:szCs w:val="16"/>
              </w:rPr>
              <w:t>Holdcraft 2003</w:t>
            </w:r>
          </w:p>
        </w:tc>
        <w:tc>
          <w:tcPr>
            <w:tcW w:w="1047" w:type="dxa"/>
          </w:tcPr>
          <w:p w14:paraId="0921B165" w14:textId="1C5BC334" w:rsidR="00D2410C" w:rsidRPr="00D518FF" w:rsidRDefault="00D2410C" w:rsidP="00AA72BD">
            <w:pPr>
              <w:rPr>
                <w:rFonts w:ascii="Aptos" w:hAnsi="Aptos" w:cs="Arial"/>
                <w:sz w:val="16"/>
                <w:szCs w:val="16"/>
              </w:rPr>
            </w:pPr>
            <w:r w:rsidRPr="00D518FF">
              <w:rPr>
                <w:rFonts w:ascii="Aptos" w:hAnsi="Aptos" w:cs="Arial"/>
                <w:sz w:val="16"/>
                <w:szCs w:val="16"/>
              </w:rPr>
              <w:t>Systematic review</w:t>
            </w:r>
          </w:p>
        </w:tc>
        <w:tc>
          <w:tcPr>
            <w:tcW w:w="2295" w:type="dxa"/>
          </w:tcPr>
          <w:p w14:paraId="6C9F336D" w14:textId="76C2BE01" w:rsidR="00D2410C" w:rsidRPr="00D518FF" w:rsidRDefault="00D2410C" w:rsidP="00AA72BD">
            <w:pPr>
              <w:rPr>
                <w:rFonts w:ascii="Aptos" w:hAnsi="Aptos" w:cs="Arial"/>
                <w:sz w:val="16"/>
                <w:szCs w:val="16"/>
              </w:rPr>
            </w:pPr>
            <w:r w:rsidRPr="00D518FF">
              <w:rPr>
                <w:rFonts w:ascii="Aptos" w:hAnsi="Aptos" w:cs="Arial"/>
                <w:sz w:val="16"/>
                <w:szCs w:val="16"/>
              </w:rPr>
              <w:t>Complementary and alternative medicine (CAM) has gained increasing popularity, particularly among individuals with fibromyalgia syndrome (FMS) for which traditional medicine has generally been ineffective. A systematic review of randomized controlled trials (</w:t>
            </w:r>
            <w:r w:rsidR="004622EE" w:rsidRPr="00D518FF">
              <w:rPr>
                <w:rFonts w:ascii="Aptos" w:hAnsi="Aptos" w:cs="Arial"/>
                <w:sz w:val="16"/>
                <w:szCs w:val="16"/>
              </w:rPr>
              <w:t>RCT</w:t>
            </w:r>
            <w:r w:rsidRPr="00D518FF">
              <w:rPr>
                <w:rFonts w:ascii="Aptos" w:hAnsi="Aptos" w:cs="Arial"/>
                <w:sz w:val="16"/>
                <w:szCs w:val="16"/>
              </w:rPr>
              <w:t>s) and non-</w:t>
            </w:r>
            <w:r w:rsidR="004622EE" w:rsidRPr="00D518FF">
              <w:rPr>
                <w:rFonts w:ascii="Aptos" w:hAnsi="Aptos" w:cs="Arial"/>
                <w:sz w:val="16"/>
                <w:szCs w:val="16"/>
              </w:rPr>
              <w:t>RCT</w:t>
            </w:r>
            <w:r w:rsidRPr="00D518FF">
              <w:rPr>
                <w:rFonts w:ascii="Aptos" w:hAnsi="Aptos" w:cs="Arial"/>
                <w:sz w:val="16"/>
                <w:szCs w:val="16"/>
              </w:rPr>
              <w:t>s on CAM studies for FMS was conducted to evaluate the empirical evidence for their effectiveness.</w:t>
            </w:r>
          </w:p>
        </w:tc>
        <w:tc>
          <w:tcPr>
            <w:tcW w:w="851" w:type="dxa"/>
          </w:tcPr>
          <w:p w14:paraId="3284BE3B" w14:textId="41792D81" w:rsidR="00D2410C" w:rsidRPr="00D518FF" w:rsidRDefault="004622EE" w:rsidP="00AA72BD">
            <w:pPr>
              <w:rPr>
                <w:rFonts w:ascii="Aptos" w:hAnsi="Aptos" w:cs="Arial"/>
                <w:sz w:val="16"/>
                <w:szCs w:val="16"/>
              </w:rPr>
            </w:pPr>
            <w:r w:rsidRPr="00D518FF">
              <w:rPr>
                <w:rFonts w:ascii="Aptos" w:hAnsi="Aptos" w:cs="Arial"/>
                <w:sz w:val="16"/>
                <w:szCs w:val="16"/>
              </w:rPr>
              <w:t>RCT</w:t>
            </w:r>
            <w:r w:rsidR="00D2410C" w:rsidRPr="00D518FF">
              <w:rPr>
                <w:rFonts w:ascii="Aptos" w:hAnsi="Aptos" w:cs="Arial"/>
                <w:sz w:val="16"/>
                <w:szCs w:val="16"/>
              </w:rPr>
              <w:t>s or non-</w:t>
            </w:r>
            <w:r w:rsidRPr="00D518FF">
              <w:rPr>
                <w:rFonts w:ascii="Aptos" w:hAnsi="Aptos" w:cs="Arial"/>
                <w:sz w:val="16"/>
                <w:szCs w:val="16"/>
              </w:rPr>
              <w:t>RCT</w:t>
            </w:r>
            <w:r w:rsidR="00D2410C" w:rsidRPr="00D518FF">
              <w:rPr>
                <w:rFonts w:ascii="Aptos" w:hAnsi="Aptos" w:cs="Arial"/>
                <w:sz w:val="16"/>
                <w:szCs w:val="16"/>
              </w:rPr>
              <w:t>s</w:t>
            </w:r>
          </w:p>
        </w:tc>
        <w:tc>
          <w:tcPr>
            <w:tcW w:w="850" w:type="dxa"/>
          </w:tcPr>
          <w:p w14:paraId="2982AAFC" w14:textId="2DF3C691" w:rsidR="00D2410C" w:rsidRPr="00D518FF" w:rsidRDefault="00D2410C" w:rsidP="00AA72BD">
            <w:pPr>
              <w:rPr>
                <w:rFonts w:ascii="Aptos" w:hAnsi="Aptos" w:cs="Arial"/>
                <w:sz w:val="16"/>
                <w:szCs w:val="16"/>
              </w:rPr>
            </w:pPr>
            <w:r w:rsidRPr="00D518FF">
              <w:rPr>
                <w:rFonts w:ascii="Aptos" w:hAnsi="Aptos" w:cs="Arial"/>
                <w:sz w:val="16"/>
                <w:szCs w:val="16"/>
              </w:rPr>
              <w:t>1, 5</w:t>
            </w:r>
          </w:p>
        </w:tc>
        <w:tc>
          <w:tcPr>
            <w:tcW w:w="851" w:type="dxa"/>
          </w:tcPr>
          <w:p w14:paraId="14E65F50" w14:textId="5B4BBF0D" w:rsidR="00D2410C" w:rsidRPr="00D518FF" w:rsidRDefault="00D2410C" w:rsidP="00AA72BD">
            <w:pPr>
              <w:rPr>
                <w:rFonts w:ascii="Aptos" w:hAnsi="Aptos" w:cs="Arial"/>
                <w:sz w:val="16"/>
                <w:szCs w:val="16"/>
              </w:rPr>
            </w:pPr>
            <w:r w:rsidRPr="00D518FF">
              <w:rPr>
                <w:rFonts w:ascii="Aptos" w:hAnsi="Aptos" w:cs="Arial"/>
                <w:sz w:val="16"/>
                <w:szCs w:val="16"/>
              </w:rPr>
              <w:t>6</w:t>
            </w:r>
          </w:p>
        </w:tc>
        <w:tc>
          <w:tcPr>
            <w:tcW w:w="1559" w:type="dxa"/>
          </w:tcPr>
          <w:p w14:paraId="64E34AC4" w14:textId="0D0072DC" w:rsidR="00D2410C" w:rsidRPr="00D518FF" w:rsidRDefault="00D2410C" w:rsidP="00AA72BD">
            <w:pPr>
              <w:rPr>
                <w:rFonts w:ascii="Aptos" w:hAnsi="Aptos" w:cs="Arial"/>
                <w:sz w:val="16"/>
                <w:szCs w:val="16"/>
              </w:rPr>
            </w:pPr>
            <w:r w:rsidRPr="00D518FF">
              <w:rPr>
                <w:rFonts w:ascii="Aptos" w:hAnsi="Aptos" w:cs="Arial"/>
                <w:sz w:val="16"/>
                <w:szCs w:val="16"/>
              </w:rPr>
              <w:t xml:space="preserve">Medline, </w:t>
            </w:r>
            <w:r w:rsidR="006B3C57" w:rsidRPr="00D518FF">
              <w:rPr>
                <w:rFonts w:ascii="Aptos" w:hAnsi="Aptos" w:cs="Arial"/>
                <w:sz w:val="16"/>
                <w:szCs w:val="16"/>
              </w:rPr>
              <w:t>Biosis,</w:t>
            </w:r>
            <w:r w:rsidRPr="00D518FF">
              <w:rPr>
                <w:rFonts w:ascii="Aptos" w:hAnsi="Aptos" w:cs="Arial"/>
                <w:sz w:val="16"/>
                <w:szCs w:val="16"/>
              </w:rPr>
              <w:t xml:space="preserve"> Embase, </w:t>
            </w:r>
            <w:r w:rsidR="00027D07" w:rsidRPr="00D518FF">
              <w:rPr>
                <w:rFonts w:ascii="Aptos" w:hAnsi="Aptos" w:cs="Arial"/>
                <w:sz w:val="16"/>
                <w:szCs w:val="16"/>
              </w:rPr>
              <w:t>CINAHL</w:t>
            </w:r>
            <w:r w:rsidRPr="00D518FF">
              <w:rPr>
                <w:rFonts w:ascii="Aptos" w:hAnsi="Aptos" w:cs="Arial"/>
                <w:sz w:val="16"/>
                <w:szCs w:val="16"/>
              </w:rPr>
              <w:t xml:space="preserve">, Alternative Medicine Alert, </w:t>
            </w:r>
            <w:r w:rsidR="00AB674B" w:rsidRPr="00D518FF">
              <w:rPr>
                <w:rFonts w:ascii="Aptos" w:hAnsi="Aptos" w:cs="Arial"/>
                <w:sz w:val="16"/>
                <w:szCs w:val="16"/>
              </w:rPr>
              <w:t>CENTRAL</w:t>
            </w:r>
          </w:p>
        </w:tc>
        <w:tc>
          <w:tcPr>
            <w:tcW w:w="709" w:type="dxa"/>
          </w:tcPr>
          <w:p w14:paraId="7EB81EB6" w14:textId="3FEFBA56" w:rsidR="00D2410C" w:rsidRPr="00D518FF" w:rsidRDefault="00D2410C" w:rsidP="00AA72BD">
            <w:pPr>
              <w:rPr>
                <w:rFonts w:ascii="Aptos" w:hAnsi="Aptos" w:cs="Arial"/>
                <w:sz w:val="16"/>
                <w:szCs w:val="16"/>
              </w:rPr>
            </w:pPr>
            <w:r w:rsidRPr="00D518FF">
              <w:rPr>
                <w:rFonts w:ascii="Aptos" w:hAnsi="Aptos" w:cs="Arial"/>
                <w:sz w:val="16"/>
                <w:szCs w:val="16"/>
              </w:rPr>
              <w:t>2002</w:t>
            </w:r>
          </w:p>
        </w:tc>
        <w:tc>
          <w:tcPr>
            <w:tcW w:w="992" w:type="dxa"/>
          </w:tcPr>
          <w:p w14:paraId="787F2054" w14:textId="6ACC3D05" w:rsidR="00D2410C" w:rsidRPr="00D518FF" w:rsidRDefault="00D2410C" w:rsidP="00AA72BD">
            <w:pPr>
              <w:rPr>
                <w:rFonts w:ascii="Aptos" w:hAnsi="Aptos" w:cs="Arial"/>
                <w:sz w:val="16"/>
                <w:szCs w:val="16"/>
              </w:rPr>
            </w:pPr>
            <w:r w:rsidRPr="00D518FF">
              <w:rPr>
                <w:rFonts w:ascii="Aptos" w:hAnsi="Aptos" w:cs="Arial"/>
                <w:sz w:val="16"/>
                <w:szCs w:val="16"/>
              </w:rPr>
              <w:t>NR</w:t>
            </w:r>
          </w:p>
        </w:tc>
        <w:tc>
          <w:tcPr>
            <w:tcW w:w="850" w:type="dxa"/>
          </w:tcPr>
          <w:p w14:paraId="40082C3A" w14:textId="554CBEBA" w:rsidR="00D2410C" w:rsidRPr="00D518FF" w:rsidRDefault="00D2410C" w:rsidP="00AA72BD">
            <w:pPr>
              <w:rPr>
                <w:rFonts w:ascii="Aptos" w:hAnsi="Aptos" w:cs="Arial"/>
                <w:sz w:val="16"/>
                <w:szCs w:val="16"/>
              </w:rPr>
            </w:pPr>
            <w:r w:rsidRPr="00D518FF">
              <w:rPr>
                <w:rFonts w:ascii="Aptos" w:hAnsi="Aptos" w:cs="Arial"/>
                <w:sz w:val="16"/>
                <w:szCs w:val="16"/>
              </w:rPr>
              <w:t>CONSORT</w:t>
            </w:r>
          </w:p>
        </w:tc>
        <w:tc>
          <w:tcPr>
            <w:tcW w:w="851" w:type="dxa"/>
          </w:tcPr>
          <w:p w14:paraId="149594B3" w14:textId="7C3DCE64" w:rsidR="00D2410C" w:rsidRPr="00D518FF" w:rsidRDefault="00D2410C" w:rsidP="00AA72BD">
            <w:pPr>
              <w:rPr>
                <w:rFonts w:ascii="Aptos" w:hAnsi="Aptos" w:cs="Arial"/>
                <w:sz w:val="16"/>
                <w:szCs w:val="16"/>
              </w:rPr>
            </w:pPr>
            <w:r w:rsidRPr="00D518FF">
              <w:rPr>
                <w:rFonts w:ascii="Aptos" w:hAnsi="Aptos" w:cs="Arial"/>
                <w:sz w:val="16"/>
                <w:szCs w:val="16"/>
              </w:rPr>
              <w:t>NR</w:t>
            </w:r>
          </w:p>
        </w:tc>
        <w:tc>
          <w:tcPr>
            <w:tcW w:w="992" w:type="dxa"/>
          </w:tcPr>
          <w:p w14:paraId="49765285" w14:textId="6A23D6F3" w:rsidR="00D2410C" w:rsidRPr="00D518FF" w:rsidRDefault="00D2410C" w:rsidP="00AA72BD">
            <w:pPr>
              <w:rPr>
                <w:rFonts w:ascii="Aptos" w:hAnsi="Aptos" w:cs="Arial"/>
                <w:sz w:val="16"/>
                <w:szCs w:val="16"/>
              </w:rPr>
            </w:pPr>
            <w:r w:rsidRPr="00D518FF">
              <w:rPr>
                <w:rFonts w:ascii="Aptos" w:hAnsi="Aptos" w:cs="Arial"/>
                <w:sz w:val="16"/>
                <w:szCs w:val="16"/>
              </w:rPr>
              <w:t>NR</w:t>
            </w:r>
          </w:p>
        </w:tc>
        <w:tc>
          <w:tcPr>
            <w:tcW w:w="1559" w:type="dxa"/>
          </w:tcPr>
          <w:p w14:paraId="5B489AB2" w14:textId="7BFA1572" w:rsidR="00D2410C" w:rsidRPr="00D518FF" w:rsidRDefault="00D2410C" w:rsidP="00AA72BD">
            <w:pPr>
              <w:rPr>
                <w:rFonts w:ascii="Aptos" w:hAnsi="Aptos" w:cs="Arial"/>
                <w:sz w:val="16"/>
                <w:szCs w:val="16"/>
              </w:rPr>
            </w:pPr>
            <w:r w:rsidRPr="00D518FF">
              <w:rPr>
                <w:rFonts w:ascii="Aptos" w:hAnsi="Aptos" w:cs="Arial"/>
                <w:sz w:val="16"/>
                <w:szCs w:val="16"/>
              </w:rPr>
              <w:t>The sources of the authors’ funding had no role in the collection or interpretation of the data.</w:t>
            </w:r>
          </w:p>
        </w:tc>
      </w:tr>
      <w:tr w:rsidR="001F2487" w:rsidRPr="00D518FF" w14:paraId="411062A9" w14:textId="77777777" w:rsidTr="00F614C8">
        <w:trPr>
          <w:trHeight w:val="636"/>
        </w:trPr>
        <w:tc>
          <w:tcPr>
            <w:tcW w:w="764" w:type="dxa"/>
          </w:tcPr>
          <w:p w14:paraId="04E9FDD2" w14:textId="6EFC28C5" w:rsidR="00D2410C" w:rsidRPr="00D518FF" w:rsidRDefault="00D2410C" w:rsidP="00AA72BD">
            <w:pPr>
              <w:rPr>
                <w:rFonts w:ascii="Aptos" w:hAnsi="Aptos" w:cs="Arial"/>
                <w:sz w:val="16"/>
                <w:szCs w:val="16"/>
              </w:rPr>
            </w:pPr>
            <w:r w:rsidRPr="00D518FF">
              <w:rPr>
                <w:rFonts w:ascii="Aptos" w:hAnsi="Aptos" w:cs="Arial"/>
                <w:sz w:val="16"/>
                <w:szCs w:val="16"/>
              </w:rPr>
              <w:t>Porter 2010</w:t>
            </w:r>
          </w:p>
        </w:tc>
        <w:tc>
          <w:tcPr>
            <w:tcW w:w="1047" w:type="dxa"/>
          </w:tcPr>
          <w:p w14:paraId="1FBB0D80" w14:textId="7CDC21F6" w:rsidR="00D2410C" w:rsidRPr="00D518FF" w:rsidRDefault="00D2410C" w:rsidP="00AA72BD">
            <w:pPr>
              <w:rPr>
                <w:rFonts w:ascii="Aptos" w:hAnsi="Aptos" w:cs="Arial"/>
                <w:sz w:val="16"/>
                <w:szCs w:val="16"/>
              </w:rPr>
            </w:pPr>
            <w:r w:rsidRPr="00D518FF">
              <w:rPr>
                <w:rFonts w:ascii="Aptos" w:hAnsi="Aptos" w:cs="Arial"/>
                <w:sz w:val="16"/>
                <w:szCs w:val="16"/>
              </w:rPr>
              <w:t>Systematic review</w:t>
            </w:r>
          </w:p>
        </w:tc>
        <w:tc>
          <w:tcPr>
            <w:tcW w:w="2295" w:type="dxa"/>
          </w:tcPr>
          <w:p w14:paraId="6601A16B" w14:textId="663CA63F" w:rsidR="00D2410C" w:rsidRPr="00D518FF" w:rsidRDefault="00BC6EB6" w:rsidP="00AA72BD">
            <w:pPr>
              <w:rPr>
                <w:rFonts w:ascii="Aptos" w:hAnsi="Aptos" w:cs="Arial"/>
                <w:sz w:val="16"/>
                <w:szCs w:val="16"/>
              </w:rPr>
            </w:pPr>
            <w:r w:rsidRPr="00D518FF">
              <w:rPr>
                <w:rFonts w:ascii="Aptos" w:hAnsi="Aptos" w:cs="Arial"/>
                <w:sz w:val="16"/>
                <w:szCs w:val="16"/>
              </w:rPr>
              <w:t>T</w:t>
            </w:r>
            <w:r w:rsidR="00D2410C" w:rsidRPr="00D518FF">
              <w:rPr>
                <w:rFonts w:ascii="Aptos" w:hAnsi="Aptos" w:cs="Arial"/>
                <w:sz w:val="16"/>
                <w:szCs w:val="16"/>
              </w:rPr>
              <w:t>o systematically review and evaluate the current literature related to alternative and complementary treatments for ME</w:t>
            </w:r>
            <w:r w:rsidRPr="00D518FF">
              <w:rPr>
                <w:rFonts w:ascii="Aptos" w:hAnsi="Aptos" w:cs="Arial"/>
                <w:sz w:val="16"/>
                <w:szCs w:val="16"/>
              </w:rPr>
              <w:t>/</w:t>
            </w:r>
            <w:r w:rsidR="00D2410C" w:rsidRPr="00D518FF">
              <w:rPr>
                <w:rFonts w:ascii="Aptos" w:hAnsi="Aptos" w:cs="Arial"/>
                <w:sz w:val="16"/>
                <w:szCs w:val="16"/>
              </w:rPr>
              <w:t>CFS and FM</w:t>
            </w:r>
          </w:p>
        </w:tc>
        <w:tc>
          <w:tcPr>
            <w:tcW w:w="851" w:type="dxa"/>
          </w:tcPr>
          <w:p w14:paraId="679A6F5E" w14:textId="0F4E564A" w:rsidR="00D2410C" w:rsidRPr="00D518FF" w:rsidRDefault="004622EE" w:rsidP="00AA72BD">
            <w:pPr>
              <w:rPr>
                <w:rFonts w:ascii="Aptos" w:hAnsi="Aptos" w:cs="Arial"/>
                <w:sz w:val="16"/>
                <w:szCs w:val="16"/>
              </w:rPr>
            </w:pPr>
            <w:r w:rsidRPr="00D518FF">
              <w:rPr>
                <w:rFonts w:ascii="Aptos" w:hAnsi="Aptos" w:cs="Arial"/>
                <w:sz w:val="16"/>
                <w:szCs w:val="16"/>
              </w:rPr>
              <w:t>RC</w:t>
            </w:r>
            <w:r w:rsidR="00F614C8">
              <w:rPr>
                <w:rFonts w:ascii="Aptos" w:hAnsi="Aptos" w:cs="Arial"/>
                <w:sz w:val="16"/>
                <w:szCs w:val="16"/>
              </w:rPr>
              <w:t>T</w:t>
            </w:r>
            <w:r w:rsidR="00D2410C" w:rsidRPr="00D518FF">
              <w:rPr>
                <w:rFonts w:ascii="Aptos" w:hAnsi="Aptos" w:cs="Arial"/>
                <w:sz w:val="16"/>
                <w:szCs w:val="16"/>
              </w:rPr>
              <w:t xml:space="preserve"> or </w:t>
            </w:r>
            <w:r w:rsidR="00F614C8">
              <w:rPr>
                <w:rFonts w:ascii="Aptos" w:hAnsi="Aptos" w:cs="Arial"/>
                <w:sz w:val="16"/>
                <w:szCs w:val="16"/>
              </w:rPr>
              <w:t>C</w:t>
            </w:r>
            <w:r w:rsidR="00D2410C" w:rsidRPr="00D518FF">
              <w:rPr>
                <w:rFonts w:ascii="Aptos" w:hAnsi="Aptos" w:cs="Arial"/>
                <w:sz w:val="16"/>
                <w:szCs w:val="16"/>
              </w:rPr>
              <w:t xml:space="preserve">ontrolled </w:t>
            </w:r>
            <w:r w:rsidR="00F614C8">
              <w:rPr>
                <w:rFonts w:ascii="Aptos" w:hAnsi="Aptos" w:cs="Arial"/>
                <w:sz w:val="16"/>
                <w:szCs w:val="16"/>
              </w:rPr>
              <w:t>C</w:t>
            </w:r>
            <w:r w:rsidR="00D2410C" w:rsidRPr="00D518FF">
              <w:rPr>
                <w:rFonts w:ascii="Aptos" w:hAnsi="Aptos" w:cs="Arial"/>
                <w:sz w:val="16"/>
                <w:szCs w:val="16"/>
              </w:rPr>
              <w:t xml:space="preserve">linical </w:t>
            </w:r>
            <w:r w:rsidR="00F614C8">
              <w:rPr>
                <w:rFonts w:ascii="Aptos" w:hAnsi="Aptos" w:cs="Arial"/>
                <w:sz w:val="16"/>
                <w:szCs w:val="16"/>
              </w:rPr>
              <w:t>T</w:t>
            </w:r>
            <w:r w:rsidR="00D2410C" w:rsidRPr="00D518FF">
              <w:rPr>
                <w:rFonts w:ascii="Aptos" w:hAnsi="Aptos" w:cs="Arial"/>
                <w:sz w:val="16"/>
                <w:szCs w:val="16"/>
              </w:rPr>
              <w:t>ri</w:t>
            </w:r>
            <w:r w:rsidR="00F614C8">
              <w:rPr>
                <w:rFonts w:ascii="Aptos" w:hAnsi="Aptos" w:cs="Arial"/>
                <w:sz w:val="16"/>
                <w:szCs w:val="16"/>
              </w:rPr>
              <w:t>a</w:t>
            </w:r>
            <w:r w:rsidR="00D2410C" w:rsidRPr="00D518FF">
              <w:rPr>
                <w:rFonts w:ascii="Aptos" w:hAnsi="Aptos" w:cs="Arial"/>
                <w:sz w:val="16"/>
                <w:szCs w:val="16"/>
              </w:rPr>
              <w:t>ls (CCT)</w:t>
            </w:r>
          </w:p>
        </w:tc>
        <w:tc>
          <w:tcPr>
            <w:tcW w:w="850" w:type="dxa"/>
          </w:tcPr>
          <w:p w14:paraId="2AAF5FC3" w14:textId="5B7A0A75" w:rsidR="00D2410C" w:rsidRPr="00D518FF" w:rsidRDefault="00D2410C" w:rsidP="00AA72BD">
            <w:pPr>
              <w:rPr>
                <w:rFonts w:ascii="Aptos" w:hAnsi="Aptos" w:cs="Arial"/>
                <w:sz w:val="16"/>
                <w:szCs w:val="16"/>
              </w:rPr>
            </w:pPr>
            <w:r w:rsidRPr="00D518FF">
              <w:rPr>
                <w:rFonts w:ascii="Aptos" w:hAnsi="Aptos" w:cs="Arial"/>
                <w:sz w:val="16"/>
                <w:szCs w:val="16"/>
              </w:rPr>
              <w:t>4, unclear</w:t>
            </w:r>
          </w:p>
        </w:tc>
        <w:tc>
          <w:tcPr>
            <w:tcW w:w="851" w:type="dxa"/>
          </w:tcPr>
          <w:p w14:paraId="24F983EC" w14:textId="384DE978" w:rsidR="00D2410C" w:rsidRPr="00D518FF" w:rsidRDefault="00D2410C" w:rsidP="00AA72BD">
            <w:pPr>
              <w:rPr>
                <w:rFonts w:ascii="Aptos" w:hAnsi="Aptos" w:cs="Arial"/>
                <w:sz w:val="16"/>
                <w:szCs w:val="16"/>
              </w:rPr>
            </w:pPr>
            <w:r w:rsidRPr="00D518FF">
              <w:rPr>
                <w:rFonts w:ascii="Aptos" w:hAnsi="Aptos" w:cs="Arial"/>
                <w:sz w:val="16"/>
                <w:szCs w:val="16"/>
              </w:rPr>
              <w:t>5</w:t>
            </w:r>
          </w:p>
        </w:tc>
        <w:tc>
          <w:tcPr>
            <w:tcW w:w="1559" w:type="dxa"/>
          </w:tcPr>
          <w:p w14:paraId="1346C489" w14:textId="71444517" w:rsidR="00D2410C" w:rsidRPr="00D518FF" w:rsidRDefault="00D2410C" w:rsidP="00AA72BD">
            <w:pPr>
              <w:rPr>
                <w:rFonts w:ascii="Aptos" w:hAnsi="Aptos" w:cs="Arial"/>
                <w:sz w:val="16"/>
                <w:szCs w:val="16"/>
              </w:rPr>
            </w:pPr>
            <w:r w:rsidRPr="00D518FF">
              <w:rPr>
                <w:rFonts w:ascii="Aptos" w:hAnsi="Aptos" w:cs="Arial"/>
                <w:sz w:val="16"/>
                <w:szCs w:val="16"/>
              </w:rPr>
              <w:t>MEDLINE</w:t>
            </w:r>
            <w:r w:rsidR="006B3C57" w:rsidRPr="00D518FF">
              <w:rPr>
                <w:rFonts w:ascii="Aptos" w:hAnsi="Aptos" w:cs="Arial"/>
                <w:sz w:val="16"/>
                <w:szCs w:val="16"/>
              </w:rPr>
              <w:t>,</w:t>
            </w:r>
            <w:r w:rsidRPr="00D518FF">
              <w:rPr>
                <w:rFonts w:ascii="Aptos" w:hAnsi="Aptos" w:cs="Arial"/>
                <w:sz w:val="16"/>
                <w:szCs w:val="16"/>
              </w:rPr>
              <w:t xml:space="preserve"> PsycINFO, </w:t>
            </w:r>
            <w:r w:rsidR="004622EE" w:rsidRPr="00D518FF">
              <w:rPr>
                <w:rFonts w:ascii="Aptos" w:hAnsi="Aptos" w:cs="Arial"/>
                <w:sz w:val="16"/>
                <w:szCs w:val="16"/>
              </w:rPr>
              <w:t>PubMed</w:t>
            </w:r>
            <w:r w:rsidRPr="00D518FF">
              <w:rPr>
                <w:rFonts w:ascii="Aptos" w:hAnsi="Aptos" w:cs="Arial"/>
                <w:sz w:val="16"/>
                <w:szCs w:val="16"/>
              </w:rPr>
              <w:t xml:space="preserve">, Social Science Citation </w:t>
            </w:r>
            <w:r w:rsidR="006B3C57" w:rsidRPr="00D518FF">
              <w:rPr>
                <w:rFonts w:ascii="Aptos" w:hAnsi="Aptos" w:cs="Arial"/>
                <w:sz w:val="16"/>
                <w:szCs w:val="16"/>
              </w:rPr>
              <w:t>I</w:t>
            </w:r>
            <w:r w:rsidRPr="00D518FF">
              <w:rPr>
                <w:rFonts w:ascii="Aptos" w:hAnsi="Aptos" w:cs="Arial"/>
                <w:sz w:val="16"/>
                <w:szCs w:val="16"/>
              </w:rPr>
              <w:t>ndex, Cochran</w:t>
            </w:r>
            <w:r w:rsidR="006B3C57" w:rsidRPr="00D518FF">
              <w:rPr>
                <w:rFonts w:ascii="Aptos" w:hAnsi="Aptos" w:cs="Arial"/>
                <w:sz w:val="16"/>
                <w:szCs w:val="16"/>
              </w:rPr>
              <w:t>e</w:t>
            </w:r>
            <w:r w:rsidRPr="00D518FF">
              <w:rPr>
                <w:rFonts w:ascii="Aptos" w:hAnsi="Aptos" w:cs="Arial"/>
                <w:sz w:val="16"/>
                <w:szCs w:val="16"/>
              </w:rPr>
              <w:t xml:space="preserve"> </w:t>
            </w:r>
            <w:r w:rsidR="006B3C57" w:rsidRPr="00D518FF">
              <w:rPr>
                <w:rFonts w:ascii="Aptos" w:hAnsi="Aptos" w:cs="Arial"/>
                <w:sz w:val="16"/>
                <w:szCs w:val="16"/>
              </w:rPr>
              <w:t>Database of Systematic Reviews</w:t>
            </w:r>
          </w:p>
        </w:tc>
        <w:tc>
          <w:tcPr>
            <w:tcW w:w="709" w:type="dxa"/>
          </w:tcPr>
          <w:p w14:paraId="1CEE8068" w14:textId="631B831B" w:rsidR="00D2410C" w:rsidRPr="00D518FF" w:rsidRDefault="00D2410C" w:rsidP="00AA72BD">
            <w:pPr>
              <w:rPr>
                <w:rFonts w:ascii="Aptos" w:hAnsi="Aptos" w:cs="Arial"/>
                <w:sz w:val="16"/>
                <w:szCs w:val="16"/>
              </w:rPr>
            </w:pPr>
            <w:r w:rsidRPr="00D518FF">
              <w:rPr>
                <w:rFonts w:ascii="Aptos" w:hAnsi="Aptos" w:cs="Arial"/>
                <w:sz w:val="16"/>
                <w:szCs w:val="16"/>
              </w:rPr>
              <w:t>Ap</w:t>
            </w:r>
            <w:r w:rsidR="006B3C57" w:rsidRPr="00D518FF">
              <w:rPr>
                <w:rFonts w:ascii="Aptos" w:hAnsi="Aptos" w:cs="Arial"/>
                <w:sz w:val="16"/>
                <w:szCs w:val="16"/>
              </w:rPr>
              <w:t>r 20</w:t>
            </w:r>
            <w:r w:rsidRPr="00D518FF">
              <w:rPr>
                <w:rFonts w:ascii="Aptos" w:hAnsi="Aptos" w:cs="Arial"/>
                <w:sz w:val="16"/>
                <w:szCs w:val="16"/>
              </w:rPr>
              <w:t>07</w:t>
            </w:r>
          </w:p>
        </w:tc>
        <w:tc>
          <w:tcPr>
            <w:tcW w:w="992" w:type="dxa"/>
          </w:tcPr>
          <w:p w14:paraId="04C0D7F2" w14:textId="1AEDFBCF" w:rsidR="00D2410C" w:rsidRPr="00D518FF" w:rsidRDefault="00D2410C" w:rsidP="00AA72BD">
            <w:pPr>
              <w:rPr>
                <w:rFonts w:ascii="Aptos" w:hAnsi="Aptos" w:cs="Arial"/>
                <w:sz w:val="16"/>
                <w:szCs w:val="16"/>
              </w:rPr>
            </w:pPr>
            <w:r w:rsidRPr="00D518FF">
              <w:rPr>
                <w:rFonts w:ascii="Aptos" w:hAnsi="Aptos" w:cs="Arial"/>
                <w:sz w:val="16"/>
                <w:szCs w:val="16"/>
              </w:rPr>
              <w:t>English</w:t>
            </w:r>
          </w:p>
        </w:tc>
        <w:tc>
          <w:tcPr>
            <w:tcW w:w="850" w:type="dxa"/>
          </w:tcPr>
          <w:p w14:paraId="7529214C" w14:textId="4415A934" w:rsidR="00D2410C" w:rsidRPr="00D518FF" w:rsidRDefault="00D2410C" w:rsidP="00AA72BD">
            <w:pPr>
              <w:rPr>
                <w:rFonts w:ascii="Aptos" w:hAnsi="Aptos" w:cs="Arial"/>
                <w:sz w:val="16"/>
                <w:szCs w:val="16"/>
              </w:rPr>
            </w:pPr>
            <w:r w:rsidRPr="00D518FF">
              <w:rPr>
                <w:rFonts w:ascii="Aptos" w:hAnsi="Aptos" w:cs="Arial"/>
                <w:sz w:val="16"/>
                <w:szCs w:val="16"/>
              </w:rPr>
              <w:t>Jadad scale</w:t>
            </w:r>
          </w:p>
        </w:tc>
        <w:tc>
          <w:tcPr>
            <w:tcW w:w="851" w:type="dxa"/>
          </w:tcPr>
          <w:p w14:paraId="45EF5E44" w14:textId="0E091439" w:rsidR="00D2410C" w:rsidRPr="00D518FF" w:rsidRDefault="00D2410C" w:rsidP="00AA72BD">
            <w:pPr>
              <w:rPr>
                <w:rFonts w:ascii="Aptos" w:hAnsi="Aptos" w:cs="Arial"/>
                <w:sz w:val="16"/>
                <w:szCs w:val="16"/>
              </w:rPr>
            </w:pPr>
            <w:r w:rsidRPr="00D518FF">
              <w:rPr>
                <w:rFonts w:ascii="Aptos" w:hAnsi="Aptos" w:cs="Arial"/>
                <w:sz w:val="16"/>
                <w:szCs w:val="16"/>
              </w:rPr>
              <w:t>NR</w:t>
            </w:r>
          </w:p>
        </w:tc>
        <w:tc>
          <w:tcPr>
            <w:tcW w:w="992" w:type="dxa"/>
          </w:tcPr>
          <w:p w14:paraId="0B0021B6" w14:textId="0D598A81" w:rsidR="00D2410C" w:rsidRPr="00D518FF" w:rsidRDefault="00D2410C" w:rsidP="00AA72BD">
            <w:pPr>
              <w:rPr>
                <w:rFonts w:ascii="Aptos" w:hAnsi="Aptos" w:cs="Arial"/>
                <w:sz w:val="16"/>
                <w:szCs w:val="16"/>
              </w:rPr>
            </w:pPr>
            <w:r w:rsidRPr="00D518FF">
              <w:rPr>
                <w:rFonts w:ascii="Aptos" w:hAnsi="Aptos" w:cs="Arial"/>
                <w:sz w:val="16"/>
                <w:szCs w:val="16"/>
              </w:rPr>
              <w:t>NR</w:t>
            </w:r>
          </w:p>
        </w:tc>
        <w:tc>
          <w:tcPr>
            <w:tcW w:w="1559" w:type="dxa"/>
          </w:tcPr>
          <w:p w14:paraId="1F19EFC7" w14:textId="3F232864" w:rsidR="00D2410C" w:rsidRPr="00D518FF" w:rsidRDefault="00D2410C" w:rsidP="00AA72BD">
            <w:pPr>
              <w:rPr>
                <w:rFonts w:ascii="Aptos" w:hAnsi="Aptos" w:cs="Arial"/>
                <w:sz w:val="16"/>
                <w:szCs w:val="16"/>
              </w:rPr>
            </w:pPr>
            <w:r w:rsidRPr="00D518FF">
              <w:rPr>
                <w:rFonts w:ascii="Aptos" w:hAnsi="Aptos" w:cs="Arial"/>
                <w:sz w:val="16"/>
                <w:szCs w:val="16"/>
              </w:rPr>
              <w:t>No competing financial interests exist.</w:t>
            </w:r>
          </w:p>
        </w:tc>
      </w:tr>
      <w:tr w:rsidR="001F2487" w:rsidRPr="00D518FF" w14:paraId="51BE842B" w14:textId="77777777" w:rsidTr="00A6108F">
        <w:trPr>
          <w:trHeight w:val="636"/>
        </w:trPr>
        <w:tc>
          <w:tcPr>
            <w:tcW w:w="764" w:type="dxa"/>
            <w:shd w:val="clear" w:color="auto" w:fill="EFFFE9"/>
          </w:tcPr>
          <w:p w14:paraId="5D81E056" w14:textId="5AB4F6EA" w:rsidR="00F60E69" w:rsidRPr="00D518FF" w:rsidRDefault="00F60E69" w:rsidP="00F60E69">
            <w:pPr>
              <w:rPr>
                <w:rFonts w:ascii="Aptos" w:hAnsi="Aptos" w:cs="Arial"/>
                <w:sz w:val="16"/>
                <w:szCs w:val="16"/>
              </w:rPr>
            </w:pPr>
            <w:r w:rsidRPr="00D518FF">
              <w:rPr>
                <w:rFonts w:ascii="Aptos" w:hAnsi="Aptos" w:cs="Arial"/>
                <w:sz w:val="16"/>
                <w:szCs w:val="16"/>
              </w:rPr>
              <w:t>Thorpe 2018</w:t>
            </w:r>
          </w:p>
        </w:tc>
        <w:tc>
          <w:tcPr>
            <w:tcW w:w="1047" w:type="dxa"/>
            <w:shd w:val="clear" w:color="auto" w:fill="EFFFE9"/>
          </w:tcPr>
          <w:p w14:paraId="5A8838F4" w14:textId="10F2F130" w:rsidR="00F60E69" w:rsidRPr="00D518FF" w:rsidRDefault="00F60E69" w:rsidP="00F60E69">
            <w:pPr>
              <w:rPr>
                <w:rFonts w:ascii="Aptos" w:hAnsi="Aptos" w:cs="Arial"/>
                <w:sz w:val="16"/>
                <w:szCs w:val="16"/>
              </w:rPr>
            </w:pPr>
            <w:r w:rsidRPr="00D518FF">
              <w:rPr>
                <w:rFonts w:ascii="Aptos" w:hAnsi="Aptos" w:cs="Arial"/>
                <w:sz w:val="16"/>
                <w:szCs w:val="16"/>
              </w:rPr>
              <w:t>Cochrane review</w:t>
            </w:r>
          </w:p>
        </w:tc>
        <w:tc>
          <w:tcPr>
            <w:tcW w:w="2295" w:type="dxa"/>
            <w:shd w:val="clear" w:color="auto" w:fill="EFFFE9"/>
          </w:tcPr>
          <w:p w14:paraId="36FDD031" w14:textId="531B68FF" w:rsidR="00F60E69" w:rsidRPr="00D518FF" w:rsidRDefault="00F60E69" w:rsidP="00F60E69">
            <w:pPr>
              <w:rPr>
                <w:rFonts w:ascii="Aptos" w:hAnsi="Aptos" w:cs="Arial"/>
                <w:sz w:val="16"/>
                <w:szCs w:val="16"/>
              </w:rPr>
            </w:pPr>
            <w:r w:rsidRPr="00D518FF">
              <w:rPr>
                <w:rFonts w:ascii="Aptos" w:hAnsi="Aptos" w:cs="Arial"/>
                <w:sz w:val="16"/>
                <w:szCs w:val="16"/>
              </w:rPr>
              <w:t>To assess the efficacy, safety, and tolerability of combination pharmacotherapy compared to monotherapy or placebo, or both, for the treatment of fibromyalgia pain in adults.</w:t>
            </w:r>
          </w:p>
        </w:tc>
        <w:tc>
          <w:tcPr>
            <w:tcW w:w="851" w:type="dxa"/>
            <w:shd w:val="clear" w:color="auto" w:fill="EFFFE9"/>
          </w:tcPr>
          <w:p w14:paraId="4228C2B0" w14:textId="1E46F859"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850" w:type="dxa"/>
            <w:shd w:val="clear" w:color="auto" w:fill="EFFFE9"/>
          </w:tcPr>
          <w:p w14:paraId="30C1C071" w14:textId="5CF71234" w:rsidR="00F60E69" w:rsidRPr="00D518FF" w:rsidRDefault="00F60E69" w:rsidP="00F60E69">
            <w:pPr>
              <w:rPr>
                <w:rFonts w:ascii="Aptos" w:hAnsi="Aptos" w:cs="Arial"/>
                <w:sz w:val="16"/>
                <w:szCs w:val="16"/>
              </w:rPr>
            </w:pPr>
            <w:r w:rsidRPr="00D518FF">
              <w:rPr>
                <w:rFonts w:ascii="Aptos" w:hAnsi="Aptos" w:cs="Arial"/>
                <w:sz w:val="16"/>
                <w:szCs w:val="16"/>
              </w:rPr>
              <w:t>1,2,5</w:t>
            </w:r>
          </w:p>
        </w:tc>
        <w:tc>
          <w:tcPr>
            <w:tcW w:w="851" w:type="dxa"/>
            <w:shd w:val="clear" w:color="auto" w:fill="EFFFE9"/>
          </w:tcPr>
          <w:p w14:paraId="1400751D" w14:textId="36E1EB33"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1559" w:type="dxa"/>
            <w:shd w:val="clear" w:color="auto" w:fill="EFFFE9"/>
          </w:tcPr>
          <w:p w14:paraId="709986A4" w14:textId="31819779" w:rsidR="00F60E69" w:rsidRPr="00D518FF" w:rsidRDefault="00F60E69" w:rsidP="00F60E69">
            <w:pPr>
              <w:rPr>
                <w:rFonts w:ascii="Aptos" w:hAnsi="Aptos" w:cs="Arial"/>
                <w:sz w:val="16"/>
                <w:szCs w:val="16"/>
              </w:rPr>
            </w:pPr>
            <w:r w:rsidRPr="00D518FF">
              <w:rPr>
                <w:rFonts w:ascii="Aptos" w:hAnsi="Aptos" w:cs="Arial"/>
                <w:sz w:val="16"/>
                <w:szCs w:val="16"/>
              </w:rPr>
              <w:t xml:space="preserve">CENTRAL, MEDLINE, Embase </w:t>
            </w:r>
          </w:p>
        </w:tc>
        <w:tc>
          <w:tcPr>
            <w:tcW w:w="709" w:type="dxa"/>
            <w:shd w:val="clear" w:color="auto" w:fill="EFFFE9"/>
          </w:tcPr>
          <w:p w14:paraId="4CCF28C1" w14:textId="539CCFAD" w:rsidR="00F60E69" w:rsidRPr="00D518FF" w:rsidRDefault="00F60E69" w:rsidP="00F60E69">
            <w:pPr>
              <w:rPr>
                <w:rFonts w:ascii="Aptos" w:hAnsi="Aptos" w:cs="Arial"/>
                <w:sz w:val="16"/>
                <w:szCs w:val="16"/>
              </w:rPr>
            </w:pPr>
            <w:r w:rsidRPr="00D518FF">
              <w:rPr>
                <w:rFonts w:ascii="Aptos" w:hAnsi="Aptos" w:cs="Arial"/>
                <w:sz w:val="16"/>
                <w:szCs w:val="16"/>
              </w:rPr>
              <w:t>Sep 2017</w:t>
            </w:r>
          </w:p>
        </w:tc>
        <w:tc>
          <w:tcPr>
            <w:tcW w:w="992" w:type="dxa"/>
            <w:shd w:val="clear" w:color="auto" w:fill="EFFFE9"/>
          </w:tcPr>
          <w:p w14:paraId="425B5299" w14:textId="6F5C4BFB" w:rsidR="00F60E69" w:rsidRPr="00D518FF" w:rsidRDefault="00AA0255" w:rsidP="00F60E69">
            <w:pPr>
              <w:rPr>
                <w:rFonts w:ascii="Aptos" w:hAnsi="Aptos" w:cs="Arial"/>
                <w:sz w:val="16"/>
                <w:szCs w:val="16"/>
              </w:rPr>
            </w:pPr>
            <w:r>
              <w:rPr>
                <w:rFonts w:ascii="Aptos" w:hAnsi="Aptos" w:cs="Arial"/>
                <w:sz w:val="16"/>
                <w:szCs w:val="16"/>
              </w:rPr>
              <w:t>N</w:t>
            </w:r>
            <w:r w:rsidR="00F60E69" w:rsidRPr="00D518FF">
              <w:rPr>
                <w:rFonts w:ascii="Aptos" w:hAnsi="Aptos" w:cs="Arial"/>
                <w:sz w:val="16"/>
                <w:szCs w:val="16"/>
              </w:rPr>
              <w:t>o language or date restrictions applied to the searches.</w:t>
            </w:r>
          </w:p>
        </w:tc>
        <w:tc>
          <w:tcPr>
            <w:tcW w:w="850" w:type="dxa"/>
            <w:shd w:val="clear" w:color="auto" w:fill="EFFFE9"/>
          </w:tcPr>
          <w:p w14:paraId="447C934B" w14:textId="60DF0A52"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851" w:type="dxa"/>
            <w:shd w:val="clear" w:color="auto" w:fill="EFFFE9"/>
          </w:tcPr>
          <w:p w14:paraId="7A2B8AAB" w14:textId="75754506"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992" w:type="dxa"/>
            <w:shd w:val="clear" w:color="auto" w:fill="EFFFE9"/>
          </w:tcPr>
          <w:p w14:paraId="7373CDEF" w14:textId="2EE5E207" w:rsidR="00F60E69" w:rsidRPr="00D518FF" w:rsidRDefault="00F60E69" w:rsidP="00F60E69">
            <w:pPr>
              <w:rPr>
                <w:rFonts w:ascii="Aptos" w:hAnsi="Aptos" w:cs="Arial"/>
                <w:sz w:val="16"/>
                <w:szCs w:val="16"/>
              </w:rPr>
            </w:pPr>
            <w:r w:rsidRPr="00D518FF">
              <w:rPr>
                <w:rFonts w:ascii="Aptos" w:hAnsi="Aptos" w:cs="Arial"/>
                <w:sz w:val="16"/>
                <w:szCs w:val="16"/>
              </w:rPr>
              <w:t>JT: none known.</w:t>
            </w:r>
            <w:r w:rsidRPr="00D518FF">
              <w:rPr>
                <w:rFonts w:ascii="Aptos" w:hAnsi="Aptos" w:cs="Arial"/>
                <w:sz w:val="16"/>
                <w:szCs w:val="16"/>
              </w:rPr>
              <w:br/>
              <w:t>BS: none known.</w:t>
            </w:r>
            <w:r w:rsidRPr="00D518FF">
              <w:rPr>
                <w:rFonts w:ascii="Aptos" w:hAnsi="Aptos" w:cs="Arial"/>
                <w:sz w:val="16"/>
                <w:szCs w:val="16"/>
              </w:rPr>
              <w:br/>
              <w:t xml:space="preserve">RAM has received grant support from Grünenthal relating to individual, patient-level analyses of trial data regarding tapentadol in </w:t>
            </w:r>
            <w:r w:rsidRPr="00D518FF">
              <w:rPr>
                <w:rFonts w:ascii="Aptos" w:hAnsi="Aptos" w:cs="Arial"/>
                <w:sz w:val="16"/>
                <w:szCs w:val="16"/>
              </w:rPr>
              <w:lastRenderedPageBreak/>
              <w:t>osteoarthritis and back pain (2015). He has received honoraria for attending boards with RB on understanding pharmacokinetics of drug uptake (2015). He has received honoraria from Omega Pharma (2016) and Futura Pharma (2016) for providing advice on trial and data analysis methods.</w:t>
            </w:r>
            <w:r w:rsidRPr="00D518FF">
              <w:rPr>
                <w:rFonts w:ascii="Aptos" w:hAnsi="Aptos" w:cs="Arial"/>
                <w:sz w:val="16"/>
                <w:szCs w:val="16"/>
              </w:rPr>
              <w:br/>
              <w:t>PW: none known.</w:t>
            </w:r>
            <w:r w:rsidRPr="00D518FF">
              <w:rPr>
                <w:rFonts w:ascii="Aptos" w:hAnsi="Aptos" w:cs="Arial"/>
                <w:sz w:val="16"/>
                <w:szCs w:val="16"/>
              </w:rPr>
              <w:br/>
              <w:t xml:space="preserve">IG is an anaesthesiologist and conducts clinical trials in acute and chronic pain conditions. He has received lecture/consultancy fees from Biogen (2016) and Adynxx (2015). IG, </w:t>
            </w:r>
            <w:r w:rsidRPr="00D518FF">
              <w:rPr>
                <w:rFonts w:ascii="Aptos" w:hAnsi="Aptos" w:cs="Arial"/>
                <w:sz w:val="16"/>
                <w:szCs w:val="16"/>
              </w:rPr>
              <w:lastRenderedPageBreak/>
              <w:t>who is the lead and corresponding author on one of the included studies in this review, did not participate in data extraction or assessments pertaining to that study.</w:t>
            </w:r>
          </w:p>
        </w:tc>
        <w:tc>
          <w:tcPr>
            <w:tcW w:w="1559" w:type="dxa"/>
            <w:shd w:val="clear" w:color="auto" w:fill="EFFFE9"/>
          </w:tcPr>
          <w:p w14:paraId="3CB047C7" w14:textId="441D0122" w:rsidR="00F60E69" w:rsidRPr="00D518FF" w:rsidRDefault="00F60E69" w:rsidP="00F60E69">
            <w:pPr>
              <w:rPr>
                <w:rFonts w:ascii="Aptos" w:hAnsi="Aptos" w:cs="Arial"/>
                <w:sz w:val="16"/>
                <w:szCs w:val="16"/>
              </w:rPr>
            </w:pPr>
            <w:r w:rsidRPr="00D518FF">
              <w:rPr>
                <w:rFonts w:ascii="Aptos" w:hAnsi="Aptos" w:cs="Arial"/>
                <w:sz w:val="16"/>
                <w:szCs w:val="16"/>
              </w:rPr>
              <w:lastRenderedPageBreak/>
              <w:t>Internal sources</w:t>
            </w:r>
            <w:r w:rsidRPr="00D518FF">
              <w:rPr>
                <w:rFonts w:ascii="Aptos" w:hAnsi="Aptos" w:cs="Arial"/>
                <w:sz w:val="16"/>
                <w:szCs w:val="16"/>
              </w:rPr>
              <w:br/>
              <w:t>• Queen's University Department of Anesthesiology &amp; Perioperative Medicine, Canada Research time support</w:t>
            </w:r>
            <w:r w:rsidRPr="00D518FF">
              <w:rPr>
                <w:rFonts w:ascii="Aptos" w:hAnsi="Aptos" w:cs="Arial"/>
                <w:sz w:val="16"/>
                <w:szCs w:val="16"/>
              </w:rPr>
              <w:br/>
              <w:t>External sources</w:t>
            </w:r>
            <w:r w:rsidRPr="00D518FF">
              <w:rPr>
                <w:rFonts w:ascii="Aptos" w:hAnsi="Aptos" w:cs="Arial"/>
                <w:sz w:val="16"/>
                <w:szCs w:val="16"/>
              </w:rPr>
              <w:br/>
              <w:t>• Canadian Institutes of Health Research - Industry-Partnered (Pfizer) Investigator Award to IG, Canada Salary support</w:t>
            </w:r>
          </w:p>
        </w:tc>
      </w:tr>
    </w:tbl>
    <w:p w14:paraId="6E254B78" w14:textId="679BD330" w:rsidR="00BC6EB6" w:rsidRPr="00D518FF" w:rsidRDefault="00BC6EB6" w:rsidP="00AA72BD">
      <w:pPr>
        <w:pStyle w:val="2024TABLEFOOTER"/>
        <w:spacing w:line="240" w:lineRule="auto"/>
        <w:rPr>
          <w:szCs w:val="16"/>
        </w:rPr>
      </w:pPr>
      <w:r w:rsidRPr="00D518FF">
        <w:rPr>
          <w:szCs w:val="16"/>
        </w:rPr>
        <w:lastRenderedPageBreak/>
        <w:t xml:space="preserve">Abbreviations: </w:t>
      </w:r>
      <w:r w:rsidR="002269D9" w:rsidRPr="00D518FF">
        <w:rPr>
          <w:rFonts w:cs="Calibri"/>
          <w:color w:val="000000"/>
          <w:szCs w:val="16"/>
        </w:rPr>
        <w:t>CENTRAL=Cochrane Central Register of Controlled Trials</w:t>
      </w:r>
      <w:r w:rsidR="002269D9" w:rsidRPr="00D518FF">
        <w:rPr>
          <w:szCs w:val="16"/>
        </w:rPr>
        <w:t xml:space="preserve">; </w:t>
      </w:r>
      <w:r w:rsidR="00A9261B" w:rsidRPr="00D518FF">
        <w:rPr>
          <w:szCs w:val="16"/>
        </w:rPr>
        <w:t xml:space="preserve">CINAHL=Cumulative Index of Nursing and Allied Health Literature; </w:t>
      </w:r>
      <w:r w:rsidRPr="00D518FF">
        <w:rPr>
          <w:szCs w:val="16"/>
        </w:rPr>
        <w:t>NR=Not reported; RCT=randomised controlled trial, GRADE=Grading of Recommendations Assessment, Development and Evaluation, CFS=chronic fatigue syndrome, ME=</w:t>
      </w:r>
      <w:r w:rsidRPr="00D518FF">
        <w:t xml:space="preserve"> </w:t>
      </w:r>
      <w:r w:rsidRPr="00D518FF">
        <w:rPr>
          <w:szCs w:val="16"/>
        </w:rPr>
        <w:t>myalgic encephalomyelitis</w:t>
      </w:r>
    </w:p>
    <w:p w14:paraId="6D7D4A1D" w14:textId="77777777" w:rsidR="0037334B" w:rsidRPr="00D518FF" w:rsidRDefault="0037334B" w:rsidP="00AA72BD">
      <w:pPr>
        <w:pStyle w:val="Caption1"/>
        <w:spacing w:before="0" w:after="0"/>
        <w:rPr>
          <w:rFonts w:ascii="Aptos" w:hAnsi="Aptos"/>
          <w:b w:val="0"/>
          <w:bCs w:val="0"/>
          <w:sz w:val="16"/>
          <w:szCs w:val="16"/>
        </w:rPr>
      </w:pPr>
    </w:p>
    <w:p w14:paraId="7A913A36" w14:textId="77777777" w:rsidR="0037334B" w:rsidRPr="00D518FF" w:rsidRDefault="0037334B"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4527B076" w14:textId="77777777" w:rsidR="004E75D4" w:rsidRPr="00D518FF" w:rsidRDefault="004E75D4" w:rsidP="003F5774">
      <w:pPr>
        <w:pStyle w:val="ListParagraph"/>
        <w:numPr>
          <w:ilvl w:val="0"/>
          <w:numId w:val="8"/>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Pain</w:t>
      </w:r>
    </w:p>
    <w:p w14:paraId="1EA97A22" w14:textId="77777777" w:rsidR="004E75D4" w:rsidRPr="00D518FF" w:rsidRDefault="004E75D4" w:rsidP="003F5774">
      <w:pPr>
        <w:pStyle w:val="ListParagraph"/>
        <w:numPr>
          <w:ilvl w:val="0"/>
          <w:numId w:val="8"/>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Function/Disability</w:t>
      </w:r>
    </w:p>
    <w:p w14:paraId="66BF26F7" w14:textId="77777777" w:rsidR="004E75D4" w:rsidRPr="00D518FF" w:rsidRDefault="004E75D4" w:rsidP="003F5774">
      <w:pPr>
        <w:pStyle w:val="ListParagraph"/>
        <w:numPr>
          <w:ilvl w:val="0"/>
          <w:numId w:val="8"/>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assessment of condition</w:t>
      </w:r>
    </w:p>
    <w:p w14:paraId="4E46CFE9" w14:textId="77777777" w:rsidR="004E75D4" w:rsidRPr="00D518FF" w:rsidRDefault="004E75D4" w:rsidP="003F5774">
      <w:pPr>
        <w:pStyle w:val="ListParagraph"/>
        <w:numPr>
          <w:ilvl w:val="0"/>
          <w:numId w:val="8"/>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0DA2F2FE" w14:textId="77777777" w:rsidR="004E75D4" w:rsidRPr="00D518FF" w:rsidRDefault="004E75D4" w:rsidP="003F5774">
      <w:pPr>
        <w:pStyle w:val="ListParagraph"/>
        <w:numPr>
          <w:ilvl w:val="0"/>
          <w:numId w:val="8"/>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Tenderness</w:t>
      </w:r>
    </w:p>
    <w:p w14:paraId="3F50A97B" w14:textId="77777777" w:rsidR="004E75D4" w:rsidRPr="00D518FF" w:rsidRDefault="004E75D4" w:rsidP="003F5774">
      <w:pPr>
        <w:pStyle w:val="ListParagraph"/>
        <w:numPr>
          <w:ilvl w:val="0"/>
          <w:numId w:val="8"/>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 from fibromyalgia</w:t>
      </w:r>
    </w:p>
    <w:p w14:paraId="0D932E57" w14:textId="04E005F4" w:rsidR="004E75D4" w:rsidRPr="00D518FF" w:rsidRDefault="004E75D4" w:rsidP="003F5774">
      <w:pPr>
        <w:pStyle w:val="ListParagraph"/>
        <w:numPr>
          <w:ilvl w:val="0"/>
          <w:numId w:val="8"/>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Stiffness</w:t>
      </w:r>
    </w:p>
    <w:p w14:paraId="57514D93" w14:textId="05B671F4" w:rsidR="004E75D4" w:rsidRPr="00B53559" w:rsidRDefault="00230819" w:rsidP="00B53559">
      <w:pPr>
        <w:pStyle w:val="heading2numbers"/>
        <w:rPr>
          <w:rStyle w:val="Heading1Char"/>
          <w:rFonts w:ascii="Aptos" w:eastAsia="Calibri" w:hAnsi="Aptos"/>
          <w:bCs w:val="0"/>
          <w:color w:val="C00000"/>
          <w:sz w:val="28"/>
          <w:szCs w:val="26"/>
        </w:rPr>
      </w:pPr>
      <w:bookmarkStart w:id="174" w:name="_Toc185254657"/>
      <w:r w:rsidRPr="00B53559">
        <w:rPr>
          <w:rStyle w:val="Heading1Char"/>
          <w:rFonts w:ascii="Aptos" w:eastAsia="Calibri" w:hAnsi="Aptos"/>
          <w:bCs w:val="0"/>
          <w:color w:val="C00000"/>
          <w:sz w:val="28"/>
          <w:szCs w:val="26"/>
        </w:rPr>
        <w:t>Recurrent infection/s</w:t>
      </w:r>
      <w:r w:rsidR="001D7486" w:rsidRPr="00B53559">
        <w:rPr>
          <w:rStyle w:val="Heading1Char"/>
          <w:rFonts w:ascii="Aptos" w:eastAsia="Calibri" w:hAnsi="Aptos"/>
          <w:bCs w:val="0"/>
          <w:color w:val="C00000"/>
          <w:sz w:val="28"/>
          <w:szCs w:val="26"/>
        </w:rPr>
        <w:t xml:space="preserve"> (including urinary tract infections, cystitis, respiratory tract infection, otitis media in children)</w:t>
      </w:r>
      <w:r w:rsidRPr="00B53559">
        <w:rPr>
          <w:rStyle w:val="Heading1Char"/>
          <w:rFonts w:ascii="Aptos" w:eastAsia="Calibri" w:hAnsi="Aptos"/>
          <w:bCs w:val="0"/>
          <w:color w:val="C00000"/>
          <w:sz w:val="28"/>
          <w:szCs w:val="26"/>
        </w:rPr>
        <w:t xml:space="preserve">, </w:t>
      </w:r>
      <w:r w:rsidR="00C16441" w:rsidRPr="00B53559">
        <w:rPr>
          <w:rStyle w:val="Heading1Char"/>
          <w:rFonts w:ascii="Aptos" w:eastAsia="Calibri" w:hAnsi="Aptos"/>
          <w:bCs w:val="0"/>
          <w:color w:val="C00000"/>
          <w:sz w:val="28"/>
          <w:szCs w:val="26"/>
        </w:rPr>
        <w:t>z</w:t>
      </w:r>
      <w:r w:rsidRPr="00B53559">
        <w:rPr>
          <w:rStyle w:val="Heading1Char"/>
          <w:rFonts w:ascii="Aptos" w:eastAsia="Calibri" w:hAnsi="Aptos"/>
          <w:bCs w:val="0"/>
          <w:color w:val="C00000"/>
          <w:sz w:val="28"/>
          <w:szCs w:val="26"/>
        </w:rPr>
        <w:t>inc</w:t>
      </w:r>
      <w:bookmarkEnd w:id="174"/>
    </w:p>
    <w:p w14:paraId="720A6B26" w14:textId="718BC25E" w:rsidR="00A740A6" w:rsidRPr="00D518FF" w:rsidRDefault="0006125A" w:rsidP="004C6AA1">
      <w:pPr>
        <w:pStyle w:val="Caption"/>
        <w:spacing w:before="240"/>
        <w:rPr>
          <w:rFonts w:ascii="Aptos" w:hAnsi="Aptos"/>
        </w:rPr>
      </w:pPr>
      <w:bookmarkStart w:id="175" w:name="_Toc185254569"/>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23</w:t>
      </w:r>
      <w:r w:rsidR="00DC4767" w:rsidRPr="004C6AA1">
        <w:rPr>
          <w:rFonts w:ascii="Aptos" w:hAnsi="Aptos"/>
        </w:rPr>
        <w:fldChar w:fldCharType="end"/>
      </w:r>
      <w:r w:rsidR="00A740A6" w:rsidRPr="00D518FF">
        <w:rPr>
          <w:rFonts w:ascii="Aptos" w:hAnsi="Aptos"/>
        </w:rPr>
        <w:t>. Citation details of included reviews – recurrent infection/s (including urinary tract infections, cystitis, respiratory tract infection, otitis media in children), zinc (n=3)</w:t>
      </w:r>
      <w:r w:rsidR="00A6108F">
        <w:rPr>
          <w:rFonts w:ascii="Aptos" w:hAnsi="Aptos"/>
        </w:rPr>
        <w:t>.</w:t>
      </w:r>
      <w:bookmarkEnd w:id="175"/>
    </w:p>
    <w:tbl>
      <w:tblPr>
        <w:tblStyle w:val="TableGrid"/>
        <w:tblW w:w="0" w:type="auto"/>
        <w:tblLayout w:type="fixed"/>
        <w:tblCellMar>
          <w:top w:w="28" w:type="dxa"/>
          <w:left w:w="57" w:type="dxa"/>
          <w:bottom w:w="28" w:type="dxa"/>
          <w:right w:w="28" w:type="dxa"/>
        </w:tblCellMar>
        <w:tblLook w:val="04A0" w:firstRow="1" w:lastRow="0" w:firstColumn="1" w:lastColumn="0" w:noHBand="0" w:noVBand="1"/>
      </w:tblPr>
      <w:tblGrid>
        <w:gridCol w:w="846"/>
        <w:gridCol w:w="4111"/>
        <w:gridCol w:w="2693"/>
        <w:gridCol w:w="567"/>
        <w:gridCol w:w="2126"/>
        <w:gridCol w:w="709"/>
        <w:gridCol w:w="567"/>
        <w:gridCol w:w="850"/>
        <w:gridCol w:w="1560"/>
      </w:tblGrid>
      <w:tr w:rsidR="00A740A6" w:rsidRPr="00D518FF" w14:paraId="2177000F" w14:textId="77777777" w:rsidTr="00F614C8">
        <w:trPr>
          <w:trHeight w:val="61"/>
          <w:tblHeader/>
        </w:trPr>
        <w:tc>
          <w:tcPr>
            <w:tcW w:w="846" w:type="dxa"/>
            <w:shd w:val="clear" w:color="auto" w:fill="D9D9D9" w:themeFill="background1" w:themeFillShade="D9"/>
          </w:tcPr>
          <w:p w14:paraId="14BD9235"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Review ID</w:t>
            </w:r>
          </w:p>
        </w:tc>
        <w:tc>
          <w:tcPr>
            <w:tcW w:w="4111" w:type="dxa"/>
            <w:shd w:val="clear" w:color="auto" w:fill="D9D9D9" w:themeFill="background1" w:themeFillShade="D9"/>
            <w:noWrap/>
            <w:hideMark/>
          </w:tcPr>
          <w:p w14:paraId="479EC967"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Title</w:t>
            </w:r>
          </w:p>
        </w:tc>
        <w:tc>
          <w:tcPr>
            <w:tcW w:w="2693" w:type="dxa"/>
            <w:shd w:val="clear" w:color="auto" w:fill="D9D9D9" w:themeFill="background1" w:themeFillShade="D9"/>
            <w:noWrap/>
            <w:hideMark/>
          </w:tcPr>
          <w:p w14:paraId="31A15F91"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16DC0DC7"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Year</w:t>
            </w:r>
          </w:p>
        </w:tc>
        <w:tc>
          <w:tcPr>
            <w:tcW w:w="2126" w:type="dxa"/>
            <w:shd w:val="clear" w:color="auto" w:fill="D9D9D9" w:themeFill="background1" w:themeFillShade="D9"/>
            <w:noWrap/>
            <w:hideMark/>
          </w:tcPr>
          <w:p w14:paraId="13094571"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65B9B1BA"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Volume</w:t>
            </w:r>
          </w:p>
        </w:tc>
        <w:tc>
          <w:tcPr>
            <w:tcW w:w="567" w:type="dxa"/>
            <w:shd w:val="clear" w:color="auto" w:fill="D9D9D9" w:themeFill="background1" w:themeFillShade="D9"/>
            <w:noWrap/>
            <w:hideMark/>
          </w:tcPr>
          <w:p w14:paraId="1FE416D2"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Issue</w:t>
            </w:r>
          </w:p>
        </w:tc>
        <w:tc>
          <w:tcPr>
            <w:tcW w:w="850" w:type="dxa"/>
            <w:shd w:val="clear" w:color="auto" w:fill="D9D9D9" w:themeFill="background1" w:themeFillShade="D9"/>
            <w:noWrap/>
            <w:hideMark/>
          </w:tcPr>
          <w:p w14:paraId="0C4C3F7F"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Pages</w:t>
            </w:r>
          </w:p>
        </w:tc>
        <w:tc>
          <w:tcPr>
            <w:tcW w:w="1560" w:type="dxa"/>
            <w:shd w:val="clear" w:color="auto" w:fill="D9D9D9" w:themeFill="background1" w:themeFillShade="D9"/>
            <w:noWrap/>
            <w:hideMark/>
          </w:tcPr>
          <w:p w14:paraId="642CB05E"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DOI</w:t>
            </w:r>
          </w:p>
        </w:tc>
      </w:tr>
      <w:tr w:rsidR="00A740A6" w:rsidRPr="00D518FF" w14:paraId="1B22CC29" w14:textId="77777777" w:rsidTr="00A6108F">
        <w:trPr>
          <w:trHeight w:val="55"/>
        </w:trPr>
        <w:tc>
          <w:tcPr>
            <w:tcW w:w="846" w:type="dxa"/>
            <w:shd w:val="clear" w:color="auto" w:fill="EFFFE9"/>
          </w:tcPr>
          <w:p w14:paraId="6D4A073A" w14:textId="399AD9A4" w:rsidR="00A740A6" w:rsidRPr="00D518FF" w:rsidRDefault="00F614C8">
            <w:pPr>
              <w:rPr>
                <w:rFonts w:ascii="Aptos" w:hAnsi="Aptos" w:cs="Arial"/>
                <w:sz w:val="16"/>
                <w:szCs w:val="16"/>
              </w:rPr>
            </w:pPr>
            <w:r w:rsidRPr="00D518FF">
              <w:rPr>
                <w:rFonts w:ascii="Aptos" w:hAnsi="Aptos" w:cs="Arial"/>
                <w:sz w:val="16"/>
                <w:szCs w:val="16"/>
              </w:rPr>
              <w:t xml:space="preserve">Gulani </w:t>
            </w:r>
            <w:r w:rsidR="00A740A6" w:rsidRPr="00D518FF">
              <w:rPr>
                <w:rFonts w:ascii="Aptos" w:hAnsi="Aptos" w:cs="Arial"/>
                <w:sz w:val="16"/>
                <w:szCs w:val="16"/>
              </w:rPr>
              <w:t>2014</w:t>
            </w:r>
          </w:p>
        </w:tc>
        <w:tc>
          <w:tcPr>
            <w:tcW w:w="4111" w:type="dxa"/>
            <w:shd w:val="clear" w:color="auto" w:fill="EFFFE9"/>
          </w:tcPr>
          <w:p w14:paraId="4C043CB9" w14:textId="77777777" w:rsidR="00A740A6" w:rsidRPr="00D518FF" w:rsidRDefault="00A740A6">
            <w:pPr>
              <w:rPr>
                <w:rFonts w:ascii="Aptos" w:hAnsi="Aptos" w:cs="Arial"/>
                <w:sz w:val="16"/>
                <w:szCs w:val="16"/>
              </w:rPr>
            </w:pPr>
            <w:r w:rsidRPr="00D518FF">
              <w:rPr>
                <w:rFonts w:ascii="Aptos" w:hAnsi="Aptos" w:cs="Arial"/>
                <w:sz w:val="16"/>
                <w:szCs w:val="16"/>
              </w:rPr>
              <w:t>Zinc supplements for preventing otitis media</w:t>
            </w:r>
          </w:p>
        </w:tc>
        <w:tc>
          <w:tcPr>
            <w:tcW w:w="2693" w:type="dxa"/>
            <w:shd w:val="clear" w:color="auto" w:fill="EFFFE9"/>
          </w:tcPr>
          <w:p w14:paraId="599A5A66" w14:textId="03296BB1" w:rsidR="00A740A6" w:rsidRPr="00D518FF" w:rsidRDefault="00A740A6">
            <w:pPr>
              <w:rPr>
                <w:rFonts w:ascii="Aptos" w:hAnsi="Aptos" w:cs="Arial"/>
                <w:sz w:val="16"/>
                <w:szCs w:val="16"/>
              </w:rPr>
            </w:pPr>
            <w:r w:rsidRPr="00D518FF">
              <w:rPr>
                <w:rFonts w:ascii="Aptos" w:hAnsi="Aptos" w:cs="Arial"/>
                <w:sz w:val="16"/>
                <w:szCs w:val="16"/>
              </w:rPr>
              <w:t>Gulani</w:t>
            </w:r>
            <w:r w:rsidR="002469E2">
              <w:rPr>
                <w:rFonts w:ascii="Aptos" w:hAnsi="Aptos" w:cs="Arial"/>
                <w:sz w:val="16"/>
                <w:szCs w:val="16"/>
              </w:rPr>
              <w:t>, A.</w:t>
            </w:r>
            <w:r w:rsidRPr="00D518FF">
              <w:rPr>
                <w:rFonts w:ascii="Aptos" w:hAnsi="Aptos" w:cs="Arial"/>
                <w:sz w:val="16"/>
                <w:szCs w:val="16"/>
              </w:rPr>
              <w:t>; Sachdev</w:t>
            </w:r>
            <w:r w:rsidR="002469E2">
              <w:rPr>
                <w:rFonts w:ascii="Aptos" w:hAnsi="Aptos" w:cs="Arial"/>
                <w:sz w:val="16"/>
                <w:szCs w:val="16"/>
              </w:rPr>
              <w:t>, S. H.</w:t>
            </w:r>
          </w:p>
        </w:tc>
        <w:tc>
          <w:tcPr>
            <w:tcW w:w="567" w:type="dxa"/>
            <w:shd w:val="clear" w:color="auto" w:fill="EFFFE9"/>
          </w:tcPr>
          <w:p w14:paraId="118AE90D" w14:textId="77777777" w:rsidR="00A740A6" w:rsidRPr="00D518FF" w:rsidRDefault="00A740A6">
            <w:pPr>
              <w:rPr>
                <w:rFonts w:ascii="Aptos" w:hAnsi="Aptos" w:cs="Arial"/>
                <w:sz w:val="16"/>
                <w:szCs w:val="16"/>
              </w:rPr>
            </w:pPr>
            <w:r w:rsidRPr="00D518FF">
              <w:rPr>
                <w:rFonts w:ascii="Aptos" w:hAnsi="Aptos" w:cs="Arial"/>
                <w:sz w:val="16"/>
                <w:szCs w:val="16"/>
              </w:rPr>
              <w:t>2014</w:t>
            </w:r>
          </w:p>
        </w:tc>
        <w:tc>
          <w:tcPr>
            <w:tcW w:w="2126" w:type="dxa"/>
            <w:shd w:val="clear" w:color="auto" w:fill="EFFFE9"/>
          </w:tcPr>
          <w:p w14:paraId="191B6414" w14:textId="77777777" w:rsidR="00A740A6" w:rsidRPr="00D518FF" w:rsidRDefault="00A740A6">
            <w:pPr>
              <w:rPr>
                <w:rFonts w:ascii="Aptos" w:hAnsi="Aptos" w:cs="Arial"/>
                <w:sz w:val="16"/>
                <w:szCs w:val="16"/>
              </w:rPr>
            </w:pPr>
            <w:r w:rsidRPr="00D518FF">
              <w:rPr>
                <w:rFonts w:ascii="Aptos" w:hAnsi="Aptos" w:cs="Arial"/>
                <w:sz w:val="16"/>
                <w:szCs w:val="16"/>
              </w:rPr>
              <w:t>Cochrane Database of Systematic Reviews</w:t>
            </w:r>
          </w:p>
        </w:tc>
        <w:tc>
          <w:tcPr>
            <w:tcW w:w="709" w:type="dxa"/>
            <w:shd w:val="clear" w:color="auto" w:fill="EFFFE9"/>
          </w:tcPr>
          <w:p w14:paraId="4ADB0A43" w14:textId="77777777" w:rsidR="00A740A6" w:rsidRPr="00D518FF" w:rsidRDefault="00A740A6">
            <w:pPr>
              <w:rPr>
                <w:rFonts w:ascii="Aptos" w:hAnsi="Aptos" w:cs="Arial"/>
                <w:sz w:val="16"/>
                <w:szCs w:val="16"/>
              </w:rPr>
            </w:pPr>
            <w:r w:rsidRPr="00D518FF">
              <w:rPr>
                <w:rFonts w:ascii="Aptos" w:hAnsi="Aptos" w:cs="Arial"/>
                <w:sz w:val="16"/>
                <w:szCs w:val="16"/>
              </w:rPr>
              <w:t>6</w:t>
            </w:r>
          </w:p>
        </w:tc>
        <w:tc>
          <w:tcPr>
            <w:tcW w:w="567" w:type="dxa"/>
            <w:shd w:val="clear" w:color="auto" w:fill="EFFFE9"/>
          </w:tcPr>
          <w:p w14:paraId="5025929E" w14:textId="77777777" w:rsidR="00A740A6" w:rsidRPr="00D518FF" w:rsidRDefault="00A740A6">
            <w:pPr>
              <w:rPr>
                <w:rFonts w:ascii="Aptos" w:hAnsi="Aptos" w:cs="Arial"/>
                <w:sz w:val="16"/>
                <w:szCs w:val="16"/>
              </w:rPr>
            </w:pPr>
            <w:r w:rsidRPr="00D518FF">
              <w:rPr>
                <w:rFonts w:ascii="Aptos" w:hAnsi="Aptos" w:cs="Arial"/>
                <w:sz w:val="16"/>
                <w:szCs w:val="16"/>
              </w:rPr>
              <w:t>6</w:t>
            </w:r>
          </w:p>
        </w:tc>
        <w:tc>
          <w:tcPr>
            <w:tcW w:w="850" w:type="dxa"/>
            <w:shd w:val="clear" w:color="auto" w:fill="EFFFE9"/>
          </w:tcPr>
          <w:p w14:paraId="4C768EEA" w14:textId="77777777" w:rsidR="00A740A6" w:rsidRPr="00D518FF" w:rsidRDefault="00A740A6">
            <w:pPr>
              <w:rPr>
                <w:rFonts w:ascii="Aptos" w:hAnsi="Aptos" w:cs="Arial"/>
                <w:sz w:val="16"/>
                <w:szCs w:val="16"/>
              </w:rPr>
            </w:pPr>
            <w:r w:rsidRPr="00D518FF">
              <w:rPr>
                <w:rFonts w:ascii="Aptos" w:hAnsi="Aptos" w:cs="Arial"/>
                <w:sz w:val="16"/>
                <w:szCs w:val="16"/>
              </w:rPr>
              <w:t>CD006639</w:t>
            </w:r>
          </w:p>
        </w:tc>
        <w:tc>
          <w:tcPr>
            <w:tcW w:w="1560" w:type="dxa"/>
            <w:shd w:val="clear" w:color="auto" w:fill="EFFFE9"/>
          </w:tcPr>
          <w:p w14:paraId="7B5586D6" w14:textId="77777777" w:rsidR="00A740A6" w:rsidRPr="00D518FF" w:rsidRDefault="00A740A6">
            <w:pPr>
              <w:rPr>
                <w:rFonts w:ascii="Aptos" w:hAnsi="Aptos" w:cs="Arial"/>
                <w:sz w:val="16"/>
                <w:szCs w:val="16"/>
              </w:rPr>
            </w:pPr>
            <w:r w:rsidRPr="00D518FF">
              <w:rPr>
                <w:rFonts w:ascii="Aptos" w:hAnsi="Aptos" w:cs="Arial"/>
                <w:sz w:val="16"/>
                <w:szCs w:val="16"/>
              </w:rPr>
              <w:t>10.1002/14651858.CD006639.pub4</w:t>
            </w:r>
          </w:p>
        </w:tc>
      </w:tr>
      <w:tr w:rsidR="00A740A6" w:rsidRPr="00D518FF" w14:paraId="04D19423" w14:textId="77777777" w:rsidTr="00A6108F">
        <w:trPr>
          <w:trHeight w:val="55"/>
        </w:trPr>
        <w:tc>
          <w:tcPr>
            <w:tcW w:w="846" w:type="dxa"/>
            <w:shd w:val="clear" w:color="auto" w:fill="EFFFE9"/>
          </w:tcPr>
          <w:p w14:paraId="20FF03A8" w14:textId="77777777" w:rsidR="00A740A6" w:rsidRPr="00D518FF" w:rsidRDefault="00A740A6">
            <w:pPr>
              <w:rPr>
                <w:rFonts w:ascii="Aptos" w:hAnsi="Aptos" w:cs="Arial"/>
                <w:sz w:val="16"/>
                <w:szCs w:val="16"/>
              </w:rPr>
            </w:pPr>
            <w:r w:rsidRPr="00D518FF">
              <w:rPr>
                <w:rFonts w:ascii="Aptos" w:hAnsi="Aptos" w:cs="Arial"/>
                <w:sz w:val="16"/>
                <w:szCs w:val="16"/>
              </w:rPr>
              <w:t>Hurley 2020</w:t>
            </w:r>
          </w:p>
        </w:tc>
        <w:tc>
          <w:tcPr>
            <w:tcW w:w="4111" w:type="dxa"/>
            <w:shd w:val="clear" w:color="auto" w:fill="EFFFE9"/>
          </w:tcPr>
          <w:p w14:paraId="723C17CC" w14:textId="77777777" w:rsidR="00A740A6" w:rsidRPr="00D518FF" w:rsidRDefault="00A740A6">
            <w:pPr>
              <w:rPr>
                <w:rFonts w:ascii="Aptos" w:hAnsi="Aptos" w:cs="Arial"/>
                <w:sz w:val="16"/>
                <w:szCs w:val="16"/>
              </w:rPr>
            </w:pPr>
            <w:r w:rsidRPr="00D518FF">
              <w:rPr>
                <w:rFonts w:ascii="Aptos" w:hAnsi="Aptos" w:cs="Arial"/>
                <w:sz w:val="16"/>
                <w:szCs w:val="16"/>
              </w:rPr>
              <w:t>Antibiotic adjuvant therapy for pulmonary infection in cystic fibrosis</w:t>
            </w:r>
          </w:p>
        </w:tc>
        <w:tc>
          <w:tcPr>
            <w:tcW w:w="2693" w:type="dxa"/>
            <w:shd w:val="clear" w:color="auto" w:fill="EFFFE9"/>
          </w:tcPr>
          <w:p w14:paraId="0669F02A" w14:textId="77777777" w:rsidR="00A740A6" w:rsidRPr="00D518FF" w:rsidRDefault="00A740A6">
            <w:pPr>
              <w:rPr>
                <w:rFonts w:ascii="Aptos" w:hAnsi="Aptos" w:cs="Arial"/>
                <w:sz w:val="16"/>
                <w:szCs w:val="16"/>
              </w:rPr>
            </w:pPr>
            <w:r w:rsidRPr="00D518FF">
              <w:rPr>
                <w:rFonts w:ascii="Aptos" w:hAnsi="Aptos" w:cs="Arial"/>
                <w:sz w:val="16"/>
                <w:szCs w:val="16"/>
              </w:rPr>
              <w:t>Hurley, M. N.; Smith, S.; Forrester, D. L.; Smyth, A. R.</w:t>
            </w:r>
          </w:p>
        </w:tc>
        <w:tc>
          <w:tcPr>
            <w:tcW w:w="567" w:type="dxa"/>
            <w:shd w:val="clear" w:color="auto" w:fill="EFFFE9"/>
          </w:tcPr>
          <w:p w14:paraId="292F22E6" w14:textId="77777777" w:rsidR="00A740A6" w:rsidRPr="00D518FF" w:rsidRDefault="00A740A6">
            <w:pPr>
              <w:rPr>
                <w:rFonts w:ascii="Aptos" w:hAnsi="Aptos" w:cs="Arial"/>
                <w:sz w:val="16"/>
                <w:szCs w:val="16"/>
              </w:rPr>
            </w:pPr>
            <w:r w:rsidRPr="00D518FF">
              <w:rPr>
                <w:rFonts w:ascii="Aptos" w:hAnsi="Aptos" w:cs="Arial"/>
                <w:sz w:val="16"/>
                <w:szCs w:val="16"/>
              </w:rPr>
              <w:t>2020</w:t>
            </w:r>
          </w:p>
        </w:tc>
        <w:tc>
          <w:tcPr>
            <w:tcW w:w="2126" w:type="dxa"/>
            <w:shd w:val="clear" w:color="auto" w:fill="EFFFE9"/>
          </w:tcPr>
          <w:p w14:paraId="105A8868" w14:textId="77777777" w:rsidR="00A740A6" w:rsidRPr="00D518FF" w:rsidRDefault="00A740A6">
            <w:pPr>
              <w:rPr>
                <w:rFonts w:ascii="Aptos" w:hAnsi="Aptos" w:cs="Arial"/>
                <w:sz w:val="16"/>
                <w:szCs w:val="16"/>
              </w:rPr>
            </w:pPr>
            <w:r w:rsidRPr="00D518FF">
              <w:rPr>
                <w:rFonts w:ascii="Aptos" w:hAnsi="Aptos" w:cs="Arial"/>
                <w:sz w:val="16"/>
                <w:szCs w:val="16"/>
              </w:rPr>
              <w:t>The Cochrane database of systematic reviews</w:t>
            </w:r>
          </w:p>
        </w:tc>
        <w:tc>
          <w:tcPr>
            <w:tcW w:w="709" w:type="dxa"/>
            <w:shd w:val="clear" w:color="auto" w:fill="EFFFE9"/>
          </w:tcPr>
          <w:p w14:paraId="7C2FAFC1" w14:textId="77777777" w:rsidR="00A740A6" w:rsidRPr="00D518FF" w:rsidRDefault="00A740A6">
            <w:pPr>
              <w:rPr>
                <w:rFonts w:ascii="Aptos" w:hAnsi="Aptos" w:cs="Arial"/>
                <w:sz w:val="16"/>
                <w:szCs w:val="16"/>
              </w:rPr>
            </w:pPr>
            <w:r w:rsidRPr="00D518FF">
              <w:rPr>
                <w:rFonts w:ascii="Aptos" w:hAnsi="Aptos" w:cs="Arial"/>
                <w:sz w:val="16"/>
                <w:szCs w:val="16"/>
              </w:rPr>
              <w:t>7</w:t>
            </w:r>
          </w:p>
        </w:tc>
        <w:tc>
          <w:tcPr>
            <w:tcW w:w="567" w:type="dxa"/>
            <w:shd w:val="clear" w:color="auto" w:fill="EFFFE9"/>
          </w:tcPr>
          <w:p w14:paraId="4C76853C" w14:textId="77777777" w:rsidR="00A740A6" w:rsidRPr="00D518FF" w:rsidRDefault="00A740A6">
            <w:pPr>
              <w:rPr>
                <w:rFonts w:ascii="Aptos" w:hAnsi="Aptos" w:cs="Arial"/>
                <w:sz w:val="16"/>
                <w:szCs w:val="16"/>
              </w:rPr>
            </w:pPr>
            <w:r w:rsidRPr="00D518FF">
              <w:rPr>
                <w:rFonts w:ascii="Aptos" w:hAnsi="Aptos" w:cs="Arial"/>
                <w:sz w:val="16"/>
                <w:szCs w:val="16"/>
              </w:rPr>
              <w:t>7</w:t>
            </w:r>
          </w:p>
        </w:tc>
        <w:tc>
          <w:tcPr>
            <w:tcW w:w="850" w:type="dxa"/>
            <w:shd w:val="clear" w:color="auto" w:fill="EFFFE9"/>
          </w:tcPr>
          <w:p w14:paraId="79E22E07" w14:textId="77777777" w:rsidR="00A740A6" w:rsidRPr="00D518FF" w:rsidRDefault="00A740A6">
            <w:pPr>
              <w:rPr>
                <w:rFonts w:ascii="Aptos" w:hAnsi="Aptos" w:cs="Arial"/>
                <w:sz w:val="16"/>
                <w:szCs w:val="16"/>
              </w:rPr>
            </w:pPr>
            <w:r w:rsidRPr="00D518FF">
              <w:rPr>
                <w:rFonts w:ascii="Aptos" w:hAnsi="Aptos" w:cs="Arial"/>
                <w:sz w:val="16"/>
                <w:szCs w:val="16"/>
              </w:rPr>
              <w:t>CD008037</w:t>
            </w:r>
          </w:p>
        </w:tc>
        <w:tc>
          <w:tcPr>
            <w:tcW w:w="1560" w:type="dxa"/>
            <w:shd w:val="clear" w:color="auto" w:fill="EFFFE9"/>
          </w:tcPr>
          <w:p w14:paraId="750CBD93" w14:textId="77777777" w:rsidR="00A740A6" w:rsidRPr="00D518FF" w:rsidRDefault="00A740A6">
            <w:pPr>
              <w:rPr>
                <w:rFonts w:ascii="Aptos" w:hAnsi="Aptos" w:cs="Arial"/>
                <w:sz w:val="16"/>
                <w:szCs w:val="16"/>
              </w:rPr>
            </w:pPr>
            <w:r w:rsidRPr="00D518FF">
              <w:rPr>
                <w:rFonts w:ascii="Aptos" w:hAnsi="Aptos" w:cs="Arial"/>
                <w:sz w:val="16"/>
                <w:szCs w:val="16"/>
              </w:rPr>
              <w:t>10.1002/14651858.CD008037.pub4</w:t>
            </w:r>
          </w:p>
        </w:tc>
      </w:tr>
      <w:tr w:rsidR="00A740A6" w:rsidRPr="00D518FF" w14:paraId="089711A7" w14:textId="77777777" w:rsidTr="00A6108F">
        <w:trPr>
          <w:trHeight w:val="55"/>
        </w:trPr>
        <w:tc>
          <w:tcPr>
            <w:tcW w:w="846" w:type="dxa"/>
            <w:shd w:val="clear" w:color="auto" w:fill="EFFFE9"/>
          </w:tcPr>
          <w:p w14:paraId="772CAD32" w14:textId="77777777" w:rsidR="00A740A6" w:rsidRPr="00D518FF" w:rsidRDefault="00A740A6">
            <w:pPr>
              <w:rPr>
                <w:rFonts w:ascii="Aptos" w:hAnsi="Aptos" w:cs="Arial"/>
                <w:sz w:val="16"/>
                <w:szCs w:val="16"/>
              </w:rPr>
            </w:pPr>
            <w:r w:rsidRPr="00D518FF">
              <w:rPr>
                <w:rFonts w:ascii="Aptos" w:hAnsi="Aptos" w:cs="Arial"/>
                <w:sz w:val="16"/>
                <w:szCs w:val="16"/>
              </w:rPr>
              <w:t>Manikam 2016</w:t>
            </w:r>
          </w:p>
        </w:tc>
        <w:tc>
          <w:tcPr>
            <w:tcW w:w="4111" w:type="dxa"/>
            <w:shd w:val="clear" w:color="auto" w:fill="EFFFE9"/>
          </w:tcPr>
          <w:p w14:paraId="07FD56FF" w14:textId="77777777" w:rsidR="00A740A6" w:rsidRPr="00D518FF" w:rsidRDefault="00A740A6">
            <w:pPr>
              <w:rPr>
                <w:rFonts w:ascii="Aptos" w:hAnsi="Aptos" w:cs="Arial"/>
                <w:sz w:val="16"/>
                <w:szCs w:val="16"/>
              </w:rPr>
            </w:pPr>
            <w:r w:rsidRPr="00D518FF">
              <w:rPr>
                <w:rFonts w:ascii="Aptos" w:hAnsi="Aptos" w:cs="Arial"/>
                <w:sz w:val="16"/>
                <w:szCs w:val="16"/>
              </w:rPr>
              <w:t>Limited Evidence on the Management of Respiratory Tract Infections in Down's Syndrome: A Systematic Review</w:t>
            </w:r>
          </w:p>
        </w:tc>
        <w:tc>
          <w:tcPr>
            <w:tcW w:w="2693" w:type="dxa"/>
            <w:shd w:val="clear" w:color="auto" w:fill="EFFFE9"/>
          </w:tcPr>
          <w:p w14:paraId="1CFF239F" w14:textId="77777777" w:rsidR="00A740A6" w:rsidRPr="00D518FF" w:rsidRDefault="00A740A6">
            <w:pPr>
              <w:rPr>
                <w:rFonts w:ascii="Aptos" w:hAnsi="Aptos" w:cs="Arial"/>
                <w:sz w:val="16"/>
                <w:szCs w:val="16"/>
              </w:rPr>
            </w:pPr>
            <w:r w:rsidRPr="00D518FF">
              <w:rPr>
                <w:rFonts w:ascii="Aptos" w:hAnsi="Aptos" w:cs="Arial"/>
                <w:sz w:val="16"/>
                <w:szCs w:val="16"/>
              </w:rPr>
              <w:t>Manikam, L.; Reed, K.; Venekamp, R.; Hayward, A.; Littlejohns, P.; Schilder, A.; Lakhanpaul, M.</w:t>
            </w:r>
          </w:p>
        </w:tc>
        <w:tc>
          <w:tcPr>
            <w:tcW w:w="567" w:type="dxa"/>
            <w:shd w:val="clear" w:color="auto" w:fill="EFFFE9"/>
          </w:tcPr>
          <w:p w14:paraId="030639F8" w14:textId="77777777" w:rsidR="00A740A6" w:rsidRPr="00D518FF" w:rsidRDefault="00A740A6">
            <w:pPr>
              <w:rPr>
                <w:rFonts w:ascii="Aptos" w:hAnsi="Aptos" w:cs="Arial"/>
                <w:sz w:val="16"/>
                <w:szCs w:val="16"/>
              </w:rPr>
            </w:pPr>
            <w:r w:rsidRPr="00D518FF">
              <w:rPr>
                <w:rFonts w:ascii="Aptos" w:hAnsi="Aptos" w:cs="Arial"/>
                <w:sz w:val="16"/>
                <w:szCs w:val="16"/>
              </w:rPr>
              <w:t>2016</w:t>
            </w:r>
          </w:p>
        </w:tc>
        <w:tc>
          <w:tcPr>
            <w:tcW w:w="2126" w:type="dxa"/>
            <w:shd w:val="clear" w:color="auto" w:fill="EFFFE9"/>
          </w:tcPr>
          <w:p w14:paraId="20EAA335" w14:textId="77777777" w:rsidR="00A740A6" w:rsidRPr="00D518FF" w:rsidRDefault="00A740A6">
            <w:pPr>
              <w:rPr>
                <w:rFonts w:ascii="Aptos" w:hAnsi="Aptos" w:cs="Arial"/>
                <w:sz w:val="16"/>
                <w:szCs w:val="16"/>
              </w:rPr>
            </w:pPr>
            <w:r w:rsidRPr="00D518FF">
              <w:rPr>
                <w:rFonts w:ascii="Aptos" w:hAnsi="Aptos" w:cs="Arial"/>
                <w:sz w:val="16"/>
                <w:szCs w:val="16"/>
              </w:rPr>
              <w:t>The Pediatric infectious disease journal</w:t>
            </w:r>
          </w:p>
        </w:tc>
        <w:tc>
          <w:tcPr>
            <w:tcW w:w="709" w:type="dxa"/>
            <w:shd w:val="clear" w:color="auto" w:fill="EFFFE9"/>
          </w:tcPr>
          <w:p w14:paraId="6483E000" w14:textId="77777777" w:rsidR="00A740A6" w:rsidRPr="00D518FF" w:rsidRDefault="00A740A6">
            <w:pPr>
              <w:rPr>
                <w:rFonts w:ascii="Aptos" w:hAnsi="Aptos" w:cs="Arial"/>
                <w:sz w:val="16"/>
                <w:szCs w:val="16"/>
              </w:rPr>
            </w:pPr>
            <w:r w:rsidRPr="00D518FF">
              <w:rPr>
                <w:rFonts w:ascii="Aptos" w:hAnsi="Aptos" w:cs="Arial"/>
                <w:sz w:val="16"/>
                <w:szCs w:val="16"/>
              </w:rPr>
              <w:t>35</w:t>
            </w:r>
          </w:p>
        </w:tc>
        <w:tc>
          <w:tcPr>
            <w:tcW w:w="567" w:type="dxa"/>
            <w:shd w:val="clear" w:color="auto" w:fill="EFFFE9"/>
          </w:tcPr>
          <w:p w14:paraId="3235563D" w14:textId="77777777" w:rsidR="00A740A6" w:rsidRPr="00D518FF" w:rsidRDefault="00A740A6">
            <w:pPr>
              <w:rPr>
                <w:rFonts w:ascii="Aptos" w:hAnsi="Aptos" w:cs="Arial"/>
                <w:sz w:val="16"/>
                <w:szCs w:val="16"/>
              </w:rPr>
            </w:pPr>
            <w:r w:rsidRPr="00D518FF">
              <w:rPr>
                <w:rFonts w:ascii="Aptos" w:hAnsi="Aptos" w:cs="Arial"/>
                <w:sz w:val="16"/>
                <w:szCs w:val="16"/>
              </w:rPr>
              <w:t>10</w:t>
            </w:r>
          </w:p>
        </w:tc>
        <w:tc>
          <w:tcPr>
            <w:tcW w:w="850" w:type="dxa"/>
            <w:shd w:val="clear" w:color="auto" w:fill="EFFFE9"/>
          </w:tcPr>
          <w:p w14:paraId="433A2DC3" w14:textId="77777777" w:rsidR="00A740A6" w:rsidRPr="00D518FF" w:rsidRDefault="00A740A6">
            <w:pPr>
              <w:rPr>
                <w:rFonts w:ascii="Aptos" w:hAnsi="Aptos" w:cs="Arial"/>
                <w:sz w:val="16"/>
                <w:szCs w:val="16"/>
              </w:rPr>
            </w:pPr>
            <w:r w:rsidRPr="00D518FF">
              <w:rPr>
                <w:rFonts w:ascii="Aptos" w:hAnsi="Aptos" w:cs="Arial"/>
                <w:sz w:val="16"/>
                <w:szCs w:val="16"/>
              </w:rPr>
              <w:t>1075-9</w:t>
            </w:r>
          </w:p>
        </w:tc>
        <w:tc>
          <w:tcPr>
            <w:tcW w:w="1560" w:type="dxa"/>
            <w:shd w:val="clear" w:color="auto" w:fill="EFFFE9"/>
          </w:tcPr>
          <w:p w14:paraId="29FA763F" w14:textId="77777777" w:rsidR="00A740A6" w:rsidRPr="00D518FF" w:rsidRDefault="00A740A6">
            <w:pPr>
              <w:rPr>
                <w:rFonts w:ascii="Aptos" w:hAnsi="Aptos" w:cs="Arial"/>
                <w:sz w:val="16"/>
                <w:szCs w:val="16"/>
              </w:rPr>
            </w:pPr>
            <w:r w:rsidRPr="00D518FF">
              <w:rPr>
                <w:rFonts w:ascii="Aptos" w:hAnsi="Aptos" w:cs="Arial"/>
                <w:sz w:val="16"/>
                <w:szCs w:val="16"/>
              </w:rPr>
              <w:t>10.1097/INF.0000000000001243</w:t>
            </w:r>
          </w:p>
        </w:tc>
      </w:tr>
    </w:tbl>
    <w:p w14:paraId="268CE114" w14:textId="77777777" w:rsidR="00A740A6" w:rsidRPr="00D518FF" w:rsidRDefault="00A740A6" w:rsidP="00A740A6">
      <w:pPr>
        <w:pStyle w:val="2024TABLECAPTION"/>
        <w:spacing w:before="120"/>
        <w:rPr>
          <w:rFonts w:ascii="Aptos" w:hAnsi="Aptos"/>
        </w:rPr>
      </w:pPr>
    </w:p>
    <w:p w14:paraId="6519F5D0" w14:textId="4E29CD0C" w:rsidR="004E75D4" w:rsidRPr="00D518FF" w:rsidRDefault="0006125A" w:rsidP="0006125A">
      <w:pPr>
        <w:pStyle w:val="Caption"/>
        <w:rPr>
          <w:rFonts w:ascii="Aptos" w:hAnsi="Aptos"/>
        </w:rPr>
      </w:pPr>
      <w:bookmarkStart w:id="176" w:name="_Toc185254570"/>
      <w:r w:rsidRPr="00A6108F">
        <w:rPr>
          <w:rFonts w:ascii="Aptos" w:hAnsi="Aptos"/>
        </w:rPr>
        <w:t xml:space="preserve">Table </w:t>
      </w:r>
      <w:r w:rsidR="00DC4767" w:rsidRPr="00A6108F">
        <w:rPr>
          <w:rFonts w:ascii="Aptos" w:hAnsi="Aptos"/>
        </w:rPr>
        <w:fldChar w:fldCharType="begin" w:fldLock="1"/>
      </w:r>
      <w:r w:rsidR="00DC4767" w:rsidRPr="00A6108F">
        <w:rPr>
          <w:rFonts w:ascii="Aptos" w:hAnsi="Aptos"/>
        </w:rPr>
        <w:instrText xml:space="preserve"> STYLEREF 1 \s </w:instrText>
      </w:r>
      <w:r w:rsidR="00DC4767" w:rsidRPr="00A6108F">
        <w:rPr>
          <w:rFonts w:ascii="Aptos" w:hAnsi="Aptos"/>
        </w:rPr>
        <w:fldChar w:fldCharType="separate"/>
      </w:r>
      <w:r w:rsidR="00DC4767" w:rsidRPr="00A6108F">
        <w:rPr>
          <w:rFonts w:ascii="Aptos" w:hAnsi="Aptos"/>
        </w:rPr>
        <w:t>D</w:t>
      </w:r>
      <w:r w:rsidR="00DC4767" w:rsidRPr="00A6108F">
        <w:rPr>
          <w:rFonts w:ascii="Aptos" w:hAnsi="Aptos"/>
        </w:rPr>
        <w:fldChar w:fldCharType="end"/>
      </w:r>
      <w:r w:rsidR="00DC4767" w:rsidRPr="00A6108F">
        <w:rPr>
          <w:rFonts w:ascii="Aptos" w:hAnsi="Aptos"/>
        </w:rPr>
        <w:noBreakHyphen/>
      </w:r>
      <w:r w:rsidR="00DC4767" w:rsidRPr="00A6108F">
        <w:rPr>
          <w:rFonts w:ascii="Aptos" w:hAnsi="Aptos"/>
        </w:rPr>
        <w:fldChar w:fldCharType="begin"/>
      </w:r>
      <w:r w:rsidR="00DC4767" w:rsidRPr="00A6108F">
        <w:rPr>
          <w:rFonts w:ascii="Aptos" w:hAnsi="Aptos"/>
        </w:rPr>
        <w:instrText xml:space="preserve"> SEQ Table \* ARABIC \s 1 </w:instrText>
      </w:r>
      <w:r w:rsidR="00DC4767" w:rsidRPr="00A6108F">
        <w:rPr>
          <w:rFonts w:ascii="Aptos" w:hAnsi="Aptos"/>
        </w:rPr>
        <w:fldChar w:fldCharType="separate"/>
      </w:r>
      <w:r w:rsidR="00C426C6">
        <w:rPr>
          <w:rFonts w:ascii="Aptos" w:hAnsi="Aptos"/>
          <w:noProof/>
        </w:rPr>
        <w:t>24</w:t>
      </w:r>
      <w:r w:rsidR="00DC4767" w:rsidRPr="00A6108F">
        <w:rPr>
          <w:rFonts w:ascii="Aptos" w:hAnsi="Aptos"/>
        </w:rPr>
        <w:fldChar w:fldCharType="end"/>
      </w:r>
      <w:r w:rsidR="00230819" w:rsidRPr="00D518FF">
        <w:rPr>
          <w:rFonts w:ascii="Aptos" w:hAnsi="Aptos"/>
        </w:rPr>
        <w:t xml:space="preserve">. </w:t>
      </w:r>
      <w:r w:rsidR="00A6108F" w:rsidRPr="00D518FF">
        <w:rPr>
          <w:rFonts w:ascii="Aptos" w:hAnsi="Aptos"/>
        </w:rPr>
        <w:t xml:space="preserve">Characteristics of included reviews – </w:t>
      </w:r>
      <w:r w:rsidR="00A6108F">
        <w:rPr>
          <w:rFonts w:ascii="Aptos" w:hAnsi="Aptos"/>
        </w:rPr>
        <w:t>r</w:t>
      </w:r>
      <w:r w:rsidR="00230819" w:rsidRPr="00D518FF">
        <w:rPr>
          <w:rFonts w:ascii="Aptos" w:hAnsi="Aptos"/>
        </w:rPr>
        <w:t>ecurrent infection/s</w:t>
      </w:r>
      <w:r w:rsidR="001D7486" w:rsidRPr="00D518FF">
        <w:rPr>
          <w:rFonts w:ascii="Aptos" w:hAnsi="Aptos"/>
        </w:rPr>
        <w:t xml:space="preserve"> (including urinary tract infections, cystitis, respiratory tract infection, otitis media in children)</w:t>
      </w:r>
      <w:r w:rsidR="00230819" w:rsidRPr="00D518FF">
        <w:rPr>
          <w:rFonts w:ascii="Aptos" w:hAnsi="Aptos"/>
        </w:rPr>
        <w:t xml:space="preserve">, </w:t>
      </w:r>
      <w:r w:rsidR="00C16441" w:rsidRPr="00D518FF">
        <w:rPr>
          <w:rFonts w:ascii="Aptos" w:hAnsi="Aptos"/>
        </w:rPr>
        <w:t>z</w:t>
      </w:r>
      <w:r w:rsidR="00230819" w:rsidRPr="00D518FF">
        <w:rPr>
          <w:rFonts w:ascii="Aptos" w:hAnsi="Aptos"/>
        </w:rPr>
        <w:t>inc</w:t>
      </w:r>
      <w:r w:rsidR="00A6108F">
        <w:rPr>
          <w:rFonts w:ascii="Aptos" w:hAnsi="Aptos"/>
        </w:rPr>
        <w:t xml:space="preserve"> (n=3).</w:t>
      </w:r>
      <w:bookmarkEnd w:id="176"/>
    </w:p>
    <w:tbl>
      <w:tblPr>
        <w:tblStyle w:val="TableGrid"/>
        <w:tblW w:w="14029" w:type="dxa"/>
        <w:tblCellMar>
          <w:top w:w="28" w:type="dxa"/>
          <w:left w:w="28" w:type="dxa"/>
          <w:bottom w:w="28" w:type="dxa"/>
          <w:right w:w="0" w:type="dxa"/>
        </w:tblCellMar>
        <w:tblLook w:val="04A0" w:firstRow="1" w:lastRow="0" w:firstColumn="1" w:lastColumn="0" w:noHBand="0" w:noVBand="1"/>
      </w:tblPr>
      <w:tblGrid>
        <w:gridCol w:w="768"/>
        <w:gridCol w:w="928"/>
        <w:gridCol w:w="1788"/>
        <w:gridCol w:w="788"/>
        <w:gridCol w:w="1000"/>
        <w:gridCol w:w="806"/>
        <w:gridCol w:w="1213"/>
        <w:gridCol w:w="784"/>
        <w:gridCol w:w="992"/>
        <w:gridCol w:w="851"/>
        <w:gridCol w:w="709"/>
        <w:gridCol w:w="1842"/>
        <w:gridCol w:w="1560"/>
      </w:tblGrid>
      <w:tr w:rsidR="004E75D4" w:rsidRPr="00D518FF" w14:paraId="44B5F124" w14:textId="77777777" w:rsidTr="00F614C8">
        <w:trPr>
          <w:trHeight w:val="160"/>
        </w:trPr>
        <w:tc>
          <w:tcPr>
            <w:tcW w:w="768" w:type="dxa"/>
            <w:vMerge w:val="restart"/>
            <w:shd w:val="clear" w:color="auto" w:fill="D9D9D9" w:themeFill="background1" w:themeFillShade="D9"/>
          </w:tcPr>
          <w:p w14:paraId="2FF81E9B"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Review ID</w:t>
            </w:r>
          </w:p>
        </w:tc>
        <w:tc>
          <w:tcPr>
            <w:tcW w:w="4504" w:type="dxa"/>
            <w:gridSpan w:val="4"/>
            <w:shd w:val="clear" w:color="auto" w:fill="D9D9D9" w:themeFill="background1" w:themeFillShade="D9"/>
          </w:tcPr>
          <w:p w14:paraId="5CBAE551"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Review details</w:t>
            </w:r>
          </w:p>
        </w:tc>
        <w:tc>
          <w:tcPr>
            <w:tcW w:w="3795" w:type="dxa"/>
            <w:gridSpan w:val="4"/>
            <w:shd w:val="clear" w:color="auto" w:fill="D9D9D9" w:themeFill="background1" w:themeFillShade="D9"/>
          </w:tcPr>
          <w:p w14:paraId="08FC396F"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Search details</w:t>
            </w:r>
          </w:p>
        </w:tc>
        <w:tc>
          <w:tcPr>
            <w:tcW w:w="1560" w:type="dxa"/>
            <w:gridSpan w:val="2"/>
            <w:shd w:val="clear" w:color="auto" w:fill="D9D9D9" w:themeFill="background1" w:themeFillShade="D9"/>
          </w:tcPr>
          <w:p w14:paraId="4F34051B"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Quality assessment</w:t>
            </w:r>
          </w:p>
        </w:tc>
        <w:tc>
          <w:tcPr>
            <w:tcW w:w="3402" w:type="dxa"/>
            <w:gridSpan w:val="2"/>
            <w:shd w:val="clear" w:color="auto" w:fill="D9D9D9" w:themeFill="background1" w:themeFillShade="D9"/>
          </w:tcPr>
          <w:p w14:paraId="19B4B5FA"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Other</w:t>
            </w:r>
          </w:p>
        </w:tc>
      </w:tr>
      <w:tr w:rsidR="00A03699" w:rsidRPr="00D518FF" w14:paraId="074B3EC1" w14:textId="77777777" w:rsidTr="00F614C8">
        <w:trPr>
          <w:trHeight w:val="160"/>
        </w:trPr>
        <w:tc>
          <w:tcPr>
            <w:tcW w:w="768" w:type="dxa"/>
            <w:vMerge/>
            <w:shd w:val="clear" w:color="auto" w:fill="D9D9D9" w:themeFill="background1" w:themeFillShade="D9"/>
          </w:tcPr>
          <w:p w14:paraId="12F0CA32" w14:textId="77777777" w:rsidR="004E75D4" w:rsidRPr="00D518FF" w:rsidRDefault="004E75D4" w:rsidP="00AA72BD">
            <w:pPr>
              <w:pStyle w:val="Caption1"/>
              <w:spacing w:before="0" w:after="0"/>
              <w:rPr>
                <w:rFonts w:ascii="Aptos" w:hAnsi="Aptos"/>
                <w:sz w:val="16"/>
                <w:szCs w:val="16"/>
              </w:rPr>
            </w:pPr>
          </w:p>
        </w:tc>
        <w:tc>
          <w:tcPr>
            <w:tcW w:w="928" w:type="dxa"/>
            <w:shd w:val="clear" w:color="auto" w:fill="D9D9D9" w:themeFill="background1" w:themeFillShade="D9"/>
          </w:tcPr>
          <w:p w14:paraId="3A89AB05"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Review design</w:t>
            </w:r>
          </w:p>
        </w:tc>
        <w:tc>
          <w:tcPr>
            <w:tcW w:w="1788" w:type="dxa"/>
            <w:shd w:val="clear" w:color="auto" w:fill="D9D9D9" w:themeFill="background1" w:themeFillShade="D9"/>
          </w:tcPr>
          <w:p w14:paraId="4E72A3E6"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Aim of the review (as reported by the SR)</w:t>
            </w:r>
          </w:p>
        </w:tc>
        <w:tc>
          <w:tcPr>
            <w:tcW w:w="788" w:type="dxa"/>
            <w:shd w:val="clear" w:color="auto" w:fill="D9D9D9" w:themeFill="background1" w:themeFillShade="D9"/>
          </w:tcPr>
          <w:p w14:paraId="1F069A87"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Types of studies included</w:t>
            </w:r>
          </w:p>
        </w:tc>
        <w:tc>
          <w:tcPr>
            <w:tcW w:w="1000" w:type="dxa"/>
            <w:shd w:val="clear" w:color="auto" w:fill="D9D9D9" w:themeFill="background1" w:themeFillShade="D9"/>
          </w:tcPr>
          <w:p w14:paraId="5B62FD11" w14:textId="6217159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Outcomes relevant to the Overview^</w:t>
            </w:r>
          </w:p>
        </w:tc>
        <w:tc>
          <w:tcPr>
            <w:tcW w:w="806" w:type="dxa"/>
            <w:shd w:val="clear" w:color="auto" w:fill="D9D9D9" w:themeFill="background1" w:themeFillShade="D9"/>
          </w:tcPr>
          <w:p w14:paraId="7F934EB6"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 of databases searched</w:t>
            </w:r>
          </w:p>
        </w:tc>
        <w:tc>
          <w:tcPr>
            <w:tcW w:w="1213" w:type="dxa"/>
            <w:shd w:val="clear" w:color="auto" w:fill="D9D9D9" w:themeFill="background1" w:themeFillShade="D9"/>
          </w:tcPr>
          <w:p w14:paraId="513F9EA4"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Names of databases searched</w:t>
            </w:r>
          </w:p>
        </w:tc>
        <w:tc>
          <w:tcPr>
            <w:tcW w:w="784" w:type="dxa"/>
            <w:shd w:val="clear" w:color="auto" w:fill="D9D9D9" w:themeFill="background1" w:themeFillShade="D9"/>
          </w:tcPr>
          <w:p w14:paraId="10B5E374"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Date of last search</w:t>
            </w:r>
          </w:p>
        </w:tc>
        <w:tc>
          <w:tcPr>
            <w:tcW w:w="992" w:type="dxa"/>
            <w:shd w:val="clear" w:color="auto" w:fill="D9D9D9" w:themeFill="background1" w:themeFillShade="D9"/>
          </w:tcPr>
          <w:p w14:paraId="2CE3A5DE"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 xml:space="preserve">Search restrictions </w:t>
            </w:r>
          </w:p>
        </w:tc>
        <w:tc>
          <w:tcPr>
            <w:tcW w:w="851" w:type="dxa"/>
            <w:shd w:val="clear" w:color="auto" w:fill="D9D9D9" w:themeFill="background1" w:themeFillShade="D9"/>
          </w:tcPr>
          <w:p w14:paraId="345F0F7D"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RoB tool used</w:t>
            </w:r>
          </w:p>
        </w:tc>
        <w:tc>
          <w:tcPr>
            <w:tcW w:w="709" w:type="dxa"/>
            <w:shd w:val="clear" w:color="auto" w:fill="D9D9D9" w:themeFill="background1" w:themeFillShade="D9"/>
          </w:tcPr>
          <w:p w14:paraId="3DE20015"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Certainty of evidence reported</w:t>
            </w:r>
          </w:p>
        </w:tc>
        <w:tc>
          <w:tcPr>
            <w:tcW w:w="1842" w:type="dxa"/>
            <w:shd w:val="clear" w:color="auto" w:fill="D9D9D9" w:themeFill="background1" w:themeFillShade="D9"/>
          </w:tcPr>
          <w:p w14:paraId="2229FF05"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Conflicts of interest</w:t>
            </w:r>
          </w:p>
        </w:tc>
        <w:tc>
          <w:tcPr>
            <w:tcW w:w="1560" w:type="dxa"/>
            <w:shd w:val="clear" w:color="auto" w:fill="D9D9D9" w:themeFill="background1" w:themeFillShade="D9"/>
          </w:tcPr>
          <w:p w14:paraId="4029310B" w14:textId="77777777" w:rsidR="004E75D4" w:rsidRPr="00D518FF" w:rsidRDefault="004E75D4" w:rsidP="00AA72BD">
            <w:pPr>
              <w:pStyle w:val="Caption1"/>
              <w:spacing w:before="0" w:after="0"/>
              <w:rPr>
                <w:rFonts w:ascii="Aptos" w:hAnsi="Aptos"/>
                <w:sz w:val="16"/>
                <w:szCs w:val="16"/>
              </w:rPr>
            </w:pPr>
            <w:r w:rsidRPr="00D518FF">
              <w:rPr>
                <w:rFonts w:ascii="Aptos" w:hAnsi="Aptos"/>
                <w:sz w:val="16"/>
                <w:szCs w:val="16"/>
              </w:rPr>
              <w:t>Funding sources</w:t>
            </w:r>
          </w:p>
        </w:tc>
      </w:tr>
      <w:tr w:rsidR="00F60E69" w:rsidRPr="00D518FF" w14:paraId="5568084F" w14:textId="77777777" w:rsidTr="00A6108F">
        <w:trPr>
          <w:trHeight w:val="340"/>
        </w:trPr>
        <w:tc>
          <w:tcPr>
            <w:tcW w:w="768" w:type="dxa"/>
            <w:shd w:val="clear" w:color="auto" w:fill="EFFFE9"/>
          </w:tcPr>
          <w:p w14:paraId="6CB317BA" w14:textId="32C4C50E" w:rsidR="00F60E69" w:rsidRPr="00D518FF" w:rsidRDefault="00F60E69" w:rsidP="00F60E69">
            <w:pPr>
              <w:rPr>
                <w:rFonts w:ascii="Aptos" w:hAnsi="Aptos" w:cs="Arial"/>
                <w:sz w:val="16"/>
                <w:szCs w:val="16"/>
              </w:rPr>
            </w:pPr>
            <w:r w:rsidRPr="00D518FF">
              <w:rPr>
                <w:rFonts w:ascii="Aptos" w:hAnsi="Aptos" w:cs="Arial"/>
                <w:sz w:val="16"/>
                <w:szCs w:val="16"/>
              </w:rPr>
              <w:t>Gulani 2014</w:t>
            </w:r>
          </w:p>
        </w:tc>
        <w:tc>
          <w:tcPr>
            <w:tcW w:w="928" w:type="dxa"/>
            <w:shd w:val="clear" w:color="auto" w:fill="EFFFE9"/>
          </w:tcPr>
          <w:p w14:paraId="2DA21B74" w14:textId="5CBD38B4" w:rsidR="00F60E69" w:rsidRPr="00D518FF" w:rsidRDefault="00F60E69" w:rsidP="00F60E69">
            <w:pPr>
              <w:rPr>
                <w:rFonts w:ascii="Aptos" w:hAnsi="Aptos" w:cs="Arial"/>
                <w:sz w:val="16"/>
                <w:szCs w:val="16"/>
              </w:rPr>
            </w:pPr>
            <w:r w:rsidRPr="00D518FF">
              <w:rPr>
                <w:rFonts w:ascii="Aptos" w:hAnsi="Aptos" w:cs="Arial"/>
                <w:sz w:val="16"/>
                <w:szCs w:val="16"/>
              </w:rPr>
              <w:t>Cochrane review</w:t>
            </w:r>
          </w:p>
        </w:tc>
        <w:tc>
          <w:tcPr>
            <w:tcW w:w="1788" w:type="dxa"/>
            <w:shd w:val="clear" w:color="auto" w:fill="EFFFE9"/>
          </w:tcPr>
          <w:p w14:paraId="3F0405BC" w14:textId="62353412" w:rsidR="00F60E69" w:rsidRPr="00D518FF" w:rsidRDefault="00F60E69" w:rsidP="00F60E69">
            <w:pPr>
              <w:rPr>
                <w:rFonts w:ascii="Aptos" w:hAnsi="Aptos" w:cs="Arial"/>
                <w:sz w:val="16"/>
                <w:szCs w:val="16"/>
              </w:rPr>
            </w:pPr>
            <w:r w:rsidRPr="00D518FF">
              <w:rPr>
                <w:rFonts w:ascii="Aptos" w:hAnsi="Aptos" w:cs="Arial"/>
                <w:sz w:val="16"/>
                <w:szCs w:val="16"/>
              </w:rPr>
              <w:t>To evaluate whether zinc supplements prevent otitis media in adults and children of different ages.</w:t>
            </w:r>
          </w:p>
        </w:tc>
        <w:tc>
          <w:tcPr>
            <w:tcW w:w="788" w:type="dxa"/>
            <w:shd w:val="clear" w:color="auto" w:fill="EFFFE9"/>
          </w:tcPr>
          <w:p w14:paraId="185CD9E9" w14:textId="06E6EFEC"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1000" w:type="dxa"/>
            <w:shd w:val="clear" w:color="auto" w:fill="EFFFE9"/>
          </w:tcPr>
          <w:p w14:paraId="3D20869A" w14:textId="0BE0CACB"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806" w:type="dxa"/>
            <w:shd w:val="clear" w:color="auto" w:fill="EFFFE9"/>
          </w:tcPr>
          <w:p w14:paraId="23D89C50" w14:textId="01C0ECFC"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1213" w:type="dxa"/>
            <w:shd w:val="clear" w:color="auto" w:fill="EFFFE9"/>
          </w:tcPr>
          <w:p w14:paraId="47F15EC9" w14:textId="6001CBC0" w:rsidR="00F60E69" w:rsidRPr="00D518FF" w:rsidRDefault="00F60E69" w:rsidP="00F60E69">
            <w:pPr>
              <w:rPr>
                <w:rFonts w:ascii="Aptos" w:hAnsi="Aptos" w:cs="Arial"/>
                <w:sz w:val="16"/>
                <w:szCs w:val="16"/>
              </w:rPr>
            </w:pPr>
            <w:r w:rsidRPr="00D518FF">
              <w:rPr>
                <w:rFonts w:ascii="Aptos" w:hAnsi="Aptos" w:cs="Arial"/>
                <w:sz w:val="16"/>
                <w:szCs w:val="16"/>
              </w:rPr>
              <w:t>CENTRAL, MEDLINE, EMBASE</w:t>
            </w:r>
          </w:p>
        </w:tc>
        <w:tc>
          <w:tcPr>
            <w:tcW w:w="784" w:type="dxa"/>
            <w:shd w:val="clear" w:color="auto" w:fill="EFFFE9"/>
          </w:tcPr>
          <w:p w14:paraId="11CE27EE" w14:textId="3FF2737F" w:rsidR="00F60E69" w:rsidRPr="00D518FF" w:rsidRDefault="00F60E69" w:rsidP="00F60E69">
            <w:pPr>
              <w:rPr>
                <w:rFonts w:ascii="Aptos" w:hAnsi="Aptos" w:cs="Arial"/>
                <w:sz w:val="16"/>
                <w:szCs w:val="16"/>
              </w:rPr>
            </w:pPr>
            <w:r w:rsidRPr="00D518FF">
              <w:rPr>
                <w:rFonts w:ascii="Aptos" w:hAnsi="Aptos" w:cs="Arial"/>
                <w:sz w:val="16"/>
                <w:szCs w:val="16"/>
              </w:rPr>
              <w:t>Mar 2014</w:t>
            </w:r>
          </w:p>
        </w:tc>
        <w:tc>
          <w:tcPr>
            <w:tcW w:w="992" w:type="dxa"/>
            <w:shd w:val="clear" w:color="auto" w:fill="EFFFE9"/>
          </w:tcPr>
          <w:p w14:paraId="2CDE7FF2" w14:textId="482D14C3" w:rsidR="00F60E69" w:rsidRPr="00D518FF" w:rsidRDefault="00F60E69" w:rsidP="00F60E69">
            <w:pPr>
              <w:rPr>
                <w:rFonts w:ascii="Aptos" w:hAnsi="Aptos" w:cs="Arial"/>
                <w:sz w:val="16"/>
                <w:szCs w:val="16"/>
              </w:rPr>
            </w:pPr>
            <w:r w:rsidRPr="00D518FF">
              <w:rPr>
                <w:rFonts w:ascii="Aptos" w:hAnsi="Aptos" w:cs="Arial"/>
                <w:sz w:val="16"/>
                <w:szCs w:val="16"/>
              </w:rPr>
              <w:t>We imposed no language or publication restrictions.</w:t>
            </w:r>
          </w:p>
        </w:tc>
        <w:tc>
          <w:tcPr>
            <w:tcW w:w="851" w:type="dxa"/>
            <w:shd w:val="clear" w:color="auto" w:fill="EFFFE9"/>
          </w:tcPr>
          <w:p w14:paraId="6EDF4060" w14:textId="53459472"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709" w:type="dxa"/>
            <w:shd w:val="clear" w:color="auto" w:fill="EFFFE9"/>
          </w:tcPr>
          <w:p w14:paraId="05B59E70" w14:textId="0412801B"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1842" w:type="dxa"/>
            <w:shd w:val="clear" w:color="auto" w:fill="EFFFE9"/>
          </w:tcPr>
          <w:p w14:paraId="238BD008" w14:textId="54C92CDA" w:rsidR="00F60E69" w:rsidRPr="00D518FF" w:rsidRDefault="00F60E69" w:rsidP="00F60E69">
            <w:pPr>
              <w:rPr>
                <w:rFonts w:ascii="Aptos" w:hAnsi="Aptos" w:cs="Arial"/>
                <w:sz w:val="16"/>
                <w:szCs w:val="16"/>
              </w:rPr>
            </w:pPr>
            <w:r w:rsidRPr="00D518FF">
              <w:rPr>
                <w:rFonts w:ascii="Aptos" w:hAnsi="Aptos" w:cs="Arial"/>
                <w:sz w:val="16"/>
                <w:szCs w:val="16"/>
              </w:rPr>
              <w:t>Harshpal Singh Sachdev: none known. Anjana Gulani: none known.</w:t>
            </w:r>
          </w:p>
        </w:tc>
        <w:tc>
          <w:tcPr>
            <w:tcW w:w="1560" w:type="dxa"/>
            <w:shd w:val="clear" w:color="auto" w:fill="EFFFE9"/>
          </w:tcPr>
          <w:p w14:paraId="45B8963A" w14:textId="44CA8501" w:rsidR="00F60E69" w:rsidRPr="00D518FF" w:rsidRDefault="00F60E69" w:rsidP="00F60E69">
            <w:pPr>
              <w:rPr>
                <w:rFonts w:ascii="Aptos" w:hAnsi="Aptos" w:cs="Arial"/>
                <w:sz w:val="16"/>
                <w:szCs w:val="16"/>
              </w:rPr>
            </w:pPr>
            <w:r w:rsidRPr="00D518FF">
              <w:rPr>
                <w:rFonts w:ascii="Aptos" w:hAnsi="Aptos" w:cs="Arial"/>
                <w:sz w:val="16"/>
                <w:szCs w:val="16"/>
              </w:rPr>
              <w:t>Internal sources</w:t>
            </w:r>
            <w:r w:rsidRPr="00D518FF">
              <w:rPr>
                <w:rFonts w:ascii="Aptos" w:hAnsi="Aptos" w:cs="Arial"/>
                <w:sz w:val="16"/>
                <w:szCs w:val="16"/>
              </w:rPr>
              <w:br/>
              <w:t>• Sitaram Bhartia Institute of Science and Research, India. External sources</w:t>
            </w:r>
            <w:r w:rsidRPr="00D518FF">
              <w:rPr>
                <w:rFonts w:ascii="Aptos" w:hAnsi="Aptos" w:cs="Arial"/>
                <w:sz w:val="16"/>
                <w:szCs w:val="16"/>
              </w:rPr>
              <w:br/>
              <w:t>• No sources of support supplied</w:t>
            </w:r>
          </w:p>
        </w:tc>
      </w:tr>
      <w:tr w:rsidR="00F60E69" w:rsidRPr="00D518FF" w14:paraId="02A4647C" w14:textId="77777777" w:rsidTr="00A6108F">
        <w:trPr>
          <w:trHeight w:val="636"/>
        </w:trPr>
        <w:tc>
          <w:tcPr>
            <w:tcW w:w="768" w:type="dxa"/>
            <w:shd w:val="clear" w:color="auto" w:fill="EFFFE9"/>
          </w:tcPr>
          <w:p w14:paraId="1313A55B" w14:textId="41C87E3B" w:rsidR="00F60E69" w:rsidRPr="00D518FF" w:rsidRDefault="00F60E69" w:rsidP="00F60E69">
            <w:pPr>
              <w:rPr>
                <w:rFonts w:ascii="Aptos" w:hAnsi="Aptos" w:cs="Arial"/>
                <w:sz w:val="16"/>
                <w:szCs w:val="16"/>
              </w:rPr>
            </w:pPr>
            <w:r w:rsidRPr="00D518FF">
              <w:rPr>
                <w:rFonts w:ascii="Aptos" w:hAnsi="Aptos" w:cs="Arial"/>
                <w:sz w:val="16"/>
                <w:szCs w:val="16"/>
              </w:rPr>
              <w:t>Hurley 2020</w:t>
            </w:r>
          </w:p>
        </w:tc>
        <w:tc>
          <w:tcPr>
            <w:tcW w:w="928" w:type="dxa"/>
            <w:shd w:val="clear" w:color="auto" w:fill="EFFFE9"/>
          </w:tcPr>
          <w:p w14:paraId="73BB41B0" w14:textId="2E1B78D9" w:rsidR="00F60E69" w:rsidRPr="00D518FF" w:rsidRDefault="00F60E69" w:rsidP="00F60E69">
            <w:pPr>
              <w:rPr>
                <w:rFonts w:ascii="Aptos" w:hAnsi="Aptos" w:cs="Arial"/>
                <w:sz w:val="16"/>
                <w:szCs w:val="16"/>
              </w:rPr>
            </w:pPr>
            <w:r w:rsidRPr="00D518FF">
              <w:rPr>
                <w:rFonts w:ascii="Aptos" w:hAnsi="Aptos" w:cs="Arial"/>
                <w:sz w:val="16"/>
                <w:szCs w:val="16"/>
              </w:rPr>
              <w:t>Cochrane review</w:t>
            </w:r>
          </w:p>
        </w:tc>
        <w:tc>
          <w:tcPr>
            <w:tcW w:w="1788" w:type="dxa"/>
            <w:shd w:val="clear" w:color="auto" w:fill="EFFFE9"/>
          </w:tcPr>
          <w:p w14:paraId="71D3EE87" w14:textId="6EF7DC4B" w:rsidR="00F60E69" w:rsidRPr="00D518FF" w:rsidRDefault="00F60E69" w:rsidP="00F60E69">
            <w:pPr>
              <w:rPr>
                <w:rFonts w:ascii="Aptos" w:hAnsi="Aptos" w:cs="Arial"/>
                <w:sz w:val="16"/>
                <w:szCs w:val="16"/>
              </w:rPr>
            </w:pPr>
            <w:r w:rsidRPr="00D518FF">
              <w:rPr>
                <w:rFonts w:ascii="Aptos" w:hAnsi="Aptos" w:cs="Arial"/>
                <w:sz w:val="16"/>
                <w:szCs w:val="16"/>
              </w:rPr>
              <w:t>To determine if antibiotic adjuvants improve clinical and microbiological outcome of pulmonary infection in people with cystic fibrosis.</w:t>
            </w:r>
          </w:p>
        </w:tc>
        <w:tc>
          <w:tcPr>
            <w:tcW w:w="788" w:type="dxa"/>
            <w:shd w:val="clear" w:color="auto" w:fill="EFFFE9"/>
          </w:tcPr>
          <w:p w14:paraId="6A7298F7" w14:textId="62D7EDA1" w:rsidR="00F60E69" w:rsidRPr="00D518FF" w:rsidRDefault="00F60E69" w:rsidP="00F60E69">
            <w:pPr>
              <w:rPr>
                <w:rFonts w:ascii="Aptos" w:hAnsi="Aptos" w:cs="Arial"/>
                <w:sz w:val="16"/>
                <w:szCs w:val="16"/>
              </w:rPr>
            </w:pPr>
            <w:r w:rsidRPr="00D518FF">
              <w:rPr>
                <w:rFonts w:ascii="Aptos" w:hAnsi="Aptos" w:cs="Arial"/>
                <w:sz w:val="16"/>
                <w:szCs w:val="16"/>
              </w:rPr>
              <w:t>RCTs) and quasi-RCTs</w:t>
            </w:r>
          </w:p>
        </w:tc>
        <w:tc>
          <w:tcPr>
            <w:tcW w:w="1000" w:type="dxa"/>
            <w:shd w:val="clear" w:color="auto" w:fill="EFFFE9"/>
          </w:tcPr>
          <w:p w14:paraId="49633989" w14:textId="610E0174" w:rsidR="00F60E69" w:rsidRPr="00D518FF" w:rsidRDefault="00F60E69" w:rsidP="00F60E69">
            <w:pPr>
              <w:rPr>
                <w:rFonts w:ascii="Aptos" w:hAnsi="Aptos" w:cs="Arial"/>
                <w:sz w:val="16"/>
                <w:szCs w:val="16"/>
              </w:rPr>
            </w:pPr>
            <w:r w:rsidRPr="00D518FF">
              <w:rPr>
                <w:rFonts w:ascii="Aptos" w:hAnsi="Aptos" w:cs="Arial"/>
                <w:sz w:val="16"/>
                <w:szCs w:val="16"/>
              </w:rPr>
              <w:t>2, 5</w:t>
            </w:r>
          </w:p>
        </w:tc>
        <w:tc>
          <w:tcPr>
            <w:tcW w:w="806" w:type="dxa"/>
            <w:shd w:val="clear" w:color="auto" w:fill="EFFFE9"/>
          </w:tcPr>
          <w:p w14:paraId="7EA315A2" w14:textId="04826718" w:rsidR="00F60E69" w:rsidRPr="00D518FF" w:rsidRDefault="00F60E69" w:rsidP="00F60E69">
            <w:pPr>
              <w:rPr>
                <w:rFonts w:ascii="Aptos" w:hAnsi="Aptos" w:cs="Arial"/>
                <w:sz w:val="16"/>
                <w:szCs w:val="16"/>
              </w:rPr>
            </w:pPr>
            <w:r w:rsidRPr="00D518FF">
              <w:rPr>
                <w:rFonts w:ascii="Aptos" w:hAnsi="Aptos" w:cs="Arial"/>
                <w:sz w:val="16"/>
                <w:szCs w:val="16"/>
              </w:rPr>
              <w:t>2</w:t>
            </w:r>
          </w:p>
        </w:tc>
        <w:tc>
          <w:tcPr>
            <w:tcW w:w="1213" w:type="dxa"/>
            <w:shd w:val="clear" w:color="auto" w:fill="EFFFE9"/>
          </w:tcPr>
          <w:p w14:paraId="5181D206" w14:textId="19B9A690" w:rsidR="00F60E69" w:rsidRPr="00D518FF" w:rsidRDefault="00F60E69" w:rsidP="00F60E69">
            <w:pPr>
              <w:rPr>
                <w:rFonts w:ascii="Aptos" w:hAnsi="Aptos" w:cs="Arial"/>
                <w:sz w:val="16"/>
                <w:szCs w:val="16"/>
              </w:rPr>
            </w:pPr>
            <w:r w:rsidRPr="00D518FF">
              <w:rPr>
                <w:rFonts w:ascii="Aptos" w:hAnsi="Aptos" w:cs="Arial"/>
                <w:sz w:val="16"/>
                <w:szCs w:val="16"/>
              </w:rPr>
              <w:t>Cystic Fibrosis Trials Register, Medline</w:t>
            </w:r>
          </w:p>
        </w:tc>
        <w:tc>
          <w:tcPr>
            <w:tcW w:w="784" w:type="dxa"/>
            <w:shd w:val="clear" w:color="auto" w:fill="EFFFE9"/>
          </w:tcPr>
          <w:p w14:paraId="7C6318DA" w14:textId="2F5CB3EE" w:rsidR="00F60E69" w:rsidRPr="00D518FF" w:rsidRDefault="00F60E69" w:rsidP="00F60E69">
            <w:pPr>
              <w:rPr>
                <w:rFonts w:ascii="Aptos" w:hAnsi="Aptos" w:cs="Arial"/>
                <w:sz w:val="16"/>
                <w:szCs w:val="16"/>
              </w:rPr>
            </w:pPr>
            <w:r w:rsidRPr="00D518FF">
              <w:rPr>
                <w:rFonts w:ascii="Aptos" w:hAnsi="Aptos" w:cs="Arial"/>
                <w:sz w:val="16"/>
                <w:szCs w:val="16"/>
              </w:rPr>
              <w:t>Jan 2020</w:t>
            </w:r>
          </w:p>
        </w:tc>
        <w:tc>
          <w:tcPr>
            <w:tcW w:w="992" w:type="dxa"/>
            <w:shd w:val="clear" w:color="auto" w:fill="EFFFE9"/>
          </w:tcPr>
          <w:p w14:paraId="00BD59E3" w14:textId="2C237968" w:rsidR="00F60E69" w:rsidRPr="00D518FF" w:rsidRDefault="00F60E69" w:rsidP="00F60E69">
            <w:pPr>
              <w:rPr>
                <w:rFonts w:ascii="Aptos" w:hAnsi="Aptos" w:cs="Arial"/>
                <w:sz w:val="16"/>
                <w:szCs w:val="16"/>
              </w:rPr>
            </w:pPr>
            <w:r w:rsidRPr="00D518FF">
              <w:rPr>
                <w:rFonts w:ascii="Aptos" w:hAnsi="Aptos" w:cs="Arial"/>
                <w:sz w:val="16"/>
                <w:szCs w:val="16"/>
              </w:rPr>
              <w:t>There are no restrictions regarding language or publication status.</w:t>
            </w:r>
          </w:p>
        </w:tc>
        <w:tc>
          <w:tcPr>
            <w:tcW w:w="851" w:type="dxa"/>
            <w:shd w:val="clear" w:color="auto" w:fill="EFFFE9"/>
          </w:tcPr>
          <w:p w14:paraId="7B2E0226" w14:textId="126F7520"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709" w:type="dxa"/>
            <w:shd w:val="clear" w:color="auto" w:fill="EFFFE9"/>
          </w:tcPr>
          <w:p w14:paraId="2F155DD9" w14:textId="21626E26"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1842" w:type="dxa"/>
            <w:shd w:val="clear" w:color="auto" w:fill="EFFFE9"/>
          </w:tcPr>
          <w:p w14:paraId="61BE1E61" w14:textId="58286385" w:rsidR="00F60E69" w:rsidRPr="00D518FF" w:rsidRDefault="00F60E69" w:rsidP="00F60E69">
            <w:pPr>
              <w:rPr>
                <w:rFonts w:ascii="Aptos" w:hAnsi="Aptos" w:cs="Arial"/>
                <w:sz w:val="16"/>
                <w:szCs w:val="16"/>
              </w:rPr>
            </w:pPr>
            <w:r w:rsidRPr="00D518FF">
              <w:rPr>
                <w:rFonts w:ascii="Aptos" w:hAnsi="Aptos" w:cs="Arial"/>
                <w:sz w:val="16"/>
                <w:szCs w:val="16"/>
              </w:rPr>
              <w:t>Dr Doug Forrester</w:t>
            </w:r>
            <w:r w:rsidRPr="00D518FF">
              <w:rPr>
                <w:rFonts w:ascii="Aptos" w:hAnsi="Aptos" w:cs="Arial"/>
                <w:sz w:val="16"/>
                <w:szCs w:val="16"/>
              </w:rPr>
              <w:br/>
              <w:t>Dr Doug Forrester declares he has received support from Wellcome Trust as a Wellcome Trust Clinical Research Training Fellow, travel support from Vertex Pharmaceuticals and GSK and consultancy fees from Mologic.</w:t>
            </w:r>
            <w:r w:rsidRPr="00D518FF">
              <w:rPr>
                <w:rFonts w:ascii="Aptos" w:hAnsi="Aptos" w:cs="Arial"/>
                <w:sz w:val="16"/>
                <w:szCs w:val="16"/>
              </w:rPr>
              <w:br/>
              <w:t>Professor Alan Smyth</w:t>
            </w:r>
            <w:r w:rsidRPr="00D518FF">
              <w:rPr>
                <w:rFonts w:ascii="Aptos" w:hAnsi="Aptos" w:cs="Arial"/>
                <w:sz w:val="16"/>
                <w:szCs w:val="16"/>
              </w:rPr>
              <w:br/>
              <w:t>Professor Smyth is lead investigator on one of the trials included in the review (Smyth 2010). He further declares relevant activities of lectures paid for by Teva and Novartis. He is affiliated to a research group which holds a patent: "ALKYL QUINOLONES AS BIOMARKERS OF PSEUDOMONAS AERUGINOSA INFECTION AND USES THEREOF".</w:t>
            </w:r>
          </w:p>
        </w:tc>
        <w:tc>
          <w:tcPr>
            <w:tcW w:w="1560" w:type="dxa"/>
            <w:shd w:val="clear" w:color="auto" w:fill="EFFFE9"/>
          </w:tcPr>
          <w:p w14:paraId="55A05331" w14:textId="207EDC9B" w:rsidR="00F60E69" w:rsidRPr="00D518FF" w:rsidRDefault="00F60E69" w:rsidP="00F60E69">
            <w:pPr>
              <w:rPr>
                <w:rFonts w:ascii="Aptos" w:hAnsi="Aptos" w:cs="Arial"/>
                <w:sz w:val="16"/>
                <w:szCs w:val="16"/>
              </w:rPr>
            </w:pPr>
            <w:r w:rsidRPr="00D518FF">
              <w:rPr>
                <w:rFonts w:ascii="Aptos" w:hAnsi="Aptos" w:cs="Arial"/>
                <w:sz w:val="16"/>
                <w:szCs w:val="16"/>
              </w:rPr>
              <w:t>Internal sources</w:t>
            </w:r>
            <w:r w:rsidRPr="00D518FF">
              <w:rPr>
                <w:rFonts w:ascii="Aptos" w:hAnsi="Aptos" w:cs="Arial"/>
                <w:sz w:val="16"/>
                <w:szCs w:val="16"/>
              </w:rPr>
              <w:br/>
              <w:t>• Nottingham Respiratory Biomedical Research Unit, UK MH and DF are funded by the Nottingham Respiratory BRU</w:t>
            </w:r>
            <w:r w:rsidRPr="00D518FF">
              <w:rPr>
                <w:rFonts w:ascii="Aptos" w:hAnsi="Aptos" w:cs="Arial"/>
                <w:sz w:val="16"/>
                <w:szCs w:val="16"/>
              </w:rPr>
              <w:br/>
              <w:t>External sources</w:t>
            </w:r>
            <w:r w:rsidRPr="00D518FF">
              <w:rPr>
                <w:rFonts w:ascii="Aptos" w:hAnsi="Aptos" w:cs="Arial"/>
                <w:sz w:val="16"/>
                <w:szCs w:val="16"/>
              </w:rPr>
              <w:br/>
              <w:t>• National Institute for Health Research, UK</w:t>
            </w:r>
            <w:r w:rsidRPr="00D518FF">
              <w:rPr>
                <w:rFonts w:ascii="Aptos" w:hAnsi="Aptos" w:cs="Arial"/>
                <w:sz w:val="16"/>
                <w:szCs w:val="16"/>
              </w:rPr>
              <w:br/>
              <w:t>This systematic review was supported by the National Institute for Health Research, via Cochrane Infrastructure funding to the Cochrane</w:t>
            </w:r>
            <w:r w:rsidRPr="00D518FF">
              <w:rPr>
                <w:rFonts w:ascii="Aptos" w:hAnsi="Aptos" w:cs="Arial"/>
                <w:sz w:val="16"/>
                <w:szCs w:val="16"/>
              </w:rPr>
              <w:br/>
              <w:t>Cystic Fibrosis and Genetic Disorders Group.</w:t>
            </w:r>
          </w:p>
        </w:tc>
      </w:tr>
      <w:tr w:rsidR="00F60E69" w:rsidRPr="00D518FF" w14:paraId="18C42F3B" w14:textId="77777777" w:rsidTr="00A6108F">
        <w:trPr>
          <w:trHeight w:val="636"/>
        </w:trPr>
        <w:tc>
          <w:tcPr>
            <w:tcW w:w="768" w:type="dxa"/>
            <w:shd w:val="clear" w:color="auto" w:fill="EFFFE9"/>
          </w:tcPr>
          <w:p w14:paraId="3CCB386B" w14:textId="439F7699" w:rsidR="00F60E69" w:rsidRPr="00D518FF" w:rsidRDefault="00F60E69" w:rsidP="00F60E69">
            <w:pPr>
              <w:rPr>
                <w:rFonts w:ascii="Aptos" w:hAnsi="Aptos" w:cs="Arial"/>
                <w:sz w:val="16"/>
                <w:szCs w:val="16"/>
              </w:rPr>
            </w:pPr>
            <w:r w:rsidRPr="00D518FF">
              <w:rPr>
                <w:rFonts w:ascii="Aptos" w:hAnsi="Aptos" w:cs="Arial"/>
                <w:sz w:val="16"/>
                <w:szCs w:val="16"/>
              </w:rPr>
              <w:lastRenderedPageBreak/>
              <w:t>Manikam 2016</w:t>
            </w:r>
          </w:p>
        </w:tc>
        <w:tc>
          <w:tcPr>
            <w:tcW w:w="928" w:type="dxa"/>
            <w:shd w:val="clear" w:color="auto" w:fill="EFFFE9"/>
          </w:tcPr>
          <w:p w14:paraId="5B404473" w14:textId="35CB23AE" w:rsidR="00F60E69" w:rsidRPr="00D518FF" w:rsidRDefault="00F60E69" w:rsidP="00F60E69">
            <w:pPr>
              <w:rPr>
                <w:rFonts w:ascii="Aptos" w:hAnsi="Aptos" w:cs="Arial"/>
                <w:sz w:val="16"/>
                <w:szCs w:val="16"/>
              </w:rPr>
            </w:pPr>
            <w:r w:rsidRPr="00D518FF">
              <w:rPr>
                <w:rFonts w:ascii="Aptos" w:hAnsi="Aptos" w:cs="Arial"/>
                <w:sz w:val="16"/>
                <w:szCs w:val="16"/>
              </w:rPr>
              <w:t>Systematic Review</w:t>
            </w:r>
          </w:p>
        </w:tc>
        <w:tc>
          <w:tcPr>
            <w:tcW w:w="1788" w:type="dxa"/>
            <w:shd w:val="clear" w:color="auto" w:fill="EFFFE9"/>
          </w:tcPr>
          <w:p w14:paraId="4B8ED8FA" w14:textId="1DAB22E5" w:rsidR="00F60E69" w:rsidRPr="00D518FF" w:rsidRDefault="00F60E69" w:rsidP="00F60E69">
            <w:pPr>
              <w:rPr>
                <w:rFonts w:ascii="Aptos" w:hAnsi="Aptos" w:cs="Arial"/>
                <w:sz w:val="16"/>
                <w:szCs w:val="16"/>
              </w:rPr>
            </w:pPr>
            <w:r w:rsidRPr="00D518FF">
              <w:rPr>
                <w:rFonts w:ascii="Aptos" w:hAnsi="Aptos" w:cs="Arial"/>
                <w:sz w:val="16"/>
                <w:szCs w:val="16"/>
              </w:rPr>
              <w:t>To systematically review the effectiveness of preventative and therapeutic interventions for respiratory tract infections (RTIs) in people with Down’s syndrome</w:t>
            </w:r>
          </w:p>
        </w:tc>
        <w:tc>
          <w:tcPr>
            <w:tcW w:w="788" w:type="dxa"/>
            <w:shd w:val="clear" w:color="auto" w:fill="EFFFE9"/>
          </w:tcPr>
          <w:p w14:paraId="4226C98F" w14:textId="715A9D66" w:rsidR="00F60E69" w:rsidRPr="00D518FF" w:rsidRDefault="00F60E69" w:rsidP="00F60E69">
            <w:pPr>
              <w:rPr>
                <w:rFonts w:ascii="Aptos" w:hAnsi="Aptos" w:cs="Arial"/>
                <w:sz w:val="16"/>
                <w:szCs w:val="16"/>
              </w:rPr>
            </w:pPr>
            <w:r w:rsidRPr="00D518FF">
              <w:rPr>
                <w:rFonts w:ascii="Aptos" w:hAnsi="Aptos" w:cs="Arial"/>
                <w:sz w:val="16"/>
                <w:szCs w:val="16"/>
              </w:rPr>
              <w:t>controlled trials</w:t>
            </w:r>
          </w:p>
        </w:tc>
        <w:tc>
          <w:tcPr>
            <w:tcW w:w="1000" w:type="dxa"/>
            <w:shd w:val="clear" w:color="auto" w:fill="EFFFE9"/>
          </w:tcPr>
          <w:p w14:paraId="650F4B83" w14:textId="3C553F3A" w:rsidR="00F60E69" w:rsidRPr="00D518FF" w:rsidRDefault="00F60E69" w:rsidP="00F60E69">
            <w:pPr>
              <w:rPr>
                <w:rFonts w:ascii="Aptos" w:hAnsi="Aptos" w:cs="Arial"/>
                <w:sz w:val="16"/>
                <w:szCs w:val="16"/>
              </w:rPr>
            </w:pPr>
            <w:r w:rsidRPr="00D518FF">
              <w:rPr>
                <w:rFonts w:ascii="Aptos" w:hAnsi="Aptos" w:cs="Arial"/>
                <w:sz w:val="16"/>
                <w:szCs w:val="16"/>
              </w:rPr>
              <w:t>1, 5</w:t>
            </w:r>
          </w:p>
        </w:tc>
        <w:tc>
          <w:tcPr>
            <w:tcW w:w="806" w:type="dxa"/>
            <w:shd w:val="clear" w:color="auto" w:fill="EFFFE9"/>
          </w:tcPr>
          <w:p w14:paraId="16D0D542" w14:textId="67F55290" w:rsidR="00F60E69" w:rsidRPr="00D518FF" w:rsidRDefault="00F60E69" w:rsidP="00F60E69">
            <w:pPr>
              <w:rPr>
                <w:rFonts w:ascii="Aptos" w:hAnsi="Aptos" w:cs="Arial"/>
                <w:sz w:val="16"/>
                <w:szCs w:val="16"/>
              </w:rPr>
            </w:pPr>
            <w:r w:rsidRPr="00D518FF">
              <w:rPr>
                <w:rFonts w:ascii="Aptos" w:hAnsi="Aptos" w:cs="Arial"/>
                <w:sz w:val="16"/>
                <w:szCs w:val="16"/>
              </w:rPr>
              <w:t>6</w:t>
            </w:r>
          </w:p>
        </w:tc>
        <w:tc>
          <w:tcPr>
            <w:tcW w:w="1213" w:type="dxa"/>
            <w:shd w:val="clear" w:color="auto" w:fill="EFFFE9"/>
          </w:tcPr>
          <w:p w14:paraId="6491F155" w14:textId="174955B3" w:rsidR="00F60E69" w:rsidRPr="00D518FF" w:rsidRDefault="00F60E69" w:rsidP="00F60E69">
            <w:pPr>
              <w:rPr>
                <w:rFonts w:ascii="Aptos" w:hAnsi="Aptos" w:cs="Arial"/>
                <w:sz w:val="16"/>
                <w:szCs w:val="16"/>
              </w:rPr>
            </w:pPr>
            <w:r w:rsidRPr="00D518FF">
              <w:rPr>
                <w:rFonts w:ascii="Aptos" w:hAnsi="Aptos" w:cs="Arial"/>
                <w:sz w:val="16"/>
                <w:szCs w:val="16"/>
              </w:rPr>
              <w:t xml:space="preserve">PubMed, EMBASE, CINAHL, Cochrane Library, WHO ICTRP, ClinicalTrials.gov </w:t>
            </w:r>
          </w:p>
        </w:tc>
        <w:tc>
          <w:tcPr>
            <w:tcW w:w="784" w:type="dxa"/>
            <w:shd w:val="clear" w:color="auto" w:fill="EFFFE9"/>
          </w:tcPr>
          <w:p w14:paraId="4DE43819" w14:textId="73696015" w:rsidR="00F60E69" w:rsidRPr="00D518FF" w:rsidRDefault="00F60E69" w:rsidP="00F60E69">
            <w:pPr>
              <w:rPr>
                <w:rFonts w:ascii="Aptos" w:hAnsi="Aptos" w:cs="Arial"/>
                <w:sz w:val="16"/>
                <w:szCs w:val="16"/>
              </w:rPr>
            </w:pPr>
            <w:r w:rsidRPr="00D518FF">
              <w:rPr>
                <w:rFonts w:ascii="Aptos" w:hAnsi="Aptos" w:cs="Arial"/>
                <w:sz w:val="16"/>
                <w:szCs w:val="16"/>
              </w:rPr>
              <w:t>Feb 2015</w:t>
            </w:r>
          </w:p>
        </w:tc>
        <w:tc>
          <w:tcPr>
            <w:tcW w:w="992" w:type="dxa"/>
            <w:shd w:val="clear" w:color="auto" w:fill="EFFFE9"/>
          </w:tcPr>
          <w:p w14:paraId="4748F857" w14:textId="128F76AC" w:rsidR="00F60E69" w:rsidRPr="00D518FF" w:rsidRDefault="00F60E69" w:rsidP="00F60E69">
            <w:pPr>
              <w:rPr>
                <w:rFonts w:ascii="Aptos" w:hAnsi="Aptos" w:cs="Arial"/>
                <w:sz w:val="16"/>
                <w:szCs w:val="16"/>
              </w:rPr>
            </w:pPr>
            <w:r w:rsidRPr="00D518FF">
              <w:rPr>
                <w:rFonts w:ascii="Aptos" w:hAnsi="Aptos" w:cs="Arial"/>
                <w:sz w:val="16"/>
                <w:szCs w:val="16"/>
              </w:rPr>
              <w:t>No limit of search strategy to specific study types, language or publication date</w:t>
            </w:r>
          </w:p>
        </w:tc>
        <w:tc>
          <w:tcPr>
            <w:tcW w:w="851" w:type="dxa"/>
            <w:shd w:val="clear" w:color="auto" w:fill="EFFFE9"/>
          </w:tcPr>
          <w:p w14:paraId="556BF29A" w14:textId="2C97FE57"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709" w:type="dxa"/>
            <w:shd w:val="clear" w:color="auto" w:fill="EFFFE9"/>
          </w:tcPr>
          <w:p w14:paraId="2946E559" w14:textId="1D69BA50"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1842" w:type="dxa"/>
            <w:shd w:val="clear" w:color="auto" w:fill="EFFFE9"/>
          </w:tcPr>
          <w:p w14:paraId="1FD95449" w14:textId="7C1D5711" w:rsidR="00F60E69" w:rsidRPr="00D518FF" w:rsidRDefault="00F60E69" w:rsidP="00F60E69">
            <w:pPr>
              <w:rPr>
                <w:rFonts w:ascii="Aptos" w:hAnsi="Aptos" w:cs="Arial"/>
                <w:sz w:val="16"/>
                <w:szCs w:val="16"/>
              </w:rPr>
            </w:pPr>
            <w:r w:rsidRPr="00D518FF">
              <w:rPr>
                <w:rFonts w:ascii="Aptos" w:hAnsi="Aptos" w:cs="Arial"/>
                <w:sz w:val="16"/>
                <w:szCs w:val="16"/>
              </w:rPr>
              <w:t>The authors have no conflicts of interest to disclose.</w:t>
            </w:r>
          </w:p>
        </w:tc>
        <w:tc>
          <w:tcPr>
            <w:tcW w:w="1560" w:type="dxa"/>
            <w:shd w:val="clear" w:color="auto" w:fill="EFFFE9"/>
          </w:tcPr>
          <w:p w14:paraId="6F833CE6" w14:textId="0CA2165F" w:rsidR="00F60E69" w:rsidRPr="00D518FF" w:rsidRDefault="00F60E69" w:rsidP="00F60E69">
            <w:pPr>
              <w:rPr>
                <w:rFonts w:ascii="Aptos" w:hAnsi="Aptos" w:cs="Arial"/>
                <w:sz w:val="16"/>
                <w:szCs w:val="16"/>
              </w:rPr>
            </w:pPr>
            <w:r w:rsidRPr="00D518FF">
              <w:rPr>
                <w:rFonts w:ascii="Aptos" w:hAnsi="Aptos" w:cs="Arial"/>
                <w:sz w:val="16"/>
                <w:szCs w:val="16"/>
              </w:rPr>
              <w:t>This article presents independent research funded through a PhD fellowship awarded to the first author by the NIHR. The views expressed are those of the authors and not necessarily those of the NIHR.</w:t>
            </w:r>
          </w:p>
        </w:tc>
      </w:tr>
    </w:tbl>
    <w:p w14:paraId="53C6CFC5" w14:textId="036EB72D" w:rsidR="00BC6EB6" w:rsidRPr="00D518FF" w:rsidRDefault="00BC6EB6" w:rsidP="00AA72BD">
      <w:pPr>
        <w:pStyle w:val="2024TABLEFOOTER"/>
        <w:spacing w:line="240" w:lineRule="auto"/>
        <w:rPr>
          <w:szCs w:val="16"/>
        </w:rPr>
      </w:pPr>
      <w:r w:rsidRPr="00D518FF">
        <w:rPr>
          <w:szCs w:val="16"/>
        </w:rPr>
        <w:t xml:space="preserve">Abbreviations: </w:t>
      </w:r>
      <w:r w:rsidR="002269D9" w:rsidRPr="00D518FF">
        <w:rPr>
          <w:rFonts w:cs="Calibri"/>
          <w:color w:val="000000"/>
          <w:szCs w:val="16"/>
        </w:rPr>
        <w:t>CENTRAL=Cochrane Central Register of Controlled Trials</w:t>
      </w:r>
      <w:r w:rsidR="002269D9" w:rsidRPr="00D518FF">
        <w:rPr>
          <w:szCs w:val="16"/>
        </w:rPr>
        <w:t xml:space="preserve">; </w:t>
      </w:r>
      <w:r w:rsidR="005F62F4" w:rsidRPr="00D518FF">
        <w:rPr>
          <w:szCs w:val="16"/>
        </w:rPr>
        <w:t xml:space="preserve">CINAHL=Cumulative Index of Nursing and Allied Health Literature; </w:t>
      </w:r>
      <w:r w:rsidRPr="00D518FF">
        <w:rPr>
          <w:szCs w:val="16"/>
        </w:rPr>
        <w:t>NR=Not reported; RCT=randomised controlled trial, GRADE=Grading of Recommendations Assessment, Development and Evaluation</w:t>
      </w:r>
      <w:r w:rsidR="00324528">
        <w:rPr>
          <w:szCs w:val="16"/>
        </w:rPr>
        <w:t>; WHO ICTRP=WHO</w:t>
      </w:r>
      <w:r w:rsidR="00324528" w:rsidRPr="00324528">
        <w:t xml:space="preserve"> </w:t>
      </w:r>
      <w:r w:rsidR="00324528" w:rsidRPr="00324528">
        <w:rPr>
          <w:szCs w:val="16"/>
        </w:rPr>
        <w:t>International Clinical Trials Registry Platform (ICTRP)</w:t>
      </w:r>
    </w:p>
    <w:p w14:paraId="2420945E" w14:textId="77777777" w:rsidR="004E75D4" w:rsidRPr="00D518FF" w:rsidRDefault="004E75D4" w:rsidP="00AA72BD">
      <w:pPr>
        <w:pStyle w:val="Caption1"/>
        <w:spacing w:before="0" w:after="0"/>
        <w:rPr>
          <w:rFonts w:ascii="Aptos" w:hAnsi="Aptos"/>
          <w:b w:val="0"/>
          <w:bCs w:val="0"/>
          <w:sz w:val="16"/>
          <w:szCs w:val="16"/>
        </w:rPr>
      </w:pPr>
    </w:p>
    <w:p w14:paraId="10E8ADD9" w14:textId="77777777" w:rsidR="004E75D4" w:rsidRPr="00D518FF" w:rsidRDefault="004E75D4"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2D158B9D" w14:textId="77777777" w:rsidR="005A30BA" w:rsidRPr="00D518FF" w:rsidRDefault="005A30BA" w:rsidP="003F5774">
      <w:pPr>
        <w:pStyle w:val="ListParagraph"/>
        <w:numPr>
          <w:ilvl w:val="0"/>
          <w:numId w:val="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Overall control of disease (recurrence)</w:t>
      </w:r>
    </w:p>
    <w:p w14:paraId="2E99C31A" w14:textId="77777777" w:rsidR="005A30BA" w:rsidRPr="00D518FF" w:rsidRDefault="005A30BA" w:rsidP="003F5774">
      <w:pPr>
        <w:pStyle w:val="ListParagraph"/>
        <w:numPr>
          <w:ilvl w:val="0"/>
          <w:numId w:val="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Overall severity of symptoms</w:t>
      </w:r>
    </w:p>
    <w:p w14:paraId="5BDE97B5" w14:textId="77777777" w:rsidR="005A30BA" w:rsidRPr="00D518FF" w:rsidRDefault="005A30BA" w:rsidP="003F5774">
      <w:pPr>
        <w:pStyle w:val="ListParagraph"/>
        <w:numPr>
          <w:ilvl w:val="0"/>
          <w:numId w:val="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Time (days) from initiation of treatment to resolution of symptoms</w:t>
      </w:r>
    </w:p>
    <w:p w14:paraId="056EDDBD" w14:textId="77777777" w:rsidR="005A30BA" w:rsidRPr="00D518FF" w:rsidRDefault="005A30BA" w:rsidP="003F5774">
      <w:pPr>
        <w:pStyle w:val="ListParagraph"/>
        <w:numPr>
          <w:ilvl w:val="0"/>
          <w:numId w:val="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093D4D1E" w14:textId="77777777" w:rsidR="005A30BA" w:rsidRPr="00D518FF" w:rsidRDefault="005A30BA" w:rsidP="003F5774">
      <w:pPr>
        <w:pStyle w:val="ListParagraph"/>
        <w:numPr>
          <w:ilvl w:val="0"/>
          <w:numId w:val="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Use of acute and prophylactic antibiotics for conditions where antibiotics are indicated</w:t>
      </w:r>
    </w:p>
    <w:p w14:paraId="68CFB2FD" w14:textId="7C5FE59F" w:rsidR="00D64A15" w:rsidRPr="00CC0345" w:rsidRDefault="005A30BA" w:rsidP="00E77295">
      <w:pPr>
        <w:pStyle w:val="ListParagraph"/>
        <w:numPr>
          <w:ilvl w:val="0"/>
          <w:numId w:val="9"/>
        </w:numPr>
        <w:rPr>
          <w:rFonts w:ascii="Aptos" w:hAnsi="Aptos" w:cs="Arial"/>
          <w:color w:val="000000" w:themeColor="text1"/>
          <w:sz w:val="14"/>
          <w:szCs w:val="14"/>
        </w:rPr>
      </w:pPr>
      <w:r w:rsidRPr="00D518FF">
        <w:rPr>
          <w:rFonts w:ascii="Aptos" w:hAnsi="Aptos" w:cs="Arial"/>
          <w:color w:val="000000" w:themeColor="text1"/>
          <w:kern w:val="0"/>
          <w:sz w:val="16"/>
          <w:szCs w:val="16"/>
          <w14:ligatures w14:val="none"/>
        </w:rPr>
        <w:t>Duration of hospital stay</w:t>
      </w:r>
    </w:p>
    <w:p w14:paraId="5F942DC2" w14:textId="02D76A53" w:rsidR="00D64A15" w:rsidRPr="00B53559" w:rsidRDefault="009355E5" w:rsidP="00B53559">
      <w:pPr>
        <w:pStyle w:val="heading2numbers"/>
        <w:rPr>
          <w:rStyle w:val="Heading1Char"/>
          <w:rFonts w:ascii="Aptos" w:eastAsia="Calibri" w:hAnsi="Aptos"/>
          <w:bCs w:val="0"/>
          <w:color w:val="C00000"/>
          <w:sz w:val="28"/>
          <w:szCs w:val="26"/>
        </w:rPr>
      </w:pPr>
      <w:bookmarkStart w:id="177" w:name="_Toc185254658"/>
      <w:r w:rsidRPr="00B53559">
        <w:rPr>
          <w:rStyle w:val="Heading1Char"/>
          <w:rFonts w:ascii="Aptos" w:eastAsia="Calibri" w:hAnsi="Aptos"/>
          <w:bCs w:val="0"/>
          <w:color w:val="C00000"/>
          <w:sz w:val="28"/>
          <w:szCs w:val="26"/>
        </w:rPr>
        <w:t xml:space="preserve">Diabetes (Type lI) (including metabolic syndrome), </w:t>
      </w:r>
      <w:r w:rsidR="00C16441" w:rsidRPr="00B53559">
        <w:rPr>
          <w:rStyle w:val="Heading1Char"/>
          <w:rFonts w:ascii="Aptos" w:eastAsia="Calibri" w:hAnsi="Aptos"/>
          <w:bCs w:val="0"/>
          <w:color w:val="C00000"/>
          <w:sz w:val="28"/>
          <w:szCs w:val="26"/>
        </w:rPr>
        <w:t>a</w:t>
      </w:r>
      <w:r w:rsidRPr="00B53559">
        <w:rPr>
          <w:rStyle w:val="Heading1Char"/>
          <w:rFonts w:ascii="Aptos" w:eastAsia="Calibri" w:hAnsi="Aptos"/>
          <w:bCs w:val="0"/>
          <w:color w:val="C00000"/>
          <w:sz w:val="28"/>
          <w:szCs w:val="26"/>
        </w:rPr>
        <w:t>ntioxidants (specifically CoQ10 and alpha-lipoic acid)</w:t>
      </w:r>
      <w:bookmarkEnd w:id="177"/>
    </w:p>
    <w:p w14:paraId="10FF3AD7" w14:textId="0889D759" w:rsidR="00A740A6" w:rsidRPr="00D518FF" w:rsidRDefault="0006125A" w:rsidP="004C6AA1">
      <w:pPr>
        <w:pStyle w:val="Caption"/>
        <w:spacing w:before="240"/>
        <w:rPr>
          <w:rFonts w:ascii="Aptos" w:hAnsi="Aptos"/>
        </w:rPr>
      </w:pPr>
      <w:bookmarkStart w:id="178" w:name="_Toc185254571"/>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25</w:t>
      </w:r>
      <w:r w:rsidR="00DC4767" w:rsidRPr="004C6AA1">
        <w:rPr>
          <w:rFonts w:ascii="Aptos" w:hAnsi="Aptos"/>
        </w:rPr>
        <w:fldChar w:fldCharType="end"/>
      </w:r>
      <w:r w:rsidR="00A740A6" w:rsidRPr="00D518FF">
        <w:rPr>
          <w:rFonts w:ascii="Aptos" w:hAnsi="Aptos"/>
        </w:rPr>
        <w:t>. Citation details of included reviews – diabetes (Type lI) (including metabolic syndrome), antioxidants (specifically CoQ10 and alpha-lipoic acid) (n=1</w:t>
      </w:r>
      <w:r w:rsidR="00A740A6">
        <w:rPr>
          <w:rFonts w:ascii="Aptos" w:hAnsi="Aptos"/>
        </w:rPr>
        <w:t>0</w:t>
      </w:r>
      <w:r w:rsidR="00A740A6" w:rsidRPr="00D518FF">
        <w:rPr>
          <w:rFonts w:ascii="Aptos" w:hAnsi="Aptos"/>
        </w:rPr>
        <w:t>)</w:t>
      </w:r>
      <w:r w:rsidR="00A6108F">
        <w:rPr>
          <w:rFonts w:ascii="Aptos" w:hAnsi="Aptos"/>
        </w:rPr>
        <w:t>.</w:t>
      </w:r>
      <w:bookmarkEnd w:id="178"/>
    </w:p>
    <w:tbl>
      <w:tblPr>
        <w:tblStyle w:val="TableGrid"/>
        <w:tblW w:w="0" w:type="auto"/>
        <w:tblLayout w:type="fixed"/>
        <w:tblCellMar>
          <w:top w:w="28" w:type="dxa"/>
          <w:left w:w="57" w:type="dxa"/>
          <w:bottom w:w="28" w:type="dxa"/>
          <w:right w:w="28" w:type="dxa"/>
        </w:tblCellMar>
        <w:tblLook w:val="04A0" w:firstRow="1" w:lastRow="0" w:firstColumn="1" w:lastColumn="0" w:noHBand="0" w:noVBand="1"/>
      </w:tblPr>
      <w:tblGrid>
        <w:gridCol w:w="846"/>
        <w:gridCol w:w="3827"/>
        <w:gridCol w:w="4253"/>
        <w:gridCol w:w="567"/>
        <w:gridCol w:w="1275"/>
        <w:gridCol w:w="709"/>
        <w:gridCol w:w="567"/>
        <w:gridCol w:w="709"/>
        <w:gridCol w:w="1417"/>
      </w:tblGrid>
      <w:tr w:rsidR="00A740A6" w:rsidRPr="00D518FF" w14:paraId="278E52F9" w14:textId="77777777" w:rsidTr="00F614C8">
        <w:trPr>
          <w:trHeight w:val="61"/>
          <w:tblHeader/>
        </w:trPr>
        <w:tc>
          <w:tcPr>
            <w:tcW w:w="846" w:type="dxa"/>
            <w:shd w:val="clear" w:color="auto" w:fill="D9D9D9" w:themeFill="background1" w:themeFillShade="D9"/>
          </w:tcPr>
          <w:p w14:paraId="2A80F75D"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Review ID</w:t>
            </w:r>
          </w:p>
        </w:tc>
        <w:tc>
          <w:tcPr>
            <w:tcW w:w="3827" w:type="dxa"/>
            <w:shd w:val="clear" w:color="auto" w:fill="D9D9D9" w:themeFill="background1" w:themeFillShade="D9"/>
            <w:noWrap/>
            <w:hideMark/>
          </w:tcPr>
          <w:p w14:paraId="309E7989"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Title</w:t>
            </w:r>
          </w:p>
        </w:tc>
        <w:tc>
          <w:tcPr>
            <w:tcW w:w="4253" w:type="dxa"/>
            <w:shd w:val="clear" w:color="auto" w:fill="D9D9D9" w:themeFill="background1" w:themeFillShade="D9"/>
            <w:noWrap/>
            <w:hideMark/>
          </w:tcPr>
          <w:p w14:paraId="4AA952F0"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Authors</w:t>
            </w:r>
          </w:p>
        </w:tc>
        <w:tc>
          <w:tcPr>
            <w:tcW w:w="567" w:type="dxa"/>
            <w:shd w:val="clear" w:color="auto" w:fill="D9D9D9" w:themeFill="background1" w:themeFillShade="D9"/>
            <w:noWrap/>
            <w:hideMark/>
          </w:tcPr>
          <w:p w14:paraId="5CDF96AE"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Year</w:t>
            </w:r>
          </w:p>
        </w:tc>
        <w:tc>
          <w:tcPr>
            <w:tcW w:w="1275" w:type="dxa"/>
            <w:shd w:val="clear" w:color="auto" w:fill="D9D9D9" w:themeFill="background1" w:themeFillShade="D9"/>
            <w:noWrap/>
            <w:hideMark/>
          </w:tcPr>
          <w:p w14:paraId="08A474B8"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Journal</w:t>
            </w:r>
          </w:p>
        </w:tc>
        <w:tc>
          <w:tcPr>
            <w:tcW w:w="709" w:type="dxa"/>
            <w:shd w:val="clear" w:color="auto" w:fill="D9D9D9" w:themeFill="background1" w:themeFillShade="D9"/>
            <w:noWrap/>
            <w:hideMark/>
          </w:tcPr>
          <w:p w14:paraId="281E72B7"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Volume</w:t>
            </w:r>
          </w:p>
        </w:tc>
        <w:tc>
          <w:tcPr>
            <w:tcW w:w="567" w:type="dxa"/>
            <w:shd w:val="clear" w:color="auto" w:fill="D9D9D9" w:themeFill="background1" w:themeFillShade="D9"/>
            <w:noWrap/>
            <w:hideMark/>
          </w:tcPr>
          <w:p w14:paraId="33238EFA"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Issue</w:t>
            </w:r>
          </w:p>
        </w:tc>
        <w:tc>
          <w:tcPr>
            <w:tcW w:w="709" w:type="dxa"/>
            <w:shd w:val="clear" w:color="auto" w:fill="D9D9D9" w:themeFill="background1" w:themeFillShade="D9"/>
            <w:noWrap/>
            <w:hideMark/>
          </w:tcPr>
          <w:p w14:paraId="7630E502"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Pages</w:t>
            </w:r>
          </w:p>
        </w:tc>
        <w:tc>
          <w:tcPr>
            <w:tcW w:w="1417" w:type="dxa"/>
            <w:shd w:val="clear" w:color="auto" w:fill="D9D9D9" w:themeFill="background1" w:themeFillShade="D9"/>
            <w:noWrap/>
            <w:hideMark/>
          </w:tcPr>
          <w:p w14:paraId="4CCE75E9" w14:textId="77777777" w:rsidR="00A740A6" w:rsidRPr="00D518FF" w:rsidRDefault="00A740A6">
            <w:pPr>
              <w:pStyle w:val="Caption1"/>
              <w:spacing w:before="0" w:after="0"/>
              <w:rPr>
                <w:rFonts w:ascii="Aptos" w:hAnsi="Aptos"/>
                <w:sz w:val="16"/>
                <w:szCs w:val="16"/>
              </w:rPr>
            </w:pPr>
            <w:r w:rsidRPr="00D518FF">
              <w:rPr>
                <w:rFonts w:ascii="Aptos" w:hAnsi="Aptos"/>
                <w:sz w:val="16"/>
                <w:szCs w:val="16"/>
              </w:rPr>
              <w:t>DOI</w:t>
            </w:r>
          </w:p>
        </w:tc>
      </w:tr>
      <w:tr w:rsidR="00A740A6" w:rsidRPr="00D518FF" w14:paraId="17AD13CE" w14:textId="77777777" w:rsidTr="00F614C8">
        <w:trPr>
          <w:trHeight w:val="55"/>
        </w:trPr>
        <w:tc>
          <w:tcPr>
            <w:tcW w:w="846" w:type="dxa"/>
          </w:tcPr>
          <w:p w14:paraId="1A11E071" w14:textId="77777777" w:rsidR="00A740A6" w:rsidRPr="00D518FF" w:rsidRDefault="00A740A6">
            <w:pPr>
              <w:rPr>
                <w:rFonts w:ascii="Aptos" w:hAnsi="Aptos" w:cs="Arial"/>
                <w:sz w:val="16"/>
                <w:szCs w:val="16"/>
              </w:rPr>
            </w:pPr>
            <w:r w:rsidRPr="00D518FF">
              <w:rPr>
                <w:rFonts w:ascii="Aptos" w:hAnsi="Aptos" w:cs="Arial"/>
                <w:sz w:val="16"/>
                <w:szCs w:val="16"/>
              </w:rPr>
              <w:t>Araújo 2022</w:t>
            </w:r>
          </w:p>
        </w:tc>
        <w:tc>
          <w:tcPr>
            <w:tcW w:w="3827" w:type="dxa"/>
          </w:tcPr>
          <w:p w14:paraId="3ADC1B8E" w14:textId="77777777" w:rsidR="00A740A6" w:rsidRPr="00D518FF" w:rsidRDefault="00A740A6">
            <w:pPr>
              <w:rPr>
                <w:rFonts w:ascii="Aptos" w:hAnsi="Aptos" w:cs="Arial"/>
                <w:sz w:val="16"/>
                <w:szCs w:val="16"/>
              </w:rPr>
            </w:pPr>
            <w:r w:rsidRPr="00D518FF">
              <w:rPr>
                <w:rFonts w:ascii="Aptos" w:hAnsi="Aptos" w:cs="Arial"/>
                <w:sz w:val="16"/>
                <w:szCs w:val="16"/>
              </w:rPr>
              <w:t>Efficacy of Antioxidant Supplementation to Non-Surgical Periodontal Therapy on Metabolic Control in Type 2 Diabetes Patients: A Network Meta-Analysis</w:t>
            </w:r>
          </w:p>
        </w:tc>
        <w:tc>
          <w:tcPr>
            <w:tcW w:w="4253" w:type="dxa"/>
          </w:tcPr>
          <w:p w14:paraId="2919DB86" w14:textId="77777777" w:rsidR="00A740A6" w:rsidRPr="00D518FF" w:rsidRDefault="00A740A6">
            <w:pPr>
              <w:rPr>
                <w:rFonts w:ascii="Aptos" w:hAnsi="Aptos" w:cs="Arial"/>
                <w:sz w:val="16"/>
                <w:szCs w:val="16"/>
              </w:rPr>
            </w:pPr>
            <w:r w:rsidRPr="00D518FF">
              <w:rPr>
                <w:rFonts w:ascii="Aptos" w:hAnsi="Aptos" w:cs="Arial"/>
                <w:sz w:val="16"/>
                <w:szCs w:val="16"/>
              </w:rPr>
              <w:t>Araújo, E. G., Oliveira, D. M. S. L., Martins, C. C., &amp; Stefani, C. M. </w:t>
            </w:r>
          </w:p>
        </w:tc>
        <w:tc>
          <w:tcPr>
            <w:tcW w:w="567" w:type="dxa"/>
          </w:tcPr>
          <w:p w14:paraId="60075B5A" w14:textId="77777777" w:rsidR="00A740A6" w:rsidRPr="00D518FF" w:rsidRDefault="00A740A6">
            <w:pPr>
              <w:rPr>
                <w:rFonts w:ascii="Aptos" w:hAnsi="Aptos" w:cs="Arial"/>
                <w:sz w:val="16"/>
                <w:szCs w:val="16"/>
              </w:rPr>
            </w:pPr>
            <w:r w:rsidRPr="00D518FF">
              <w:rPr>
                <w:rFonts w:ascii="Aptos" w:hAnsi="Aptos" w:cs="Arial"/>
                <w:sz w:val="16"/>
                <w:szCs w:val="16"/>
              </w:rPr>
              <w:t>2022</w:t>
            </w:r>
          </w:p>
        </w:tc>
        <w:tc>
          <w:tcPr>
            <w:tcW w:w="1275" w:type="dxa"/>
          </w:tcPr>
          <w:p w14:paraId="154863F7" w14:textId="77777777" w:rsidR="00A740A6" w:rsidRPr="00D518FF" w:rsidRDefault="00A740A6">
            <w:pPr>
              <w:rPr>
                <w:rFonts w:ascii="Aptos" w:hAnsi="Aptos" w:cs="Arial"/>
                <w:sz w:val="16"/>
                <w:szCs w:val="16"/>
              </w:rPr>
            </w:pPr>
            <w:r w:rsidRPr="00D518FF">
              <w:rPr>
                <w:rFonts w:ascii="Aptos" w:hAnsi="Aptos" w:cs="Arial"/>
                <w:sz w:val="16"/>
                <w:szCs w:val="16"/>
              </w:rPr>
              <w:t>Antioxidants (Basel, Switzerland)</w:t>
            </w:r>
          </w:p>
        </w:tc>
        <w:tc>
          <w:tcPr>
            <w:tcW w:w="709" w:type="dxa"/>
          </w:tcPr>
          <w:p w14:paraId="152FAD29" w14:textId="77777777" w:rsidR="00A740A6" w:rsidRPr="00D518FF" w:rsidRDefault="00A740A6">
            <w:pPr>
              <w:rPr>
                <w:rFonts w:ascii="Aptos" w:hAnsi="Aptos" w:cs="Arial"/>
                <w:sz w:val="16"/>
                <w:szCs w:val="16"/>
              </w:rPr>
            </w:pPr>
            <w:r w:rsidRPr="00D518FF">
              <w:rPr>
                <w:rFonts w:ascii="Aptos" w:hAnsi="Aptos" w:cs="Arial"/>
                <w:sz w:val="16"/>
                <w:szCs w:val="16"/>
              </w:rPr>
              <w:t>11</w:t>
            </w:r>
          </w:p>
        </w:tc>
        <w:tc>
          <w:tcPr>
            <w:tcW w:w="567" w:type="dxa"/>
          </w:tcPr>
          <w:p w14:paraId="6112BABC" w14:textId="77777777" w:rsidR="00A740A6" w:rsidRPr="00D518FF" w:rsidRDefault="00A740A6">
            <w:pPr>
              <w:rPr>
                <w:rFonts w:ascii="Aptos" w:hAnsi="Aptos" w:cs="Arial"/>
                <w:sz w:val="16"/>
                <w:szCs w:val="16"/>
              </w:rPr>
            </w:pPr>
            <w:r w:rsidRPr="00D518FF">
              <w:rPr>
                <w:rFonts w:ascii="Aptos" w:hAnsi="Aptos" w:cs="Arial"/>
                <w:sz w:val="16"/>
                <w:szCs w:val="16"/>
              </w:rPr>
              <w:t>4</w:t>
            </w:r>
          </w:p>
        </w:tc>
        <w:tc>
          <w:tcPr>
            <w:tcW w:w="709" w:type="dxa"/>
          </w:tcPr>
          <w:p w14:paraId="2692AB05" w14:textId="77777777" w:rsidR="00A740A6" w:rsidRPr="00D518FF" w:rsidRDefault="00A740A6">
            <w:pPr>
              <w:rPr>
                <w:rFonts w:ascii="Aptos" w:hAnsi="Aptos" w:cs="Arial"/>
                <w:sz w:val="16"/>
                <w:szCs w:val="16"/>
              </w:rPr>
            </w:pPr>
            <w:r w:rsidRPr="00D518FF">
              <w:rPr>
                <w:rFonts w:ascii="Aptos" w:hAnsi="Aptos" w:cs="Arial"/>
                <w:sz w:val="16"/>
                <w:szCs w:val="16"/>
              </w:rPr>
              <w:t>621</w:t>
            </w:r>
          </w:p>
        </w:tc>
        <w:tc>
          <w:tcPr>
            <w:tcW w:w="1417" w:type="dxa"/>
          </w:tcPr>
          <w:p w14:paraId="63B7A7CB" w14:textId="77777777" w:rsidR="00A740A6" w:rsidRPr="00D518FF" w:rsidRDefault="00A740A6">
            <w:pPr>
              <w:rPr>
                <w:rFonts w:ascii="Aptos" w:hAnsi="Aptos" w:cs="Arial"/>
                <w:sz w:val="16"/>
                <w:szCs w:val="16"/>
              </w:rPr>
            </w:pPr>
            <w:r w:rsidRPr="00D518FF">
              <w:rPr>
                <w:rFonts w:ascii="Aptos" w:hAnsi="Aptos" w:cs="Arial"/>
                <w:sz w:val="16"/>
                <w:szCs w:val="16"/>
              </w:rPr>
              <w:t>10.3390/antiox11040621</w:t>
            </w:r>
          </w:p>
        </w:tc>
      </w:tr>
      <w:tr w:rsidR="00A740A6" w:rsidRPr="00D518FF" w14:paraId="3C6F438E" w14:textId="77777777" w:rsidTr="00A6108F">
        <w:trPr>
          <w:trHeight w:val="55"/>
        </w:trPr>
        <w:tc>
          <w:tcPr>
            <w:tcW w:w="846" w:type="dxa"/>
            <w:shd w:val="clear" w:color="auto" w:fill="EFFFE9"/>
          </w:tcPr>
          <w:p w14:paraId="65DD7F61" w14:textId="77777777" w:rsidR="00A740A6" w:rsidRPr="00D518FF" w:rsidRDefault="00A740A6">
            <w:pPr>
              <w:rPr>
                <w:rFonts w:ascii="Aptos" w:hAnsi="Aptos" w:cs="Arial"/>
                <w:sz w:val="16"/>
                <w:szCs w:val="16"/>
              </w:rPr>
            </w:pPr>
            <w:r w:rsidRPr="00D518FF">
              <w:rPr>
                <w:rFonts w:ascii="Aptos" w:hAnsi="Aptos" w:cs="Arial"/>
                <w:sz w:val="16"/>
                <w:szCs w:val="16"/>
              </w:rPr>
              <w:t>Dludla 2020</w:t>
            </w:r>
          </w:p>
        </w:tc>
        <w:tc>
          <w:tcPr>
            <w:tcW w:w="3827" w:type="dxa"/>
            <w:shd w:val="clear" w:color="auto" w:fill="EFFFE9"/>
          </w:tcPr>
          <w:p w14:paraId="7D6C9941" w14:textId="77777777" w:rsidR="00A740A6" w:rsidRPr="00D518FF" w:rsidRDefault="00A740A6">
            <w:pPr>
              <w:rPr>
                <w:rFonts w:ascii="Aptos" w:hAnsi="Aptos" w:cs="Arial"/>
                <w:sz w:val="16"/>
                <w:szCs w:val="16"/>
              </w:rPr>
            </w:pPr>
            <w:r w:rsidRPr="00D518FF">
              <w:rPr>
                <w:rFonts w:ascii="Aptos" w:hAnsi="Aptos" w:cs="Arial"/>
                <w:sz w:val="16"/>
                <w:szCs w:val="16"/>
              </w:rPr>
              <w:t>The impact of coenzyme Q10 on metabolic and cardiovascular disease profiles in diabetic patients: A systematic review and meta-analysis of randomized controlled trials</w:t>
            </w:r>
          </w:p>
        </w:tc>
        <w:tc>
          <w:tcPr>
            <w:tcW w:w="4253" w:type="dxa"/>
            <w:shd w:val="clear" w:color="auto" w:fill="EFFFE9"/>
          </w:tcPr>
          <w:p w14:paraId="4A405DD4" w14:textId="77777777" w:rsidR="00A740A6" w:rsidRPr="00D518FF" w:rsidRDefault="00A740A6">
            <w:pPr>
              <w:rPr>
                <w:rFonts w:ascii="Aptos" w:hAnsi="Aptos" w:cs="Arial"/>
                <w:sz w:val="16"/>
                <w:szCs w:val="16"/>
              </w:rPr>
            </w:pPr>
            <w:r w:rsidRPr="00D518FF">
              <w:rPr>
                <w:rFonts w:ascii="Aptos" w:hAnsi="Aptos" w:cs="Arial"/>
                <w:sz w:val="16"/>
                <w:szCs w:val="16"/>
              </w:rPr>
              <w:t>Dludla, P. V.; Louw, J.; Muller, C. J. F.; Dludla, P. V.; Orlando, P.; Silvestri, S.; Tiano, L.; Nyambuya, T. M.; Mxinwa, V.; Mokgalaboni, K.; Nkambule, B. B.; Nyambuya, T. M.; Louw, J.; Muller, C. J. F.; Muller, C. J. F.</w:t>
            </w:r>
          </w:p>
        </w:tc>
        <w:tc>
          <w:tcPr>
            <w:tcW w:w="567" w:type="dxa"/>
            <w:shd w:val="clear" w:color="auto" w:fill="EFFFE9"/>
          </w:tcPr>
          <w:p w14:paraId="225C7ABD" w14:textId="77777777" w:rsidR="00A740A6" w:rsidRPr="00D518FF" w:rsidRDefault="00A740A6">
            <w:pPr>
              <w:rPr>
                <w:rFonts w:ascii="Aptos" w:hAnsi="Aptos" w:cs="Arial"/>
                <w:sz w:val="16"/>
                <w:szCs w:val="16"/>
              </w:rPr>
            </w:pPr>
            <w:r w:rsidRPr="00D518FF">
              <w:rPr>
                <w:rFonts w:ascii="Aptos" w:hAnsi="Aptos" w:cs="Arial"/>
                <w:sz w:val="16"/>
                <w:szCs w:val="16"/>
              </w:rPr>
              <w:t>2020</w:t>
            </w:r>
          </w:p>
        </w:tc>
        <w:tc>
          <w:tcPr>
            <w:tcW w:w="1275" w:type="dxa"/>
            <w:shd w:val="clear" w:color="auto" w:fill="EFFFE9"/>
          </w:tcPr>
          <w:p w14:paraId="50DD6DA4" w14:textId="77777777" w:rsidR="00A740A6" w:rsidRPr="00D518FF" w:rsidRDefault="00A740A6">
            <w:pPr>
              <w:rPr>
                <w:rFonts w:ascii="Aptos" w:hAnsi="Aptos" w:cs="Arial"/>
                <w:sz w:val="16"/>
                <w:szCs w:val="16"/>
              </w:rPr>
            </w:pPr>
            <w:r w:rsidRPr="00D518FF">
              <w:rPr>
                <w:rFonts w:ascii="Aptos" w:hAnsi="Aptos" w:cs="Arial"/>
                <w:sz w:val="16"/>
                <w:szCs w:val="16"/>
              </w:rPr>
              <w:t>Endocrinol. Diabetes Metab.</w:t>
            </w:r>
          </w:p>
        </w:tc>
        <w:tc>
          <w:tcPr>
            <w:tcW w:w="709" w:type="dxa"/>
            <w:shd w:val="clear" w:color="auto" w:fill="EFFFE9"/>
          </w:tcPr>
          <w:p w14:paraId="59C40345" w14:textId="77777777" w:rsidR="00A740A6" w:rsidRPr="00D518FF" w:rsidRDefault="00A740A6">
            <w:pPr>
              <w:rPr>
                <w:rFonts w:ascii="Aptos" w:hAnsi="Aptos" w:cs="Arial"/>
                <w:sz w:val="16"/>
                <w:szCs w:val="16"/>
              </w:rPr>
            </w:pPr>
            <w:r w:rsidRPr="00D518FF">
              <w:rPr>
                <w:rFonts w:ascii="Aptos" w:hAnsi="Aptos" w:cs="Arial"/>
                <w:sz w:val="16"/>
                <w:szCs w:val="16"/>
              </w:rPr>
              <w:t>3</w:t>
            </w:r>
          </w:p>
        </w:tc>
        <w:tc>
          <w:tcPr>
            <w:tcW w:w="567" w:type="dxa"/>
            <w:shd w:val="clear" w:color="auto" w:fill="EFFFE9"/>
          </w:tcPr>
          <w:p w14:paraId="4FBE4DF9" w14:textId="77777777" w:rsidR="00A740A6" w:rsidRPr="00D518FF" w:rsidRDefault="00A740A6">
            <w:pPr>
              <w:rPr>
                <w:rFonts w:ascii="Aptos" w:hAnsi="Aptos" w:cs="Arial"/>
                <w:sz w:val="16"/>
                <w:szCs w:val="16"/>
              </w:rPr>
            </w:pPr>
            <w:r w:rsidRPr="00D518FF">
              <w:rPr>
                <w:rFonts w:ascii="Aptos" w:hAnsi="Aptos" w:cs="Arial"/>
                <w:sz w:val="16"/>
                <w:szCs w:val="16"/>
              </w:rPr>
              <w:t>2</w:t>
            </w:r>
          </w:p>
        </w:tc>
        <w:tc>
          <w:tcPr>
            <w:tcW w:w="709" w:type="dxa"/>
            <w:shd w:val="clear" w:color="auto" w:fill="EFFFE9"/>
          </w:tcPr>
          <w:p w14:paraId="52C2367A" w14:textId="77777777" w:rsidR="00A740A6" w:rsidRPr="00D518FF" w:rsidRDefault="00A740A6">
            <w:pPr>
              <w:rPr>
                <w:rFonts w:ascii="Aptos" w:hAnsi="Aptos" w:cs="Arial"/>
                <w:sz w:val="16"/>
                <w:szCs w:val="16"/>
              </w:rPr>
            </w:pPr>
            <w:r w:rsidRPr="00D518FF">
              <w:rPr>
                <w:rFonts w:ascii="Aptos" w:hAnsi="Aptos" w:cs="Arial"/>
                <w:sz w:val="16"/>
                <w:szCs w:val="16"/>
              </w:rPr>
              <w:t>e00118</w:t>
            </w:r>
          </w:p>
        </w:tc>
        <w:tc>
          <w:tcPr>
            <w:tcW w:w="1417" w:type="dxa"/>
            <w:shd w:val="clear" w:color="auto" w:fill="EFFFE9"/>
          </w:tcPr>
          <w:p w14:paraId="7FB0CB2C" w14:textId="77777777" w:rsidR="00A740A6" w:rsidRPr="00D518FF" w:rsidRDefault="00A740A6">
            <w:pPr>
              <w:rPr>
                <w:rFonts w:ascii="Aptos" w:hAnsi="Aptos" w:cs="Arial"/>
                <w:sz w:val="16"/>
                <w:szCs w:val="16"/>
              </w:rPr>
            </w:pPr>
            <w:r w:rsidRPr="00D518FF">
              <w:rPr>
                <w:rFonts w:ascii="Aptos" w:hAnsi="Aptos" w:cs="Arial"/>
                <w:sz w:val="16"/>
                <w:szCs w:val="16"/>
              </w:rPr>
              <w:t>10.1002/edm2.118</w:t>
            </w:r>
          </w:p>
        </w:tc>
      </w:tr>
      <w:tr w:rsidR="00A740A6" w:rsidRPr="00D518FF" w14:paraId="79CC79F5" w14:textId="77777777" w:rsidTr="00F614C8">
        <w:trPr>
          <w:trHeight w:val="55"/>
        </w:trPr>
        <w:tc>
          <w:tcPr>
            <w:tcW w:w="846" w:type="dxa"/>
          </w:tcPr>
          <w:p w14:paraId="137F8012" w14:textId="77777777" w:rsidR="00A740A6" w:rsidRPr="00D518FF" w:rsidRDefault="00A740A6">
            <w:pPr>
              <w:rPr>
                <w:rFonts w:ascii="Aptos" w:hAnsi="Aptos" w:cs="Arial"/>
                <w:sz w:val="16"/>
                <w:szCs w:val="16"/>
              </w:rPr>
            </w:pPr>
            <w:r w:rsidRPr="00D518FF">
              <w:rPr>
                <w:rFonts w:ascii="Aptos" w:hAnsi="Aptos" w:cs="Arial"/>
                <w:sz w:val="16"/>
                <w:szCs w:val="16"/>
              </w:rPr>
              <w:t>Dludla 2023</w:t>
            </w:r>
          </w:p>
        </w:tc>
        <w:tc>
          <w:tcPr>
            <w:tcW w:w="3827" w:type="dxa"/>
          </w:tcPr>
          <w:p w14:paraId="1D60F215" w14:textId="77777777" w:rsidR="00A740A6" w:rsidRPr="00D518FF" w:rsidRDefault="00A740A6">
            <w:pPr>
              <w:rPr>
                <w:rFonts w:ascii="Aptos" w:hAnsi="Aptos" w:cs="Arial"/>
                <w:sz w:val="16"/>
                <w:szCs w:val="16"/>
              </w:rPr>
            </w:pPr>
            <w:r w:rsidRPr="00D518FF">
              <w:rPr>
                <w:rFonts w:ascii="Aptos" w:hAnsi="Aptos" w:cs="Arial"/>
                <w:sz w:val="16"/>
                <w:szCs w:val="16"/>
              </w:rPr>
              <w:t>Dietary Supplements Potentially Target Plasma Glutathione Levels to Improve Cardiometabolic Health in Patients with Diabetes Mellitus: A Systematic Review of Randomized Clinical Trials</w:t>
            </w:r>
          </w:p>
        </w:tc>
        <w:tc>
          <w:tcPr>
            <w:tcW w:w="4253" w:type="dxa"/>
          </w:tcPr>
          <w:p w14:paraId="2B33C44E" w14:textId="77777777" w:rsidR="00A740A6" w:rsidRPr="00D518FF" w:rsidRDefault="00A740A6">
            <w:pPr>
              <w:rPr>
                <w:rFonts w:ascii="Aptos" w:hAnsi="Aptos" w:cs="Arial"/>
                <w:sz w:val="16"/>
                <w:szCs w:val="16"/>
              </w:rPr>
            </w:pPr>
            <w:r w:rsidRPr="00D518FF">
              <w:rPr>
                <w:rFonts w:ascii="Aptos" w:hAnsi="Aptos" w:cs="Arial"/>
                <w:sz w:val="16"/>
                <w:szCs w:val="16"/>
              </w:rPr>
              <w:t>Dludla, P. V.; Ziqubu, K.; Mabhida, S. E.; Mazibuko-Mbeje, S. E.; Hanser, S.; Nkambule, B. B.; Basson, A. K.; Pheiffer, C.; Tiano, L.; Kengne, A. P.</w:t>
            </w:r>
          </w:p>
        </w:tc>
        <w:tc>
          <w:tcPr>
            <w:tcW w:w="567" w:type="dxa"/>
          </w:tcPr>
          <w:p w14:paraId="7BFEB268" w14:textId="77777777" w:rsidR="00A740A6" w:rsidRPr="00D518FF" w:rsidRDefault="00A740A6">
            <w:pPr>
              <w:rPr>
                <w:rFonts w:ascii="Aptos" w:hAnsi="Aptos" w:cs="Arial"/>
                <w:sz w:val="16"/>
                <w:szCs w:val="16"/>
              </w:rPr>
            </w:pPr>
            <w:r w:rsidRPr="00D518FF">
              <w:rPr>
                <w:rFonts w:ascii="Aptos" w:hAnsi="Aptos" w:cs="Arial"/>
                <w:sz w:val="16"/>
                <w:szCs w:val="16"/>
              </w:rPr>
              <w:t>2023</w:t>
            </w:r>
          </w:p>
        </w:tc>
        <w:tc>
          <w:tcPr>
            <w:tcW w:w="1275" w:type="dxa"/>
          </w:tcPr>
          <w:p w14:paraId="750F4A52" w14:textId="77777777" w:rsidR="00A740A6" w:rsidRPr="00D518FF" w:rsidRDefault="00A740A6">
            <w:pPr>
              <w:rPr>
                <w:rFonts w:ascii="Aptos" w:hAnsi="Aptos" w:cs="Arial"/>
                <w:sz w:val="16"/>
                <w:szCs w:val="16"/>
              </w:rPr>
            </w:pPr>
            <w:r w:rsidRPr="00D518FF">
              <w:rPr>
                <w:rFonts w:ascii="Aptos" w:hAnsi="Aptos" w:cs="Arial"/>
                <w:sz w:val="16"/>
                <w:szCs w:val="16"/>
              </w:rPr>
              <w:t>Nutrients</w:t>
            </w:r>
          </w:p>
        </w:tc>
        <w:tc>
          <w:tcPr>
            <w:tcW w:w="709" w:type="dxa"/>
          </w:tcPr>
          <w:p w14:paraId="66A32672" w14:textId="77777777" w:rsidR="00A740A6" w:rsidRPr="00D518FF" w:rsidRDefault="00A740A6">
            <w:pPr>
              <w:rPr>
                <w:rFonts w:ascii="Aptos" w:hAnsi="Aptos" w:cs="Arial"/>
                <w:sz w:val="16"/>
                <w:szCs w:val="16"/>
              </w:rPr>
            </w:pPr>
            <w:r w:rsidRPr="00D518FF">
              <w:rPr>
                <w:rFonts w:ascii="Aptos" w:hAnsi="Aptos" w:cs="Arial"/>
                <w:sz w:val="16"/>
                <w:szCs w:val="16"/>
              </w:rPr>
              <w:t>15</w:t>
            </w:r>
          </w:p>
        </w:tc>
        <w:tc>
          <w:tcPr>
            <w:tcW w:w="567" w:type="dxa"/>
          </w:tcPr>
          <w:p w14:paraId="1C06CA98" w14:textId="77777777" w:rsidR="00A740A6" w:rsidRPr="00D518FF" w:rsidRDefault="00A740A6">
            <w:pPr>
              <w:rPr>
                <w:rFonts w:ascii="Aptos" w:hAnsi="Aptos" w:cs="Arial"/>
                <w:sz w:val="16"/>
                <w:szCs w:val="16"/>
              </w:rPr>
            </w:pPr>
            <w:r w:rsidRPr="00D518FF">
              <w:rPr>
                <w:rFonts w:ascii="Aptos" w:hAnsi="Aptos" w:cs="Arial"/>
                <w:sz w:val="16"/>
                <w:szCs w:val="16"/>
              </w:rPr>
              <w:t>4</w:t>
            </w:r>
          </w:p>
        </w:tc>
        <w:tc>
          <w:tcPr>
            <w:tcW w:w="709" w:type="dxa"/>
          </w:tcPr>
          <w:p w14:paraId="4B96E144" w14:textId="77777777" w:rsidR="00A740A6" w:rsidRPr="00D518FF" w:rsidRDefault="00A740A6">
            <w:pPr>
              <w:rPr>
                <w:rFonts w:ascii="Aptos" w:hAnsi="Aptos" w:cs="Arial"/>
                <w:sz w:val="16"/>
                <w:szCs w:val="16"/>
              </w:rPr>
            </w:pPr>
            <w:r w:rsidRPr="00D518FF">
              <w:rPr>
                <w:rFonts w:ascii="Aptos" w:hAnsi="Aptos" w:cs="Arial"/>
                <w:sz w:val="16"/>
                <w:szCs w:val="16"/>
              </w:rPr>
              <w:t>944</w:t>
            </w:r>
          </w:p>
        </w:tc>
        <w:tc>
          <w:tcPr>
            <w:tcW w:w="1417" w:type="dxa"/>
          </w:tcPr>
          <w:p w14:paraId="764CC272" w14:textId="77777777" w:rsidR="00A740A6" w:rsidRPr="00D518FF" w:rsidRDefault="00A740A6">
            <w:pPr>
              <w:rPr>
                <w:rFonts w:ascii="Aptos" w:hAnsi="Aptos" w:cs="Arial"/>
                <w:sz w:val="16"/>
                <w:szCs w:val="16"/>
              </w:rPr>
            </w:pPr>
            <w:r w:rsidRPr="00D518FF">
              <w:rPr>
                <w:rFonts w:ascii="Aptos" w:hAnsi="Aptos" w:cs="Arial"/>
                <w:sz w:val="16"/>
                <w:szCs w:val="16"/>
              </w:rPr>
              <w:t>10.3390/nu15040944</w:t>
            </w:r>
          </w:p>
        </w:tc>
      </w:tr>
      <w:tr w:rsidR="00A740A6" w:rsidRPr="00D518FF" w14:paraId="0B76DD6A" w14:textId="77777777" w:rsidTr="00F614C8">
        <w:trPr>
          <w:trHeight w:val="55"/>
        </w:trPr>
        <w:tc>
          <w:tcPr>
            <w:tcW w:w="846" w:type="dxa"/>
          </w:tcPr>
          <w:p w14:paraId="346FB799" w14:textId="77777777" w:rsidR="00A740A6" w:rsidRPr="00D518FF" w:rsidRDefault="00A740A6">
            <w:pPr>
              <w:rPr>
                <w:rFonts w:ascii="Aptos" w:hAnsi="Aptos" w:cs="Arial"/>
                <w:sz w:val="16"/>
                <w:szCs w:val="16"/>
              </w:rPr>
            </w:pPr>
            <w:r w:rsidRPr="00D518FF">
              <w:rPr>
                <w:rFonts w:ascii="Aptos" w:hAnsi="Aptos" w:cs="Arial"/>
                <w:sz w:val="16"/>
                <w:szCs w:val="16"/>
              </w:rPr>
              <w:t>Huang 2018</w:t>
            </w:r>
          </w:p>
        </w:tc>
        <w:tc>
          <w:tcPr>
            <w:tcW w:w="3827" w:type="dxa"/>
          </w:tcPr>
          <w:p w14:paraId="3CE32B58" w14:textId="77777777" w:rsidR="00A740A6" w:rsidRPr="00D518FF" w:rsidRDefault="00A740A6">
            <w:pPr>
              <w:rPr>
                <w:rFonts w:ascii="Aptos" w:hAnsi="Aptos" w:cs="Arial"/>
                <w:sz w:val="16"/>
                <w:szCs w:val="16"/>
              </w:rPr>
            </w:pPr>
            <w:r w:rsidRPr="00D518FF">
              <w:rPr>
                <w:rFonts w:ascii="Aptos" w:hAnsi="Aptos" w:cs="Arial"/>
                <w:sz w:val="16"/>
                <w:szCs w:val="16"/>
              </w:rPr>
              <w:t xml:space="preserve">Effects of coenzyme Q10 on cardiovascular and metabolic biomarkers in overweight and obese </w:t>
            </w:r>
            <w:r w:rsidRPr="00D518FF">
              <w:rPr>
                <w:rFonts w:ascii="Aptos" w:hAnsi="Aptos" w:cs="Arial"/>
                <w:sz w:val="16"/>
                <w:szCs w:val="16"/>
              </w:rPr>
              <w:lastRenderedPageBreak/>
              <w:t>patients with type 2 diabetes mellitus: a pooled analysis</w:t>
            </w:r>
          </w:p>
        </w:tc>
        <w:tc>
          <w:tcPr>
            <w:tcW w:w="4253" w:type="dxa"/>
          </w:tcPr>
          <w:p w14:paraId="7202A2BC" w14:textId="77777777" w:rsidR="00A740A6" w:rsidRPr="00D518FF" w:rsidRDefault="00A740A6">
            <w:pPr>
              <w:rPr>
                <w:rFonts w:ascii="Aptos" w:hAnsi="Aptos" w:cs="Arial"/>
                <w:sz w:val="16"/>
                <w:szCs w:val="16"/>
              </w:rPr>
            </w:pPr>
            <w:r w:rsidRPr="00D518FF">
              <w:rPr>
                <w:rFonts w:ascii="Aptos" w:hAnsi="Aptos" w:cs="Arial"/>
                <w:sz w:val="16"/>
                <w:szCs w:val="16"/>
              </w:rPr>
              <w:lastRenderedPageBreak/>
              <w:t>Huang, H.; Chi, H.; Liao, D.; Zou, Y.</w:t>
            </w:r>
          </w:p>
        </w:tc>
        <w:tc>
          <w:tcPr>
            <w:tcW w:w="567" w:type="dxa"/>
          </w:tcPr>
          <w:p w14:paraId="6A2A0958" w14:textId="77777777" w:rsidR="00A740A6" w:rsidRPr="00D518FF" w:rsidRDefault="00A740A6">
            <w:pPr>
              <w:rPr>
                <w:rFonts w:ascii="Aptos" w:hAnsi="Aptos" w:cs="Arial"/>
                <w:sz w:val="16"/>
                <w:szCs w:val="16"/>
              </w:rPr>
            </w:pPr>
            <w:r w:rsidRPr="00D518FF">
              <w:rPr>
                <w:rFonts w:ascii="Aptos" w:hAnsi="Aptos" w:cs="Arial"/>
                <w:sz w:val="16"/>
                <w:szCs w:val="16"/>
              </w:rPr>
              <w:t>2018</w:t>
            </w:r>
          </w:p>
        </w:tc>
        <w:tc>
          <w:tcPr>
            <w:tcW w:w="1275" w:type="dxa"/>
          </w:tcPr>
          <w:p w14:paraId="69B56955" w14:textId="77777777" w:rsidR="00A740A6" w:rsidRPr="00D518FF" w:rsidRDefault="00A740A6">
            <w:pPr>
              <w:rPr>
                <w:rFonts w:ascii="Aptos" w:hAnsi="Aptos" w:cs="Arial"/>
                <w:sz w:val="16"/>
                <w:szCs w:val="16"/>
              </w:rPr>
            </w:pPr>
            <w:r w:rsidRPr="00D518FF">
              <w:rPr>
                <w:rFonts w:ascii="Aptos" w:hAnsi="Aptos" w:cs="Arial"/>
                <w:sz w:val="16"/>
                <w:szCs w:val="16"/>
              </w:rPr>
              <w:t>Diabetes Metab Syndr Obes.</w:t>
            </w:r>
          </w:p>
        </w:tc>
        <w:tc>
          <w:tcPr>
            <w:tcW w:w="709" w:type="dxa"/>
          </w:tcPr>
          <w:p w14:paraId="6F96BF16" w14:textId="77777777" w:rsidR="00A740A6" w:rsidRPr="00D518FF" w:rsidRDefault="00A740A6">
            <w:pPr>
              <w:rPr>
                <w:rFonts w:ascii="Aptos" w:hAnsi="Aptos" w:cs="Arial"/>
                <w:sz w:val="16"/>
                <w:szCs w:val="16"/>
              </w:rPr>
            </w:pPr>
            <w:r w:rsidRPr="00D518FF">
              <w:rPr>
                <w:rFonts w:ascii="Aptos" w:hAnsi="Aptos" w:cs="Arial"/>
                <w:sz w:val="16"/>
                <w:szCs w:val="16"/>
              </w:rPr>
              <w:t>11</w:t>
            </w:r>
          </w:p>
        </w:tc>
        <w:tc>
          <w:tcPr>
            <w:tcW w:w="567" w:type="dxa"/>
          </w:tcPr>
          <w:p w14:paraId="052DADB3" w14:textId="77777777" w:rsidR="00A740A6" w:rsidRPr="00D518FF" w:rsidRDefault="00A740A6">
            <w:pPr>
              <w:rPr>
                <w:rFonts w:ascii="Aptos" w:hAnsi="Aptos" w:cs="Arial"/>
                <w:sz w:val="16"/>
                <w:szCs w:val="16"/>
              </w:rPr>
            </w:pPr>
          </w:p>
        </w:tc>
        <w:tc>
          <w:tcPr>
            <w:tcW w:w="709" w:type="dxa"/>
          </w:tcPr>
          <w:p w14:paraId="446D657F" w14:textId="77777777" w:rsidR="00A740A6" w:rsidRPr="00D518FF" w:rsidRDefault="00A740A6">
            <w:pPr>
              <w:rPr>
                <w:rFonts w:ascii="Aptos" w:hAnsi="Aptos" w:cs="Arial"/>
                <w:sz w:val="16"/>
                <w:szCs w:val="16"/>
              </w:rPr>
            </w:pPr>
            <w:r w:rsidRPr="00D518FF">
              <w:rPr>
                <w:rFonts w:ascii="Aptos" w:hAnsi="Aptos" w:cs="Arial"/>
                <w:sz w:val="16"/>
                <w:szCs w:val="16"/>
              </w:rPr>
              <w:t>875-886</w:t>
            </w:r>
          </w:p>
        </w:tc>
        <w:tc>
          <w:tcPr>
            <w:tcW w:w="1417" w:type="dxa"/>
          </w:tcPr>
          <w:p w14:paraId="33DB9F31" w14:textId="77777777" w:rsidR="00A740A6" w:rsidRPr="00D518FF" w:rsidRDefault="00A740A6">
            <w:pPr>
              <w:rPr>
                <w:rFonts w:ascii="Aptos" w:hAnsi="Aptos" w:cs="Arial"/>
                <w:sz w:val="16"/>
                <w:szCs w:val="16"/>
              </w:rPr>
            </w:pPr>
            <w:r w:rsidRPr="00D518FF">
              <w:rPr>
                <w:rFonts w:ascii="Aptos" w:hAnsi="Aptos" w:cs="Arial"/>
                <w:sz w:val="16"/>
                <w:szCs w:val="16"/>
              </w:rPr>
              <w:t>10.2147/DMSO.S184301</w:t>
            </w:r>
          </w:p>
        </w:tc>
      </w:tr>
      <w:tr w:rsidR="00A740A6" w:rsidRPr="00D518FF" w14:paraId="7FD78632" w14:textId="77777777" w:rsidTr="00F614C8">
        <w:trPr>
          <w:trHeight w:val="55"/>
        </w:trPr>
        <w:tc>
          <w:tcPr>
            <w:tcW w:w="846" w:type="dxa"/>
          </w:tcPr>
          <w:p w14:paraId="6A18F157" w14:textId="77777777" w:rsidR="00A740A6" w:rsidRPr="00D518FF" w:rsidRDefault="00A740A6">
            <w:pPr>
              <w:rPr>
                <w:rFonts w:ascii="Aptos" w:hAnsi="Aptos" w:cs="Arial"/>
                <w:sz w:val="16"/>
                <w:szCs w:val="16"/>
              </w:rPr>
            </w:pPr>
            <w:r w:rsidRPr="00D518FF">
              <w:rPr>
                <w:rFonts w:ascii="Aptos" w:hAnsi="Aptos" w:cs="Arial"/>
                <w:sz w:val="16"/>
                <w:szCs w:val="16"/>
              </w:rPr>
              <w:t>Huo 2022</w:t>
            </w:r>
          </w:p>
        </w:tc>
        <w:tc>
          <w:tcPr>
            <w:tcW w:w="3827" w:type="dxa"/>
          </w:tcPr>
          <w:p w14:paraId="59EF7B88" w14:textId="77777777" w:rsidR="00A740A6" w:rsidRPr="00D518FF" w:rsidRDefault="00A740A6">
            <w:pPr>
              <w:rPr>
                <w:rFonts w:ascii="Aptos" w:hAnsi="Aptos" w:cs="Arial"/>
                <w:sz w:val="16"/>
                <w:szCs w:val="16"/>
              </w:rPr>
            </w:pPr>
            <w:r w:rsidRPr="00D518FF">
              <w:rPr>
                <w:rFonts w:ascii="Aptos" w:hAnsi="Aptos" w:cs="Arial"/>
                <w:sz w:val="16"/>
                <w:szCs w:val="16"/>
              </w:rPr>
              <w:t>Efficacy of vitamin and antioxidant supplements for treatment of diabetic peripheral neuropathy: systematic review and meta-analysis of randomized controlled trials</w:t>
            </w:r>
          </w:p>
        </w:tc>
        <w:tc>
          <w:tcPr>
            <w:tcW w:w="4253" w:type="dxa"/>
          </w:tcPr>
          <w:p w14:paraId="536303F2" w14:textId="77777777" w:rsidR="00A740A6" w:rsidRPr="00D518FF" w:rsidRDefault="00A740A6">
            <w:pPr>
              <w:rPr>
                <w:rFonts w:ascii="Aptos" w:hAnsi="Aptos" w:cs="Arial"/>
                <w:sz w:val="16"/>
                <w:szCs w:val="16"/>
              </w:rPr>
            </w:pPr>
            <w:r w:rsidRPr="00D518FF">
              <w:rPr>
                <w:rFonts w:ascii="Aptos" w:hAnsi="Aptos" w:cs="Arial"/>
                <w:sz w:val="16"/>
                <w:szCs w:val="16"/>
              </w:rPr>
              <w:t>Huo, J.; Xue, Y.; Dong, X.; Lv, J.; Wu, L.; Gao, H.; Yang, X.; Liu, H.; Gao, Q.</w:t>
            </w:r>
          </w:p>
        </w:tc>
        <w:tc>
          <w:tcPr>
            <w:tcW w:w="567" w:type="dxa"/>
          </w:tcPr>
          <w:p w14:paraId="189B3834" w14:textId="77777777" w:rsidR="00A740A6" w:rsidRPr="00D518FF" w:rsidRDefault="00A740A6">
            <w:pPr>
              <w:rPr>
                <w:rFonts w:ascii="Aptos" w:hAnsi="Aptos" w:cs="Arial"/>
                <w:sz w:val="16"/>
                <w:szCs w:val="16"/>
              </w:rPr>
            </w:pPr>
            <w:r w:rsidRPr="00D518FF">
              <w:rPr>
                <w:rFonts w:ascii="Aptos" w:hAnsi="Aptos" w:cs="Arial"/>
                <w:sz w:val="16"/>
                <w:szCs w:val="16"/>
              </w:rPr>
              <w:t>2022</w:t>
            </w:r>
          </w:p>
        </w:tc>
        <w:tc>
          <w:tcPr>
            <w:tcW w:w="1275" w:type="dxa"/>
          </w:tcPr>
          <w:p w14:paraId="15C7DBD7" w14:textId="77777777" w:rsidR="00A740A6" w:rsidRPr="00D518FF" w:rsidRDefault="00A740A6">
            <w:pPr>
              <w:rPr>
                <w:rFonts w:ascii="Aptos" w:hAnsi="Aptos" w:cs="Arial"/>
                <w:sz w:val="16"/>
                <w:szCs w:val="16"/>
              </w:rPr>
            </w:pPr>
            <w:r w:rsidRPr="00D518FF">
              <w:rPr>
                <w:rFonts w:ascii="Aptos" w:hAnsi="Aptos" w:cs="Arial"/>
                <w:sz w:val="16"/>
                <w:szCs w:val="16"/>
              </w:rPr>
              <w:t>Nutritional neuroscience</w:t>
            </w:r>
          </w:p>
        </w:tc>
        <w:tc>
          <w:tcPr>
            <w:tcW w:w="709" w:type="dxa"/>
          </w:tcPr>
          <w:p w14:paraId="2F497C61" w14:textId="77777777" w:rsidR="00A740A6" w:rsidRPr="00D518FF" w:rsidRDefault="00A740A6">
            <w:pPr>
              <w:rPr>
                <w:rFonts w:ascii="Aptos" w:hAnsi="Aptos" w:cs="Arial"/>
                <w:sz w:val="16"/>
                <w:szCs w:val="16"/>
              </w:rPr>
            </w:pPr>
            <w:r w:rsidRPr="00D518FF">
              <w:rPr>
                <w:rFonts w:ascii="Aptos" w:hAnsi="Aptos" w:cs="Arial"/>
                <w:sz w:val="16"/>
                <w:szCs w:val="16"/>
              </w:rPr>
              <w:t>26</w:t>
            </w:r>
          </w:p>
        </w:tc>
        <w:tc>
          <w:tcPr>
            <w:tcW w:w="567" w:type="dxa"/>
          </w:tcPr>
          <w:p w14:paraId="313574B3" w14:textId="77777777" w:rsidR="00A740A6" w:rsidRPr="00D518FF" w:rsidRDefault="00A740A6">
            <w:pPr>
              <w:rPr>
                <w:rFonts w:ascii="Aptos" w:hAnsi="Aptos" w:cs="Arial"/>
                <w:sz w:val="16"/>
                <w:szCs w:val="16"/>
              </w:rPr>
            </w:pPr>
            <w:r w:rsidRPr="00D518FF">
              <w:rPr>
                <w:rFonts w:ascii="Aptos" w:hAnsi="Aptos" w:cs="Arial"/>
                <w:sz w:val="16"/>
                <w:szCs w:val="16"/>
              </w:rPr>
              <w:t>8</w:t>
            </w:r>
          </w:p>
        </w:tc>
        <w:tc>
          <w:tcPr>
            <w:tcW w:w="709" w:type="dxa"/>
          </w:tcPr>
          <w:p w14:paraId="6ACABA3C" w14:textId="77777777" w:rsidR="00A740A6" w:rsidRPr="00D518FF" w:rsidRDefault="00A740A6">
            <w:pPr>
              <w:rPr>
                <w:rFonts w:ascii="Aptos" w:hAnsi="Aptos" w:cs="Arial"/>
                <w:sz w:val="16"/>
                <w:szCs w:val="16"/>
              </w:rPr>
            </w:pPr>
            <w:r w:rsidRPr="00D518FF">
              <w:rPr>
                <w:rFonts w:ascii="Aptos" w:hAnsi="Aptos" w:cs="Arial"/>
                <w:sz w:val="16"/>
                <w:szCs w:val="16"/>
              </w:rPr>
              <w:t>778-795</w:t>
            </w:r>
          </w:p>
        </w:tc>
        <w:tc>
          <w:tcPr>
            <w:tcW w:w="1417" w:type="dxa"/>
          </w:tcPr>
          <w:p w14:paraId="7E578D60" w14:textId="77777777" w:rsidR="00A740A6" w:rsidRPr="00D518FF" w:rsidRDefault="00A740A6">
            <w:pPr>
              <w:rPr>
                <w:rFonts w:ascii="Aptos" w:hAnsi="Aptos" w:cs="Arial"/>
                <w:sz w:val="16"/>
                <w:szCs w:val="16"/>
              </w:rPr>
            </w:pPr>
            <w:r w:rsidRPr="00D518FF">
              <w:rPr>
                <w:rFonts w:ascii="Aptos" w:hAnsi="Aptos" w:cs="Arial"/>
                <w:sz w:val="16"/>
                <w:szCs w:val="16"/>
              </w:rPr>
              <w:t>10.1080/1028415X.2022.2090606</w:t>
            </w:r>
          </w:p>
        </w:tc>
      </w:tr>
      <w:tr w:rsidR="00A740A6" w:rsidRPr="00D518FF" w14:paraId="68E9F7FA" w14:textId="77777777" w:rsidTr="00A6108F">
        <w:trPr>
          <w:trHeight w:val="55"/>
        </w:trPr>
        <w:tc>
          <w:tcPr>
            <w:tcW w:w="846" w:type="dxa"/>
            <w:shd w:val="clear" w:color="auto" w:fill="EFFFE9"/>
          </w:tcPr>
          <w:p w14:paraId="0A4422C7" w14:textId="77777777" w:rsidR="00A740A6" w:rsidRPr="00D518FF" w:rsidRDefault="00A740A6">
            <w:pPr>
              <w:rPr>
                <w:rFonts w:ascii="Aptos" w:hAnsi="Aptos" w:cs="Arial"/>
                <w:sz w:val="16"/>
                <w:szCs w:val="16"/>
              </w:rPr>
            </w:pPr>
            <w:r w:rsidRPr="00D518FF">
              <w:rPr>
                <w:rFonts w:ascii="Aptos" w:hAnsi="Aptos" w:cs="Arial"/>
                <w:sz w:val="16"/>
                <w:szCs w:val="16"/>
              </w:rPr>
              <w:t>Jibril 2022</w:t>
            </w:r>
          </w:p>
        </w:tc>
        <w:tc>
          <w:tcPr>
            <w:tcW w:w="3827" w:type="dxa"/>
            <w:shd w:val="clear" w:color="auto" w:fill="EFFFE9"/>
          </w:tcPr>
          <w:p w14:paraId="72F6F472" w14:textId="77777777" w:rsidR="00A740A6" w:rsidRPr="00D518FF" w:rsidRDefault="00A740A6">
            <w:pPr>
              <w:rPr>
                <w:rFonts w:ascii="Aptos" w:hAnsi="Aptos" w:cs="Arial"/>
                <w:sz w:val="16"/>
                <w:szCs w:val="16"/>
              </w:rPr>
            </w:pPr>
            <w:r w:rsidRPr="00D518FF">
              <w:rPr>
                <w:rFonts w:ascii="Aptos" w:hAnsi="Aptos" w:cs="Arial"/>
                <w:sz w:val="16"/>
                <w:szCs w:val="16"/>
              </w:rPr>
              <w:t>Efficacy and safety of oral alpha-lipoic acid supplementation for type 2 diabetes management: a systematic review and dose-response meta-analysis of randomized trials</w:t>
            </w:r>
          </w:p>
        </w:tc>
        <w:tc>
          <w:tcPr>
            <w:tcW w:w="4253" w:type="dxa"/>
            <w:shd w:val="clear" w:color="auto" w:fill="EFFFE9"/>
          </w:tcPr>
          <w:p w14:paraId="070CB68C" w14:textId="77777777" w:rsidR="00A740A6" w:rsidRPr="00D518FF" w:rsidRDefault="00A740A6">
            <w:pPr>
              <w:rPr>
                <w:rFonts w:ascii="Aptos" w:hAnsi="Aptos" w:cs="Arial"/>
                <w:sz w:val="16"/>
                <w:szCs w:val="16"/>
              </w:rPr>
            </w:pPr>
            <w:r w:rsidRPr="00D518FF">
              <w:rPr>
                <w:rFonts w:ascii="Aptos" w:hAnsi="Aptos" w:cs="Arial"/>
                <w:sz w:val="16"/>
                <w:szCs w:val="16"/>
              </w:rPr>
              <w:t>Jibril, A. T.; Jayedi, A.; Shab-Bidar, S.</w:t>
            </w:r>
          </w:p>
        </w:tc>
        <w:tc>
          <w:tcPr>
            <w:tcW w:w="567" w:type="dxa"/>
            <w:shd w:val="clear" w:color="auto" w:fill="EFFFE9"/>
          </w:tcPr>
          <w:p w14:paraId="0DC3D987" w14:textId="77777777" w:rsidR="00A740A6" w:rsidRPr="00D518FF" w:rsidRDefault="00A740A6">
            <w:pPr>
              <w:rPr>
                <w:rFonts w:ascii="Aptos" w:hAnsi="Aptos" w:cs="Arial"/>
                <w:sz w:val="16"/>
                <w:szCs w:val="16"/>
              </w:rPr>
            </w:pPr>
            <w:r w:rsidRPr="00D518FF">
              <w:rPr>
                <w:rFonts w:ascii="Aptos" w:hAnsi="Aptos" w:cs="Arial"/>
                <w:sz w:val="16"/>
                <w:szCs w:val="16"/>
              </w:rPr>
              <w:t>2022</w:t>
            </w:r>
          </w:p>
        </w:tc>
        <w:tc>
          <w:tcPr>
            <w:tcW w:w="1275" w:type="dxa"/>
            <w:shd w:val="clear" w:color="auto" w:fill="EFFFE9"/>
          </w:tcPr>
          <w:p w14:paraId="2D7CBA27" w14:textId="77777777" w:rsidR="00A740A6" w:rsidRPr="00D518FF" w:rsidRDefault="00A740A6">
            <w:pPr>
              <w:rPr>
                <w:rFonts w:ascii="Aptos" w:hAnsi="Aptos" w:cs="Arial"/>
                <w:sz w:val="16"/>
                <w:szCs w:val="16"/>
              </w:rPr>
            </w:pPr>
            <w:r w:rsidRPr="00D518FF">
              <w:rPr>
                <w:rFonts w:ascii="Aptos" w:hAnsi="Aptos" w:cs="Arial"/>
                <w:sz w:val="16"/>
                <w:szCs w:val="16"/>
              </w:rPr>
              <w:t>Endocrine connections</w:t>
            </w:r>
          </w:p>
        </w:tc>
        <w:tc>
          <w:tcPr>
            <w:tcW w:w="709" w:type="dxa"/>
            <w:shd w:val="clear" w:color="auto" w:fill="EFFFE9"/>
          </w:tcPr>
          <w:p w14:paraId="24FE4728" w14:textId="77777777" w:rsidR="00A740A6" w:rsidRPr="00D518FF" w:rsidRDefault="00A740A6">
            <w:pPr>
              <w:rPr>
                <w:rFonts w:ascii="Aptos" w:hAnsi="Aptos" w:cs="Arial"/>
                <w:sz w:val="16"/>
                <w:szCs w:val="16"/>
              </w:rPr>
            </w:pPr>
            <w:r w:rsidRPr="00D518FF">
              <w:rPr>
                <w:rFonts w:ascii="Aptos" w:hAnsi="Aptos" w:cs="Arial"/>
                <w:sz w:val="16"/>
                <w:szCs w:val="16"/>
              </w:rPr>
              <w:t>11</w:t>
            </w:r>
          </w:p>
        </w:tc>
        <w:tc>
          <w:tcPr>
            <w:tcW w:w="567" w:type="dxa"/>
            <w:shd w:val="clear" w:color="auto" w:fill="EFFFE9"/>
          </w:tcPr>
          <w:p w14:paraId="49FC8CF7" w14:textId="77777777" w:rsidR="00A740A6" w:rsidRPr="00D518FF" w:rsidRDefault="00A740A6">
            <w:pPr>
              <w:rPr>
                <w:rFonts w:ascii="Aptos" w:hAnsi="Aptos" w:cs="Arial"/>
                <w:sz w:val="16"/>
                <w:szCs w:val="16"/>
              </w:rPr>
            </w:pPr>
            <w:r w:rsidRPr="00D518FF">
              <w:rPr>
                <w:rFonts w:ascii="Aptos" w:hAnsi="Aptos" w:cs="Arial"/>
                <w:sz w:val="16"/>
                <w:szCs w:val="16"/>
              </w:rPr>
              <w:t>10</w:t>
            </w:r>
          </w:p>
        </w:tc>
        <w:tc>
          <w:tcPr>
            <w:tcW w:w="709" w:type="dxa"/>
            <w:shd w:val="clear" w:color="auto" w:fill="EFFFE9"/>
          </w:tcPr>
          <w:p w14:paraId="78B8CBD9" w14:textId="77777777" w:rsidR="00A740A6" w:rsidRPr="00D518FF" w:rsidRDefault="00A740A6">
            <w:pPr>
              <w:rPr>
                <w:rFonts w:ascii="Aptos" w:hAnsi="Aptos" w:cs="Arial"/>
                <w:sz w:val="16"/>
                <w:szCs w:val="16"/>
              </w:rPr>
            </w:pPr>
            <w:r w:rsidRPr="00D518FF">
              <w:rPr>
                <w:rFonts w:ascii="Aptos" w:hAnsi="Aptos" w:cs="Arial"/>
                <w:sz w:val="16"/>
                <w:szCs w:val="16"/>
              </w:rPr>
              <w:t>e220322</w:t>
            </w:r>
          </w:p>
        </w:tc>
        <w:tc>
          <w:tcPr>
            <w:tcW w:w="1417" w:type="dxa"/>
            <w:shd w:val="clear" w:color="auto" w:fill="EFFFE9"/>
          </w:tcPr>
          <w:p w14:paraId="64714827" w14:textId="77777777" w:rsidR="00A740A6" w:rsidRPr="00D518FF" w:rsidRDefault="00A740A6">
            <w:pPr>
              <w:rPr>
                <w:rFonts w:ascii="Aptos" w:hAnsi="Aptos" w:cs="Arial"/>
                <w:sz w:val="16"/>
                <w:szCs w:val="16"/>
              </w:rPr>
            </w:pPr>
            <w:r w:rsidRPr="00D518FF">
              <w:rPr>
                <w:rFonts w:ascii="Aptos" w:hAnsi="Aptos" w:cs="Arial"/>
                <w:sz w:val="16"/>
                <w:szCs w:val="16"/>
              </w:rPr>
              <w:t>10.1530/EC-22-0322</w:t>
            </w:r>
          </w:p>
        </w:tc>
      </w:tr>
      <w:tr w:rsidR="00A740A6" w:rsidRPr="00D518FF" w14:paraId="4F90FB71" w14:textId="77777777" w:rsidTr="00A6108F">
        <w:trPr>
          <w:trHeight w:val="55"/>
        </w:trPr>
        <w:tc>
          <w:tcPr>
            <w:tcW w:w="846" w:type="dxa"/>
            <w:shd w:val="clear" w:color="auto" w:fill="EFFFE9"/>
          </w:tcPr>
          <w:p w14:paraId="72DB1CAA" w14:textId="77777777" w:rsidR="00A740A6" w:rsidRPr="00D518FF" w:rsidRDefault="00A740A6">
            <w:pPr>
              <w:rPr>
                <w:rFonts w:ascii="Aptos" w:hAnsi="Aptos" w:cs="Arial"/>
                <w:sz w:val="16"/>
                <w:szCs w:val="16"/>
              </w:rPr>
            </w:pPr>
            <w:r w:rsidRPr="00D518FF">
              <w:rPr>
                <w:rFonts w:ascii="Aptos" w:hAnsi="Aptos" w:cs="Arial"/>
                <w:sz w:val="16"/>
                <w:szCs w:val="16"/>
              </w:rPr>
              <w:t>Kim 2022</w:t>
            </w:r>
          </w:p>
        </w:tc>
        <w:tc>
          <w:tcPr>
            <w:tcW w:w="3827" w:type="dxa"/>
            <w:shd w:val="clear" w:color="auto" w:fill="EFFFE9"/>
          </w:tcPr>
          <w:p w14:paraId="5AE7A6B5" w14:textId="77777777" w:rsidR="00A740A6" w:rsidRPr="00D518FF" w:rsidRDefault="00A740A6">
            <w:pPr>
              <w:rPr>
                <w:rFonts w:ascii="Aptos" w:hAnsi="Aptos" w:cs="Arial"/>
                <w:sz w:val="16"/>
                <w:szCs w:val="16"/>
              </w:rPr>
            </w:pPr>
            <w:r w:rsidRPr="00D518FF">
              <w:rPr>
                <w:rFonts w:ascii="Aptos" w:hAnsi="Aptos" w:cs="Arial"/>
                <w:sz w:val="16"/>
                <w:szCs w:val="16"/>
              </w:rPr>
              <w:t>Could nutrient supplements provide additional glycemic control in diabetes management? A systematic review and meta-analysis of randomized controlled trials of as an add-on nutritional supplementation therapy</w:t>
            </w:r>
          </w:p>
        </w:tc>
        <w:tc>
          <w:tcPr>
            <w:tcW w:w="4253" w:type="dxa"/>
            <w:shd w:val="clear" w:color="auto" w:fill="EFFFE9"/>
          </w:tcPr>
          <w:p w14:paraId="03F35ED3" w14:textId="77777777" w:rsidR="00A740A6" w:rsidRPr="00D518FF" w:rsidRDefault="00A740A6">
            <w:pPr>
              <w:rPr>
                <w:rFonts w:ascii="Aptos" w:hAnsi="Aptos" w:cs="Arial"/>
                <w:sz w:val="16"/>
                <w:szCs w:val="16"/>
              </w:rPr>
            </w:pPr>
            <w:r w:rsidRPr="00D518FF">
              <w:rPr>
                <w:rFonts w:ascii="Aptos" w:hAnsi="Aptos" w:cs="Arial"/>
                <w:sz w:val="16"/>
                <w:szCs w:val="16"/>
              </w:rPr>
              <w:t>Kim, Y.; Oh, Y. K.; Lee, J.; Kim, E.</w:t>
            </w:r>
          </w:p>
        </w:tc>
        <w:tc>
          <w:tcPr>
            <w:tcW w:w="567" w:type="dxa"/>
            <w:shd w:val="clear" w:color="auto" w:fill="EFFFE9"/>
          </w:tcPr>
          <w:p w14:paraId="2A897BCD" w14:textId="77777777" w:rsidR="00A740A6" w:rsidRPr="00D518FF" w:rsidRDefault="00A740A6">
            <w:pPr>
              <w:rPr>
                <w:rFonts w:ascii="Aptos" w:hAnsi="Aptos" w:cs="Arial"/>
                <w:sz w:val="16"/>
                <w:szCs w:val="16"/>
              </w:rPr>
            </w:pPr>
            <w:r w:rsidRPr="00D518FF">
              <w:rPr>
                <w:rFonts w:ascii="Aptos" w:hAnsi="Aptos" w:cs="Arial"/>
                <w:sz w:val="16"/>
                <w:szCs w:val="16"/>
              </w:rPr>
              <w:t>2022</w:t>
            </w:r>
          </w:p>
        </w:tc>
        <w:tc>
          <w:tcPr>
            <w:tcW w:w="1275" w:type="dxa"/>
            <w:shd w:val="clear" w:color="auto" w:fill="EFFFE9"/>
          </w:tcPr>
          <w:p w14:paraId="775F3552" w14:textId="77777777" w:rsidR="00A740A6" w:rsidRPr="00D518FF" w:rsidRDefault="00A740A6">
            <w:pPr>
              <w:rPr>
                <w:rFonts w:ascii="Aptos" w:hAnsi="Aptos" w:cs="Arial"/>
                <w:sz w:val="16"/>
                <w:szCs w:val="16"/>
              </w:rPr>
            </w:pPr>
            <w:r w:rsidRPr="00D518FF">
              <w:rPr>
                <w:rFonts w:ascii="Aptos" w:hAnsi="Aptos" w:cs="Arial"/>
                <w:sz w:val="16"/>
                <w:szCs w:val="16"/>
              </w:rPr>
              <w:t>Archives of pharmacal research</w:t>
            </w:r>
          </w:p>
        </w:tc>
        <w:tc>
          <w:tcPr>
            <w:tcW w:w="709" w:type="dxa"/>
            <w:shd w:val="clear" w:color="auto" w:fill="EFFFE9"/>
          </w:tcPr>
          <w:p w14:paraId="1A8D806E" w14:textId="77777777" w:rsidR="00A740A6" w:rsidRPr="00D518FF" w:rsidRDefault="00A740A6">
            <w:pPr>
              <w:rPr>
                <w:rFonts w:ascii="Aptos" w:hAnsi="Aptos" w:cs="Arial"/>
                <w:sz w:val="16"/>
                <w:szCs w:val="16"/>
              </w:rPr>
            </w:pPr>
            <w:r w:rsidRPr="00D518FF">
              <w:rPr>
                <w:rFonts w:ascii="Aptos" w:hAnsi="Aptos" w:cs="Arial"/>
                <w:sz w:val="16"/>
                <w:szCs w:val="16"/>
              </w:rPr>
              <w:t>45</w:t>
            </w:r>
          </w:p>
        </w:tc>
        <w:tc>
          <w:tcPr>
            <w:tcW w:w="567" w:type="dxa"/>
            <w:shd w:val="clear" w:color="auto" w:fill="EFFFE9"/>
          </w:tcPr>
          <w:p w14:paraId="4184B655" w14:textId="77777777" w:rsidR="00A740A6" w:rsidRPr="00D518FF" w:rsidRDefault="00A740A6">
            <w:pPr>
              <w:rPr>
                <w:rFonts w:ascii="Aptos" w:hAnsi="Aptos" w:cs="Arial"/>
                <w:sz w:val="16"/>
                <w:szCs w:val="16"/>
              </w:rPr>
            </w:pPr>
            <w:r w:rsidRPr="00D518FF">
              <w:rPr>
                <w:rFonts w:ascii="Aptos" w:hAnsi="Aptos" w:cs="Arial"/>
                <w:sz w:val="16"/>
                <w:szCs w:val="16"/>
              </w:rPr>
              <w:t>3</w:t>
            </w:r>
          </w:p>
        </w:tc>
        <w:tc>
          <w:tcPr>
            <w:tcW w:w="709" w:type="dxa"/>
            <w:shd w:val="clear" w:color="auto" w:fill="EFFFE9"/>
          </w:tcPr>
          <w:p w14:paraId="1B53A177" w14:textId="77777777" w:rsidR="00A740A6" w:rsidRPr="00D518FF" w:rsidRDefault="00A740A6">
            <w:pPr>
              <w:rPr>
                <w:rFonts w:ascii="Aptos" w:hAnsi="Aptos" w:cs="Arial"/>
                <w:sz w:val="16"/>
                <w:szCs w:val="16"/>
              </w:rPr>
            </w:pPr>
            <w:r w:rsidRPr="00D518FF">
              <w:rPr>
                <w:rFonts w:ascii="Aptos" w:hAnsi="Aptos" w:cs="Arial"/>
                <w:sz w:val="16"/>
                <w:szCs w:val="16"/>
              </w:rPr>
              <w:t>185-204</w:t>
            </w:r>
          </w:p>
        </w:tc>
        <w:tc>
          <w:tcPr>
            <w:tcW w:w="1417" w:type="dxa"/>
            <w:shd w:val="clear" w:color="auto" w:fill="EFFFE9"/>
          </w:tcPr>
          <w:p w14:paraId="726609C0" w14:textId="77777777" w:rsidR="00A740A6" w:rsidRPr="00D518FF" w:rsidRDefault="00A740A6">
            <w:pPr>
              <w:rPr>
                <w:rFonts w:ascii="Aptos" w:hAnsi="Aptos" w:cs="Arial"/>
                <w:sz w:val="16"/>
                <w:szCs w:val="16"/>
              </w:rPr>
            </w:pPr>
            <w:r w:rsidRPr="00D518FF">
              <w:rPr>
                <w:rFonts w:ascii="Aptos" w:hAnsi="Aptos" w:cs="Arial"/>
                <w:sz w:val="16"/>
                <w:szCs w:val="16"/>
              </w:rPr>
              <w:t>10.1007/s12272-022-01374-6</w:t>
            </w:r>
          </w:p>
        </w:tc>
      </w:tr>
      <w:tr w:rsidR="00A740A6" w:rsidRPr="00D518FF" w14:paraId="5D022F90" w14:textId="77777777" w:rsidTr="00F614C8">
        <w:trPr>
          <w:trHeight w:val="55"/>
        </w:trPr>
        <w:tc>
          <w:tcPr>
            <w:tcW w:w="846" w:type="dxa"/>
          </w:tcPr>
          <w:p w14:paraId="080AFF16" w14:textId="77777777" w:rsidR="00A740A6" w:rsidRPr="00D518FF" w:rsidRDefault="00A740A6">
            <w:pPr>
              <w:rPr>
                <w:rFonts w:ascii="Aptos" w:hAnsi="Aptos" w:cs="Arial"/>
                <w:sz w:val="16"/>
                <w:szCs w:val="16"/>
              </w:rPr>
            </w:pPr>
            <w:r w:rsidRPr="00D518FF">
              <w:rPr>
                <w:rFonts w:ascii="Aptos" w:hAnsi="Aptos" w:cs="Arial"/>
                <w:sz w:val="16"/>
                <w:szCs w:val="16"/>
              </w:rPr>
              <w:t>Rahimlou 2019</w:t>
            </w:r>
          </w:p>
        </w:tc>
        <w:tc>
          <w:tcPr>
            <w:tcW w:w="3827" w:type="dxa"/>
          </w:tcPr>
          <w:p w14:paraId="28E8AB16" w14:textId="77777777" w:rsidR="00A740A6" w:rsidRPr="00D518FF" w:rsidRDefault="00A740A6">
            <w:pPr>
              <w:rPr>
                <w:rFonts w:ascii="Aptos" w:hAnsi="Aptos" w:cs="Arial"/>
                <w:sz w:val="16"/>
                <w:szCs w:val="16"/>
              </w:rPr>
            </w:pPr>
            <w:r w:rsidRPr="00D518FF">
              <w:rPr>
                <w:rFonts w:ascii="Aptos" w:hAnsi="Aptos" w:cs="Arial"/>
                <w:sz w:val="16"/>
                <w:szCs w:val="16"/>
              </w:rPr>
              <w:t>Alpha-lipoic acid (ALA) supplementation effect on glycemic and inflammatory biomarkers: a systematic review and meta-analysis</w:t>
            </w:r>
          </w:p>
        </w:tc>
        <w:tc>
          <w:tcPr>
            <w:tcW w:w="4253" w:type="dxa"/>
          </w:tcPr>
          <w:p w14:paraId="00F83866" w14:textId="77777777" w:rsidR="00A740A6" w:rsidRPr="00D518FF" w:rsidRDefault="00A740A6">
            <w:pPr>
              <w:rPr>
                <w:rFonts w:ascii="Aptos" w:hAnsi="Aptos" w:cs="Arial"/>
                <w:sz w:val="16"/>
                <w:szCs w:val="16"/>
              </w:rPr>
            </w:pPr>
            <w:r w:rsidRPr="00D518FF">
              <w:rPr>
                <w:rFonts w:ascii="Aptos" w:hAnsi="Aptos" w:cs="Arial"/>
                <w:sz w:val="16"/>
                <w:szCs w:val="16"/>
              </w:rPr>
              <w:t>Rahimlou M, Asadi M, Banaei Jahromi N, Mansoori A. </w:t>
            </w:r>
          </w:p>
        </w:tc>
        <w:tc>
          <w:tcPr>
            <w:tcW w:w="567" w:type="dxa"/>
          </w:tcPr>
          <w:p w14:paraId="4D984685" w14:textId="77777777" w:rsidR="00A740A6" w:rsidRPr="00D518FF" w:rsidRDefault="00A740A6">
            <w:pPr>
              <w:rPr>
                <w:rFonts w:ascii="Aptos" w:hAnsi="Aptos" w:cs="Arial"/>
                <w:sz w:val="16"/>
                <w:szCs w:val="16"/>
              </w:rPr>
            </w:pPr>
            <w:r w:rsidRPr="00D518FF">
              <w:rPr>
                <w:rFonts w:ascii="Aptos" w:hAnsi="Aptos" w:cs="Arial"/>
                <w:sz w:val="16"/>
                <w:szCs w:val="16"/>
              </w:rPr>
              <w:t>2019</w:t>
            </w:r>
          </w:p>
        </w:tc>
        <w:tc>
          <w:tcPr>
            <w:tcW w:w="1275" w:type="dxa"/>
          </w:tcPr>
          <w:p w14:paraId="65D62F43" w14:textId="77777777" w:rsidR="00A740A6" w:rsidRPr="00D518FF" w:rsidRDefault="00A740A6">
            <w:pPr>
              <w:rPr>
                <w:rFonts w:ascii="Aptos" w:hAnsi="Aptos" w:cs="Arial"/>
                <w:sz w:val="16"/>
                <w:szCs w:val="16"/>
              </w:rPr>
            </w:pPr>
            <w:r w:rsidRPr="00D518FF">
              <w:rPr>
                <w:rFonts w:ascii="Aptos" w:hAnsi="Aptos" w:cs="Arial"/>
                <w:sz w:val="16"/>
                <w:szCs w:val="16"/>
              </w:rPr>
              <w:t>Clin Nutr ESPEN.</w:t>
            </w:r>
          </w:p>
        </w:tc>
        <w:tc>
          <w:tcPr>
            <w:tcW w:w="709" w:type="dxa"/>
          </w:tcPr>
          <w:p w14:paraId="64E00590" w14:textId="77777777" w:rsidR="00A740A6" w:rsidRPr="00D518FF" w:rsidRDefault="00A740A6">
            <w:pPr>
              <w:rPr>
                <w:rFonts w:ascii="Aptos" w:hAnsi="Aptos" w:cs="Arial"/>
                <w:sz w:val="16"/>
                <w:szCs w:val="16"/>
              </w:rPr>
            </w:pPr>
            <w:r w:rsidRPr="00D518FF">
              <w:rPr>
                <w:rFonts w:ascii="Aptos" w:hAnsi="Aptos" w:cs="Arial"/>
                <w:sz w:val="16"/>
                <w:szCs w:val="16"/>
              </w:rPr>
              <w:t>32</w:t>
            </w:r>
          </w:p>
        </w:tc>
        <w:tc>
          <w:tcPr>
            <w:tcW w:w="567" w:type="dxa"/>
          </w:tcPr>
          <w:p w14:paraId="0142588E" w14:textId="77777777" w:rsidR="00A740A6" w:rsidRPr="00D518FF" w:rsidRDefault="00A740A6">
            <w:pPr>
              <w:rPr>
                <w:rFonts w:ascii="Aptos" w:hAnsi="Aptos" w:cs="Arial"/>
                <w:sz w:val="16"/>
                <w:szCs w:val="16"/>
              </w:rPr>
            </w:pPr>
          </w:p>
        </w:tc>
        <w:tc>
          <w:tcPr>
            <w:tcW w:w="709" w:type="dxa"/>
          </w:tcPr>
          <w:p w14:paraId="694C00FF" w14:textId="77777777" w:rsidR="00A740A6" w:rsidRPr="00D518FF" w:rsidRDefault="00A740A6">
            <w:pPr>
              <w:rPr>
                <w:rFonts w:ascii="Aptos" w:hAnsi="Aptos" w:cs="Arial"/>
                <w:sz w:val="16"/>
                <w:szCs w:val="16"/>
              </w:rPr>
            </w:pPr>
            <w:r w:rsidRPr="00D518FF">
              <w:rPr>
                <w:rFonts w:ascii="Aptos" w:hAnsi="Aptos" w:cs="Arial"/>
                <w:sz w:val="16"/>
                <w:szCs w:val="16"/>
              </w:rPr>
              <w:t>16–28</w:t>
            </w:r>
          </w:p>
        </w:tc>
        <w:tc>
          <w:tcPr>
            <w:tcW w:w="1417" w:type="dxa"/>
          </w:tcPr>
          <w:p w14:paraId="23CF266F" w14:textId="77777777" w:rsidR="00A740A6" w:rsidRPr="00D518FF" w:rsidRDefault="00A740A6">
            <w:pPr>
              <w:rPr>
                <w:rFonts w:ascii="Aptos" w:hAnsi="Aptos" w:cs="Arial"/>
                <w:sz w:val="16"/>
                <w:szCs w:val="16"/>
              </w:rPr>
            </w:pPr>
            <w:r w:rsidRPr="00D518FF">
              <w:rPr>
                <w:rFonts w:ascii="Aptos" w:hAnsi="Aptos" w:cs="Arial"/>
                <w:sz w:val="16"/>
                <w:szCs w:val="16"/>
              </w:rPr>
              <w:t>doi: 10.1016/j.clnesp.2019.03.015</w:t>
            </w:r>
          </w:p>
        </w:tc>
      </w:tr>
      <w:tr w:rsidR="00A740A6" w:rsidRPr="00D518FF" w14:paraId="4FFB90C6" w14:textId="77777777" w:rsidTr="00A6108F">
        <w:trPr>
          <w:trHeight w:val="55"/>
        </w:trPr>
        <w:tc>
          <w:tcPr>
            <w:tcW w:w="846" w:type="dxa"/>
            <w:shd w:val="clear" w:color="auto" w:fill="EFFFE9"/>
          </w:tcPr>
          <w:p w14:paraId="37E78CD7" w14:textId="77777777" w:rsidR="00A740A6" w:rsidRPr="00D518FF" w:rsidRDefault="00A740A6">
            <w:pPr>
              <w:rPr>
                <w:rFonts w:ascii="Aptos" w:hAnsi="Aptos" w:cs="Arial"/>
                <w:sz w:val="16"/>
                <w:szCs w:val="16"/>
              </w:rPr>
            </w:pPr>
            <w:r w:rsidRPr="00D518FF">
              <w:rPr>
                <w:rFonts w:ascii="Aptos" w:hAnsi="Aptos" w:cs="Arial"/>
                <w:sz w:val="16"/>
                <w:szCs w:val="16"/>
              </w:rPr>
              <w:t>Wang 2022</w:t>
            </w:r>
          </w:p>
        </w:tc>
        <w:tc>
          <w:tcPr>
            <w:tcW w:w="3827" w:type="dxa"/>
            <w:shd w:val="clear" w:color="auto" w:fill="EFFFE9"/>
          </w:tcPr>
          <w:p w14:paraId="4912F2AA" w14:textId="77777777" w:rsidR="00A740A6" w:rsidRPr="00D518FF" w:rsidRDefault="00A740A6">
            <w:pPr>
              <w:rPr>
                <w:rFonts w:ascii="Aptos" w:hAnsi="Aptos" w:cs="Arial"/>
                <w:sz w:val="16"/>
                <w:szCs w:val="16"/>
              </w:rPr>
            </w:pPr>
            <w:r w:rsidRPr="00D518FF">
              <w:rPr>
                <w:rFonts w:ascii="Aptos" w:hAnsi="Aptos" w:cs="Arial"/>
                <w:sz w:val="16"/>
                <w:szCs w:val="16"/>
              </w:rPr>
              <w:t>Effects of Antioxidant Supplementation on Metabolic Disorders in Obese Patients from Randomized Clinical Controls: A Meta-Analysis and Systematic Review</w:t>
            </w:r>
          </w:p>
        </w:tc>
        <w:tc>
          <w:tcPr>
            <w:tcW w:w="4253" w:type="dxa"/>
            <w:shd w:val="clear" w:color="auto" w:fill="EFFFE9"/>
          </w:tcPr>
          <w:p w14:paraId="76F4466F" w14:textId="77777777" w:rsidR="00A740A6" w:rsidRPr="00D518FF" w:rsidRDefault="00A740A6">
            <w:pPr>
              <w:rPr>
                <w:rFonts w:ascii="Aptos" w:hAnsi="Aptos" w:cs="Arial"/>
                <w:sz w:val="16"/>
                <w:szCs w:val="16"/>
              </w:rPr>
            </w:pPr>
            <w:r w:rsidRPr="00D518FF">
              <w:rPr>
                <w:rFonts w:ascii="Aptos" w:hAnsi="Aptos" w:cs="Arial"/>
                <w:sz w:val="16"/>
                <w:szCs w:val="16"/>
              </w:rPr>
              <w:t>Wang, J.; Liao, B.; Wang, C.; Zhong, O.; Lei, X.; Yang, Y.</w:t>
            </w:r>
          </w:p>
        </w:tc>
        <w:tc>
          <w:tcPr>
            <w:tcW w:w="567" w:type="dxa"/>
            <w:shd w:val="clear" w:color="auto" w:fill="EFFFE9"/>
          </w:tcPr>
          <w:p w14:paraId="143F18FF" w14:textId="77777777" w:rsidR="00A740A6" w:rsidRPr="00D518FF" w:rsidRDefault="00A740A6">
            <w:pPr>
              <w:rPr>
                <w:rFonts w:ascii="Aptos" w:hAnsi="Aptos" w:cs="Arial"/>
                <w:sz w:val="16"/>
                <w:szCs w:val="16"/>
              </w:rPr>
            </w:pPr>
            <w:r w:rsidRPr="00D518FF">
              <w:rPr>
                <w:rFonts w:ascii="Aptos" w:hAnsi="Aptos" w:cs="Arial"/>
                <w:sz w:val="16"/>
                <w:szCs w:val="16"/>
              </w:rPr>
              <w:t>2022</w:t>
            </w:r>
          </w:p>
        </w:tc>
        <w:tc>
          <w:tcPr>
            <w:tcW w:w="1275" w:type="dxa"/>
            <w:shd w:val="clear" w:color="auto" w:fill="EFFFE9"/>
          </w:tcPr>
          <w:p w14:paraId="53AEAE1A" w14:textId="77777777" w:rsidR="00A740A6" w:rsidRPr="00D518FF" w:rsidRDefault="00A740A6" w:rsidP="00A6108F">
            <w:pPr>
              <w:rPr>
                <w:rFonts w:ascii="Aptos" w:hAnsi="Aptos" w:cs="Arial"/>
                <w:sz w:val="16"/>
                <w:szCs w:val="16"/>
              </w:rPr>
            </w:pPr>
            <w:r w:rsidRPr="00D518FF">
              <w:rPr>
                <w:rFonts w:ascii="Aptos" w:hAnsi="Aptos" w:cs="Arial"/>
                <w:sz w:val="16"/>
                <w:szCs w:val="16"/>
              </w:rPr>
              <w:t>Oxid Med Cell Longev</w:t>
            </w:r>
          </w:p>
        </w:tc>
        <w:tc>
          <w:tcPr>
            <w:tcW w:w="709" w:type="dxa"/>
            <w:shd w:val="clear" w:color="auto" w:fill="EFFFE9"/>
          </w:tcPr>
          <w:p w14:paraId="6F59EF83" w14:textId="77777777" w:rsidR="00A740A6" w:rsidRPr="00D518FF" w:rsidRDefault="00A740A6" w:rsidP="00A6108F">
            <w:pPr>
              <w:rPr>
                <w:rFonts w:ascii="Aptos" w:hAnsi="Aptos" w:cs="Arial"/>
                <w:sz w:val="16"/>
                <w:szCs w:val="16"/>
              </w:rPr>
            </w:pPr>
            <w:r w:rsidRPr="00D518FF">
              <w:rPr>
                <w:rFonts w:ascii="Aptos" w:hAnsi="Aptos" w:cs="Arial"/>
                <w:sz w:val="16"/>
                <w:szCs w:val="16"/>
              </w:rPr>
              <w:t>2022</w:t>
            </w:r>
          </w:p>
        </w:tc>
        <w:tc>
          <w:tcPr>
            <w:tcW w:w="567" w:type="dxa"/>
            <w:shd w:val="clear" w:color="auto" w:fill="EFFFE9"/>
          </w:tcPr>
          <w:p w14:paraId="68466D26" w14:textId="77777777" w:rsidR="00A740A6" w:rsidRPr="00D518FF" w:rsidRDefault="00A740A6">
            <w:pPr>
              <w:rPr>
                <w:rFonts w:ascii="Aptos" w:hAnsi="Aptos" w:cs="Arial"/>
                <w:sz w:val="16"/>
                <w:szCs w:val="16"/>
              </w:rPr>
            </w:pPr>
          </w:p>
        </w:tc>
        <w:tc>
          <w:tcPr>
            <w:tcW w:w="709" w:type="dxa"/>
            <w:shd w:val="clear" w:color="auto" w:fill="EFFFE9"/>
          </w:tcPr>
          <w:p w14:paraId="70D62EAE" w14:textId="77777777" w:rsidR="00A740A6" w:rsidRPr="00D518FF" w:rsidRDefault="00A740A6">
            <w:pPr>
              <w:rPr>
                <w:rFonts w:ascii="Aptos" w:hAnsi="Aptos" w:cs="Arial"/>
                <w:sz w:val="16"/>
                <w:szCs w:val="16"/>
              </w:rPr>
            </w:pPr>
            <w:r w:rsidRPr="00D518FF">
              <w:rPr>
                <w:rFonts w:ascii="Aptos" w:hAnsi="Aptos" w:cs="Arial"/>
                <w:sz w:val="16"/>
                <w:szCs w:val="16"/>
              </w:rPr>
              <w:t>7255413</w:t>
            </w:r>
          </w:p>
        </w:tc>
        <w:tc>
          <w:tcPr>
            <w:tcW w:w="1417" w:type="dxa"/>
            <w:shd w:val="clear" w:color="auto" w:fill="EFFFE9"/>
          </w:tcPr>
          <w:p w14:paraId="63C9CE48" w14:textId="77777777" w:rsidR="00A740A6" w:rsidRPr="00D518FF" w:rsidRDefault="00A740A6">
            <w:pPr>
              <w:rPr>
                <w:rFonts w:ascii="Aptos" w:hAnsi="Aptos" w:cs="Arial"/>
                <w:sz w:val="16"/>
                <w:szCs w:val="16"/>
              </w:rPr>
            </w:pPr>
            <w:r w:rsidRPr="00D518FF">
              <w:rPr>
                <w:rFonts w:ascii="Aptos" w:hAnsi="Aptos" w:cs="Arial"/>
                <w:sz w:val="16"/>
                <w:szCs w:val="16"/>
              </w:rPr>
              <w:t>10.1155/2022/7255413</w:t>
            </w:r>
          </w:p>
        </w:tc>
      </w:tr>
      <w:tr w:rsidR="00A740A6" w:rsidRPr="00D518FF" w14:paraId="22A734B0" w14:textId="77777777" w:rsidTr="00F614C8">
        <w:trPr>
          <w:trHeight w:val="55"/>
        </w:trPr>
        <w:tc>
          <w:tcPr>
            <w:tcW w:w="846" w:type="dxa"/>
          </w:tcPr>
          <w:p w14:paraId="00EDD5FF" w14:textId="77777777" w:rsidR="00A740A6" w:rsidRPr="00D518FF" w:rsidRDefault="00A740A6">
            <w:pPr>
              <w:rPr>
                <w:rFonts w:ascii="Aptos" w:hAnsi="Aptos" w:cs="Arial"/>
                <w:sz w:val="16"/>
                <w:szCs w:val="16"/>
              </w:rPr>
            </w:pPr>
            <w:r w:rsidRPr="00D518FF">
              <w:rPr>
                <w:rFonts w:ascii="Aptos" w:hAnsi="Aptos" w:cs="Arial"/>
                <w:sz w:val="16"/>
                <w:szCs w:val="16"/>
              </w:rPr>
              <w:t>Zhang 2018</w:t>
            </w:r>
          </w:p>
        </w:tc>
        <w:tc>
          <w:tcPr>
            <w:tcW w:w="3827" w:type="dxa"/>
          </w:tcPr>
          <w:p w14:paraId="3F3757DA" w14:textId="77777777" w:rsidR="00A740A6" w:rsidRPr="00D518FF" w:rsidRDefault="00A740A6">
            <w:pPr>
              <w:rPr>
                <w:rFonts w:ascii="Aptos" w:hAnsi="Aptos" w:cs="Arial"/>
                <w:sz w:val="16"/>
                <w:szCs w:val="16"/>
              </w:rPr>
            </w:pPr>
            <w:r w:rsidRPr="00D518FF">
              <w:rPr>
                <w:rFonts w:ascii="Aptos" w:hAnsi="Aptos" w:cs="Arial"/>
                <w:sz w:val="16"/>
                <w:szCs w:val="16"/>
              </w:rPr>
              <w:t>Effectiveness of Coenzyme Q10 Supplementation for Type 2 Diabetes Mellitus: A Systematic Review and Meta-Analysis</w:t>
            </w:r>
          </w:p>
        </w:tc>
        <w:tc>
          <w:tcPr>
            <w:tcW w:w="4253" w:type="dxa"/>
          </w:tcPr>
          <w:p w14:paraId="49321339" w14:textId="77777777" w:rsidR="00A740A6" w:rsidRPr="00D518FF" w:rsidRDefault="00A740A6">
            <w:pPr>
              <w:rPr>
                <w:rFonts w:ascii="Aptos" w:hAnsi="Aptos" w:cs="Arial"/>
                <w:sz w:val="16"/>
                <w:szCs w:val="16"/>
              </w:rPr>
            </w:pPr>
            <w:r w:rsidRPr="00D518FF">
              <w:rPr>
                <w:rFonts w:ascii="Aptos" w:hAnsi="Aptos" w:cs="Arial"/>
                <w:sz w:val="16"/>
                <w:szCs w:val="16"/>
              </w:rPr>
              <w:t>Zhang, S. Y.; Yang, K. L.; Zeng, L. T.; Wu, X. H.; Huang, H. Y.</w:t>
            </w:r>
          </w:p>
        </w:tc>
        <w:tc>
          <w:tcPr>
            <w:tcW w:w="567" w:type="dxa"/>
          </w:tcPr>
          <w:p w14:paraId="21184C86" w14:textId="77777777" w:rsidR="00A740A6" w:rsidRPr="00D518FF" w:rsidRDefault="00A740A6">
            <w:pPr>
              <w:rPr>
                <w:rFonts w:ascii="Aptos" w:hAnsi="Aptos" w:cs="Arial"/>
                <w:sz w:val="16"/>
                <w:szCs w:val="16"/>
              </w:rPr>
            </w:pPr>
            <w:r w:rsidRPr="00D518FF">
              <w:rPr>
                <w:rFonts w:ascii="Aptos" w:hAnsi="Aptos" w:cs="Arial"/>
                <w:sz w:val="16"/>
                <w:szCs w:val="16"/>
              </w:rPr>
              <w:t>2018</w:t>
            </w:r>
          </w:p>
        </w:tc>
        <w:tc>
          <w:tcPr>
            <w:tcW w:w="1275" w:type="dxa"/>
          </w:tcPr>
          <w:p w14:paraId="3C3C69DA" w14:textId="77777777" w:rsidR="00A740A6" w:rsidRPr="00D518FF" w:rsidRDefault="00A740A6">
            <w:pPr>
              <w:rPr>
                <w:rFonts w:ascii="Aptos" w:hAnsi="Aptos" w:cs="Arial"/>
                <w:sz w:val="16"/>
                <w:szCs w:val="16"/>
              </w:rPr>
            </w:pPr>
            <w:r w:rsidRPr="00D518FF">
              <w:rPr>
                <w:rFonts w:ascii="Aptos" w:hAnsi="Aptos" w:cs="Arial"/>
                <w:sz w:val="16"/>
                <w:szCs w:val="16"/>
              </w:rPr>
              <w:t>International Journal of Endocrinology</w:t>
            </w:r>
          </w:p>
        </w:tc>
        <w:tc>
          <w:tcPr>
            <w:tcW w:w="709" w:type="dxa"/>
          </w:tcPr>
          <w:p w14:paraId="74B59A5F" w14:textId="77777777" w:rsidR="00A740A6" w:rsidRPr="00D518FF" w:rsidRDefault="00A740A6">
            <w:pPr>
              <w:rPr>
                <w:rFonts w:ascii="Aptos" w:hAnsi="Aptos" w:cs="Arial"/>
                <w:sz w:val="16"/>
                <w:szCs w:val="16"/>
              </w:rPr>
            </w:pPr>
            <w:r w:rsidRPr="00D518FF">
              <w:rPr>
                <w:rFonts w:ascii="Aptos" w:hAnsi="Aptos" w:cs="Arial"/>
                <w:sz w:val="16"/>
                <w:szCs w:val="16"/>
              </w:rPr>
              <w:t>2018</w:t>
            </w:r>
          </w:p>
        </w:tc>
        <w:tc>
          <w:tcPr>
            <w:tcW w:w="567" w:type="dxa"/>
          </w:tcPr>
          <w:p w14:paraId="75F027F8" w14:textId="77777777" w:rsidR="00A740A6" w:rsidRPr="00D518FF" w:rsidRDefault="00A740A6">
            <w:pPr>
              <w:rPr>
                <w:rFonts w:ascii="Aptos" w:hAnsi="Aptos" w:cs="Arial"/>
                <w:sz w:val="16"/>
                <w:szCs w:val="16"/>
              </w:rPr>
            </w:pPr>
          </w:p>
        </w:tc>
        <w:tc>
          <w:tcPr>
            <w:tcW w:w="709" w:type="dxa"/>
          </w:tcPr>
          <w:p w14:paraId="193A3FDF" w14:textId="77777777" w:rsidR="00A740A6" w:rsidRPr="00D518FF" w:rsidRDefault="00A740A6">
            <w:pPr>
              <w:rPr>
                <w:rFonts w:ascii="Aptos" w:hAnsi="Aptos" w:cs="Arial"/>
                <w:sz w:val="16"/>
                <w:szCs w:val="16"/>
              </w:rPr>
            </w:pPr>
            <w:r w:rsidRPr="00D518FF">
              <w:rPr>
                <w:rFonts w:ascii="Aptos" w:hAnsi="Aptos" w:cs="Arial"/>
                <w:sz w:val="16"/>
                <w:szCs w:val="16"/>
              </w:rPr>
              <w:t>6484839</w:t>
            </w:r>
          </w:p>
        </w:tc>
        <w:tc>
          <w:tcPr>
            <w:tcW w:w="1417" w:type="dxa"/>
          </w:tcPr>
          <w:p w14:paraId="6AB0FB57" w14:textId="77777777" w:rsidR="00A740A6" w:rsidRPr="00D518FF" w:rsidRDefault="00A740A6">
            <w:pPr>
              <w:rPr>
                <w:rFonts w:ascii="Aptos" w:hAnsi="Aptos" w:cs="Arial"/>
                <w:sz w:val="16"/>
                <w:szCs w:val="16"/>
              </w:rPr>
            </w:pPr>
            <w:r w:rsidRPr="00D518FF">
              <w:rPr>
                <w:rFonts w:ascii="Aptos" w:hAnsi="Aptos" w:cs="Arial"/>
                <w:sz w:val="16"/>
                <w:szCs w:val="16"/>
              </w:rPr>
              <w:t>10.1155/2018/6484839</w:t>
            </w:r>
          </w:p>
        </w:tc>
      </w:tr>
    </w:tbl>
    <w:p w14:paraId="70184DF7" w14:textId="77777777" w:rsidR="0006125A" w:rsidRDefault="0006125A" w:rsidP="00AA72BD">
      <w:pPr>
        <w:pStyle w:val="2024TABLECAPTION"/>
        <w:spacing w:before="120"/>
        <w:rPr>
          <w:rFonts w:ascii="Aptos" w:hAnsi="Aptos"/>
        </w:rPr>
      </w:pPr>
    </w:p>
    <w:p w14:paraId="52AC5B45" w14:textId="618585BF" w:rsidR="00D64A15" w:rsidRPr="00D518FF" w:rsidRDefault="0006125A" w:rsidP="0006125A">
      <w:pPr>
        <w:pStyle w:val="Caption"/>
        <w:rPr>
          <w:rFonts w:ascii="Aptos" w:hAnsi="Aptos"/>
        </w:rPr>
      </w:pPr>
      <w:bookmarkStart w:id="179" w:name="_Toc185254572"/>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D</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26</w:t>
      </w:r>
      <w:r w:rsidR="00DC4767" w:rsidRPr="004C6AA1">
        <w:rPr>
          <w:rFonts w:ascii="Aptos" w:hAnsi="Aptos"/>
        </w:rPr>
        <w:fldChar w:fldCharType="end"/>
      </w:r>
      <w:r w:rsidR="00D64A15" w:rsidRPr="00D518FF">
        <w:rPr>
          <w:rFonts w:ascii="Aptos" w:hAnsi="Aptos"/>
        </w:rPr>
        <w:t xml:space="preserve">. </w:t>
      </w:r>
      <w:r w:rsidR="00A6108F" w:rsidRPr="00D518FF">
        <w:rPr>
          <w:rFonts w:ascii="Aptos" w:hAnsi="Aptos"/>
        </w:rPr>
        <w:t xml:space="preserve">Characteristics of included reviews – </w:t>
      </w:r>
      <w:r w:rsidR="00A6108F">
        <w:rPr>
          <w:rFonts w:ascii="Aptos" w:hAnsi="Aptos"/>
        </w:rPr>
        <w:t>d</w:t>
      </w:r>
      <w:r w:rsidR="00E338B6" w:rsidRPr="00D518FF">
        <w:rPr>
          <w:rFonts w:ascii="Aptos" w:hAnsi="Aptos"/>
        </w:rPr>
        <w:t xml:space="preserve">iabetes (Type lI) (including metabolic syndrome), </w:t>
      </w:r>
      <w:r w:rsidR="00C16441" w:rsidRPr="00D518FF">
        <w:rPr>
          <w:rFonts w:ascii="Aptos" w:hAnsi="Aptos"/>
        </w:rPr>
        <w:t>a</w:t>
      </w:r>
      <w:r w:rsidR="00E338B6" w:rsidRPr="00D518FF">
        <w:rPr>
          <w:rFonts w:ascii="Aptos" w:hAnsi="Aptos"/>
        </w:rPr>
        <w:t>ntioxidants (specifically CoQ10 and alpha-lipoic acid)</w:t>
      </w:r>
      <w:r w:rsidR="00A6108F">
        <w:rPr>
          <w:rFonts w:ascii="Aptos" w:hAnsi="Aptos"/>
        </w:rPr>
        <w:t xml:space="preserve"> (n=10).</w:t>
      </w:r>
      <w:bookmarkEnd w:id="179"/>
    </w:p>
    <w:tbl>
      <w:tblPr>
        <w:tblStyle w:val="TableGrid"/>
        <w:tblW w:w="5000" w:type="pct"/>
        <w:tblLayout w:type="fixed"/>
        <w:tblCellMar>
          <w:top w:w="28" w:type="dxa"/>
          <w:left w:w="57" w:type="dxa"/>
          <w:bottom w:w="28" w:type="dxa"/>
          <w:right w:w="0" w:type="dxa"/>
        </w:tblCellMar>
        <w:tblLook w:val="04A0" w:firstRow="1" w:lastRow="0" w:firstColumn="1" w:lastColumn="0" w:noHBand="0" w:noVBand="1"/>
      </w:tblPr>
      <w:tblGrid>
        <w:gridCol w:w="669"/>
        <w:gridCol w:w="775"/>
        <w:gridCol w:w="2387"/>
        <w:gridCol w:w="684"/>
        <w:gridCol w:w="826"/>
        <w:gridCol w:w="821"/>
        <w:gridCol w:w="1781"/>
        <w:gridCol w:w="687"/>
        <w:gridCol w:w="1097"/>
        <w:gridCol w:w="758"/>
        <w:gridCol w:w="749"/>
        <w:gridCol w:w="1094"/>
        <w:gridCol w:w="1917"/>
      </w:tblGrid>
      <w:tr w:rsidR="00E13276" w:rsidRPr="00D518FF" w14:paraId="1312F44E" w14:textId="77777777" w:rsidTr="00F614C8">
        <w:trPr>
          <w:trHeight w:val="166"/>
        </w:trPr>
        <w:tc>
          <w:tcPr>
            <w:tcW w:w="235" w:type="pct"/>
            <w:vMerge w:val="restart"/>
            <w:shd w:val="clear" w:color="auto" w:fill="D9D9D9" w:themeFill="background1" w:themeFillShade="D9"/>
          </w:tcPr>
          <w:p w14:paraId="39364035"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Review ID</w:t>
            </w:r>
          </w:p>
        </w:tc>
        <w:tc>
          <w:tcPr>
            <w:tcW w:w="1640" w:type="pct"/>
            <w:gridSpan w:val="4"/>
            <w:shd w:val="clear" w:color="auto" w:fill="D9D9D9" w:themeFill="background1" w:themeFillShade="D9"/>
          </w:tcPr>
          <w:p w14:paraId="7149F86F"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Review details</w:t>
            </w:r>
          </w:p>
        </w:tc>
        <w:tc>
          <w:tcPr>
            <w:tcW w:w="1539" w:type="pct"/>
            <w:gridSpan w:val="4"/>
            <w:shd w:val="clear" w:color="auto" w:fill="D9D9D9" w:themeFill="background1" w:themeFillShade="D9"/>
          </w:tcPr>
          <w:p w14:paraId="3DCCA998"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Search details</w:t>
            </w:r>
          </w:p>
        </w:tc>
        <w:tc>
          <w:tcPr>
            <w:tcW w:w="529" w:type="pct"/>
            <w:gridSpan w:val="2"/>
            <w:shd w:val="clear" w:color="auto" w:fill="D9D9D9" w:themeFill="background1" w:themeFillShade="D9"/>
          </w:tcPr>
          <w:p w14:paraId="6F92FC04"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Quality assessment</w:t>
            </w:r>
          </w:p>
        </w:tc>
        <w:tc>
          <w:tcPr>
            <w:tcW w:w="1057" w:type="pct"/>
            <w:gridSpan w:val="2"/>
            <w:shd w:val="clear" w:color="auto" w:fill="D9D9D9" w:themeFill="background1" w:themeFillShade="D9"/>
          </w:tcPr>
          <w:p w14:paraId="74DB1073"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Other</w:t>
            </w:r>
          </w:p>
        </w:tc>
      </w:tr>
      <w:tr w:rsidR="00A03699" w:rsidRPr="00D518FF" w14:paraId="33507BC6" w14:textId="77777777" w:rsidTr="00F614C8">
        <w:trPr>
          <w:trHeight w:val="166"/>
        </w:trPr>
        <w:tc>
          <w:tcPr>
            <w:tcW w:w="235" w:type="pct"/>
            <w:vMerge/>
            <w:shd w:val="clear" w:color="auto" w:fill="D9D9D9" w:themeFill="background1" w:themeFillShade="D9"/>
          </w:tcPr>
          <w:p w14:paraId="593316CC" w14:textId="77777777" w:rsidR="00D64A15" w:rsidRPr="00D518FF" w:rsidRDefault="00D64A15" w:rsidP="00AA72BD">
            <w:pPr>
              <w:pStyle w:val="Caption1"/>
              <w:spacing w:before="0" w:after="0"/>
              <w:rPr>
                <w:rFonts w:ascii="Aptos" w:hAnsi="Aptos"/>
                <w:sz w:val="16"/>
                <w:szCs w:val="16"/>
              </w:rPr>
            </w:pPr>
          </w:p>
        </w:tc>
        <w:tc>
          <w:tcPr>
            <w:tcW w:w="272" w:type="pct"/>
            <w:shd w:val="clear" w:color="auto" w:fill="D9D9D9" w:themeFill="background1" w:themeFillShade="D9"/>
          </w:tcPr>
          <w:p w14:paraId="17FE6E5F"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Review design</w:t>
            </w:r>
          </w:p>
        </w:tc>
        <w:tc>
          <w:tcPr>
            <w:tcW w:w="838" w:type="pct"/>
            <w:shd w:val="clear" w:color="auto" w:fill="D9D9D9" w:themeFill="background1" w:themeFillShade="D9"/>
          </w:tcPr>
          <w:p w14:paraId="16DCF952"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Aim of the review (as reported by the SR)</w:t>
            </w:r>
          </w:p>
        </w:tc>
        <w:tc>
          <w:tcPr>
            <w:tcW w:w="240" w:type="pct"/>
            <w:shd w:val="clear" w:color="auto" w:fill="D9D9D9" w:themeFill="background1" w:themeFillShade="D9"/>
          </w:tcPr>
          <w:p w14:paraId="36558B38"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Types of studies included</w:t>
            </w:r>
          </w:p>
        </w:tc>
        <w:tc>
          <w:tcPr>
            <w:tcW w:w="290" w:type="pct"/>
            <w:shd w:val="clear" w:color="auto" w:fill="D9D9D9" w:themeFill="background1" w:themeFillShade="D9"/>
          </w:tcPr>
          <w:p w14:paraId="0ACAA150" w14:textId="73583841"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Outcomes relevant to the Overview^</w:t>
            </w:r>
          </w:p>
        </w:tc>
        <w:tc>
          <w:tcPr>
            <w:tcW w:w="288" w:type="pct"/>
            <w:shd w:val="clear" w:color="auto" w:fill="D9D9D9" w:themeFill="background1" w:themeFillShade="D9"/>
          </w:tcPr>
          <w:p w14:paraId="1A9B35DC"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 of databases searched</w:t>
            </w:r>
          </w:p>
        </w:tc>
        <w:tc>
          <w:tcPr>
            <w:tcW w:w="625" w:type="pct"/>
            <w:shd w:val="clear" w:color="auto" w:fill="D9D9D9" w:themeFill="background1" w:themeFillShade="D9"/>
          </w:tcPr>
          <w:p w14:paraId="4F6DEA73"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Names of databases searched</w:t>
            </w:r>
          </w:p>
        </w:tc>
        <w:tc>
          <w:tcPr>
            <w:tcW w:w="241" w:type="pct"/>
            <w:shd w:val="clear" w:color="auto" w:fill="D9D9D9" w:themeFill="background1" w:themeFillShade="D9"/>
          </w:tcPr>
          <w:p w14:paraId="46C81A17"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Date of last search</w:t>
            </w:r>
          </w:p>
        </w:tc>
        <w:tc>
          <w:tcPr>
            <w:tcW w:w="385" w:type="pct"/>
            <w:shd w:val="clear" w:color="auto" w:fill="D9D9D9" w:themeFill="background1" w:themeFillShade="D9"/>
          </w:tcPr>
          <w:p w14:paraId="059DB5CE"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 xml:space="preserve">Search restrictions </w:t>
            </w:r>
          </w:p>
        </w:tc>
        <w:tc>
          <w:tcPr>
            <w:tcW w:w="266" w:type="pct"/>
            <w:shd w:val="clear" w:color="auto" w:fill="D9D9D9" w:themeFill="background1" w:themeFillShade="D9"/>
          </w:tcPr>
          <w:p w14:paraId="0E546453"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RoB tool used</w:t>
            </w:r>
          </w:p>
        </w:tc>
        <w:tc>
          <w:tcPr>
            <w:tcW w:w="263" w:type="pct"/>
            <w:shd w:val="clear" w:color="auto" w:fill="D9D9D9" w:themeFill="background1" w:themeFillShade="D9"/>
          </w:tcPr>
          <w:p w14:paraId="56997860"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Certainty of evidence reported</w:t>
            </w:r>
          </w:p>
        </w:tc>
        <w:tc>
          <w:tcPr>
            <w:tcW w:w="384" w:type="pct"/>
            <w:shd w:val="clear" w:color="auto" w:fill="D9D9D9" w:themeFill="background1" w:themeFillShade="D9"/>
          </w:tcPr>
          <w:p w14:paraId="58ABEBDE"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Conflicts of interest</w:t>
            </w:r>
          </w:p>
        </w:tc>
        <w:tc>
          <w:tcPr>
            <w:tcW w:w="673" w:type="pct"/>
            <w:shd w:val="clear" w:color="auto" w:fill="D9D9D9" w:themeFill="background1" w:themeFillShade="D9"/>
          </w:tcPr>
          <w:p w14:paraId="56847A31" w14:textId="77777777" w:rsidR="00D64A15" w:rsidRPr="00D518FF" w:rsidRDefault="00D64A15" w:rsidP="00AA72BD">
            <w:pPr>
              <w:pStyle w:val="Caption1"/>
              <w:spacing w:before="0" w:after="0"/>
              <w:rPr>
                <w:rFonts w:ascii="Aptos" w:hAnsi="Aptos"/>
                <w:sz w:val="16"/>
                <w:szCs w:val="16"/>
              </w:rPr>
            </w:pPr>
            <w:r w:rsidRPr="00D518FF">
              <w:rPr>
                <w:rFonts w:ascii="Aptos" w:hAnsi="Aptos"/>
                <w:sz w:val="16"/>
                <w:szCs w:val="16"/>
              </w:rPr>
              <w:t>Funding sources</w:t>
            </w:r>
          </w:p>
        </w:tc>
      </w:tr>
      <w:tr w:rsidR="00E13276" w:rsidRPr="00D518FF" w14:paraId="4B9CD0CF" w14:textId="77777777" w:rsidTr="00F614C8">
        <w:trPr>
          <w:trHeight w:val="352"/>
        </w:trPr>
        <w:tc>
          <w:tcPr>
            <w:tcW w:w="235" w:type="pct"/>
          </w:tcPr>
          <w:p w14:paraId="31A929D5" w14:textId="2BA6DFE2" w:rsidR="00F60E69" w:rsidRPr="00D518FF" w:rsidRDefault="00F60E69" w:rsidP="00F60E69">
            <w:pPr>
              <w:rPr>
                <w:rFonts w:ascii="Aptos" w:hAnsi="Aptos" w:cs="Arial"/>
                <w:sz w:val="16"/>
                <w:szCs w:val="16"/>
              </w:rPr>
            </w:pPr>
            <w:r w:rsidRPr="00D518FF">
              <w:rPr>
                <w:rFonts w:ascii="Aptos" w:hAnsi="Aptos" w:cs="Arial"/>
                <w:sz w:val="16"/>
                <w:szCs w:val="16"/>
              </w:rPr>
              <w:t>Araújo 2022</w:t>
            </w:r>
          </w:p>
        </w:tc>
        <w:tc>
          <w:tcPr>
            <w:tcW w:w="272" w:type="pct"/>
          </w:tcPr>
          <w:p w14:paraId="41B68E1F" w14:textId="21616D4E" w:rsidR="00F60E69" w:rsidRPr="00D518FF" w:rsidRDefault="00F60E69" w:rsidP="00F60E69">
            <w:pPr>
              <w:rPr>
                <w:rFonts w:ascii="Aptos" w:hAnsi="Aptos" w:cs="Arial"/>
                <w:sz w:val="16"/>
                <w:szCs w:val="16"/>
              </w:rPr>
            </w:pPr>
            <w:r w:rsidRPr="00D518FF">
              <w:rPr>
                <w:rFonts w:ascii="Aptos" w:hAnsi="Aptos" w:cs="Arial"/>
                <w:sz w:val="16"/>
                <w:szCs w:val="16"/>
              </w:rPr>
              <w:t>Network Meta-Analysis</w:t>
            </w:r>
          </w:p>
        </w:tc>
        <w:tc>
          <w:tcPr>
            <w:tcW w:w="838" w:type="pct"/>
          </w:tcPr>
          <w:p w14:paraId="13770884" w14:textId="42DBBBF1" w:rsidR="00F60E69" w:rsidRPr="00D518FF" w:rsidRDefault="00E13276" w:rsidP="00F60E69">
            <w:pPr>
              <w:rPr>
                <w:rFonts w:ascii="Aptos" w:hAnsi="Aptos" w:cs="Arial"/>
                <w:sz w:val="16"/>
                <w:szCs w:val="16"/>
              </w:rPr>
            </w:pPr>
            <w:r>
              <w:rPr>
                <w:rFonts w:ascii="Aptos" w:hAnsi="Aptos" w:cs="Arial"/>
                <w:sz w:val="16"/>
                <w:szCs w:val="16"/>
              </w:rPr>
              <w:t>T</w:t>
            </w:r>
            <w:r w:rsidR="00F60E69" w:rsidRPr="00D518FF">
              <w:rPr>
                <w:rFonts w:ascii="Aptos" w:hAnsi="Aptos" w:cs="Arial"/>
                <w:sz w:val="16"/>
                <w:szCs w:val="16"/>
              </w:rPr>
              <w:t>o assess whether the adjunctive use of antioxidant supplementation to non-surgical periodontal therapy (NSPT) results in increased metabolic control in patients with T2D and periodontitis.</w:t>
            </w:r>
          </w:p>
        </w:tc>
        <w:tc>
          <w:tcPr>
            <w:tcW w:w="240" w:type="pct"/>
          </w:tcPr>
          <w:p w14:paraId="588E6DD8" w14:textId="51819D02"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290" w:type="pct"/>
          </w:tcPr>
          <w:p w14:paraId="6B18D2A7" w14:textId="56167BD3"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288" w:type="pct"/>
          </w:tcPr>
          <w:p w14:paraId="3256530B" w14:textId="38C27965" w:rsidR="00F60E69" w:rsidRPr="00D518FF" w:rsidRDefault="00F60E69" w:rsidP="00F60E69">
            <w:pPr>
              <w:rPr>
                <w:rFonts w:ascii="Aptos" w:hAnsi="Aptos" w:cs="Arial"/>
                <w:sz w:val="16"/>
                <w:szCs w:val="16"/>
              </w:rPr>
            </w:pPr>
            <w:r w:rsidRPr="00D518FF">
              <w:rPr>
                <w:rFonts w:ascii="Aptos" w:hAnsi="Aptos" w:cs="Arial"/>
                <w:sz w:val="16"/>
                <w:szCs w:val="16"/>
              </w:rPr>
              <w:t>7</w:t>
            </w:r>
          </w:p>
        </w:tc>
        <w:tc>
          <w:tcPr>
            <w:tcW w:w="625" w:type="pct"/>
          </w:tcPr>
          <w:p w14:paraId="34BCA8EF" w14:textId="5AB76004" w:rsidR="00F60E69" w:rsidRPr="00D518FF" w:rsidRDefault="00F60E69" w:rsidP="00F60E69">
            <w:pPr>
              <w:rPr>
                <w:rFonts w:ascii="Aptos" w:hAnsi="Aptos" w:cs="Arial"/>
                <w:sz w:val="16"/>
                <w:szCs w:val="16"/>
              </w:rPr>
            </w:pPr>
            <w:r w:rsidRPr="00D518FF">
              <w:rPr>
                <w:rFonts w:ascii="Aptos" w:hAnsi="Aptos" w:cs="Arial"/>
                <w:sz w:val="16"/>
                <w:szCs w:val="16"/>
              </w:rPr>
              <w:t>PubMed, Cochrane, LILACS, Web of Science, Scopus, Embase, LIVIVO</w:t>
            </w:r>
          </w:p>
        </w:tc>
        <w:tc>
          <w:tcPr>
            <w:tcW w:w="241" w:type="pct"/>
          </w:tcPr>
          <w:p w14:paraId="44A9ADCB" w14:textId="04EBE4EC" w:rsidR="00F60E69" w:rsidRPr="00D518FF" w:rsidRDefault="00F60E69" w:rsidP="00F60E69">
            <w:pPr>
              <w:rPr>
                <w:rFonts w:ascii="Aptos" w:hAnsi="Aptos" w:cs="Arial"/>
                <w:sz w:val="16"/>
                <w:szCs w:val="16"/>
              </w:rPr>
            </w:pPr>
            <w:r w:rsidRPr="00D518FF">
              <w:rPr>
                <w:rFonts w:ascii="Aptos" w:hAnsi="Aptos" w:cs="Arial"/>
                <w:sz w:val="16"/>
                <w:szCs w:val="16"/>
              </w:rPr>
              <w:t>Jan 2022</w:t>
            </w:r>
          </w:p>
        </w:tc>
        <w:tc>
          <w:tcPr>
            <w:tcW w:w="385" w:type="pct"/>
          </w:tcPr>
          <w:p w14:paraId="3C7D1DD6" w14:textId="69FCF36F" w:rsidR="00F60E69" w:rsidRPr="00D518FF" w:rsidRDefault="00F60E69" w:rsidP="00F60E69">
            <w:pPr>
              <w:rPr>
                <w:rFonts w:ascii="Aptos" w:hAnsi="Aptos" w:cs="Arial"/>
                <w:sz w:val="16"/>
                <w:szCs w:val="16"/>
              </w:rPr>
            </w:pPr>
            <w:r w:rsidRPr="00D518FF">
              <w:rPr>
                <w:rFonts w:ascii="Aptos" w:hAnsi="Aptos" w:cs="Arial"/>
                <w:sz w:val="16"/>
                <w:szCs w:val="16"/>
              </w:rPr>
              <w:t>No restrictions on language or publication period were established</w:t>
            </w:r>
          </w:p>
        </w:tc>
        <w:tc>
          <w:tcPr>
            <w:tcW w:w="266" w:type="pct"/>
          </w:tcPr>
          <w:p w14:paraId="26EE7376" w14:textId="68B9D65F"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tcPr>
          <w:p w14:paraId="24D02BBE" w14:textId="570C8652"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384" w:type="pct"/>
          </w:tcPr>
          <w:p w14:paraId="612AE280" w14:textId="1689C98A" w:rsidR="00F60E69" w:rsidRPr="00D518FF" w:rsidRDefault="00F60E69" w:rsidP="00F60E69">
            <w:pPr>
              <w:rPr>
                <w:rFonts w:ascii="Aptos" w:hAnsi="Aptos" w:cs="Arial"/>
                <w:sz w:val="16"/>
                <w:szCs w:val="16"/>
              </w:rPr>
            </w:pPr>
            <w:r w:rsidRPr="00D518FF">
              <w:rPr>
                <w:rFonts w:ascii="Aptos" w:hAnsi="Aptos" w:cs="Arial"/>
                <w:sz w:val="16"/>
                <w:szCs w:val="16"/>
              </w:rPr>
              <w:t>The authors declare no conflict of interest.</w:t>
            </w:r>
          </w:p>
        </w:tc>
        <w:tc>
          <w:tcPr>
            <w:tcW w:w="673" w:type="pct"/>
          </w:tcPr>
          <w:p w14:paraId="45403778" w14:textId="3F056D21" w:rsidR="00F60E69" w:rsidRPr="00D518FF" w:rsidRDefault="00F60E69" w:rsidP="00F60E69">
            <w:pPr>
              <w:rPr>
                <w:rFonts w:ascii="Aptos" w:hAnsi="Aptos" w:cs="Arial"/>
                <w:sz w:val="16"/>
                <w:szCs w:val="16"/>
              </w:rPr>
            </w:pPr>
            <w:r w:rsidRPr="00D518FF">
              <w:rPr>
                <w:rFonts w:ascii="Aptos" w:hAnsi="Aptos" w:cs="Arial"/>
                <w:sz w:val="16"/>
                <w:szCs w:val="16"/>
              </w:rPr>
              <w:t xml:space="preserve">This project was funded by the Research Support Foundation of the Federal District (FAP-DF) (process no. 16991.78.45532.26042017), and the University of </w:t>
            </w:r>
            <w:r w:rsidRPr="00D518FF">
              <w:rPr>
                <w:rFonts w:ascii="Aptos" w:hAnsi="Aptos" w:cs="Arial"/>
                <w:sz w:val="16"/>
                <w:szCs w:val="16"/>
              </w:rPr>
              <w:lastRenderedPageBreak/>
              <w:t>Brasilia (Edital DPI 001/2022).</w:t>
            </w:r>
          </w:p>
        </w:tc>
      </w:tr>
      <w:tr w:rsidR="00E13276" w:rsidRPr="00D518FF" w14:paraId="5521CD79" w14:textId="77777777" w:rsidTr="00A6108F">
        <w:trPr>
          <w:trHeight w:val="660"/>
        </w:trPr>
        <w:tc>
          <w:tcPr>
            <w:tcW w:w="235" w:type="pct"/>
            <w:shd w:val="clear" w:color="auto" w:fill="EFFFE9"/>
          </w:tcPr>
          <w:p w14:paraId="5A036359" w14:textId="3BE79F84" w:rsidR="004650CF" w:rsidRPr="00D518FF" w:rsidRDefault="004650CF" w:rsidP="00AA72BD">
            <w:pPr>
              <w:rPr>
                <w:rFonts w:ascii="Aptos" w:hAnsi="Aptos" w:cs="Arial"/>
                <w:sz w:val="16"/>
                <w:szCs w:val="16"/>
              </w:rPr>
            </w:pPr>
            <w:r w:rsidRPr="00D518FF">
              <w:rPr>
                <w:rFonts w:ascii="Aptos" w:hAnsi="Aptos" w:cs="Arial"/>
                <w:sz w:val="16"/>
                <w:szCs w:val="16"/>
              </w:rPr>
              <w:lastRenderedPageBreak/>
              <w:t>Dludla 2020</w:t>
            </w:r>
          </w:p>
        </w:tc>
        <w:tc>
          <w:tcPr>
            <w:tcW w:w="272" w:type="pct"/>
            <w:shd w:val="clear" w:color="auto" w:fill="EFFFE9"/>
          </w:tcPr>
          <w:p w14:paraId="4F07387B" w14:textId="089A5EC3" w:rsidR="004650CF" w:rsidRPr="00D518FF" w:rsidRDefault="004650CF" w:rsidP="00AA72BD">
            <w:pPr>
              <w:rPr>
                <w:rFonts w:ascii="Aptos" w:hAnsi="Aptos" w:cs="Arial"/>
                <w:sz w:val="16"/>
                <w:szCs w:val="16"/>
              </w:rPr>
            </w:pPr>
            <w:r w:rsidRPr="00D518FF">
              <w:rPr>
                <w:rFonts w:ascii="Aptos" w:hAnsi="Aptos" w:cs="Arial"/>
                <w:sz w:val="16"/>
                <w:szCs w:val="16"/>
              </w:rPr>
              <w:t>Systematic review and meta-analysis</w:t>
            </w:r>
          </w:p>
        </w:tc>
        <w:tc>
          <w:tcPr>
            <w:tcW w:w="838" w:type="pct"/>
            <w:shd w:val="clear" w:color="auto" w:fill="EFFFE9"/>
          </w:tcPr>
          <w:p w14:paraId="630E96C8" w14:textId="02C5EBA4" w:rsidR="004650CF" w:rsidRPr="00D518FF" w:rsidRDefault="00E13276" w:rsidP="00AA72BD">
            <w:pPr>
              <w:rPr>
                <w:rFonts w:ascii="Aptos" w:hAnsi="Aptos" w:cs="Arial"/>
                <w:sz w:val="16"/>
                <w:szCs w:val="16"/>
              </w:rPr>
            </w:pPr>
            <w:r>
              <w:rPr>
                <w:rFonts w:ascii="Aptos" w:hAnsi="Aptos" w:cs="Arial"/>
                <w:sz w:val="16"/>
                <w:szCs w:val="16"/>
              </w:rPr>
              <w:t>To understand</w:t>
            </w:r>
            <w:r w:rsidR="004650CF" w:rsidRPr="00D518FF">
              <w:rPr>
                <w:rFonts w:ascii="Aptos" w:hAnsi="Aptos" w:cs="Arial"/>
                <w:sz w:val="16"/>
                <w:szCs w:val="16"/>
              </w:rPr>
              <w:t xml:space="preserve"> cardio-protective effects of CoQ10, using data from randomized controlled trials (</w:t>
            </w:r>
            <w:r w:rsidR="004622EE" w:rsidRPr="00D518FF">
              <w:rPr>
                <w:rFonts w:ascii="Aptos" w:hAnsi="Aptos" w:cs="Arial"/>
                <w:sz w:val="16"/>
                <w:szCs w:val="16"/>
              </w:rPr>
              <w:t>RCT</w:t>
            </w:r>
            <w:r w:rsidR="004650CF" w:rsidRPr="00D518FF">
              <w:rPr>
                <w:rFonts w:ascii="Aptos" w:hAnsi="Aptos" w:cs="Arial"/>
                <w:sz w:val="16"/>
                <w:szCs w:val="16"/>
              </w:rPr>
              <w:t>s) published in the last five years.</w:t>
            </w:r>
          </w:p>
        </w:tc>
        <w:tc>
          <w:tcPr>
            <w:tcW w:w="240" w:type="pct"/>
            <w:shd w:val="clear" w:color="auto" w:fill="EFFFE9"/>
          </w:tcPr>
          <w:p w14:paraId="41BB572A" w14:textId="1328F179" w:rsidR="004650CF" w:rsidRPr="00D518FF" w:rsidRDefault="004622EE" w:rsidP="00AA72BD">
            <w:pPr>
              <w:rPr>
                <w:rFonts w:ascii="Aptos" w:hAnsi="Aptos" w:cs="Arial"/>
                <w:sz w:val="16"/>
                <w:szCs w:val="16"/>
              </w:rPr>
            </w:pPr>
            <w:r w:rsidRPr="00D518FF">
              <w:rPr>
                <w:rFonts w:ascii="Aptos" w:hAnsi="Aptos" w:cs="Arial"/>
                <w:sz w:val="16"/>
                <w:szCs w:val="16"/>
              </w:rPr>
              <w:t>RCT</w:t>
            </w:r>
            <w:r w:rsidR="004650CF" w:rsidRPr="00D518FF">
              <w:rPr>
                <w:rFonts w:ascii="Aptos" w:hAnsi="Aptos" w:cs="Arial"/>
                <w:sz w:val="16"/>
                <w:szCs w:val="16"/>
              </w:rPr>
              <w:t>s</w:t>
            </w:r>
          </w:p>
        </w:tc>
        <w:tc>
          <w:tcPr>
            <w:tcW w:w="290" w:type="pct"/>
            <w:shd w:val="clear" w:color="auto" w:fill="EFFFE9"/>
          </w:tcPr>
          <w:p w14:paraId="4B0BBE4C" w14:textId="0B44AAA9" w:rsidR="004650CF" w:rsidRPr="00D518FF" w:rsidRDefault="004650CF" w:rsidP="00AA72BD">
            <w:pPr>
              <w:rPr>
                <w:rFonts w:ascii="Aptos" w:hAnsi="Aptos" w:cs="Arial"/>
                <w:sz w:val="16"/>
                <w:szCs w:val="16"/>
              </w:rPr>
            </w:pPr>
            <w:r w:rsidRPr="00D518FF">
              <w:rPr>
                <w:rFonts w:ascii="Aptos" w:hAnsi="Aptos" w:cs="Arial"/>
                <w:sz w:val="16"/>
                <w:szCs w:val="16"/>
              </w:rPr>
              <w:t>1, 2</w:t>
            </w:r>
          </w:p>
        </w:tc>
        <w:tc>
          <w:tcPr>
            <w:tcW w:w="288" w:type="pct"/>
            <w:shd w:val="clear" w:color="auto" w:fill="EFFFE9"/>
          </w:tcPr>
          <w:p w14:paraId="1C9053DC" w14:textId="2813C6B0" w:rsidR="004650CF" w:rsidRPr="00D518FF" w:rsidRDefault="004650CF" w:rsidP="00AA72BD">
            <w:pPr>
              <w:rPr>
                <w:rFonts w:ascii="Aptos" w:hAnsi="Aptos" w:cs="Arial"/>
                <w:sz w:val="16"/>
                <w:szCs w:val="16"/>
              </w:rPr>
            </w:pPr>
            <w:r w:rsidRPr="00D518FF">
              <w:rPr>
                <w:rFonts w:ascii="Aptos" w:hAnsi="Aptos" w:cs="Arial"/>
                <w:sz w:val="16"/>
                <w:szCs w:val="16"/>
              </w:rPr>
              <w:t>4</w:t>
            </w:r>
          </w:p>
        </w:tc>
        <w:tc>
          <w:tcPr>
            <w:tcW w:w="625" w:type="pct"/>
            <w:shd w:val="clear" w:color="auto" w:fill="EFFFE9"/>
          </w:tcPr>
          <w:p w14:paraId="67EDE820" w14:textId="3C61F3E5" w:rsidR="004650CF" w:rsidRPr="00D518FF" w:rsidRDefault="004650CF" w:rsidP="00AA72BD">
            <w:pPr>
              <w:rPr>
                <w:rFonts w:ascii="Aptos" w:hAnsi="Aptos" w:cs="Arial"/>
                <w:sz w:val="16"/>
                <w:szCs w:val="16"/>
              </w:rPr>
            </w:pPr>
            <w:r w:rsidRPr="00D518FF">
              <w:rPr>
                <w:rFonts w:ascii="Aptos" w:hAnsi="Aptos" w:cs="Arial"/>
                <w:sz w:val="16"/>
                <w:szCs w:val="16"/>
              </w:rPr>
              <w:t>MEDLINE, Cochrane Library, Scopus</w:t>
            </w:r>
            <w:r w:rsidR="00AF62FF" w:rsidRPr="00D518FF">
              <w:rPr>
                <w:rFonts w:ascii="Aptos" w:hAnsi="Aptos" w:cs="Arial"/>
                <w:sz w:val="16"/>
                <w:szCs w:val="16"/>
              </w:rPr>
              <w:t xml:space="preserve">, </w:t>
            </w:r>
            <w:r w:rsidRPr="00D518FF">
              <w:rPr>
                <w:rFonts w:ascii="Aptos" w:hAnsi="Aptos" w:cs="Arial"/>
                <w:sz w:val="16"/>
                <w:szCs w:val="16"/>
              </w:rPr>
              <w:t>EMBASE</w:t>
            </w:r>
          </w:p>
        </w:tc>
        <w:tc>
          <w:tcPr>
            <w:tcW w:w="241" w:type="pct"/>
            <w:shd w:val="clear" w:color="auto" w:fill="EFFFE9"/>
          </w:tcPr>
          <w:p w14:paraId="2CEEFF39" w14:textId="14D67BED" w:rsidR="004650CF" w:rsidRPr="00D518FF" w:rsidRDefault="004650CF" w:rsidP="00AA72BD">
            <w:pPr>
              <w:rPr>
                <w:rFonts w:ascii="Aptos" w:hAnsi="Aptos" w:cs="Arial"/>
                <w:sz w:val="16"/>
                <w:szCs w:val="16"/>
              </w:rPr>
            </w:pPr>
            <w:r w:rsidRPr="00D518FF">
              <w:rPr>
                <w:rFonts w:ascii="Aptos" w:hAnsi="Aptos" w:cs="Arial"/>
                <w:sz w:val="16"/>
                <w:szCs w:val="16"/>
              </w:rPr>
              <w:t>Sep</w:t>
            </w:r>
            <w:r w:rsidR="00AF62FF" w:rsidRPr="00D518FF">
              <w:rPr>
                <w:rFonts w:ascii="Aptos" w:hAnsi="Aptos" w:cs="Arial"/>
                <w:sz w:val="16"/>
                <w:szCs w:val="16"/>
              </w:rPr>
              <w:t xml:space="preserve"> 20</w:t>
            </w:r>
            <w:r w:rsidRPr="00D518FF">
              <w:rPr>
                <w:rFonts w:ascii="Aptos" w:hAnsi="Aptos" w:cs="Arial"/>
                <w:sz w:val="16"/>
                <w:szCs w:val="16"/>
              </w:rPr>
              <w:t>19</w:t>
            </w:r>
          </w:p>
        </w:tc>
        <w:tc>
          <w:tcPr>
            <w:tcW w:w="385" w:type="pct"/>
            <w:shd w:val="clear" w:color="auto" w:fill="EFFFE9"/>
          </w:tcPr>
          <w:p w14:paraId="67C20140" w14:textId="7DA994F2" w:rsidR="004650CF" w:rsidRPr="00D518FF" w:rsidRDefault="004650CF" w:rsidP="00AA72BD">
            <w:pPr>
              <w:rPr>
                <w:rFonts w:ascii="Aptos" w:hAnsi="Aptos" w:cs="Arial"/>
                <w:sz w:val="16"/>
                <w:szCs w:val="16"/>
              </w:rPr>
            </w:pPr>
            <w:r w:rsidRPr="00D518FF">
              <w:rPr>
                <w:rFonts w:ascii="Aptos" w:hAnsi="Aptos" w:cs="Arial"/>
                <w:sz w:val="16"/>
                <w:szCs w:val="16"/>
              </w:rPr>
              <w:t xml:space="preserve">no language restrictions </w:t>
            </w:r>
          </w:p>
        </w:tc>
        <w:tc>
          <w:tcPr>
            <w:tcW w:w="266" w:type="pct"/>
            <w:shd w:val="clear" w:color="auto" w:fill="EFFFE9"/>
          </w:tcPr>
          <w:p w14:paraId="18B6E266" w14:textId="035CDD83" w:rsidR="004650CF" w:rsidRPr="00D518FF" w:rsidRDefault="004650CF" w:rsidP="00AA72BD">
            <w:pPr>
              <w:rPr>
                <w:rFonts w:ascii="Aptos" w:hAnsi="Aptos" w:cs="Arial"/>
                <w:sz w:val="16"/>
                <w:szCs w:val="16"/>
              </w:rPr>
            </w:pPr>
            <w:r w:rsidRPr="00D518FF">
              <w:rPr>
                <w:rFonts w:ascii="Aptos" w:hAnsi="Aptos" w:cs="Arial"/>
                <w:sz w:val="16"/>
                <w:szCs w:val="16"/>
              </w:rPr>
              <w:t>Downs and Black checklist</w:t>
            </w:r>
          </w:p>
        </w:tc>
        <w:tc>
          <w:tcPr>
            <w:tcW w:w="263" w:type="pct"/>
            <w:shd w:val="clear" w:color="auto" w:fill="EFFFE9"/>
          </w:tcPr>
          <w:p w14:paraId="3B1816FB" w14:textId="622545D8" w:rsidR="004650CF" w:rsidRPr="00D518FF" w:rsidRDefault="004650CF" w:rsidP="00AA72BD">
            <w:pPr>
              <w:rPr>
                <w:rFonts w:ascii="Aptos" w:hAnsi="Aptos" w:cs="Arial"/>
                <w:sz w:val="16"/>
                <w:szCs w:val="16"/>
              </w:rPr>
            </w:pPr>
            <w:r w:rsidRPr="00D518FF">
              <w:rPr>
                <w:rFonts w:ascii="Aptos" w:hAnsi="Aptos" w:cs="Arial"/>
                <w:sz w:val="16"/>
                <w:szCs w:val="16"/>
              </w:rPr>
              <w:t>GRADE</w:t>
            </w:r>
          </w:p>
        </w:tc>
        <w:tc>
          <w:tcPr>
            <w:tcW w:w="384" w:type="pct"/>
            <w:shd w:val="clear" w:color="auto" w:fill="EFFFE9"/>
          </w:tcPr>
          <w:p w14:paraId="2636704E" w14:textId="4AF55E4A" w:rsidR="004650CF" w:rsidRPr="00D518FF" w:rsidRDefault="004650CF" w:rsidP="00AA72BD">
            <w:pPr>
              <w:rPr>
                <w:rFonts w:ascii="Aptos" w:hAnsi="Aptos" w:cs="Arial"/>
                <w:sz w:val="16"/>
                <w:szCs w:val="16"/>
              </w:rPr>
            </w:pPr>
            <w:r w:rsidRPr="00D518FF">
              <w:rPr>
                <w:rFonts w:ascii="Aptos" w:hAnsi="Aptos" w:cs="Arial"/>
                <w:sz w:val="16"/>
                <w:szCs w:val="16"/>
              </w:rPr>
              <w:t>The authors declare no conflict of interest.</w:t>
            </w:r>
          </w:p>
        </w:tc>
        <w:tc>
          <w:tcPr>
            <w:tcW w:w="673" w:type="pct"/>
            <w:shd w:val="clear" w:color="auto" w:fill="EFFFE9"/>
          </w:tcPr>
          <w:p w14:paraId="117F2101" w14:textId="422F0929" w:rsidR="004650CF" w:rsidRPr="00D518FF" w:rsidRDefault="004650CF" w:rsidP="00AA72BD">
            <w:pPr>
              <w:rPr>
                <w:rFonts w:ascii="Aptos" w:hAnsi="Aptos" w:cs="Arial"/>
                <w:sz w:val="16"/>
                <w:szCs w:val="16"/>
              </w:rPr>
            </w:pPr>
            <w:r w:rsidRPr="00D518FF">
              <w:rPr>
                <w:rFonts w:ascii="Aptos" w:hAnsi="Aptos" w:cs="Arial"/>
                <w:sz w:val="16"/>
                <w:szCs w:val="16"/>
              </w:rPr>
              <w:t>This work was supported in part by baseline funding from the Biomedical Research and Innovation Platform of the South African Medical Research Council (SAMRC) and</w:t>
            </w:r>
            <w:r w:rsidRPr="00D518FF">
              <w:rPr>
                <w:rFonts w:ascii="Aptos" w:hAnsi="Aptos" w:cs="Arial"/>
                <w:sz w:val="16"/>
                <w:szCs w:val="16"/>
              </w:rPr>
              <w:br/>
              <w:t>the National Research Foundation (Grant number: 117829).</w:t>
            </w:r>
          </w:p>
        </w:tc>
      </w:tr>
      <w:tr w:rsidR="00E13276" w:rsidRPr="00D518FF" w14:paraId="21B5321A" w14:textId="77777777" w:rsidTr="00F614C8">
        <w:trPr>
          <w:trHeight w:val="660"/>
        </w:trPr>
        <w:tc>
          <w:tcPr>
            <w:tcW w:w="235" w:type="pct"/>
          </w:tcPr>
          <w:p w14:paraId="1931E017" w14:textId="3FDF708E" w:rsidR="004650CF" w:rsidRPr="00D518FF" w:rsidRDefault="004650CF" w:rsidP="00AA72BD">
            <w:pPr>
              <w:rPr>
                <w:rFonts w:ascii="Aptos" w:hAnsi="Aptos" w:cs="Arial"/>
                <w:sz w:val="16"/>
                <w:szCs w:val="16"/>
              </w:rPr>
            </w:pPr>
            <w:r w:rsidRPr="00D518FF">
              <w:rPr>
                <w:rFonts w:ascii="Aptos" w:hAnsi="Aptos" w:cs="Arial"/>
                <w:sz w:val="16"/>
                <w:szCs w:val="16"/>
              </w:rPr>
              <w:t>Dludla 2023</w:t>
            </w:r>
          </w:p>
        </w:tc>
        <w:tc>
          <w:tcPr>
            <w:tcW w:w="272" w:type="pct"/>
          </w:tcPr>
          <w:p w14:paraId="296E8A8E" w14:textId="0E9C0C17" w:rsidR="004650CF" w:rsidRPr="00D518FF" w:rsidRDefault="004650CF" w:rsidP="00AA72BD">
            <w:pPr>
              <w:rPr>
                <w:rFonts w:ascii="Aptos" w:hAnsi="Aptos" w:cs="Arial"/>
                <w:sz w:val="16"/>
                <w:szCs w:val="16"/>
              </w:rPr>
            </w:pPr>
            <w:r w:rsidRPr="00D518FF">
              <w:rPr>
                <w:rFonts w:ascii="Aptos" w:hAnsi="Aptos" w:cs="Arial"/>
                <w:sz w:val="16"/>
                <w:szCs w:val="16"/>
              </w:rPr>
              <w:t>Systematic review</w:t>
            </w:r>
          </w:p>
        </w:tc>
        <w:tc>
          <w:tcPr>
            <w:tcW w:w="838" w:type="pct"/>
          </w:tcPr>
          <w:p w14:paraId="10C625E8" w14:textId="1E2B39BE" w:rsidR="004650CF" w:rsidRPr="00D518FF" w:rsidRDefault="00E13276" w:rsidP="00AA72BD">
            <w:pPr>
              <w:rPr>
                <w:rFonts w:ascii="Aptos" w:hAnsi="Aptos" w:cs="Arial"/>
                <w:sz w:val="16"/>
                <w:szCs w:val="16"/>
              </w:rPr>
            </w:pPr>
            <w:r>
              <w:rPr>
                <w:rFonts w:ascii="Aptos" w:hAnsi="Aptos" w:cs="Arial"/>
                <w:sz w:val="16"/>
                <w:szCs w:val="16"/>
              </w:rPr>
              <w:t>T</w:t>
            </w:r>
            <w:r w:rsidR="004650CF" w:rsidRPr="00D518FF">
              <w:rPr>
                <w:rFonts w:ascii="Aptos" w:hAnsi="Aptos" w:cs="Arial"/>
                <w:sz w:val="16"/>
                <w:szCs w:val="16"/>
              </w:rPr>
              <w:t>to determine whether supplementation with dietary compounds improves cardiometabolic health in people with diabetes.</w:t>
            </w:r>
          </w:p>
        </w:tc>
        <w:tc>
          <w:tcPr>
            <w:tcW w:w="240" w:type="pct"/>
          </w:tcPr>
          <w:p w14:paraId="1CA8F13A" w14:textId="1DBEC577" w:rsidR="004650CF" w:rsidRPr="00D518FF" w:rsidRDefault="004622EE" w:rsidP="00AA72BD">
            <w:pPr>
              <w:rPr>
                <w:rFonts w:ascii="Aptos" w:hAnsi="Aptos" w:cs="Arial"/>
                <w:sz w:val="16"/>
                <w:szCs w:val="16"/>
              </w:rPr>
            </w:pPr>
            <w:r w:rsidRPr="00D518FF">
              <w:rPr>
                <w:rFonts w:ascii="Aptos" w:hAnsi="Aptos" w:cs="Arial"/>
                <w:sz w:val="16"/>
                <w:szCs w:val="16"/>
              </w:rPr>
              <w:t>RCT</w:t>
            </w:r>
            <w:r w:rsidR="004650CF" w:rsidRPr="00D518FF">
              <w:rPr>
                <w:rFonts w:ascii="Aptos" w:hAnsi="Aptos" w:cs="Arial"/>
                <w:sz w:val="16"/>
                <w:szCs w:val="16"/>
              </w:rPr>
              <w:t>s</w:t>
            </w:r>
          </w:p>
        </w:tc>
        <w:tc>
          <w:tcPr>
            <w:tcW w:w="290" w:type="pct"/>
          </w:tcPr>
          <w:p w14:paraId="183AFD8A" w14:textId="007B6017" w:rsidR="004650CF" w:rsidRPr="00D518FF" w:rsidRDefault="004650CF" w:rsidP="00AA72BD">
            <w:pPr>
              <w:rPr>
                <w:rFonts w:ascii="Aptos" w:hAnsi="Aptos" w:cs="Arial"/>
                <w:sz w:val="16"/>
                <w:szCs w:val="16"/>
              </w:rPr>
            </w:pPr>
            <w:r w:rsidRPr="00D518FF">
              <w:rPr>
                <w:rFonts w:ascii="Aptos" w:hAnsi="Aptos" w:cs="Arial"/>
                <w:sz w:val="16"/>
                <w:szCs w:val="16"/>
              </w:rPr>
              <w:t>1, 2</w:t>
            </w:r>
          </w:p>
        </w:tc>
        <w:tc>
          <w:tcPr>
            <w:tcW w:w="288" w:type="pct"/>
          </w:tcPr>
          <w:p w14:paraId="2A1D44D7" w14:textId="6DC41454" w:rsidR="004650CF" w:rsidRPr="00D518FF" w:rsidRDefault="004650CF" w:rsidP="00AA72BD">
            <w:pPr>
              <w:rPr>
                <w:rFonts w:ascii="Aptos" w:hAnsi="Aptos" w:cs="Arial"/>
                <w:sz w:val="16"/>
                <w:szCs w:val="16"/>
              </w:rPr>
            </w:pPr>
            <w:r w:rsidRPr="00D518FF">
              <w:rPr>
                <w:rFonts w:ascii="Aptos" w:hAnsi="Aptos" w:cs="Arial"/>
                <w:sz w:val="16"/>
                <w:szCs w:val="16"/>
              </w:rPr>
              <w:t>&gt;2</w:t>
            </w:r>
          </w:p>
        </w:tc>
        <w:tc>
          <w:tcPr>
            <w:tcW w:w="625" w:type="pct"/>
          </w:tcPr>
          <w:p w14:paraId="3FE6BE4D" w14:textId="7B52E0BF" w:rsidR="004650CF" w:rsidRPr="00D518FF" w:rsidRDefault="00E13276" w:rsidP="00AA72BD">
            <w:pPr>
              <w:rPr>
                <w:rFonts w:ascii="Aptos" w:hAnsi="Aptos" w:cs="Arial"/>
                <w:sz w:val="16"/>
                <w:szCs w:val="16"/>
              </w:rPr>
            </w:pPr>
            <w:r>
              <w:rPr>
                <w:rFonts w:ascii="Aptos" w:hAnsi="Aptos" w:cs="Arial"/>
                <w:sz w:val="16"/>
                <w:szCs w:val="16"/>
              </w:rPr>
              <w:t xml:space="preserve">Major databases including </w:t>
            </w:r>
            <w:r w:rsidRPr="00E13276">
              <w:rPr>
                <w:rFonts w:ascii="Aptos" w:hAnsi="Aptos" w:cs="Arial"/>
                <w:sz w:val="16"/>
                <w:szCs w:val="16"/>
              </w:rPr>
              <w:t>PubMed/MEDLINE and Google Scholar</w:t>
            </w:r>
          </w:p>
        </w:tc>
        <w:tc>
          <w:tcPr>
            <w:tcW w:w="241" w:type="pct"/>
          </w:tcPr>
          <w:p w14:paraId="121F73C8" w14:textId="1CAA96BA" w:rsidR="004650CF" w:rsidRPr="00D518FF" w:rsidRDefault="004650CF" w:rsidP="00AA72BD">
            <w:pPr>
              <w:rPr>
                <w:rFonts w:ascii="Aptos" w:hAnsi="Aptos" w:cs="Arial"/>
                <w:sz w:val="16"/>
                <w:szCs w:val="16"/>
              </w:rPr>
            </w:pPr>
            <w:r w:rsidRPr="00D518FF">
              <w:rPr>
                <w:rFonts w:ascii="Aptos" w:hAnsi="Aptos" w:cs="Arial"/>
                <w:sz w:val="16"/>
                <w:szCs w:val="16"/>
              </w:rPr>
              <w:t>Dec</w:t>
            </w:r>
            <w:r w:rsidR="00C22518" w:rsidRPr="00D518FF">
              <w:rPr>
                <w:rFonts w:ascii="Aptos" w:hAnsi="Aptos" w:cs="Arial"/>
                <w:sz w:val="16"/>
                <w:szCs w:val="16"/>
              </w:rPr>
              <w:t xml:space="preserve"> 20</w:t>
            </w:r>
            <w:r w:rsidRPr="00D518FF">
              <w:rPr>
                <w:rFonts w:ascii="Aptos" w:hAnsi="Aptos" w:cs="Arial"/>
                <w:sz w:val="16"/>
                <w:szCs w:val="16"/>
              </w:rPr>
              <w:t>22</w:t>
            </w:r>
          </w:p>
        </w:tc>
        <w:tc>
          <w:tcPr>
            <w:tcW w:w="385" w:type="pct"/>
          </w:tcPr>
          <w:p w14:paraId="5BA97108" w14:textId="53ACC51B" w:rsidR="004650CF" w:rsidRPr="00D518FF" w:rsidRDefault="004650CF" w:rsidP="00AA72BD">
            <w:pPr>
              <w:rPr>
                <w:rFonts w:ascii="Aptos" w:hAnsi="Aptos" w:cs="Arial"/>
                <w:sz w:val="16"/>
                <w:szCs w:val="16"/>
              </w:rPr>
            </w:pPr>
            <w:r w:rsidRPr="00D518FF">
              <w:rPr>
                <w:rFonts w:ascii="Aptos" w:hAnsi="Aptos" w:cs="Arial"/>
                <w:sz w:val="16"/>
                <w:szCs w:val="16"/>
              </w:rPr>
              <w:t>None</w:t>
            </w:r>
          </w:p>
        </w:tc>
        <w:tc>
          <w:tcPr>
            <w:tcW w:w="266" w:type="pct"/>
          </w:tcPr>
          <w:p w14:paraId="0E6234A6" w14:textId="217F404A" w:rsidR="004650CF" w:rsidRPr="00D518FF" w:rsidRDefault="004650CF" w:rsidP="00AA72BD">
            <w:pPr>
              <w:rPr>
                <w:rFonts w:ascii="Aptos" w:hAnsi="Aptos" w:cs="Arial"/>
                <w:sz w:val="16"/>
                <w:szCs w:val="16"/>
              </w:rPr>
            </w:pPr>
            <w:r w:rsidRPr="00D518FF">
              <w:rPr>
                <w:rFonts w:ascii="Aptos" w:hAnsi="Aptos" w:cs="Arial"/>
                <w:sz w:val="16"/>
                <w:szCs w:val="16"/>
              </w:rPr>
              <w:t>Downs and Black checklist</w:t>
            </w:r>
          </w:p>
        </w:tc>
        <w:tc>
          <w:tcPr>
            <w:tcW w:w="263" w:type="pct"/>
          </w:tcPr>
          <w:p w14:paraId="688A77A1" w14:textId="29D21AEB" w:rsidR="004650CF" w:rsidRPr="00D518FF" w:rsidRDefault="004650CF" w:rsidP="00AA72BD">
            <w:pPr>
              <w:rPr>
                <w:rFonts w:ascii="Aptos" w:hAnsi="Aptos" w:cs="Arial"/>
                <w:sz w:val="16"/>
                <w:szCs w:val="16"/>
              </w:rPr>
            </w:pPr>
            <w:r w:rsidRPr="00D518FF">
              <w:rPr>
                <w:rFonts w:ascii="Aptos" w:hAnsi="Aptos" w:cs="Arial"/>
                <w:sz w:val="16"/>
                <w:szCs w:val="16"/>
              </w:rPr>
              <w:t>NR</w:t>
            </w:r>
          </w:p>
        </w:tc>
        <w:tc>
          <w:tcPr>
            <w:tcW w:w="384" w:type="pct"/>
          </w:tcPr>
          <w:p w14:paraId="231C4597" w14:textId="7C5F8082" w:rsidR="004650CF" w:rsidRPr="00D518FF" w:rsidRDefault="004650CF" w:rsidP="00AA72BD">
            <w:pPr>
              <w:rPr>
                <w:rFonts w:ascii="Aptos" w:hAnsi="Aptos" w:cs="Arial"/>
                <w:sz w:val="16"/>
                <w:szCs w:val="16"/>
              </w:rPr>
            </w:pPr>
            <w:r w:rsidRPr="00D518FF">
              <w:rPr>
                <w:rFonts w:ascii="Aptos" w:hAnsi="Aptos" w:cs="Arial"/>
                <w:sz w:val="16"/>
                <w:szCs w:val="16"/>
              </w:rPr>
              <w:t>The authors declare no conflict of interest.</w:t>
            </w:r>
          </w:p>
        </w:tc>
        <w:tc>
          <w:tcPr>
            <w:tcW w:w="673" w:type="pct"/>
          </w:tcPr>
          <w:p w14:paraId="0EA66D21" w14:textId="76D204F1" w:rsidR="004650CF" w:rsidRPr="00D518FF" w:rsidRDefault="004650CF" w:rsidP="00AA72BD">
            <w:pPr>
              <w:rPr>
                <w:rFonts w:ascii="Aptos" w:hAnsi="Aptos" w:cs="Arial"/>
                <w:sz w:val="16"/>
                <w:szCs w:val="16"/>
              </w:rPr>
            </w:pPr>
            <w:r w:rsidRPr="00D518FF">
              <w:rPr>
                <w:rFonts w:ascii="Aptos" w:hAnsi="Aptos" w:cs="Arial"/>
                <w:sz w:val="16"/>
                <w:szCs w:val="16"/>
              </w:rPr>
              <w:t>The funders had no role in the design of the study; in the collection, analyses, or interpretation of data; in the writing of the manuscript; or in the decision to publish the results.</w:t>
            </w:r>
          </w:p>
        </w:tc>
      </w:tr>
      <w:tr w:rsidR="00E13276" w:rsidRPr="00D518FF" w14:paraId="42996ED8" w14:textId="77777777" w:rsidTr="00F614C8">
        <w:trPr>
          <w:trHeight w:val="660"/>
        </w:trPr>
        <w:tc>
          <w:tcPr>
            <w:tcW w:w="235" w:type="pct"/>
          </w:tcPr>
          <w:p w14:paraId="1516A5D0" w14:textId="79EDDD1C" w:rsidR="00F60E69" w:rsidRPr="00D518FF" w:rsidRDefault="00F60E69" w:rsidP="00F60E69">
            <w:pPr>
              <w:rPr>
                <w:rFonts w:ascii="Aptos" w:hAnsi="Aptos" w:cs="Arial"/>
                <w:sz w:val="16"/>
                <w:szCs w:val="16"/>
              </w:rPr>
            </w:pPr>
            <w:r w:rsidRPr="00D518FF">
              <w:rPr>
                <w:rFonts w:ascii="Aptos" w:hAnsi="Aptos" w:cs="Arial"/>
                <w:sz w:val="16"/>
                <w:szCs w:val="16"/>
              </w:rPr>
              <w:t>Huang 2018</w:t>
            </w:r>
          </w:p>
        </w:tc>
        <w:tc>
          <w:tcPr>
            <w:tcW w:w="272" w:type="pct"/>
          </w:tcPr>
          <w:p w14:paraId="20E3CED7" w14:textId="780BECFC"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838" w:type="pct"/>
          </w:tcPr>
          <w:p w14:paraId="5E82E35F" w14:textId="7C8F8511" w:rsidR="00F60E69" w:rsidRPr="00D518FF" w:rsidRDefault="00F60E69" w:rsidP="00F60E69">
            <w:pPr>
              <w:rPr>
                <w:rFonts w:ascii="Aptos" w:hAnsi="Aptos" w:cs="Arial"/>
                <w:sz w:val="16"/>
                <w:szCs w:val="16"/>
              </w:rPr>
            </w:pPr>
            <w:r w:rsidRPr="00D518FF">
              <w:rPr>
                <w:rFonts w:ascii="Aptos" w:hAnsi="Aptos" w:cs="Arial"/>
                <w:sz w:val="16"/>
                <w:szCs w:val="16"/>
              </w:rPr>
              <w:t>to perform a pooled analysis to investigate the effects of CoQ10 intervention on cardiovascular disease (CVD) risk factors in overweight/obese patients with type 2 diabetes mellitus (T2DM)</w:t>
            </w:r>
          </w:p>
        </w:tc>
        <w:tc>
          <w:tcPr>
            <w:tcW w:w="240" w:type="pct"/>
          </w:tcPr>
          <w:p w14:paraId="5E59A879" w14:textId="2A138D27"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290" w:type="pct"/>
          </w:tcPr>
          <w:p w14:paraId="30A1188D" w14:textId="69E80956" w:rsidR="00F60E69" w:rsidRPr="00D518FF" w:rsidRDefault="00F60E69" w:rsidP="00F60E69">
            <w:pPr>
              <w:rPr>
                <w:rFonts w:ascii="Aptos" w:hAnsi="Aptos" w:cs="Arial"/>
                <w:sz w:val="16"/>
                <w:szCs w:val="16"/>
              </w:rPr>
            </w:pPr>
            <w:r w:rsidRPr="00D518FF">
              <w:rPr>
                <w:rFonts w:ascii="Aptos" w:hAnsi="Aptos" w:cs="Arial"/>
                <w:sz w:val="16"/>
                <w:szCs w:val="16"/>
              </w:rPr>
              <w:t>1, 2</w:t>
            </w:r>
          </w:p>
        </w:tc>
        <w:tc>
          <w:tcPr>
            <w:tcW w:w="288" w:type="pct"/>
          </w:tcPr>
          <w:p w14:paraId="2F37B6F6" w14:textId="26128C3B"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625" w:type="pct"/>
          </w:tcPr>
          <w:p w14:paraId="0772B7C3" w14:textId="57651085" w:rsidR="00F60E69" w:rsidRPr="00D518FF" w:rsidRDefault="00F60E69" w:rsidP="00F60E69">
            <w:pPr>
              <w:rPr>
                <w:rFonts w:ascii="Aptos" w:hAnsi="Aptos" w:cs="Arial"/>
                <w:sz w:val="16"/>
                <w:szCs w:val="16"/>
              </w:rPr>
            </w:pPr>
            <w:r w:rsidRPr="00D518FF">
              <w:rPr>
                <w:rFonts w:ascii="Aptos" w:hAnsi="Aptos" w:cs="Arial"/>
                <w:sz w:val="16"/>
                <w:szCs w:val="16"/>
              </w:rPr>
              <w:t>MEDLINE, Embase, CENTRAL</w:t>
            </w:r>
          </w:p>
        </w:tc>
        <w:tc>
          <w:tcPr>
            <w:tcW w:w="241" w:type="pct"/>
          </w:tcPr>
          <w:p w14:paraId="570076C0" w14:textId="5B37ABEF" w:rsidR="00F60E69" w:rsidRPr="00D518FF" w:rsidRDefault="00F60E69" w:rsidP="00F60E69">
            <w:pPr>
              <w:rPr>
                <w:rFonts w:ascii="Aptos" w:hAnsi="Aptos" w:cs="Arial"/>
                <w:sz w:val="16"/>
                <w:szCs w:val="16"/>
              </w:rPr>
            </w:pPr>
            <w:r w:rsidRPr="00D518FF">
              <w:rPr>
                <w:rFonts w:ascii="Aptos" w:hAnsi="Aptos" w:cs="Arial"/>
                <w:sz w:val="16"/>
                <w:szCs w:val="16"/>
              </w:rPr>
              <w:t>Dec 2017</w:t>
            </w:r>
          </w:p>
        </w:tc>
        <w:tc>
          <w:tcPr>
            <w:tcW w:w="385" w:type="pct"/>
          </w:tcPr>
          <w:p w14:paraId="47D88575" w14:textId="01CBE611" w:rsidR="00F60E69" w:rsidRPr="00D518FF" w:rsidRDefault="00F60E69" w:rsidP="00F60E69">
            <w:pPr>
              <w:rPr>
                <w:rFonts w:ascii="Aptos" w:hAnsi="Aptos" w:cs="Arial"/>
                <w:sz w:val="16"/>
                <w:szCs w:val="16"/>
              </w:rPr>
            </w:pPr>
            <w:r w:rsidRPr="00D518FF">
              <w:rPr>
                <w:rFonts w:ascii="Aptos" w:hAnsi="Aptos" w:cs="Arial"/>
                <w:sz w:val="16"/>
                <w:szCs w:val="16"/>
              </w:rPr>
              <w:t>English and clinical trials</w:t>
            </w:r>
          </w:p>
        </w:tc>
        <w:tc>
          <w:tcPr>
            <w:tcW w:w="266" w:type="pct"/>
          </w:tcPr>
          <w:p w14:paraId="5884ADF2" w14:textId="37606B77"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tcPr>
          <w:p w14:paraId="751211F3" w14:textId="1953B46F"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384" w:type="pct"/>
          </w:tcPr>
          <w:p w14:paraId="51478CD7" w14:textId="3B3DBE72" w:rsidR="00F60E69" w:rsidRPr="00D518FF" w:rsidRDefault="00F60E69" w:rsidP="00F60E69">
            <w:pPr>
              <w:rPr>
                <w:rFonts w:ascii="Aptos" w:hAnsi="Aptos" w:cs="Arial"/>
                <w:sz w:val="16"/>
                <w:szCs w:val="16"/>
              </w:rPr>
            </w:pPr>
            <w:r w:rsidRPr="00D518FF">
              <w:rPr>
                <w:rFonts w:ascii="Aptos" w:hAnsi="Aptos" w:cs="Arial"/>
                <w:sz w:val="16"/>
                <w:szCs w:val="16"/>
              </w:rPr>
              <w:t>The authors report no conflicts of interest in this work.</w:t>
            </w:r>
          </w:p>
        </w:tc>
        <w:tc>
          <w:tcPr>
            <w:tcW w:w="673" w:type="pct"/>
          </w:tcPr>
          <w:p w14:paraId="40F2EDCB" w14:textId="4ABFF720" w:rsidR="00F60E69" w:rsidRPr="00D518FF" w:rsidRDefault="00F60E69" w:rsidP="00F60E69">
            <w:pPr>
              <w:rPr>
                <w:rFonts w:ascii="Aptos" w:hAnsi="Aptos" w:cs="Arial"/>
                <w:sz w:val="16"/>
                <w:szCs w:val="16"/>
              </w:rPr>
            </w:pPr>
            <w:r w:rsidRPr="00D518FF">
              <w:rPr>
                <w:rFonts w:ascii="Aptos" w:hAnsi="Aptos" w:cs="Arial"/>
                <w:sz w:val="16"/>
                <w:szCs w:val="16"/>
              </w:rPr>
              <w:t>NR</w:t>
            </w:r>
          </w:p>
        </w:tc>
      </w:tr>
      <w:tr w:rsidR="00E13276" w:rsidRPr="00D518FF" w14:paraId="0754A12A" w14:textId="77777777" w:rsidTr="00F614C8">
        <w:trPr>
          <w:trHeight w:val="660"/>
        </w:trPr>
        <w:tc>
          <w:tcPr>
            <w:tcW w:w="235" w:type="pct"/>
          </w:tcPr>
          <w:p w14:paraId="4A303236" w14:textId="35488018" w:rsidR="00F60E69" w:rsidRPr="00D518FF" w:rsidRDefault="00F60E69" w:rsidP="00F60E69">
            <w:pPr>
              <w:rPr>
                <w:rFonts w:ascii="Aptos" w:hAnsi="Aptos" w:cs="Arial"/>
                <w:sz w:val="16"/>
                <w:szCs w:val="16"/>
              </w:rPr>
            </w:pPr>
            <w:r w:rsidRPr="00D518FF">
              <w:rPr>
                <w:rFonts w:ascii="Aptos" w:hAnsi="Aptos" w:cs="Arial"/>
                <w:sz w:val="16"/>
                <w:szCs w:val="16"/>
              </w:rPr>
              <w:t>Huo 2022</w:t>
            </w:r>
          </w:p>
        </w:tc>
        <w:tc>
          <w:tcPr>
            <w:tcW w:w="272" w:type="pct"/>
          </w:tcPr>
          <w:p w14:paraId="36031D41" w14:textId="28F0D13E"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838" w:type="pct"/>
          </w:tcPr>
          <w:p w14:paraId="30862613" w14:textId="3584FE77" w:rsidR="00F60E69" w:rsidRPr="00D518FF" w:rsidRDefault="00E13276" w:rsidP="00F60E69">
            <w:pPr>
              <w:rPr>
                <w:rFonts w:ascii="Aptos" w:hAnsi="Aptos" w:cs="Arial"/>
                <w:sz w:val="16"/>
                <w:szCs w:val="16"/>
              </w:rPr>
            </w:pPr>
            <w:r>
              <w:rPr>
                <w:rFonts w:ascii="Aptos" w:hAnsi="Aptos" w:cs="Arial"/>
                <w:sz w:val="16"/>
                <w:szCs w:val="16"/>
              </w:rPr>
              <w:t>T</w:t>
            </w:r>
            <w:r w:rsidR="00F60E69" w:rsidRPr="00D518FF">
              <w:rPr>
                <w:rFonts w:ascii="Aptos" w:hAnsi="Aptos" w:cs="Arial"/>
                <w:sz w:val="16"/>
                <w:szCs w:val="16"/>
              </w:rPr>
              <w:t>o examine whether these supplements are effective in DPN treatment</w:t>
            </w:r>
            <w:r>
              <w:rPr>
                <w:rFonts w:ascii="Aptos" w:hAnsi="Aptos" w:cs="Arial"/>
                <w:sz w:val="16"/>
                <w:szCs w:val="16"/>
              </w:rPr>
              <w:t>.</w:t>
            </w:r>
          </w:p>
        </w:tc>
        <w:tc>
          <w:tcPr>
            <w:tcW w:w="240" w:type="pct"/>
          </w:tcPr>
          <w:p w14:paraId="256F6A1D" w14:textId="50F7166F"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290" w:type="pct"/>
          </w:tcPr>
          <w:p w14:paraId="3E46B1C1" w14:textId="77C7E229"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288" w:type="pct"/>
          </w:tcPr>
          <w:p w14:paraId="391DFD13" w14:textId="4FD6407E" w:rsidR="00F60E69" w:rsidRPr="00D518FF" w:rsidRDefault="00F60E69" w:rsidP="00F60E69">
            <w:pPr>
              <w:rPr>
                <w:rFonts w:ascii="Aptos" w:hAnsi="Aptos" w:cs="Arial"/>
                <w:sz w:val="16"/>
                <w:szCs w:val="16"/>
              </w:rPr>
            </w:pPr>
            <w:r w:rsidRPr="00D518FF">
              <w:rPr>
                <w:rFonts w:ascii="Aptos" w:hAnsi="Aptos" w:cs="Arial"/>
                <w:sz w:val="16"/>
                <w:szCs w:val="16"/>
              </w:rPr>
              <w:t>7</w:t>
            </w:r>
          </w:p>
        </w:tc>
        <w:tc>
          <w:tcPr>
            <w:tcW w:w="625" w:type="pct"/>
          </w:tcPr>
          <w:p w14:paraId="4E829213" w14:textId="25CDCFC5" w:rsidR="00F60E69" w:rsidRPr="00D518FF" w:rsidRDefault="00F60E69" w:rsidP="00F60E69">
            <w:pPr>
              <w:rPr>
                <w:rFonts w:ascii="Aptos" w:hAnsi="Aptos" w:cs="Arial"/>
                <w:sz w:val="16"/>
                <w:szCs w:val="16"/>
              </w:rPr>
            </w:pPr>
            <w:r w:rsidRPr="00D518FF">
              <w:rPr>
                <w:rFonts w:ascii="Aptos" w:hAnsi="Aptos" w:cs="Arial"/>
                <w:sz w:val="16"/>
                <w:szCs w:val="16"/>
              </w:rPr>
              <w:t>PubMed, EMBASE, Web of Science, Chinese Biomedical Database (CBM), Cochrane Library, China National Knowledge Infrastructure (CNKI), China Science and Technology Journal Database</w:t>
            </w:r>
          </w:p>
        </w:tc>
        <w:tc>
          <w:tcPr>
            <w:tcW w:w="241" w:type="pct"/>
          </w:tcPr>
          <w:p w14:paraId="022ACA62" w14:textId="63A87BA0" w:rsidR="00F60E69" w:rsidRPr="00D518FF" w:rsidRDefault="00F60E69" w:rsidP="00F60E69">
            <w:pPr>
              <w:rPr>
                <w:rFonts w:ascii="Aptos" w:hAnsi="Aptos" w:cs="Arial"/>
                <w:sz w:val="16"/>
                <w:szCs w:val="16"/>
              </w:rPr>
            </w:pPr>
            <w:r w:rsidRPr="00D518FF">
              <w:rPr>
                <w:rFonts w:ascii="Aptos" w:hAnsi="Aptos" w:cs="Arial"/>
                <w:sz w:val="16"/>
                <w:szCs w:val="16"/>
              </w:rPr>
              <w:t>Oct 2021</w:t>
            </w:r>
          </w:p>
        </w:tc>
        <w:tc>
          <w:tcPr>
            <w:tcW w:w="385" w:type="pct"/>
          </w:tcPr>
          <w:p w14:paraId="3EA2BF29" w14:textId="06B3ACE1"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266" w:type="pct"/>
          </w:tcPr>
          <w:p w14:paraId="048C4C29" w14:textId="519B98C4"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tcPr>
          <w:p w14:paraId="15527738" w14:textId="43FC712D"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384" w:type="pct"/>
          </w:tcPr>
          <w:p w14:paraId="17B46D46" w14:textId="468EA2F0" w:rsidR="00F60E69" w:rsidRPr="00D518FF" w:rsidRDefault="00F60E69" w:rsidP="00F60E69">
            <w:pPr>
              <w:rPr>
                <w:rFonts w:ascii="Aptos" w:hAnsi="Aptos" w:cs="Arial"/>
                <w:sz w:val="16"/>
                <w:szCs w:val="16"/>
              </w:rPr>
            </w:pPr>
            <w:r w:rsidRPr="00D518FF">
              <w:rPr>
                <w:rFonts w:ascii="Aptos" w:hAnsi="Aptos" w:cs="Arial"/>
                <w:sz w:val="16"/>
                <w:szCs w:val="16"/>
              </w:rPr>
              <w:t>No potential conflict of interest was reported by the author(s)</w:t>
            </w:r>
          </w:p>
        </w:tc>
        <w:tc>
          <w:tcPr>
            <w:tcW w:w="673" w:type="pct"/>
          </w:tcPr>
          <w:p w14:paraId="7FD0C64E" w14:textId="4A22F778" w:rsidR="00F60E69" w:rsidRPr="00D518FF" w:rsidRDefault="00F60E69" w:rsidP="00F60E69">
            <w:pPr>
              <w:rPr>
                <w:rFonts w:ascii="Aptos" w:hAnsi="Aptos" w:cs="Arial"/>
                <w:sz w:val="16"/>
                <w:szCs w:val="16"/>
              </w:rPr>
            </w:pPr>
            <w:r w:rsidRPr="00D518FF">
              <w:rPr>
                <w:rFonts w:ascii="Aptos" w:hAnsi="Aptos" w:cs="Arial"/>
                <w:sz w:val="16"/>
                <w:szCs w:val="16"/>
              </w:rPr>
              <w:br/>
              <w:t>This work was supported by Ningxia Natural Science Foundation, China, [grant number: 2021AAC03138]; The National Natural Science Foundation of China [grant number: 82060596].</w:t>
            </w:r>
          </w:p>
        </w:tc>
      </w:tr>
      <w:tr w:rsidR="00E13276" w:rsidRPr="00D518FF" w14:paraId="6FBEE948" w14:textId="77777777" w:rsidTr="00A6108F">
        <w:trPr>
          <w:trHeight w:val="660"/>
        </w:trPr>
        <w:tc>
          <w:tcPr>
            <w:tcW w:w="235" w:type="pct"/>
            <w:shd w:val="clear" w:color="auto" w:fill="EFFFE9"/>
          </w:tcPr>
          <w:p w14:paraId="38469ACB" w14:textId="3966FB66" w:rsidR="00F60E69" w:rsidRPr="00D518FF" w:rsidRDefault="00F60E69" w:rsidP="00F60E69">
            <w:pPr>
              <w:rPr>
                <w:rFonts w:ascii="Aptos" w:hAnsi="Aptos" w:cs="Arial"/>
                <w:sz w:val="16"/>
                <w:szCs w:val="16"/>
              </w:rPr>
            </w:pPr>
            <w:r w:rsidRPr="00D518FF">
              <w:rPr>
                <w:rFonts w:ascii="Aptos" w:hAnsi="Aptos" w:cs="Arial"/>
                <w:sz w:val="16"/>
                <w:szCs w:val="16"/>
              </w:rPr>
              <w:t>Jibril 2022</w:t>
            </w:r>
          </w:p>
        </w:tc>
        <w:tc>
          <w:tcPr>
            <w:tcW w:w="272" w:type="pct"/>
            <w:shd w:val="clear" w:color="auto" w:fill="EFFFE9"/>
          </w:tcPr>
          <w:p w14:paraId="07AD3EC8" w14:textId="1635D89F" w:rsidR="00F60E69" w:rsidRPr="00D518FF" w:rsidRDefault="00F60E69" w:rsidP="00F60E69">
            <w:pPr>
              <w:rPr>
                <w:rFonts w:ascii="Aptos" w:hAnsi="Aptos" w:cs="Arial"/>
                <w:sz w:val="16"/>
                <w:szCs w:val="16"/>
              </w:rPr>
            </w:pPr>
            <w:r w:rsidRPr="00D518FF">
              <w:rPr>
                <w:rFonts w:ascii="Aptos" w:hAnsi="Aptos" w:cs="Arial"/>
                <w:sz w:val="16"/>
                <w:szCs w:val="16"/>
              </w:rPr>
              <w:t>systematic review and dose–</w:t>
            </w:r>
            <w:r w:rsidRPr="00D518FF">
              <w:rPr>
                <w:rFonts w:ascii="Aptos" w:hAnsi="Aptos" w:cs="Arial"/>
                <w:sz w:val="16"/>
                <w:szCs w:val="16"/>
              </w:rPr>
              <w:br/>
              <w:t>response meta-analysis</w:t>
            </w:r>
          </w:p>
        </w:tc>
        <w:tc>
          <w:tcPr>
            <w:tcW w:w="838" w:type="pct"/>
            <w:shd w:val="clear" w:color="auto" w:fill="EFFFE9"/>
          </w:tcPr>
          <w:p w14:paraId="1C4E3AC0" w14:textId="3A7C8113" w:rsidR="00F60E69" w:rsidRPr="00D518FF" w:rsidRDefault="00F60E69" w:rsidP="00F60E69">
            <w:pPr>
              <w:rPr>
                <w:rFonts w:ascii="Aptos" w:hAnsi="Aptos" w:cs="Arial"/>
                <w:sz w:val="16"/>
                <w:szCs w:val="16"/>
              </w:rPr>
            </w:pPr>
            <w:r w:rsidRPr="00D518FF">
              <w:rPr>
                <w:rFonts w:ascii="Aptos" w:hAnsi="Aptos" w:cs="Arial"/>
                <w:sz w:val="16"/>
                <w:szCs w:val="16"/>
              </w:rPr>
              <w:t>To examine the dose-dependent influence of oral alpha-lipoic acid (ALA)</w:t>
            </w:r>
            <w:r w:rsidR="00E13276">
              <w:rPr>
                <w:rFonts w:ascii="Aptos" w:hAnsi="Aptos" w:cs="Arial"/>
                <w:sz w:val="16"/>
                <w:szCs w:val="16"/>
              </w:rPr>
              <w:t xml:space="preserve"> </w:t>
            </w:r>
            <w:r w:rsidRPr="00D518FF">
              <w:rPr>
                <w:rFonts w:ascii="Aptos" w:hAnsi="Aptos" w:cs="Arial"/>
                <w:sz w:val="16"/>
                <w:szCs w:val="16"/>
              </w:rPr>
              <w:t>supplementation on cardiometabolic risk factors in patients with type 2 diabetes (T2D).</w:t>
            </w:r>
          </w:p>
        </w:tc>
        <w:tc>
          <w:tcPr>
            <w:tcW w:w="240" w:type="pct"/>
            <w:shd w:val="clear" w:color="auto" w:fill="EFFFE9"/>
          </w:tcPr>
          <w:p w14:paraId="0030A528" w14:textId="40240441" w:rsidR="00F60E69" w:rsidRPr="00D518FF" w:rsidRDefault="00F60E69" w:rsidP="00F60E69">
            <w:pPr>
              <w:rPr>
                <w:rFonts w:ascii="Aptos" w:hAnsi="Aptos" w:cs="Arial"/>
                <w:sz w:val="16"/>
                <w:szCs w:val="16"/>
              </w:rPr>
            </w:pPr>
            <w:r w:rsidRPr="00D518FF">
              <w:rPr>
                <w:rFonts w:ascii="Aptos" w:hAnsi="Aptos" w:cs="Arial"/>
                <w:sz w:val="16"/>
                <w:szCs w:val="16"/>
              </w:rPr>
              <w:t>RCTs</w:t>
            </w:r>
          </w:p>
        </w:tc>
        <w:tc>
          <w:tcPr>
            <w:tcW w:w="290" w:type="pct"/>
            <w:shd w:val="clear" w:color="auto" w:fill="EFFFE9"/>
          </w:tcPr>
          <w:p w14:paraId="653C94FE" w14:textId="0205EE03" w:rsidR="00F60E69" w:rsidRPr="00D518FF" w:rsidRDefault="00F60E69" w:rsidP="00F60E69">
            <w:pPr>
              <w:rPr>
                <w:rFonts w:ascii="Aptos" w:hAnsi="Aptos" w:cs="Arial"/>
                <w:sz w:val="16"/>
                <w:szCs w:val="16"/>
              </w:rPr>
            </w:pPr>
            <w:r w:rsidRPr="00D518FF">
              <w:rPr>
                <w:rFonts w:ascii="Aptos" w:hAnsi="Aptos" w:cs="Arial"/>
                <w:sz w:val="16"/>
                <w:szCs w:val="16"/>
              </w:rPr>
              <w:t>1, 2</w:t>
            </w:r>
          </w:p>
        </w:tc>
        <w:tc>
          <w:tcPr>
            <w:tcW w:w="288" w:type="pct"/>
            <w:shd w:val="clear" w:color="auto" w:fill="EFFFE9"/>
          </w:tcPr>
          <w:p w14:paraId="602CCD95" w14:textId="35FBF899"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625" w:type="pct"/>
            <w:shd w:val="clear" w:color="auto" w:fill="EFFFE9"/>
          </w:tcPr>
          <w:p w14:paraId="31D7B847" w14:textId="594089C4" w:rsidR="00F60E69" w:rsidRPr="00D518FF" w:rsidRDefault="00F60E69" w:rsidP="00F60E69">
            <w:pPr>
              <w:rPr>
                <w:rFonts w:ascii="Aptos" w:hAnsi="Aptos" w:cs="Arial"/>
                <w:sz w:val="16"/>
                <w:szCs w:val="16"/>
              </w:rPr>
            </w:pPr>
            <w:r w:rsidRPr="00D518FF">
              <w:rPr>
                <w:rFonts w:ascii="Aptos" w:hAnsi="Aptos" w:cs="Arial"/>
                <w:sz w:val="16"/>
                <w:szCs w:val="16"/>
              </w:rPr>
              <w:t xml:space="preserve">PubMed, Scopus, Web of Science </w:t>
            </w:r>
          </w:p>
        </w:tc>
        <w:tc>
          <w:tcPr>
            <w:tcW w:w="241" w:type="pct"/>
            <w:shd w:val="clear" w:color="auto" w:fill="EFFFE9"/>
          </w:tcPr>
          <w:p w14:paraId="3BC54BE4" w14:textId="1BF219FE" w:rsidR="00F60E69" w:rsidRPr="00D518FF" w:rsidRDefault="00F60E69" w:rsidP="00F60E69">
            <w:pPr>
              <w:rPr>
                <w:rFonts w:ascii="Aptos" w:hAnsi="Aptos" w:cs="Arial"/>
                <w:sz w:val="16"/>
                <w:szCs w:val="16"/>
              </w:rPr>
            </w:pPr>
            <w:r w:rsidRPr="00D518FF">
              <w:rPr>
                <w:rFonts w:ascii="Aptos" w:hAnsi="Aptos" w:cs="Arial"/>
                <w:sz w:val="16"/>
                <w:szCs w:val="16"/>
              </w:rPr>
              <w:t>May 2021</w:t>
            </w:r>
          </w:p>
        </w:tc>
        <w:tc>
          <w:tcPr>
            <w:tcW w:w="385" w:type="pct"/>
            <w:shd w:val="clear" w:color="auto" w:fill="EFFFE9"/>
          </w:tcPr>
          <w:p w14:paraId="1AFD4A57" w14:textId="543966B7" w:rsidR="00F60E69" w:rsidRPr="00D518FF" w:rsidRDefault="00F60E69" w:rsidP="00F60E69">
            <w:pPr>
              <w:rPr>
                <w:rFonts w:ascii="Aptos" w:hAnsi="Aptos" w:cs="Arial"/>
                <w:sz w:val="16"/>
                <w:szCs w:val="16"/>
              </w:rPr>
            </w:pPr>
            <w:r w:rsidRPr="00D518FF">
              <w:rPr>
                <w:rFonts w:ascii="Aptos" w:hAnsi="Aptos" w:cs="Arial"/>
                <w:sz w:val="16"/>
                <w:szCs w:val="16"/>
              </w:rPr>
              <w:t>not language restricted</w:t>
            </w:r>
          </w:p>
        </w:tc>
        <w:tc>
          <w:tcPr>
            <w:tcW w:w="266" w:type="pct"/>
            <w:shd w:val="clear" w:color="auto" w:fill="EFFFE9"/>
          </w:tcPr>
          <w:p w14:paraId="02199D49" w14:textId="20B29027"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shd w:val="clear" w:color="auto" w:fill="EFFFE9"/>
          </w:tcPr>
          <w:p w14:paraId="2BB3BD68" w14:textId="2BA28F75"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384" w:type="pct"/>
            <w:shd w:val="clear" w:color="auto" w:fill="EFFFE9"/>
          </w:tcPr>
          <w:p w14:paraId="297607FE" w14:textId="16663DD1" w:rsidR="00F60E69" w:rsidRPr="00D518FF" w:rsidRDefault="00F60E69" w:rsidP="00F60E69">
            <w:pPr>
              <w:rPr>
                <w:rFonts w:ascii="Aptos" w:hAnsi="Aptos" w:cs="Arial"/>
                <w:sz w:val="16"/>
                <w:szCs w:val="16"/>
              </w:rPr>
            </w:pPr>
            <w:r w:rsidRPr="00D518FF">
              <w:rPr>
                <w:rFonts w:ascii="Aptos" w:hAnsi="Aptos" w:cs="Arial"/>
                <w:sz w:val="16"/>
                <w:szCs w:val="16"/>
              </w:rPr>
              <w:t>The authors declare that there is no conflict of interest that could be</w:t>
            </w:r>
            <w:r w:rsidRPr="00D518FF">
              <w:rPr>
                <w:rFonts w:ascii="Aptos" w:hAnsi="Aptos" w:cs="Arial"/>
                <w:sz w:val="16"/>
                <w:szCs w:val="16"/>
              </w:rPr>
              <w:br/>
              <w:t xml:space="preserve">perceived as prejudicing the impartiality of </w:t>
            </w:r>
            <w:r w:rsidRPr="00D518FF">
              <w:rPr>
                <w:rFonts w:ascii="Aptos" w:hAnsi="Aptos" w:cs="Arial"/>
                <w:sz w:val="16"/>
                <w:szCs w:val="16"/>
              </w:rPr>
              <w:lastRenderedPageBreak/>
              <w:t>the research reported.</w:t>
            </w:r>
          </w:p>
        </w:tc>
        <w:tc>
          <w:tcPr>
            <w:tcW w:w="673" w:type="pct"/>
            <w:shd w:val="clear" w:color="auto" w:fill="EFFFE9"/>
          </w:tcPr>
          <w:p w14:paraId="301D5126" w14:textId="6B5E4B3F" w:rsidR="00F60E69" w:rsidRPr="00D518FF" w:rsidRDefault="00F60E69" w:rsidP="00F60E69">
            <w:pPr>
              <w:rPr>
                <w:rFonts w:ascii="Aptos" w:hAnsi="Aptos" w:cs="Arial"/>
                <w:sz w:val="16"/>
                <w:szCs w:val="16"/>
              </w:rPr>
            </w:pPr>
            <w:r w:rsidRPr="00D518FF">
              <w:rPr>
                <w:rFonts w:ascii="Aptos" w:hAnsi="Aptos" w:cs="Arial"/>
                <w:sz w:val="16"/>
                <w:szCs w:val="16"/>
              </w:rPr>
              <w:lastRenderedPageBreak/>
              <w:t>This work did not receive any specific grant from any funding agency in the</w:t>
            </w:r>
            <w:r w:rsidRPr="00D518FF">
              <w:rPr>
                <w:rFonts w:ascii="Aptos" w:hAnsi="Aptos" w:cs="Arial"/>
                <w:sz w:val="16"/>
                <w:szCs w:val="16"/>
              </w:rPr>
              <w:br/>
              <w:t>public, commercial, or not-for-profit sector.</w:t>
            </w:r>
          </w:p>
        </w:tc>
      </w:tr>
      <w:tr w:rsidR="00E13276" w:rsidRPr="00D518FF" w14:paraId="32C7D0F6" w14:textId="77777777" w:rsidTr="00A6108F">
        <w:trPr>
          <w:trHeight w:val="660"/>
        </w:trPr>
        <w:tc>
          <w:tcPr>
            <w:tcW w:w="235" w:type="pct"/>
            <w:shd w:val="clear" w:color="auto" w:fill="EFFFE9"/>
          </w:tcPr>
          <w:p w14:paraId="4801D4A6" w14:textId="3EC75A5C" w:rsidR="00F60E69" w:rsidRPr="00D518FF" w:rsidRDefault="00F60E69" w:rsidP="00F60E69">
            <w:pPr>
              <w:rPr>
                <w:rFonts w:ascii="Aptos" w:hAnsi="Aptos" w:cs="Arial"/>
                <w:sz w:val="16"/>
                <w:szCs w:val="16"/>
              </w:rPr>
            </w:pPr>
            <w:r w:rsidRPr="00D518FF">
              <w:rPr>
                <w:rFonts w:ascii="Aptos" w:hAnsi="Aptos" w:cs="Arial"/>
                <w:sz w:val="16"/>
                <w:szCs w:val="16"/>
              </w:rPr>
              <w:t>Kim 2022</w:t>
            </w:r>
          </w:p>
        </w:tc>
        <w:tc>
          <w:tcPr>
            <w:tcW w:w="272" w:type="pct"/>
            <w:shd w:val="clear" w:color="auto" w:fill="EFFFE9"/>
          </w:tcPr>
          <w:p w14:paraId="0947C531" w14:textId="3C2F1851"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838" w:type="pct"/>
            <w:shd w:val="clear" w:color="auto" w:fill="EFFFE9"/>
          </w:tcPr>
          <w:p w14:paraId="216496F5" w14:textId="55707E82" w:rsidR="00F60E69" w:rsidRPr="00D518FF" w:rsidRDefault="00E13276" w:rsidP="00F60E69">
            <w:pPr>
              <w:rPr>
                <w:rFonts w:ascii="Aptos" w:hAnsi="Aptos" w:cs="Arial"/>
                <w:sz w:val="16"/>
                <w:szCs w:val="16"/>
              </w:rPr>
            </w:pPr>
            <w:r>
              <w:rPr>
                <w:rFonts w:ascii="Aptos" w:hAnsi="Aptos" w:cs="Arial"/>
                <w:sz w:val="16"/>
                <w:szCs w:val="16"/>
              </w:rPr>
              <w:t>T</w:t>
            </w:r>
            <w:r w:rsidR="00F60E69" w:rsidRPr="00D518FF">
              <w:rPr>
                <w:rFonts w:ascii="Aptos" w:hAnsi="Aptos" w:cs="Arial"/>
                <w:sz w:val="16"/>
                <w:szCs w:val="16"/>
              </w:rPr>
              <w:t>o compare pharmaconutrients with a placebo in T2DM patients consuming antidiabetics drugs. We aimed to identify add-on pharmaconutrients that exert regulatory effects on glucose levels and insulin resist- ance in patients with T2DM by pooling data from currently available RCTs.</w:t>
            </w:r>
          </w:p>
        </w:tc>
        <w:tc>
          <w:tcPr>
            <w:tcW w:w="240" w:type="pct"/>
            <w:shd w:val="clear" w:color="auto" w:fill="EFFFE9"/>
          </w:tcPr>
          <w:p w14:paraId="2B000AA6" w14:textId="19362504" w:rsidR="00F60E69" w:rsidRPr="00D518FF" w:rsidRDefault="00F60E69" w:rsidP="00F60E69">
            <w:pPr>
              <w:rPr>
                <w:rFonts w:ascii="Aptos" w:hAnsi="Aptos" w:cs="Arial"/>
                <w:sz w:val="16"/>
                <w:szCs w:val="16"/>
              </w:rPr>
            </w:pPr>
            <w:r w:rsidRPr="00D518FF">
              <w:rPr>
                <w:rFonts w:ascii="Aptos" w:hAnsi="Aptos" w:cs="Arial"/>
                <w:sz w:val="16"/>
                <w:szCs w:val="16"/>
              </w:rPr>
              <w:t xml:space="preserve">RCTs </w:t>
            </w:r>
          </w:p>
        </w:tc>
        <w:tc>
          <w:tcPr>
            <w:tcW w:w="290" w:type="pct"/>
            <w:shd w:val="clear" w:color="auto" w:fill="EFFFE9"/>
          </w:tcPr>
          <w:p w14:paraId="3BA54D62" w14:textId="6ABD65ED"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288" w:type="pct"/>
            <w:shd w:val="clear" w:color="auto" w:fill="EFFFE9"/>
          </w:tcPr>
          <w:p w14:paraId="4F968297" w14:textId="39266135" w:rsidR="00F60E69" w:rsidRPr="00D518FF" w:rsidRDefault="00F60E69" w:rsidP="00F60E69">
            <w:pPr>
              <w:rPr>
                <w:rFonts w:ascii="Aptos" w:hAnsi="Aptos" w:cs="Arial"/>
                <w:sz w:val="16"/>
                <w:szCs w:val="16"/>
              </w:rPr>
            </w:pPr>
            <w:r w:rsidRPr="00D518FF">
              <w:rPr>
                <w:rFonts w:ascii="Aptos" w:hAnsi="Aptos" w:cs="Arial"/>
                <w:sz w:val="16"/>
                <w:szCs w:val="16"/>
              </w:rPr>
              <w:t>3</w:t>
            </w:r>
          </w:p>
        </w:tc>
        <w:tc>
          <w:tcPr>
            <w:tcW w:w="625" w:type="pct"/>
            <w:shd w:val="clear" w:color="auto" w:fill="EFFFE9"/>
          </w:tcPr>
          <w:p w14:paraId="5C1CBA76" w14:textId="5D306BBA" w:rsidR="00F60E69" w:rsidRPr="00D518FF" w:rsidRDefault="00F60E69" w:rsidP="00F60E69">
            <w:pPr>
              <w:rPr>
                <w:rFonts w:ascii="Aptos" w:hAnsi="Aptos" w:cs="Arial"/>
                <w:sz w:val="16"/>
                <w:szCs w:val="16"/>
              </w:rPr>
            </w:pPr>
            <w:r w:rsidRPr="00D518FF">
              <w:rPr>
                <w:rFonts w:ascii="Aptos" w:hAnsi="Aptos" w:cs="Arial"/>
                <w:sz w:val="16"/>
                <w:szCs w:val="16"/>
              </w:rPr>
              <w:t>PubMed, EMBASE, CENTRAL</w:t>
            </w:r>
          </w:p>
        </w:tc>
        <w:tc>
          <w:tcPr>
            <w:tcW w:w="241" w:type="pct"/>
            <w:shd w:val="clear" w:color="auto" w:fill="EFFFE9"/>
          </w:tcPr>
          <w:p w14:paraId="552A3860" w14:textId="25A1A573" w:rsidR="00F60E69" w:rsidRPr="00D518FF" w:rsidRDefault="00F60E69" w:rsidP="00F60E69">
            <w:pPr>
              <w:rPr>
                <w:rFonts w:ascii="Aptos" w:hAnsi="Aptos" w:cs="Arial"/>
                <w:sz w:val="16"/>
                <w:szCs w:val="16"/>
              </w:rPr>
            </w:pPr>
            <w:r w:rsidRPr="00D518FF">
              <w:rPr>
                <w:rFonts w:ascii="Aptos" w:hAnsi="Aptos" w:cs="Arial"/>
                <w:sz w:val="16"/>
                <w:szCs w:val="16"/>
              </w:rPr>
              <w:t>Aug 2021</w:t>
            </w:r>
          </w:p>
        </w:tc>
        <w:tc>
          <w:tcPr>
            <w:tcW w:w="385" w:type="pct"/>
            <w:shd w:val="clear" w:color="auto" w:fill="EFFFE9"/>
          </w:tcPr>
          <w:p w14:paraId="4FC1B036" w14:textId="74A8D413" w:rsidR="00F60E69" w:rsidRPr="00D518FF" w:rsidRDefault="00F60E69" w:rsidP="00F60E69">
            <w:pPr>
              <w:rPr>
                <w:rFonts w:ascii="Aptos" w:hAnsi="Aptos" w:cs="Arial"/>
                <w:sz w:val="16"/>
                <w:szCs w:val="16"/>
              </w:rPr>
            </w:pPr>
            <w:r w:rsidRPr="00D518FF">
              <w:rPr>
                <w:rFonts w:ascii="Aptos" w:hAnsi="Aptos" w:cs="Arial"/>
                <w:sz w:val="16"/>
                <w:szCs w:val="16"/>
              </w:rPr>
              <w:t>English</w:t>
            </w:r>
          </w:p>
        </w:tc>
        <w:tc>
          <w:tcPr>
            <w:tcW w:w="266" w:type="pct"/>
            <w:shd w:val="clear" w:color="auto" w:fill="EFFFE9"/>
          </w:tcPr>
          <w:p w14:paraId="5491F2B0" w14:textId="666DB54A"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shd w:val="clear" w:color="auto" w:fill="EFFFE9"/>
          </w:tcPr>
          <w:p w14:paraId="7E18396D" w14:textId="24C746BA" w:rsidR="00F60E69" w:rsidRPr="00D518FF" w:rsidRDefault="00F60E69" w:rsidP="00F60E69">
            <w:pPr>
              <w:rPr>
                <w:rFonts w:ascii="Aptos" w:hAnsi="Aptos" w:cs="Arial"/>
                <w:sz w:val="16"/>
                <w:szCs w:val="16"/>
              </w:rPr>
            </w:pPr>
            <w:r w:rsidRPr="00D518FF">
              <w:rPr>
                <w:rFonts w:ascii="Aptos" w:hAnsi="Aptos" w:cs="Arial"/>
                <w:sz w:val="16"/>
                <w:szCs w:val="16"/>
              </w:rPr>
              <w:t>GRADE</w:t>
            </w:r>
          </w:p>
        </w:tc>
        <w:tc>
          <w:tcPr>
            <w:tcW w:w="384" w:type="pct"/>
            <w:shd w:val="clear" w:color="auto" w:fill="EFFFE9"/>
          </w:tcPr>
          <w:p w14:paraId="02601598" w14:textId="0BF1198D" w:rsidR="00F60E69" w:rsidRPr="00D518FF" w:rsidRDefault="00F60E69" w:rsidP="00F60E69">
            <w:pPr>
              <w:rPr>
                <w:rFonts w:ascii="Aptos" w:hAnsi="Aptos" w:cs="Arial"/>
                <w:sz w:val="16"/>
                <w:szCs w:val="16"/>
              </w:rPr>
            </w:pPr>
            <w:r w:rsidRPr="00D518FF">
              <w:rPr>
                <w:rFonts w:ascii="Aptos" w:hAnsi="Aptos" w:cs="Arial"/>
                <w:sz w:val="16"/>
                <w:szCs w:val="16"/>
              </w:rPr>
              <w:t>All authors declare that there are no conflicts</w:t>
            </w:r>
          </w:p>
        </w:tc>
        <w:tc>
          <w:tcPr>
            <w:tcW w:w="673" w:type="pct"/>
            <w:shd w:val="clear" w:color="auto" w:fill="EFFFE9"/>
          </w:tcPr>
          <w:p w14:paraId="3B291999" w14:textId="5CB66BAC" w:rsidR="00F60E69" w:rsidRPr="00D518FF" w:rsidRDefault="00F60E69" w:rsidP="00F60E69">
            <w:pPr>
              <w:rPr>
                <w:rFonts w:ascii="Aptos" w:hAnsi="Aptos" w:cs="Arial"/>
                <w:sz w:val="16"/>
                <w:szCs w:val="16"/>
              </w:rPr>
            </w:pPr>
            <w:r w:rsidRPr="00D518FF">
              <w:rPr>
                <w:rFonts w:ascii="Aptos" w:hAnsi="Aptos" w:cs="Arial"/>
                <w:sz w:val="16"/>
                <w:szCs w:val="16"/>
              </w:rPr>
              <w:t>This study was supported by Basic Science Research Program through the National Research Foundation of Korea funded by the Ministry of Education (Grant Numbers 2018R1D1A1B07046564 and 2021R1A6A1A03044296) and by NRF grant funded by the Korea government (Ministry of Science and ICT, MICT) (NRF-2021R1F1A1062044). The funders had no role in study design, data collection, data analysis, or decision to publish and preparation of the manuscript.</w:t>
            </w:r>
          </w:p>
        </w:tc>
      </w:tr>
      <w:tr w:rsidR="00E13276" w:rsidRPr="00D518FF" w14:paraId="071A50D3" w14:textId="77777777" w:rsidTr="00F614C8">
        <w:trPr>
          <w:trHeight w:val="660"/>
        </w:trPr>
        <w:tc>
          <w:tcPr>
            <w:tcW w:w="235" w:type="pct"/>
          </w:tcPr>
          <w:p w14:paraId="4843E2F5" w14:textId="00E26141" w:rsidR="00F60E69" w:rsidRPr="00D518FF" w:rsidRDefault="00F60E69" w:rsidP="00F60E69">
            <w:pPr>
              <w:rPr>
                <w:rFonts w:ascii="Aptos" w:hAnsi="Aptos" w:cs="Arial"/>
                <w:sz w:val="16"/>
                <w:szCs w:val="16"/>
              </w:rPr>
            </w:pPr>
            <w:r w:rsidRPr="00D518FF">
              <w:rPr>
                <w:rFonts w:ascii="Aptos" w:hAnsi="Aptos" w:cs="Arial"/>
                <w:sz w:val="16"/>
                <w:szCs w:val="16"/>
              </w:rPr>
              <w:t>Rahimlou 2019</w:t>
            </w:r>
          </w:p>
        </w:tc>
        <w:tc>
          <w:tcPr>
            <w:tcW w:w="272" w:type="pct"/>
          </w:tcPr>
          <w:p w14:paraId="6F66A572" w14:textId="13E1209B"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838" w:type="pct"/>
          </w:tcPr>
          <w:p w14:paraId="4FE5FB74" w14:textId="5D4D9BF2" w:rsidR="00F60E69" w:rsidRPr="00D518FF" w:rsidRDefault="00E13276" w:rsidP="00F60E69">
            <w:pPr>
              <w:rPr>
                <w:rFonts w:ascii="Aptos" w:hAnsi="Aptos" w:cs="Arial"/>
                <w:sz w:val="16"/>
                <w:szCs w:val="16"/>
              </w:rPr>
            </w:pPr>
            <w:r>
              <w:rPr>
                <w:rFonts w:ascii="Aptos" w:hAnsi="Aptos" w:cs="Arial"/>
                <w:sz w:val="16"/>
                <w:szCs w:val="16"/>
              </w:rPr>
              <w:t>To assess</w:t>
            </w:r>
            <w:r w:rsidR="00F60E69" w:rsidRPr="00D518FF">
              <w:rPr>
                <w:rFonts w:ascii="Aptos" w:hAnsi="Aptos" w:cs="Arial"/>
                <w:sz w:val="16"/>
                <w:szCs w:val="16"/>
              </w:rPr>
              <w:t xml:space="preserve"> the effect of ALA on some glycemic and inflammatory parameters.</w:t>
            </w:r>
          </w:p>
        </w:tc>
        <w:tc>
          <w:tcPr>
            <w:tcW w:w="240" w:type="pct"/>
          </w:tcPr>
          <w:p w14:paraId="44EC6057" w14:textId="49D6117A" w:rsidR="00F60E69" w:rsidRPr="00D518FF" w:rsidRDefault="00F60E69" w:rsidP="00F60E69">
            <w:pPr>
              <w:rPr>
                <w:rFonts w:ascii="Aptos" w:hAnsi="Aptos" w:cs="Arial"/>
                <w:sz w:val="16"/>
                <w:szCs w:val="16"/>
              </w:rPr>
            </w:pPr>
            <w:r w:rsidRPr="00D518FF">
              <w:rPr>
                <w:rFonts w:ascii="Aptos" w:hAnsi="Aptos" w:cs="Arial"/>
                <w:sz w:val="16"/>
                <w:szCs w:val="16"/>
              </w:rPr>
              <w:t xml:space="preserve">RCTs </w:t>
            </w:r>
          </w:p>
        </w:tc>
        <w:tc>
          <w:tcPr>
            <w:tcW w:w="290" w:type="pct"/>
          </w:tcPr>
          <w:p w14:paraId="3B38C338" w14:textId="2BD22571"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288" w:type="pct"/>
          </w:tcPr>
          <w:p w14:paraId="0BA61E7A" w14:textId="0BDCD71D" w:rsidR="00F60E69" w:rsidRPr="00D518FF" w:rsidRDefault="00F60E69" w:rsidP="00F60E69">
            <w:pPr>
              <w:rPr>
                <w:rFonts w:ascii="Aptos" w:hAnsi="Aptos" w:cs="Arial"/>
                <w:sz w:val="16"/>
                <w:szCs w:val="16"/>
              </w:rPr>
            </w:pPr>
            <w:r w:rsidRPr="00D518FF">
              <w:rPr>
                <w:rFonts w:ascii="Aptos" w:hAnsi="Aptos" w:cs="Arial"/>
                <w:sz w:val="16"/>
                <w:szCs w:val="16"/>
              </w:rPr>
              <w:t>7</w:t>
            </w:r>
          </w:p>
        </w:tc>
        <w:tc>
          <w:tcPr>
            <w:tcW w:w="625" w:type="pct"/>
          </w:tcPr>
          <w:p w14:paraId="7EEBEDB5" w14:textId="19D0C0EF" w:rsidR="00F60E69" w:rsidRPr="00D518FF" w:rsidRDefault="00F60E69" w:rsidP="00F60E69">
            <w:pPr>
              <w:rPr>
                <w:rFonts w:ascii="Aptos" w:hAnsi="Aptos" w:cs="Arial"/>
                <w:sz w:val="16"/>
                <w:szCs w:val="16"/>
              </w:rPr>
            </w:pPr>
            <w:r w:rsidRPr="00D518FF">
              <w:rPr>
                <w:rFonts w:ascii="Aptos" w:hAnsi="Aptos" w:cs="Arial"/>
                <w:sz w:val="16"/>
                <w:szCs w:val="16"/>
              </w:rPr>
              <w:t>PubMed, Scopus, Cochrane databases, Google Scholar, ProQuest, Web of Science, Embase</w:t>
            </w:r>
          </w:p>
        </w:tc>
        <w:tc>
          <w:tcPr>
            <w:tcW w:w="241" w:type="pct"/>
          </w:tcPr>
          <w:p w14:paraId="3C0B2C38" w14:textId="78865D9F" w:rsidR="00F60E69" w:rsidRPr="00D518FF" w:rsidRDefault="00F60E69" w:rsidP="00F60E69">
            <w:pPr>
              <w:rPr>
                <w:rFonts w:ascii="Aptos" w:hAnsi="Aptos" w:cs="Arial"/>
                <w:sz w:val="16"/>
                <w:szCs w:val="16"/>
              </w:rPr>
            </w:pPr>
            <w:r w:rsidRPr="00D518FF">
              <w:rPr>
                <w:rFonts w:ascii="Aptos" w:hAnsi="Aptos" w:cs="Arial"/>
                <w:sz w:val="16"/>
                <w:szCs w:val="16"/>
              </w:rPr>
              <w:t>Jul 2018</w:t>
            </w:r>
          </w:p>
        </w:tc>
        <w:tc>
          <w:tcPr>
            <w:tcW w:w="385" w:type="pct"/>
          </w:tcPr>
          <w:p w14:paraId="13AC36BD" w14:textId="05E8FECD" w:rsidR="00F60E69" w:rsidRPr="00D518FF" w:rsidRDefault="00F60E69" w:rsidP="00F60E69">
            <w:pPr>
              <w:rPr>
                <w:rFonts w:ascii="Aptos" w:hAnsi="Aptos" w:cs="Arial"/>
                <w:sz w:val="16"/>
                <w:szCs w:val="16"/>
              </w:rPr>
            </w:pPr>
            <w:r w:rsidRPr="00D518FF">
              <w:rPr>
                <w:rFonts w:ascii="Aptos" w:hAnsi="Aptos" w:cs="Arial"/>
                <w:sz w:val="16"/>
                <w:szCs w:val="16"/>
              </w:rPr>
              <w:t>None</w:t>
            </w:r>
          </w:p>
        </w:tc>
        <w:tc>
          <w:tcPr>
            <w:tcW w:w="266" w:type="pct"/>
          </w:tcPr>
          <w:p w14:paraId="50BCB4B2" w14:textId="2717D560"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tcPr>
          <w:p w14:paraId="726CE7CE" w14:textId="7E121323"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384" w:type="pct"/>
          </w:tcPr>
          <w:p w14:paraId="5705AD31" w14:textId="16751729" w:rsidR="00F60E69" w:rsidRPr="00D518FF" w:rsidRDefault="00F60E69" w:rsidP="00F60E69">
            <w:pPr>
              <w:rPr>
                <w:rFonts w:ascii="Aptos" w:hAnsi="Aptos" w:cs="Arial"/>
                <w:sz w:val="16"/>
                <w:szCs w:val="16"/>
              </w:rPr>
            </w:pPr>
            <w:r w:rsidRPr="00D518FF">
              <w:rPr>
                <w:rFonts w:ascii="Aptos" w:hAnsi="Aptos" w:cs="Arial"/>
                <w:sz w:val="16"/>
                <w:szCs w:val="16"/>
              </w:rPr>
              <w:t>None of the authors declare a conflict of interest.</w:t>
            </w:r>
          </w:p>
        </w:tc>
        <w:tc>
          <w:tcPr>
            <w:tcW w:w="673" w:type="pct"/>
          </w:tcPr>
          <w:p w14:paraId="0FD20519" w14:textId="25063386" w:rsidR="00F60E69" w:rsidRPr="00D518FF" w:rsidRDefault="00F60E69" w:rsidP="00F60E69">
            <w:pPr>
              <w:rPr>
                <w:rFonts w:ascii="Aptos" w:hAnsi="Aptos" w:cs="Arial"/>
                <w:sz w:val="16"/>
                <w:szCs w:val="16"/>
              </w:rPr>
            </w:pPr>
            <w:r w:rsidRPr="00D518FF">
              <w:rPr>
                <w:rFonts w:ascii="Aptos" w:hAnsi="Aptos" w:cs="Arial"/>
                <w:sz w:val="16"/>
                <w:szCs w:val="16"/>
              </w:rPr>
              <w:t>This work has not received any funding.</w:t>
            </w:r>
          </w:p>
        </w:tc>
      </w:tr>
      <w:tr w:rsidR="00E13276" w:rsidRPr="00D518FF" w14:paraId="2917314F" w14:textId="77777777" w:rsidTr="00A6108F">
        <w:trPr>
          <w:trHeight w:val="660"/>
        </w:trPr>
        <w:tc>
          <w:tcPr>
            <w:tcW w:w="235" w:type="pct"/>
            <w:shd w:val="clear" w:color="auto" w:fill="EFFFE9"/>
          </w:tcPr>
          <w:p w14:paraId="36D89655" w14:textId="07B9A853" w:rsidR="00F60E69" w:rsidRPr="00D518FF" w:rsidRDefault="00F60E69" w:rsidP="00F60E69">
            <w:pPr>
              <w:rPr>
                <w:rFonts w:ascii="Aptos" w:hAnsi="Aptos" w:cs="Arial"/>
                <w:sz w:val="16"/>
                <w:szCs w:val="16"/>
              </w:rPr>
            </w:pPr>
            <w:r w:rsidRPr="00D518FF">
              <w:rPr>
                <w:rFonts w:ascii="Aptos" w:hAnsi="Aptos" w:cs="Arial"/>
                <w:sz w:val="16"/>
                <w:szCs w:val="16"/>
              </w:rPr>
              <w:t>Wang 2022</w:t>
            </w:r>
          </w:p>
        </w:tc>
        <w:tc>
          <w:tcPr>
            <w:tcW w:w="272" w:type="pct"/>
            <w:shd w:val="clear" w:color="auto" w:fill="EFFFE9"/>
          </w:tcPr>
          <w:p w14:paraId="2E0C1758" w14:textId="7E4F1819"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838" w:type="pct"/>
            <w:shd w:val="clear" w:color="auto" w:fill="EFFFE9"/>
          </w:tcPr>
          <w:p w14:paraId="20E843FE" w14:textId="0564736D" w:rsidR="00F60E69" w:rsidRPr="00D518FF" w:rsidRDefault="00E13276" w:rsidP="00F60E69">
            <w:pPr>
              <w:rPr>
                <w:rFonts w:ascii="Aptos" w:hAnsi="Aptos" w:cs="Arial"/>
                <w:sz w:val="16"/>
                <w:szCs w:val="16"/>
              </w:rPr>
            </w:pPr>
            <w:r>
              <w:rPr>
                <w:rFonts w:ascii="Aptos" w:hAnsi="Aptos" w:cs="Arial"/>
                <w:sz w:val="16"/>
                <w:szCs w:val="16"/>
              </w:rPr>
              <w:t>To elucidate</w:t>
            </w:r>
            <w:r w:rsidRPr="00D518FF">
              <w:rPr>
                <w:rFonts w:ascii="Aptos" w:hAnsi="Aptos" w:cs="Arial"/>
                <w:sz w:val="16"/>
                <w:szCs w:val="16"/>
              </w:rPr>
              <w:t xml:space="preserve"> </w:t>
            </w:r>
            <w:r w:rsidR="00F60E69" w:rsidRPr="00D518FF">
              <w:rPr>
                <w:rFonts w:ascii="Aptos" w:hAnsi="Aptos" w:cs="Arial"/>
                <w:sz w:val="16"/>
                <w:szCs w:val="16"/>
              </w:rPr>
              <w:t xml:space="preserve">the heterogeneity in beneficial effects of antioxidant supplementation in obese adults by exploring the differential effects of antioxidant supplementation on basic indicators of obesity, lipid metabolism, systemic antioxidant capacity, inflammatory biomarkers, and liver function. </w:t>
            </w:r>
          </w:p>
        </w:tc>
        <w:tc>
          <w:tcPr>
            <w:tcW w:w="240" w:type="pct"/>
            <w:shd w:val="clear" w:color="auto" w:fill="EFFFE9"/>
          </w:tcPr>
          <w:p w14:paraId="09852385" w14:textId="451A8012" w:rsidR="00F60E69" w:rsidRPr="00D518FF" w:rsidRDefault="00F60E69" w:rsidP="00F60E69">
            <w:pPr>
              <w:rPr>
                <w:rFonts w:ascii="Aptos" w:hAnsi="Aptos" w:cs="Arial"/>
                <w:sz w:val="16"/>
                <w:szCs w:val="16"/>
              </w:rPr>
            </w:pPr>
            <w:r w:rsidRPr="00D518FF">
              <w:rPr>
                <w:rFonts w:ascii="Aptos" w:hAnsi="Aptos" w:cs="Arial"/>
                <w:sz w:val="16"/>
                <w:szCs w:val="16"/>
              </w:rPr>
              <w:t xml:space="preserve">RCTs </w:t>
            </w:r>
          </w:p>
        </w:tc>
        <w:tc>
          <w:tcPr>
            <w:tcW w:w="290" w:type="pct"/>
            <w:shd w:val="clear" w:color="auto" w:fill="EFFFE9"/>
          </w:tcPr>
          <w:p w14:paraId="53B05A4A" w14:textId="04F02052"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288" w:type="pct"/>
            <w:shd w:val="clear" w:color="auto" w:fill="EFFFE9"/>
          </w:tcPr>
          <w:p w14:paraId="2F84B2D5" w14:textId="5683B16C" w:rsidR="00F60E69" w:rsidRPr="00D518FF" w:rsidRDefault="00F60E69" w:rsidP="00F60E69">
            <w:pPr>
              <w:rPr>
                <w:rFonts w:ascii="Aptos" w:hAnsi="Aptos" w:cs="Arial"/>
                <w:sz w:val="16"/>
                <w:szCs w:val="16"/>
              </w:rPr>
            </w:pPr>
            <w:r w:rsidRPr="00D518FF">
              <w:rPr>
                <w:rFonts w:ascii="Aptos" w:hAnsi="Aptos" w:cs="Arial"/>
                <w:sz w:val="16"/>
                <w:szCs w:val="16"/>
              </w:rPr>
              <w:t>5</w:t>
            </w:r>
          </w:p>
        </w:tc>
        <w:tc>
          <w:tcPr>
            <w:tcW w:w="625" w:type="pct"/>
            <w:shd w:val="clear" w:color="auto" w:fill="EFFFE9"/>
          </w:tcPr>
          <w:p w14:paraId="10CD6914" w14:textId="33E96748" w:rsidR="00F60E69" w:rsidRPr="00D518FF" w:rsidRDefault="00F60E69" w:rsidP="00F60E69">
            <w:pPr>
              <w:rPr>
                <w:rFonts w:ascii="Aptos" w:hAnsi="Aptos" w:cs="Arial"/>
                <w:sz w:val="16"/>
                <w:szCs w:val="16"/>
              </w:rPr>
            </w:pPr>
            <w:r w:rsidRPr="00D518FF">
              <w:rPr>
                <w:rFonts w:ascii="Aptos" w:hAnsi="Aptos" w:cs="Arial"/>
                <w:sz w:val="16"/>
                <w:szCs w:val="16"/>
              </w:rPr>
              <w:t xml:space="preserve">PubMed, Embase, Cochrane Library, Web of Science, Scopus databases </w:t>
            </w:r>
          </w:p>
        </w:tc>
        <w:tc>
          <w:tcPr>
            <w:tcW w:w="241" w:type="pct"/>
            <w:shd w:val="clear" w:color="auto" w:fill="EFFFE9"/>
          </w:tcPr>
          <w:p w14:paraId="3344D39F" w14:textId="1C2C12AB" w:rsidR="00F60E69" w:rsidRPr="00D518FF" w:rsidRDefault="00F60E69" w:rsidP="00F60E69">
            <w:pPr>
              <w:rPr>
                <w:rFonts w:ascii="Aptos" w:hAnsi="Aptos" w:cs="Arial"/>
                <w:sz w:val="16"/>
                <w:szCs w:val="16"/>
              </w:rPr>
            </w:pPr>
            <w:r w:rsidRPr="00D518FF">
              <w:rPr>
                <w:rFonts w:ascii="Aptos" w:hAnsi="Aptos" w:cs="Arial"/>
                <w:sz w:val="16"/>
                <w:szCs w:val="16"/>
              </w:rPr>
              <w:t>Aug 2021</w:t>
            </w:r>
          </w:p>
        </w:tc>
        <w:tc>
          <w:tcPr>
            <w:tcW w:w="385" w:type="pct"/>
            <w:shd w:val="clear" w:color="auto" w:fill="EFFFE9"/>
          </w:tcPr>
          <w:p w14:paraId="72774CCE" w14:textId="61F85BED" w:rsidR="00F60E69" w:rsidRPr="00D518FF" w:rsidRDefault="00F60E69" w:rsidP="00F60E69">
            <w:pPr>
              <w:rPr>
                <w:rFonts w:ascii="Aptos" w:hAnsi="Aptos" w:cs="Arial"/>
                <w:sz w:val="16"/>
                <w:szCs w:val="16"/>
              </w:rPr>
            </w:pPr>
            <w:r w:rsidRPr="00D518FF">
              <w:rPr>
                <w:rFonts w:ascii="Aptos" w:hAnsi="Aptos" w:cs="Arial"/>
                <w:sz w:val="16"/>
                <w:szCs w:val="16"/>
              </w:rPr>
              <w:t>English</w:t>
            </w:r>
          </w:p>
        </w:tc>
        <w:tc>
          <w:tcPr>
            <w:tcW w:w="266" w:type="pct"/>
            <w:shd w:val="clear" w:color="auto" w:fill="EFFFE9"/>
          </w:tcPr>
          <w:p w14:paraId="65CA7711" w14:textId="6437FBCB"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shd w:val="clear" w:color="auto" w:fill="EFFFE9"/>
          </w:tcPr>
          <w:p w14:paraId="2346A729" w14:textId="070DD940"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384" w:type="pct"/>
            <w:shd w:val="clear" w:color="auto" w:fill="EFFFE9"/>
          </w:tcPr>
          <w:p w14:paraId="68879D85" w14:textId="395414F0" w:rsidR="00F60E69" w:rsidRPr="00D518FF" w:rsidRDefault="00F60E69" w:rsidP="00F60E69">
            <w:pPr>
              <w:rPr>
                <w:rFonts w:ascii="Aptos" w:hAnsi="Aptos" w:cs="Arial"/>
                <w:sz w:val="16"/>
                <w:szCs w:val="16"/>
              </w:rPr>
            </w:pPr>
            <w:r w:rsidRPr="00D518FF">
              <w:rPr>
                <w:rFonts w:ascii="Aptos" w:hAnsi="Aptos" w:cs="Arial"/>
                <w:sz w:val="16"/>
                <w:szCs w:val="16"/>
              </w:rPr>
              <w:t xml:space="preserve">The authors declare that the research was conducted in the absence of any commercial or financial relationships that could be construed as a potential conflict of interest. </w:t>
            </w:r>
          </w:p>
        </w:tc>
        <w:tc>
          <w:tcPr>
            <w:tcW w:w="673" w:type="pct"/>
            <w:shd w:val="clear" w:color="auto" w:fill="EFFFE9"/>
          </w:tcPr>
          <w:p w14:paraId="35B2D80D" w14:textId="75723DAD" w:rsidR="00F60E69" w:rsidRPr="00D518FF" w:rsidRDefault="00F60E69" w:rsidP="00F60E69">
            <w:pPr>
              <w:rPr>
                <w:rFonts w:ascii="Aptos" w:hAnsi="Aptos" w:cs="Arial"/>
                <w:sz w:val="16"/>
                <w:szCs w:val="16"/>
              </w:rPr>
            </w:pPr>
            <w:r w:rsidRPr="00D518FF">
              <w:rPr>
                <w:rFonts w:ascii="Aptos" w:hAnsi="Aptos" w:cs="Arial"/>
                <w:sz w:val="16"/>
                <w:szCs w:val="16"/>
              </w:rPr>
              <w:t>This work was supported by the National Natural Science Foundation of China (No. 82101720), the Scientific Research Elevation Project of Young Faculty from Guangxi Univers</w:t>
            </w:r>
            <w:r w:rsidR="00E13276">
              <w:rPr>
                <w:rFonts w:ascii="Aptos" w:hAnsi="Aptos" w:cs="Arial"/>
                <w:sz w:val="16"/>
                <w:szCs w:val="16"/>
              </w:rPr>
              <w:t>i</w:t>
            </w:r>
            <w:r w:rsidRPr="00D518FF">
              <w:rPr>
                <w:rFonts w:ascii="Aptos" w:hAnsi="Aptos" w:cs="Arial"/>
                <w:sz w:val="16"/>
                <w:szCs w:val="16"/>
              </w:rPr>
              <w:t>ties (2019KY0567), and the Scientific Research and Techno- logical of Baise in China (20183331).</w:t>
            </w:r>
          </w:p>
        </w:tc>
      </w:tr>
      <w:tr w:rsidR="00E13276" w:rsidRPr="00D518FF" w14:paraId="47461FEF" w14:textId="77777777" w:rsidTr="00F614C8">
        <w:trPr>
          <w:trHeight w:val="660"/>
        </w:trPr>
        <w:tc>
          <w:tcPr>
            <w:tcW w:w="235" w:type="pct"/>
          </w:tcPr>
          <w:p w14:paraId="1AAB2CDC" w14:textId="787B23FC" w:rsidR="00F60E69" w:rsidRPr="00D518FF" w:rsidRDefault="00F60E69" w:rsidP="00F60E69">
            <w:pPr>
              <w:rPr>
                <w:rFonts w:ascii="Aptos" w:hAnsi="Aptos" w:cs="Arial"/>
                <w:sz w:val="16"/>
                <w:szCs w:val="16"/>
              </w:rPr>
            </w:pPr>
            <w:r w:rsidRPr="00D518FF">
              <w:rPr>
                <w:rFonts w:ascii="Aptos" w:hAnsi="Aptos" w:cs="Arial"/>
                <w:sz w:val="16"/>
                <w:szCs w:val="16"/>
              </w:rPr>
              <w:lastRenderedPageBreak/>
              <w:t>Zhang 2018</w:t>
            </w:r>
          </w:p>
        </w:tc>
        <w:tc>
          <w:tcPr>
            <w:tcW w:w="272" w:type="pct"/>
          </w:tcPr>
          <w:p w14:paraId="33E4A5E6" w14:textId="6786A42D" w:rsidR="00F60E69" w:rsidRPr="00D518FF" w:rsidRDefault="00F60E69" w:rsidP="00F60E69">
            <w:pPr>
              <w:rPr>
                <w:rFonts w:ascii="Aptos" w:hAnsi="Aptos" w:cs="Arial"/>
                <w:sz w:val="16"/>
                <w:szCs w:val="16"/>
              </w:rPr>
            </w:pPr>
            <w:r w:rsidRPr="00D518FF">
              <w:rPr>
                <w:rFonts w:ascii="Aptos" w:hAnsi="Aptos" w:cs="Arial"/>
                <w:sz w:val="16"/>
                <w:szCs w:val="16"/>
              </w:rPr>
              <w:t>Systematic review and meta-analysis</w:t>
            </w:r>
          </w:p>
        </w:tc>
        <w:tc>
          <w:tcPr>
            <w:tcW w:w="838" w:type="pct"/>
          </w:tcPr>
          <w:p w14:paraId="65BD4850" w14:textId="335538DA" w:rsidR="00F60E69" w:rsidRPr="00D518FF" w:rsidRDefault="00F60E69" w:rsidP="00F60E69">
            <w:pPr>
              <w:rPr>
                <w:rFonts w:ascii="Aptos" w:hAnsi="Aptos" w:cs="Arial"/>
                <w:sz w:val="16"/>
                <w:szCs w:val="16"/>
              </w:rPr>
            </w:pPr>
            <w:r w:rsidRPr="00D518FF">
              <w:rPr>
                <w:rFonts w:ascii="Aptos" w:hAnsi="Aptos" w:cs="Arial"/>
                <w:sz w:val="16"/>
                <w:szCs w:val="16"/>
              </w:rPr>
              <w:t xml:space="preserve">To evaluate the effectiveness and safety of coenzyme Q10 for patients with type 2 diabetes mellitus (T2DM). </w:t>
            </w:r>
          </w:p>
        </w:tc>
        <w:tc>
          <w:tcPr>
            <w:tcW w:w="240" w:type="pct"/>
          </w:tcPr>
          <w:p w14:paraId="298C0426" w14:textId="0F004C1F" w:rsidR="00F60E69" w:rsidRPr="00D518FF" w:rsidRDefault="00F60E69" w:rsidP="00F60E69">
            <w:pPr>
              <w:rPr>
                <w:rFonts w:ascii="Aptos" w:hAnsi="Aptos" w:cs="Arial"/>
                <w:sz w:val="16"/>
                <w:szCs w:val="16"/>
              </w:rPr>
            </w:pPr>
            <w:r w:rsidRPr="00D518FF">
              <w:rPr>
                <w:rFonts w:ascii="Aptos" w:hAnsi="Aptos" w:cs="Arial"/>
                <w:sz w:val="16"/>
                <w:szCs w:val="16"/>
              </w:rPr>
              <w:t xml:space="preserve">RCTs </w:t>
            </w:r>
          </w:p>
        </w:tc>
        <w:tc>
          <w:tcPr>
            <w:tcW w:w="290" w:type="pct"/>
          </w:tcPr>
          <w:p w14:paraId="7B87EC89" w14:textId="302A13A7" w:rsidR="00F60E69" w:rsidRPr="00D518FF" w:rsidRDefault="00F60E69" w:rsidP="00F60E69">
            <w:pPr>
              <w:rPr>
                <w:rFonts w:ascii="Aptos" w:hAnsi="Aptos" w:cs="Arial"/>
                <w:sz w:val="16"/>
                <w:szCs w:val="16"/>
              </w:rPr>
            </w:pPr>
            <w:r w:rsidRPr="00D518FF">
              <w:rPr>
                <w:rFonts w:ascii="Aptos" w:hAnsi="Aptos" w:cs="Arial"/>
                <w:sz w:val="16"/>
                <w:szCs w:val="16"/>
              </w:rPr>
              <w:t>1</w:t>
            </w:r>
          </w:p>
        </w:tc>
        <w:tc>
          <w:tcPr>
            <w:tcW w:w="288" w:type="pct"/>
          </w:tcPr>
          <w:p w14:paraId="288A2F98" w14:textId="0FEB7794" w:rsidR="00F60E69" w:rsidRPr="00D518FF" w:rsidRDefault="00F60E69" w:rsidP="00F60E69">
            <w:pPr>
              <w:rPr>
                <w:rFonts w:ascii="Aptos" w:hAnsi="Aptos" w:cs="Arial"/>
                <w:sz w:val="16"/>
                <w:szCs w:val="16"/>
              </w:rPr>
            </w:pPr>
            <w:r w:rsidRPr="00D518FF">
              <w:rPr>
                <w:rFonts w:ascii="Aptos" w:hAnsi="Aptos" w:cs="Arial"/>
                <w:sz w:val="16"/>
                <w:szCs w:val="16"/>
              </w:rPr>
              <w:t>10</w:t>
            </w:r>
          </w:p>
        </w:tc>
        <w:tc>
          <w:tcPr>
            <w:tcW w:w="625" w:type="pct"/>
          </w:tcPr>
          <w:p w14:paraId="58509C61" w14:textId="40891884" w:rsidR="00F60E69" w:rsidRPr="00D518FF" w:rsidRDefault="00F60E69" w:rsidP="00F60E69">
            <w:pPr>
              <w:rPr>
                <w:rFonts w:ascii="Aptos" w:hAnsi="Aptos" w:cs="Arial"/>
                <w:sz w:val="16"/>
                <w:szCs w:val="16"/>
              </w:rPr>
            </w:pPr>
            <w:r w:rsidRPr="00D518FF">
              <w:rPr>
                <w:rFonts w:ascii="Aptos" w:hAnsi="Aptos" w:cs="Arial"/>
                <w:sz w:val="16"/>
                <w:szCs w:val="16"/>
              </w:rPr>
              <w:t xml:space="preserve">China National Knowledge Infrastructure (CNKI) Databases, Chinese Biomedical Database (CBM), Cochrane Library, Web of Science, Embase, Wan Fang Database (Chinese Ministry of Science and Technology), PubMed, MEDLINE Complete, ClinicalTrials.gov, Chinese Science and Technology Periodical Database (VIP) </w:t>
            </w:r>
          </w:p>
        </w:tc>
        <w:tc>
          <w:tcPr>
            <w:tcW w:w="241" w:type="pct"/>
          </w:tcPr>
          <w:p w14:paraId="278C1DFD" w14:textId="667E5EF6" w:rsidR="00F60E69" w:rsidRPr="00D518FF" w:rsidRDefault="00F60E69" w:rsidP="00F60E69">
            <w:pPr>
              <w:rPr>
                <w:rFonts w:ascii="Aptos" w:hAnsi="Aptos" w:cs="Arial"/>
                <w:sz w:val="16"/>
                <w:szCs w:val="16"/>
              </w:rPr>
            </w:pPr>
            <w:r w:rsidRPr="00D518FF">
              <w:rPr>
                <w:rFonts w:ascii="Aptos" w:hAnsi="Aptos" w:cs="Arial"/>
                <w:sz w:val="16"/>
                <w:szCs w:val="16"/>
              </w:rPr>
              <w:t>Feb 2018</w:t>
            </w:r>
          </w:p>
        </w:tc>
        <w:tc>
          <w:tcPr>
            <w:tcW w:w="385" w:type="pct"/>
          </w:tcPr>
          <w:p w14:paraId="45674A34" w14:textId="71065914"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266" w:type="pct"/>
          </w:tcPr>
          <w:p w14:paraId="269677D2" w14:textId="33AC3E81" w:rsidR="00F60E69" w:rsidRPr="00D518FF" w:rsidRDefault="00F60E69" w:rsidP="00F60E69">
            <w:pPr>
              <w:rPr>
                <w:rFonts w:ascii="Aptos" w:hAnsi="Aptos" w:cs="Arial"/>
                <w:sz w:val="16"/>
                <w:szCs w:val="16"/>
              </w:rPr>
            </w:pPr>
            <w:r w:rsidRPr="00D518FF">
              <w:rPr>
                <w:rFonts w:ascii="Aptos" w:hAnsi="Aptos" w:cs="Arial"/>
                <w:sz w:val="16"/>
                <w:szCs w:val="16"/>
              </w:rPr>
              <w:t>Cochrane Risk of Bias Tool</w:t>
            </w:r>
          </w:p>
        </w:tc>
        <w:tc>
          <w:tcPr>
            <w:tcW w:w="263" w:type="pct"/>
          </w:tcPr>
          <w:p w14:paraId="757F7F57" w14:textId="30FC0D09" w:rsidR="00F60E69" w:rsidRPr="00D518FF" w:rsidRDefault="00F60E69" w:rsidP="00F60E69">
            <w:pPr>
              <w:rPr>
                <w:rFonts w:ascii="Aptos" w:hAnsi="Aptos" w:cs="Arial"/>
                <w:sz w:val="16"/>
                <w:szCs w:val="16"/>
              </w:rPr>
            </w:pPr>
            <w:r w:rsidRPr="00D518FF">
              <w:rPr>
                <w:rFonts w:ascii="Aptos" w:hAnsi="Aptos" w:cs="Arial"/>
                <w:sz w:val="16"/>
                <w:szCs w:val="16"/>
              </w:rPr>
              <w:t>NR</w:t>
            </w:r>
          </w:p>
        </w:tc>
        <w:tc>
          <w:tcPr>
            <w:tcW w:w="384" w:type="pct"/>
          </w:tcPr>
          <w:p w14:paraId="37451475" w14:textId="508CE66A" w:rsidR="00F60E69" w:rsidRPr="00D518FF" w:rsidRDefault="00F60E69" w:rsidP="00F60E69">
            <w:pPr>
              <w:rPr>
                <w:rFonts w:ascii="Aptos" w:hAnsi="Aptos" w:cs="Arial"/>
                <w:sz w:val="16"/>
                <w:szCs w:val="16"/>
              </w:rPr>
            </w:pPr>
            <w:r w:rsidRPr="00D518FF">
              <w:rPr>
                <w:rFonts w:ascii="Aptos" w:hAnsi="Aptos" w:cs="Arial"/>
                <w:sz w:val="16"/>
                <w:szCs w:val="16"/>
              </w:rPr>
              <w:br/>
              <w:t>We declare no competing interests.</w:t>
            </w:r>
          </w:p>
        </w:tc>
        <w:tc>
          <w:tcPr>
            <w:tcW w:w="673" w:type="pct"/>
          </w:tcPr>
          <w:p w14:paraId="702E9CE6" w14:textId="3AB5056B" w:rsidR="00F60E69" w:rsidRPr="00D518FF" w:rsidRDefault="00F60E69" w:rsidP="00F60E69">
            <w:pPr>
              <w:rPr>
                <w:rFonts w:ascii="Aptos" w:hAnsi="Aptos" w:cs="Arial"/>
                <w:sz w:val="16"/>
                <w:szCs w:val="16"/>
              </w:rPr>
            </w:pPr>
            <w:r w:rsidRPr="00D518FF">
              <w:rPr>
                <w:rFonts w:ascii="Aptos" w:hAnsi="Aptos" w:cs="Arial"/>
                <w:sz w:val="16"/>
                <w:szCs w:val="16"/>
              </w:rPr>
              <w:t>This work is supported by the National Natural Science Foundation of China (no. 81373551), the Doctoral Fund of Ministry of Education of China (no. 20134323110001), the key projects of Hunan Department of Science and Technology (no. S2014S2032)</w:t>
            </w:r>
          </w:p>
        </w:tc>
      </w:tr>
    </w:tbl>
    <w:p w14:paraId="7225C5E8" w14:textId="3C63CB42" w:rsidR="00B57CD5" w:rsidRPr="00D518FF" w:rsidRDefault="00B57CD5" w:rsidP="00AA72BD">
      <w:pPr>
        <w:pStyle w:val="2024TABLEFOOTER"/>
        <w:spacing w:line="240" w:lineRule="auto"/>
        <w:rPr>
          <w:szCs w:val="16"/>
        </w:rPr>
      </w:pPr>
      <w:r w:rsidRPr="00D518FF">
        <w:rPr>
          <w:szCs w:val="16"/>
        </w:rPr>
        <w:t xml:space="preserve">Abbreviations: </w:t>
      </w:r>
      <w:r w:rsidR="002269D9" w:rsidRPr="00D518FF">
        <w:rPr>
          <w:rFonts w:cs="Calibri"/>
          <w:color w:val="000000"/>
          <w:szCs w:val="16"/>
        </w:rPr>
        <w:t>CENTRAL=Cochrane Central Register of Controlled Trials</w:t>
      </w:r>
      <w:r w:rsidR="002269D9" w:rsidRPr="00D518FF">
        <w:rPr>
          <w:szCs w:val="16"/>
        </w:rPr>
        <w:t xml:space="preserve">; </w:t>
      </w:r>
      <w:r w:rsidRPr="00D518FF">
        <w:rPr>
          <w:szCs w:val="16"/>
        </w:rPr>
        <w:t xml:space="preserve">CVD=cardiovascular disease, </w:t>
      </w:r>
      <w:r w:rsidR="005F62F4" w:rsidRPr="00D518FF">
        <w:rPr>
          <w:szCs w:val="16"/>
        </w:rPr>
        <w:t xml:space="preserve">CINAHL=Cumulative Index of Nursing and Allied Health Literature; </w:t>
      </w:r>
      <w:r w:rsidRPr="00D518FF">
        <w:rPr>
          <w:szCs w:val="16"/>
        </w:rPr>
        <w:t>T2DM=Type II Diabetes Mellitus, NR=Not reported; RCT=randomised controlled trial, GRADE=Grading of Recommendations Assessment, Development and Evaluation</w:t>
      </w:r>
    </w:p>
    <w:p w14:paraId="4E0A4259" w14:textId="77777777" w:rsidR="00D64A15" w:rsidRPr="00D518FF" w:rsidRDefault="00D64A15" w:rsidP="00AA72BD">
      <w:pPr>
        <w:pStyle w:val="Caption1"/>
        <w:spacing w:before="0" w:after="0"/>
        <w:rPr>
          <w:rFonts w:ascii="Aptos" w:hAnsi="Aptos"/>
          <w:b w:val="0"/>
          <w:bCs w:val="0"/>
          <w:sz w:val="16"/>
          <w:szCs w:val="16"/>
        </w:rPr>
      </w:pPr>
    </w:p>
    <w:p w14:paraId="7AA03C73" w14:textId="77777777" w:rsidR="00D64A15" w:rsidRPr="00D518FF" w:rsidRDefault="00D64A15"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37A82766" w14:textId="77777777" w:rsidR="00E338B6" w:rsidRPr="00D518FF" w:rsidRDefault="00E338B6" w:rsidP="003F5774">
      <w:pPr>
        <w:pStyle w:val="ListParagraph"/>
        <w:numPr>
          <w:ilvl w:val="0"/>
          <w:numId w:val="1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Glycemic control</w:t>
      </w:r>
    </w:p>
    <w:p w14:paraId="48FC5071"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HbA1c</w:t>
      </w:r>
    </w:p>
    <w:p w14:paraId="12A6D778"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Fasting glucose</w:t>
      </w:r>
    </w:p>
    <w:p w14:paraId="25A4D6F6"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Fasting insulin</w:t>
      </w:r>
    </w:p>
    <w:p w14:paraId="3FD74FF8"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Homeostatic model assessment of insulin resistance</w:t>
      </w:r>
    </w:p>
    <w:p w14:paraId="4223A433"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2 hour post-prandial blood sugar</w:t>
      </w:r>
    </w:p>
    <w:p w14:paraId="6C5F20D3"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Hyperglycemia (frequency)</w:t>
      </w:r>
    </w:p>
    <w:p w14:paraId="187B38DD"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Hypoglycemia (frequency)</w:t>
      </w:r>
    </w:p>
    <w:p w14:paraId="4A4133A7" w14:textId="77777777" w:rsidR="00E338B6" w:rsidRPr="00D518FF" w:rsidRDefault="00E338B6" w:rsidP="003F5774">
      <w:pPr>
        <w:pStyle w:val="ListParagraph"/>
        <w:numPr>
          <w:ilvl w:val="0"/>
          <w:numId w:val="1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Blood pressure</w:t>
      </w:r>
    </w:p>
    <w:p w14:paraId="42675E71"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Systolic</w:t>
      </w:r>
    </w:p>
    <w:p w14:paraId="129EE78D"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Diastolic</w:t>
      </w:r>
    </w:p>
    <w:p w14:paraId="7525BF2C" w14:textId="77777777" w:rsidR="00E338B6" w:rsidRPr="00D518FF" w:rsidRDefault="00E338B6" w:rsidP="003F5774">
      <w:pPr>
        <w:pStyle w:val="ListParagraph"/>
        <w:numPr>
          <w:ilvl w:val="0"/>
          <w:numId w:val="1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Oxidative stress</w:t>
      </w:r>
    </w:p>
    <w:p w14:paraId="4423E89B"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 xml:space="preserve">Malonaldehyde </w:t>
      </w:r>
    </w:p>
    <w:p w14:paraId="309F5242"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Total antioxidant status/capacity</w:t>
      </w:r>
    </w:p>
    <w:p w14:paraId="6B23808C"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Free oxygen radical test</w:t>
      </w:r>
    </w:p>
    <w:p w14:paraId="4C075B24"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Reative oxygen metabolites</w:t>
      </w:r>
    </w:p>
    <w:p w14:paraId="51405DA7"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Biological antioxidant potential</w:t>
      </w:r>
    </w:p>
    <w:p w14:paraId="2D55A6E3"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Lipo-peroxidation products</w:t>
      </w:r>
    </w:p>
    <w:p w14:paraId="49F0166D"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Catalase</w:t>
      </w:r>
    </w:p>
    <w:p w14:paraId="1A9923C6" w14:textId="77777777" w:rsidR="00E338B6" w:rsidRPr="00D518FF" w:rsidRDefault="00E338B6"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Glutathione peroxidase</w:t>
      </w:r>
    </w:p>
    <w:p w14:paraId="7FFE240A" w14:textId="77777777" w:rsidR="00E338B6" w:rsidRPr="00D518FF" w:rsidRDefault="00E338B6" w:rsidP="003F5774">
      <w:pPr>
        <w:pStyle w:val="ListParagraph"/>
        <w:numPr>
          <w:ilvl w:val="0"/>
          <w:numId w:val="1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Diabetes related symptoms</w:t>
      </w:r>
    </w:p>
    <w:p w14:paraId="53B98DEA" w14:textId="77777777" w:rsidR="00E338B6" w:rsidRPr="00D518FF" w:rsidRDefault="00E338B6" w:rsidP="003F5774">
      <w:pPr>
        <w:pStyle w:val="ListParagraph"/>
        <w:numPr>
          <w:ilvl w:val="0"/>
          <w:numId w:val="1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Overall diabetes related complications</w:t>
      </w:r>
    </w:p>
    <w:p w14:paraId="108634A2" w14:textId="77777777" w:rsidR="00E338B6" w:rsidRPr="00D518FF" w:rsidRDefault="00E338B6" w:rsidP="003F5774">
      <w:pPr>
        <w:pStyle w:val="ListParagraph"/>
        <w:numPr>
          <w:ilvl w:val="0"/>
          <w:numId w:val="1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2C6DF7AB" w14:textId="65316008" w:rsidR="00607416" w:rsidRPr="00F614C8" w:rsidRDefault="00E338B6" w:rsidP="00F614C8">
      <w:pPr>
        <w:pStyle w:val="ListParagraph"/>
        <w:numPr>
          <w:ilvl w:val="0"/>
          <w:numId w:val="10"/>
        </w:numPr>
        <w:rPr>
          <w:rStyle w:val="Heading1Char"/>
          <w:rFonts w:ascii="Aptos" w:eastAsiaTheme="minorHAnsi" w:hAnsi="Aptos" w:cs="Arial"/>
          <w:bCs w:val="0"/>
          <w:color w:val="000000" w:themeColor="text1"/>
          <w:sz w:val="16"/>
          <w:szCs w:val="16"/>
        </w:rPr>
      </w:pPr>
      <w:r w:rsidRPr="00D518FF">
        <w:rPr>
          <w:rFonts w:ascii="Aptos" w:hAnsi="Aptos" w:cs="Arial"/>
          <w:color w:val="000000" w:themeColor="text1"/>
          <w:kern w:val="0"/>
          <w:sz w:val="16"/>
          <w:szCs w:val="16"/>
          <w14:ligatures w14:val="none"/>
        </w:rPr>
        <w:t>Incidence of type 2 diabetes mellitus</w:t>
      </w:r>
    </w:p>
    <w:p w14:paraId="176DA15D" w14:textId="15272CAB" w:rsidR="009E4D3F" w:rsidRPr="00B53559" w:rsidRDefault="009E4D3F" w:rsidP="00AA72BD">
      <w:pPr>
        <w:pStyle w:val="Heading1"/>
        <w:spacing w:line="240" w:lineRule="auto"/>
        <w:rPr>
          <w:rStyle w:val="Heading1Char"/>
          <w:rFonts w:ascii="Aptos" w:hAnsi="Aptos"/>
          <w:b/>
          <w:bCs/>
          <w:color w:val="C00000"/>
          <w:szCs w:val="32"/>
        </w:rPr>
      </w:pPr>
      <w:bookmarkStart w:id="180" w:name="_Toc185254659"/>
      <w:r w:rsidRPr="00B53559">
        <w:rPr>
          <w:rStyle w:val="Heading1Char"/>
          <w:rFonts w:ascii="Aptos" w:hAnsi="Aptos"/>
          <w:b/>
          <w:bCs/>
          <w:color w:val="C00000"/>
          <w:szCs w:val="32"/>
        </w:rPr>
        <w:lastRenderedPageBreak/>
        <w:t xml:space="preserve">Results of </w:t>
      </w:r>
      <w:r w:rsidR="004C7A55">
        <w:rPr>
          <w:rStyle w:val="Heading1Char"/>
          <w:rFonts w:ascii="Aptos" w:hAnsi="Aptos"/>
          <w:b/>
          <w:bCs/>
          <w:color w:val="C00000"/>
          <w:szCs w:val="32"/>
        </w:rPr>
        <w:t>included</w:t>
      </w:r>
      <w:r w:rsidR="004C7A55" w:rsidRPr="00B53559">
        <w:rPr>
          <w:rStyle w:val="Heading1Char"/>
          <w:rFonts w:ascii="Aptos" w:hAnsi="Aptos"/>
          <w:b/>
          <w:bCs/>
          <w:color w:val="C00000"/>
          <w:szCs w:val="32"/>
        </w:rPr>
        <w:t xml:space="preserve"> </w:t>
      </w:r>
      <w:r w:rsidRPr="00B53559">
        <w:rPr>
          <w:rStyle w:val="Heading1Char"/>
          <w:rFonts w:ascii="Aptos" w:hAnsi="Aptos"/>
          <w:b/>
          <w:bCs/>
          <w:color w:val="C00000"/>
          <w:szCs w:val="32"/>
        </w:rPr>
        <w:t>reviews.</w:t>
      </w:r>
      <w:bookmarkEnd w:id="180"/>
    </w:p>
    <w:p w14:paraId="4D59D599" w14:textId="62C12D21" w:rsidR="003D6DF0" w:rsidRPr="00D518FF" w:rsidRDefault="00B747D3" w:rsidP="00AA72BD">
      <w:pPr>
        <w:rPr>
          <w:rFonts w:ascii="Aptos" w:hAnsi="Aptos"/>
        </w:rPr>
      </w:pPr>
      <w:r>
        <w:rPr>
          <w:rFonts w:ascii="Aptos" w:hAnsi="Aptos"/>
        </w:rPr>
        <w:t xml:space="preserve">Results are presented separately for preferred reviews (those from which data was used), followed by the remaining included reviews (those which were considered) for each population-supplement pair. Risk of bias for primary studies is only reported for the preferred reviews, but the ROBIS assessment includes whether this was reported. </w:t>
      </w:r>
    </w:p>
    <w:p w14:paraId="63D41F49" w14:textId="636CFDC7" w:rsidR="009E4D3F" w:rsidRPr="00B53559" w:rsidRDefault="009E4D3F" w:rsidP="00B53559">
      <w:pPr>
        <w:pStyle w:val="heading2numbers"/>
      </w:pPr>
      <w:bookmarkStart w:id="181" w:name="_Toc185254660"/>
      <w:r w:rsidRPr="00B53559">
        <w:rPr>
          <w:rStyle w:val="Heading1Char"/>
          <w:rFonts w:ascii="Aptos" w:eastAsia="Calibri" w:hAnsi="Aptos"/>
          <w:bCs w:val="0"/>
          <w:color w:val="C00000"/>
          <w:sz w:val="28"/>
          <w:szCs w:val="26"/>
        </w:rPr>
        <w:t>Anxiety (including post-natal), magnesium</w:t>
      </w:r>
      <w:bookmarkEnd w:id="181"/>
    </w:p>
    <w:p w14:paraId="5BC11DB1" w14:textId="4E89C70D" w:rsidR="009E4D3F" w:rsidRPr="00D518FF" w:rsidRDefault="0006125A" w:rsidP="004C6AA1">
      <w:pPr>
        <w:pStyle w:val="Caption"/>
        <w:spacing w:before="240"/>
        <w:rPr>
          <w:rFonts w:ascii="Aptos" w:hAnsi="Aptos"/>
        </w:rPr>
      </w:pPr>
      <w:bookmarkStart w:id="182" w:name="_Toc185254573"/>
      <w:r w:rsidRPr="004C6AA1">
        <w:rPr>
          <w:rFonts w:ascii="Aptos" w:hAnsi="Aptos"/>
        </w:rPr>
        <w:t xml:space="preserve">Table </w:t>
      </w:r>
      <w:r w:rsidR="00DC4767" w:rsidRPr="004C6AA1">
        <w:rPr>
          <w:rFonts w:ascii="Aptos" w:hAnsi="Aptos"/>
        </w:rPr>
        <w:fldChar w:fldCharType="begin" w:fldLock="1"/>
      </w:r>
      <w:r w:rsidR="00DC4767" w:rsidRPr="004C6AA1">
        <w:rPr>
          <w:rFonts w:ascii="Aptos" w:hAnsi="Aptos"/>
        </w:rPr>
        <w:instrText xml:space="preserve"> STYLEREF 1 \s </w:instrText>
      </w:r>
      <w:r w:rsidR="00DC4767" w:rsidRPr="004C6AA1">
        <w:rPr>
          <w:rFonts w:ascii="Aptos" w:hAnsi="Aptos"/>
        </w:rPr>
        <w:fldChar w:fldCharType="separate"/>
      </w:r>
      <w:r w:rsidR="00DC4767" w:rsidRPr="004C6AA1">
        <w:rPr>
          <w:rFonts w:ascii="Aptos" w:hAnsi="Aptos"/>
        </w:rPr>
        <w:t>E</w:t>
      </w:r>
      <w:r w:rsidR="00DC4767" w:rsidRPr="004C6AA1">
        <w:rPr>
          <w:rFonts w:ascii="Aptos" w:hAnsi="Aptos"/>
        </w:rPr>
        <w:fldChar w:fldCharType="end"/>
      </w:r>
      <w:r w:rsidR="00DC4767" w:rsidRPr="004C6AA1">
        <w:rPr>
          <w:rFonts w:ascii="Aptos" w:hAnsi="Aptos"/>
        </w:rPr>
        <w:noBreakHyphen/>
      </w:r>
      <w:r w:rsidR="00DC4767" w:rsidRPr="004C6AA1">
        <w:rPr>
          <w:rFonts w:ascii="Aptos" w:hAnsi="Aptos"/>
        </w:rPr>
        <w:fldChar w:fldCharType="begin"/>
      </w:r>
      <w:r w:rsidR="00DC4767" w:rsidRPr="004C6AA1">
        <w:rPr>
          <w:rFonts w:ascii="Aptos" w:hAnsi="Aptos"/>
        </w:rPr>
        <w:instrText xml:space="preserve"> SEQ Table \* ARABIC \s 1 </w:instrText>
      </w:r>
      <w:r w:rsidR="00DC4767" w:rsidRPr="004C6AA1">
        <w:rPr>
          <w:rFonts w:ascii="Aptos" w:hAnsi="Aptos"/>
        </w:rPr>
        <w:fldChar w:fldCharType="separate"/>
      </w:r>
      <w:r w:rsidR="00C426C6">
        <w:rPr>
          <w:rFonts w:ascii="Aptos" w:hAnsi="Aptos"/>
          <w:noProof/>
        </w:rPr>
        <w:t>1</w:t>
      </w:r>
      <w:r w:rsidR="00DC4767" w:rsidRPr="004C6AA1">
        <w:rPr>
          <w:rFonts w:ascii="Aptos" w:hAnsi="Aptos"/>
        </w:rPr>
        <w:fldChar w:fldCharType="end"/>
      </w:r>
      <w:r w:rsidR="009E4D3F" w:rsidRPr="00D518FF">
        <w:rPr>
          <w:rFonts w:ascii="Aptos" w:hAnsi="Aptos"/>
        </w:rPr>
        <w:t xml:space="preserve">. Results of </w:t>
      </w:r>
      <w:r w:rsidR="00D72385">
        <w:rPr>
          <w:rFonts w:ascii="Aptos" w:hAnsi="Aptos"/>
        </w:rPr>
        <w:t>preferred</w:t>
      </w:r>
      <w:r w:rsidR="00D72385" w:rsidRPr="00D518FF">
        <w:rPr>
          <w:rFonts w:ascii="Aptos" w:hAnsi="Aptos"/>
        </w:rPr>
        <w:t xml:space="preserve"> </w:t>
      </w:r>
      <w:r w:rsidR="009E4D3F" w:rsidRPr="00D518FF">
        <w:rPr>
          <w:rFonts w:ascii="Aptos" w:hAnsi="Aptos"/>
        </w:rPr>
        <w:t>reviews by outcome domain – anxiety (including post-natal), magnesium</w:t>
      </w:r>
      <w:bookmarkEnd w:id="182"/>
    </w:p>
    <w:tbl>
      <w:tblPr>
        <w:tblStyle w:val="TableGrid"/>
        <w:tblW w:w="14245" w:type="dxa"/>
        <w:tblLayout w:type="fixed"/>
        <w:tblCellMar>
          <w:top w:w="28" w:type="dxa"/>
          <w:left w:w="57" w:type="dxa"/>
          <w:bottom w:w="28" w:type="dxa"/>
          <w:right w:w="0" w:type="dxa"/>
        </w:tblCellMar>
        <w:tblLook w:val="04A0" w:firstRow="1" w:lastRow="0" w:firstColumn="1" w:lastColumn="0" w:noHBand="0" w:noVBand="1"/>
      </w:tblPr>
      <w:tblGrid>
        <w:gridCol w:w="690"/>
        <w:gridCol w:w="846"/>
        <w:gridCol w:w="951"/>
        <w:gridCol w:w="1130"/>
        <w:gridCol w:w="1076"/>
        <w:gridCol w:w="1241"/>
        <w:gridCol w:w="1055"/>
        <w:gridCol w:w="838"/>
        <w:gridCol w:w="1056"/>
        <w:gridCol w:w="1022"/>
        <w:gridCol w:w="811"/>
        <w:gridCol w:w="1186"/>
        <w:gridCol w:w="1276"/>
        <w:gridCol w:w="1067"/>
      </w:tblGrid>
      <w:tr w:rsidR="00A77D6B" w:rsidRPr="00D518FF" w14:paraId="186CC50F" w14:textId="77B59AEE" w:rsidTr="006418B8">
        <w:trPr>
          <w:trHeight w:val="109"/>
        </w:trPr>
        <w:tc>
          <w:tcPr>
            <w:tcW w:w="690" w:type="dxa"/>
            <w:vMerge w:val="restart"/>
            <w:shd w:val="clear" w:color="auto" w:fill="D9D9D9" w:themeFill="background1" w:themeFillShade="D9"/>
          </w:tcPr>
          <w:p w14:paraId="1A9CF7E7" w14:textId="77777777" w:rsidR="00AF3AD0" w:rsidRPr="00D518FF" w:rsidRDefault="00AF3AD0" w:rsidP="00F614C8">
            <w:pPr>
              <w:pStyle w:val="2024TABLEHEADER"/>
              <w:spacing w:before="0" w:after="0" w:line="240" w:lineRule="auto"/>
              <w:rPr>
                <w:sz w:val="16"/>
                <w:szCs w:val="16"/>
              </w:rPr>
            </w:pPr>
            <w:r w:rsidRPr="00D518FF">
              <w:rPr>
                <w:sz w:val="16"/>
                <w:szCs w:val="16"/>
              </w:rPr>
              <w:t>Review ID</w:t>
            </w:r>
          </w:p>
        </w:tc>
        <w:tc>
          <w:tcPr>
            <w:tcW w:w="846" w:type="dxa"/>
            <w:vMerge w:val="restart"/>
            <w:shd w:val="clear" w:color="auto" w:fill="D9D9D9" w:themeFill="background1" w:themeFillShade="D9"/>
          </w:tcPr>
          <w:p w14:paraId="12DF2247" w14:textId="77777777" w:rsidR="00AF3AD0" w:rsidRPr="00D518FF" w:rsidRDefault="00AF3AD0" w:rsidP="00F614C8">
            <w:pPr>
              <w:pStyle w:val="2024TABLEHEADER"/>
              <w:spacing w:before="0" w:after="0" w:line="240" w:lineRule="auto"/>
              <w:rPr>
                <w:sz w:val="16"/>
                <w:szCs w:val="16"/>
              </w:rPr>
            </w:pPr>
            <w:r w:rsidRPr="00D518FF">
              <w:rPr>
                <w:sz w:val="16"/>
                <w:szCs w:val="16"/>
              </w:rPr>
              <w:t>Outcome domain</w:t>
            </w:r>
          </w:p>
        </w:tc>
        <w:tc>
          <w:tcPr>
            <w:tcW w:w="951" w:type="dxa"/>
            <w:vMerge w:val="restart"/>
            <w:shd w:val="clear" w:color="auto" w:fill="D9D9D9" w:themeFill="background1" w:themeFillShade="D9"/>
          </w:tcPr>
          <w:p w14:paraId="1532AA9A" w14:textId="77777777" w:rsidR="00AF3AD0" w:rsidRPr="00D518FF" w:rsidRDefault="00AF3AD0" w:rsidP="00F614C8">
            <w:pPr>
              <w:pStyle w:val="2024TABLEHEADER"/>
              <w:spacing w:before="0" w:after="0" w:line="240" w:lineRule="auto"/>
              <w:rPr>
                <w:sz w:val="16"/>
                <w:szCs w:val="16"/>
              </w:rPr>
            </w:pPr>
            <w:r w:rsidRPr="00D518FF">
              <w:rPr>
                <w:sz w:val="16"/>
                <w:szCs w:val="16"/>
              </w:rPr>
              <w:t>Population group</w:t>
            </w:r>
          </w:p>
        </w:tc>
        <w:tc>
          <w:tcPr>
            <w:tcW w:w="1130" w:type="dxa"/>
            <w:vMerge w:val="restart"/>
            <w:shd w:val="clear" w:color="auto" w:fill="D9D9D9" w:themeFill="background1" w:themeFillShade="D9"/>
          </w:tcPr>
          <w:p w14:paraId="53C7A13F" w14:textId="77777777" w:rsidR="00AF3AD0" w:rsidRPr="00D518FF" w:rsidRDefault="00AF3AD0" w:rsidP="00F614C8">
            <w:pPr>
              <w:pStyle w:val="2024TABLEHEADER"/>
              <w:spacing w:before="0" w:after="0" w:line="240" w:lineRule="auto"/>
              <w:rPr>
                <w:sz w:val="16"/>
                <w:szCs w:val="16"/>
              </w:rPr>
            </w:pPr>
            <w:r w:rsidRPr="00D518FF">
              <w:rPr>
                <w:sz w:val="16"/>
                <w:szCs w:val="16"/>
              </w:rPr>
              <w:t>Population details</w:t>
            </w:r>
          </w:p>
        </w:tc>
        <w:tc>
          <w:tcPr>
            <w:tcW w:w="1076" w:type="dxa"/>
            <w:vMerge w:val="restart"/>
            <w:shd w:val="clear" w:color="auto" w:fill="D9D9D9" w:themeFill="background1" w:themeFillShade="D9"/>
          </w:tcPr>
          <w:p w14:paraId="2C81DCC8" w14:textId="77777777" w:rsidR="00AF3AD0" w:rsidRPr="00D518FF" w:rsidRDefault="00AF3AD0" w:rsidP="00F614C8">
            <w:pPr>
              <w:pStyle w:val="2024TABLEHEADER"/>
              <w:spacing w:before="0" w:after="0" w:line="240" w:lineRule="auto"/>
              <w:rPr>
                <w:sz w:val="16"/>
                <w:szCs w:val="16"/>
              </w:rPr>
            </w:pPr>
            <w:r w:rsidRPr="00D518FF">
              <w:rPr>
                <w:sz w:val="16"/>
                <w:szCs w:val="16"/>
              </w:rPr>
              <w:t>Type of comparison</w:t>
            </w:r>
          </w:p>
        </w:tc>
        <w:tc>
          <w:tcPr>
            <w:tcW w:w="1241" w:type="dxa"/>
            <w:vMerge w:val="restart"/>
            <w:shd w:val="clear" w:color="auto" w:fill="D9D9D9" w:themeFill="background1" w:themeFillShade="D9"/>
          </w:tcPr>
          <w:p w14:paraId="0CFFB7E8" w14:textId="77777777" w:rsidR="00AF3AD0" w:rsidRPr="00D518FF" w:rsidRDefault="00AF3AD0" w:rsidP="00F614C8">
            <w:pPr>
              <w:pStyle w:val="2024TABLEHEADER"/>
              <w:spacing w:before="0" w:after="0" w:line="240" w:lineRule="auto"/>
              <w:rPr>
                <w:sz w:val="16"/>
                <w:szCs w:val="16"/>
              </w:rPr>
            </w:pPr>
            <w:r w:rsidRPr="00D518FF">
              <w:rPr>
                <w:sz w:val="16"/>
                <w:szCs w:val="16"/>
              </w:rPr>
              <w:t>Intervention description</w:t>
            </w:r>
          </w:p>
        </w:tc>
        <w:tc>
          <w:tcPr>
            <w:tcW w:w="1055" w:type="dxa"/>
            <w:vMerge w:val="restart"/>
            <w:shd w:val="clear" w:color="auto" w:fill="D9D9D9" w:themeFill="background1" w:themeFillShade="D9"/>
          </w:tcPr>
          <w:p w14:paraId="493EEB30" w14:textId="77777777" w:rsidR="00AF3AD0" w:rsidRPr="00D518FF" w:rsidRDefault="00AF3AD0" w:rsidP="00F614C8">
            <w:pPr>
              <w:pStyle w:val="2024TABLEHEADER"/>
              <w:spacing w:before="0" w:after="0" w:line="240" w:lineRule="auto"/>
              <w:rPr>
                <w:sz w:val="16"/>
                <w:szCs w:val="16"/>
              </w:rPr>
            </w:pPr>
            <w:r w:rsidRPr="00D518FF">
              <w:rPr>
                <w:sz w:val="16"/>
                <w:szCs w:val="16"/>
              </w:rPr>
              <w:t>Comparator description</w:t>
            </w:r>
          </w:p>
        </w:tc>
        <w:tc>
          <w:tcPr>
            <w:tcW w:w="838" w:type="dxa"/>
            <w:vMerge w:val="restart"/>
            <w:shd w:val="clear" w:color="auto" w:fill="D9D9D9" w:themeFill="background1" w:themeFillShade="D9"/>
          </w:tcPr>
          <w:p w14:paraId="0DD17B37" w14:textId="77777777" w:rsidR="00AF3AD0" w:rsidRPr="00D518FF" w:rsidRDefault="00AF3AD0" w:rsidP="00F614C8">
            <w:pPr>
              <w:pStyle w:val="2024TABLEHEADER"/>
              <w:spacing w:before="0" w:after="0" w:line="240" w:lineRule="auto"/>
              <w:rPr>
                <w:sz w:val="16"/>
                <w:szCs w:val="16"/>
              </w:rPr>
            </w:pPr>
            <w:r w:rsidRPr="00D518FF">
              <w:rPr>
                <w:sz w:val="16"/>
                <w:szCs w:val="16"/>
              </w:rPr>
              <w:t>No/types of included studies</w:t>
            </w:r>
          </w:p>
        </w:tc>
        <w:tc>
          <w:tcPr>
            <w:tcW w:w="1056" w:type="dxa"/>
            <w:vMerge w:val="restart"/>
            <w:shd w:val="clear" w:color="auto" w:fill="D9D9D9" w:themeFill="background1" w:themeFillShade="D9"/>
          </w:tcPr>
          <w:p w14:paraId="38709A3D" w14:textId="77777777" w:rsidR="00AF3AD0" w:rsidRPr="00D518FF" w:rsidRDefault="00AF3AD0" w:rsidP="00F614C8">
            <w:pPr>
              <w:pStyle w:val="2024TABLEHEADER"/>
              <w:spacing w:before="0" w:after="0" w:line="240" w:lineRule="auto"/>
              <w:rPr>
                <w:sz w:val="16"/>
                <w:szCs w:val="16"/>
              </w:rPr>
            </w:pPr>
            <w:r w:rsidRPr="00D518FF">
              <w:rPr>
                <w:sz w:val="16"/>
                <w:szCs w:val="16"/>
              </w:rPr>
              <w:t>No of participants (total)</w:t>
            </w:r>
          </w:p>
        </w:tc>
        <w:tc>
          <w:tcPr>
            <w:tcW w:w="1022" w:type="dxa"/>
            <w:vMerge w:val="restart"/>
            <w:shd w:val="clear" w:color="auto" w:fill="D9D9D9" w:themeFill="background1" w:themeFillShade="D9"/>
          </w:tcPr>
          <w:p w14:paraId="52D9E4E9" w14:textId="77777777" w:rsidR="00AF3AD0" w:rsidRPr="00D518FF" w:rsidRDefault="00AF3AD0" w:rsidP="00F614C8">
            <w:pPr>
              <w:pStyle w:val="2024TABLEHEADER"/>
              <w:spacing w:before="0" w:after="0" w:line="240" w:lineRule="auto"/>
              <w:rPr>
                <w:sz w:val="16"/>
                <w:szCs w:val="16"/>
              </w:rPr>
            </w:pPr>
            <w:r w:rsidRPr="00D518FF">
              <w:rPr>
                <w:sz w:val="16"/>
                <w:szCs w:val="16"/>
              </w:rPr>
              <w:t>Outcome measure(s) used</w:t>
            </w:r>
          </w:p>
        </w:tc>
        <w:tc>
          <w:tcPr>
            <w:tcW w:w="3273" w:type="dxa"/>
            <w:gridSpan w:val="3"/>
            <w:shd w:val="clear" w:color="auto" w:fill="D9D9D9" w:themeFill="background1" w:themeFillShade="D9"/>
          </w:tcPr>
          <w:p w14:paraId="0C2F94D1" w14:textId="4491603B" w:rsidR="00AF3AD0" w:rsidRPr="00D518FF" w:rsidRDefault="00AF3AD0" w:rsidP="00F614C8">
            <w:pPr>
              <w:pStyle w:val="2024TABLEHEADER"/>
              <w:spacing w:before="0" w:after="0" w:line="240" w:lineRule="auto"/>
              <w:rPr>
                <w:sz w:val="16"/>
                <w:szCs w:val="16"/>
              </w:rPr>
            </w:pPr>
            <w:r w:rsidRPr="00D518FF">
              <w:rPr>
                <w:sz w:val="16"/>
                <w:szCs w:val="16"/>
              </w:rPr>
              <w:t>Results</w:t>
            </w:r>
          </w:p>
        </w:tc>
        <w:tc>
          <w:tcPr>
            <w:tcW w:w="1067" w:type="dxa"/>
            <w:vMerge w:val="restart"/>
            <w:shd w:val="clear" w:color="auto" w:fill="D9D9D9" w:themeFill="background1" w:themeFillShade="D9"/>
          </w:tcPr>
          <w:p w14:paraId="0D058DD5" w14:textId="19E22BAA" w:rsidR="00AF3AD0" w:rsidRPr="00D518FF" w:rsidRDefault="00AF3AD0" w:rsidP="00F614C8">
            <w:pPr>
              <w:pStyle w:val="2024TABLEHEADER"/>
              <w:spacing w:before="0" w:after="0" w:line="240" w:lineRule="auto"/>
              <w:rPr>
                <w:sz w:val="16"/>
                <w:szCs w:val="16"/>
              </w:rPr>
            </w:pPr>
            <w:r>
              <w:rPr>
                <w:sz w:val="16"/>
                <w:szCs w:val="16"/>
              </w:rPr>
              <w:t>ROBIS assessment</w:t>
            </w:r>
            <w:r w:rsidR="005D7998">
              <w:rPr>
                <w:sz w:val="16"/>
                <w:szCs w:val="16"/>
              </w:rPr>
              <w:t xml:space="preserve"> (for the review overall)</w:t>
            </w:r>
          </w:p>
        </w:tc>
      </w:tr>
      <w:tr w:rsidR="00A77D6B" w:rsidRPr="00D518FF" w14:paraId="601A3DE2" w14:textId="730C7CA9" w:rsidTr="006418B8">
        <w:trPr>
          <w:trHeight w:val="109"/>
        </w:trPr>
        <w:tc>
          <w:tcPr>
            <w:tcW w:w="690" w:type="dxa"/>
            <w:vMerge/>
            <w:shd w:val="clear" w:color="auto" w:fill="D9D9D9" w:themeFill="background1" w:themeFillShade="D9"/>
          </w:tcPr>
          <w:p w14:paraId="1FD08D98" w14:textId="77777777" w:rsidR="00AF3AD0" w:rsidRPr="00D518FF" w:rsidRDefault="00AF3AD0" w:rsidP="00F614C8">
            <w:pPr>
              <w:pStyle w:val="2024TABLEHEADER"/>
              <w:spacing w:before="0" w:after="0" w:line="240" w:lineRule="auto"/>
              <w:rPr>
                <w:sz w:val="16"/>
                <w:szCs w:val="16"/>
              </w:rPr>
            </w:pPr>
          </w:p>
        </w:tc>
        <w:tc>
          <w:tcPr>
            <w:tcW w:w="846" w:type="dxa"/>
            <w:vMerge/>
            <w:shd w:val="clear" w:color="auto" w:fill="D9D9D9" w:themeFill="background1" w:themeFillShade="D9"/>
          </w:tcPr>
          <w:p w14:paraId="1ED4BC17" w14:textId="77777777" w:rsidR="00AF3AD0" w:rsidRPr="00D518FF" w:rsidRDefault="00AF3AD0" w:rsidP="00F614C8">
            <w:pPr>
              <w:pStyle w:val="2024TABLEHEADER"/>
              <w:spacing w:before="0" w:after="0" w:line="240" w:lineRule="auto"/>
              <w:rPr>
                <w:sz w:val="16"/>
                <w:szCs w:val="16"/>
              </w:rPr>
            </w:pPr>
          </w:p>
        </w:tc>
        <w:tc>
          <w:tcPr>
            <w:tcW w:w="951" w:type="dxa"/>
            <w:vMerge/>
            <w:shd w:val="clear" w:color="auto" w:fill="D9D9D9" w:themeFill="background1" w:themeFillShade="D9"/>
          </w:tcPr>
          <w:p w14:paraId="624076DA" w14:textId="77777777" w:rsidR="00AF3AD0" w:rsidRPr="00D518FF" w:rsidRDefault="00AF3AD0" w:rsidP="00F614C8">
            <w:pPr>
              <w:pStyle w:val="2024TABLEHEADER"/>
              <w:spacing w:before="0" w:after="0" w:line="240" w:lineRule="auto"/>
              <w:rPr>
                <w:sz w:val="16"/>
                <w:szCs w:val="16"/>
              </w:rPr>
            </w:pPr>
          </w:p>
        </w:tc>
        <w:tc>
          <w:tcPr>
            <w:tcW w:w="1130" w:type="dxa"/>
            <w:vMerge/>
            <w:shd w:val="clear" w:color="auto" w:fill="D9D9D9" w:themeFill="background1" w:themeFillShade="D9"/>
          </w:tcPr>
          <w:p w14:paraId="5E1C6162" w14:textId="77777777" w:rsidR="00AF3AD0" w:rsidRPr="00D518FF" w:rsidRDefault="00AF3AD0" w:rsidP="00F614C8">
            <w:pPr>
              <w:pStyle w:val="2024TABLEHEADER"/>
              <w:spacing w:before="0" w:after="0" w:line="240" w:lineRule="auto"/>
              <w:rPr>
                <w:sz w:val="16"/>
                <w:szCs w:val="16"/>
              </w:rPr>
            </w:pPr>
          </w:p>
        </w:tc>
        <w:tc>
          <w:tcPr>
            <w:tcW w:w="1076" w:type="dxa"/>
            <w:vMerge/>
            <w:shd w:val="clear" w:color="auto" w:fill="D9D9D9" w:themeFill="background1" w:themeFillShade="D9"/>
          </w:tcPr>
          <w:p w14:paraId="01D0E4CA" w14:textId="77777777" w:rsidR="00AF3AD0" w:rsidRPr="00D518FF" w:rsidRDefault="00AF3AD0" w:rsidP="00F614C8">
            <w:pPr>
              <w:pStyle w:val="2024TABLEHEADER"/>
              <w:spacing w:before="0" w:after="0" w:line="240" w:lineRule="auto"/>
              <w:rPr>
                <w:sz w:val="16"/>
                <w:szCs w:val="16"/>
              </w:rPr>
            </w:pPr>
          </w:p>
        </w:tc>
        <w:tc>
          <w:tcPr>
            <w:tcW w:w="1241" w:type="dxa"/>
            <w:vMerge/>
            <w:shd w:val="clear" w:color="auto" w:fill="D9D9D9" w:themeFill="background1" w:themeFillShade="D9"/>
          </w:tcPr>
          <w:p w14:paraId="45E5DA58" w14:textId="77777777" w:rsidR="00AF3AD0" w:rsidRPr="00D518FF" w:rsidRDefault="00AF3AD0" w:rsidP="00F614C8">
            <w:pPr>
              <w:pStyle w:val="2024TABLEHEADER"/>
              <w:spacing w:before="0" w:after="0" w:line="240" w:lineRule="auto"/>
              <w:rPr>
                <w:sz w:val="16"/>
                <w:szCs w:val="16"/>
              </w:rPr>
            </w:pPr>
          </w:p>
        </w:tc>
        <w:tc>
          <w:tcPr>
            <w:tcW w:w="1055" w:type="dxa"/>
            <w:vMerge/>
            <w:shd w:val="clear" w:color="auto" w:fill="D9D9D9" w:themeFill="background1" w:themeFillShade="D9"/>
          </w:tcPr>
          <w:p w14:paraId="1DF64E52" w14:textId="77777777" w:rsidR="00AF3AD0" w:rsidRPr="00D518FF" w:rsidRDefault="00AF3AD0" w:rsidP="00F614C8">
            <w:pPr>
              <w:pStyle w:val="2024TABLEHEADER"/>
              <w:spacing w:before="0" w:after="0" w:line="240" w:lineRule="auto"/>
              <w:rPr>
                <w:sz w:val="16"/>
                <w:szCs w:val="16"/>
              </w:rPr>
            </w:pPr>
          </w:p>
        </w:tc>
        <w:tc>
          <w:tcPr>
            <w:tcW w:w="838" w:type="dxa"/>
            <w:vMerge/>
            <w:shd w:val="clear" w:color="auto" w:fill="D9D9D9" w:themeFill="background1" w:themeFillShade="D9"/>
          </w:tcPr>
          <w:p w14:paraId="0D275CEF" w14:textId="77777777" w:rsidR="00AF3AD0" w:rsidRPr="00D518FF" w:rsidRDefault="00AF3AD0" w:rsidP="00F614C8">
            <w:pPr>
              <w:pStyle w:val="2024TABLEHEADER"/>
              <w:spacing w:before="0" w:after="0" w:line="240" w:lineRule="auto"/>
              <w:rPr>
                <w:sz w:val="16"/>
                <w:szCs w:val="16"/>
              </w:rPr>
            </w:pPr>
          </w:p>
        </w:tc>
        <w:tc>
          <w:tcPr>
            <w:tcW w:w="1056" w:type="dxa"/>
            <w:vMerge/>
            <w:shd w:val="clear" w:color="auto" w:fill="D9D9D9" w:themeFill="background1" w:themeFillShade="D9"/>
          </w:tcPr>
          <w:p w14:paraId="3A24F8B1" w14:textId="77777777" w:rsidR="00AF3AD0" w:rsidRPr="00D518FF" w:rsidRDefault="00AF3AD0" w:rsidP="00F614C8">
            <w:pPr>
              <w:pStyle w:val="2024TABLEHEADER"/>
              <w:spacing w:before="0" w:after="0" w:line="240" w:lineRule="auto"/>
              <w:rPr>
                <w:sz w:val="16"/>
                <w:szCs w:val="16"/>
              </w:rPr>
            </w:pPr>
          </w:p>
        </w:tc>
        <w:tc>
          <w:tcPr>
            <w:tcW w:w="1022" w:type="dxa"/>
            <w:vMerge/>
            <w:shd w:val="clear" w:color="auto" w:fill="D9D9D9" w:themeFill="background1" w:themeFillShade="D9"/>
          </w:tcPr>
          <w:p w14:paraId="37657D29" w14:textId="77777777" w:rsidR="00AF3AD0" w:rsidRPr="00D518FF" w:rsidRDefault="00AF3AD0" w:rsidP="00F614C8">
            <w:pPr>
              <w:pStyle w:val="2024TABLEHEADER"/>
              <w:spacing w:before="0" w:after="0" w:line="240" w:lineRule="auto"/>
              <w:rPr>
                <w:sz w:val="16"/>
                <w:szCs w:val="16"/>
              </w:rPr>
            </w:pPr>
          </w:p>
        </w:tc>
        <w:tc>
          <w:tcPr>
            <w:tcW w:w="811" w:type="dxa"/>
            <w:shd w:val="clear" w:color="auto" w:fill="D9D9D9" w:themeFill="background1" w:themeFillShade="D9"/>
          </w:tcPr>
          <w:p w14:paraId="4B7F6616" w14:textId="77777777" w:rsidR="00AF3AD0" w:rsidRPr="00D518FF" w:rsidRDefault="00AF3AD0" w:rsidP="00F614C8">
            <w:pPr>
              <w:pStyle w:val="2024TABLEHEADER"/>
              <w:spacing w:before="0" w:after="0" w:line="240" w:lineRule="auto"/>
              <w:rPr>
                <w:sz w:val="16"/>
                <w:szCs w:val="16"/>
              </w:rPr>
            </w:pPr>
            <w:r w:rsidRPr="00D518FF">
              <w:rPr>
                <w:sz w:val="16"/>
                <w:szCs w:val="16"/>
              </w:rPr>
              <w:t>Relative effect (95% CI)</w:t>
            </w:r>
          </w:p>
        </w:tc>
        <w:tc>
          <w:tcPr>
            <w:tcW w:w="1186" w:type="dxa"/>
            <w:shd w:val="clear" w:color="auto" w:fill="D9D9D9" w:themeFill="background1" w:themeFillShade="D9"/>
          </w:tcPr>
          <w:p w14:paraId="717C2BD0" w14:textId="77777777" w:rsidR="00AF3AD0" w:rsidRPr="00D518FF" w:rsidRDefault="00AF3AD0" w:rsidP="00F614C8">
            <w:pPr>
              <w:pStyle w:val="2024TABLEHEADER"/>
              <w:spacing w:before="0" w:after="0" w:line="240" w:lineRule="auto"/>
              <w:rPr>
                <w:sz w:val="16"/>
                <w:szCs w:val="16"/>
              </w:rPr>
            </w:pPr>
            <w:r w:rsidRPr="00D518FF">
              <w:rPr>
                <w:sz w:val="16"/>
                <w:szCs w:val="16"/>
              </w:rPr>
              <w:t>Other reported results</w:t>
            </w:r>
          </w:p>
        </w:tc>
        <w:tc>
          <w:tcPr>
            <w:tcW w:w="1276" w:type="dxa"/>
            <w:shd w:val="clear" w:color="auto" w:fill="D9D9D9" w:themeFill="background1" w:themeFillShade="D9"/>
          </w:tcPr>
          <w:p w14:paraId="43A9B1E4" w14:textId="2D4EC5AC" w:rsidR="00AF3AD0" w:rsidRPr="00D518FF" w:rsidRDefault="005C1728" w:rsidP="00F614C8">
            <w:pPr>
              <w:pStyle w:val="2024TABLEHEADER"/>
              <w:spacing w:before="0" w:after="0" w:line="240" w:lineRule="auto"/>
              <w:rPr>
                <w:sz w:val="16"/>
                <w:szCs w:val="16"/>
              </w:rPr>
            </w:pPr>
            <w:r>
              <w:rPr>
                <w:sz w:val="16"/>
                <w:szCs w:val="16"/>
              </w:rPr>
              <w:t>Risk of bias</w:t>
            </w:r>
            <w:r w:rsidR="00AF3AD0" w:rsidRPr="00D518FF">
              <w:rPr>
                <w:sz w:val="16"/>
                <w:szCs w:val="16"/>
              </w:rPr>
              <w:t xml:space="preserve"> s</w:t>
            </w:r>
            <w:r w:rsidR="00A77D6B">
              <w:rPr>
                <w:sz w:val="16"/>
                <w:szCs w:val="16"/>
              </w:rPr>
              <w:t>ummary (primary studies)</w:t>
            </w:r>
          </w:p>
        </w:tc>
        <w:tc>
          <w:tcPr>
            <w:tcW w:w="1067" w:type="dxa"/>
            <w:vMerge/>
            <w:shd w:val="clear" w:color="auto" w:fill="D9D9D9" w:themeFill="background1" w:themeFillShade="D9"/>
          </w:tcPr>
          <w:p w14:paraId="411758A1" w14:textId="3D1E7D50" w:rsidR="00AF3AD0" w:rsidRPr="00D518FF" w:rsidRDefault="00AF3AD0" w:rsidP="00F614C8">
            <w:pPr>
              <w:pStyle w:val="2024TABLEHEADER"/>
              <w:spacing w:before="0" w:after="0" w:line="240" w:lineRule="auto"/>
              <w:rPr>
                <w:sz w:val="16"/>
                <w:szCs w:val="16"/>
              </w:rPr>
            </w:pPr>
          </w:p>
        </w:tc>
      </w:tr>
      <w:tr w:rsidR="00A77D6B" w:rsidRPr="00D518FF" w14:paraId="4C9116FF" w14:textId="22B37EBC" w:rsidTr="006418B8">
        <w:trPr>
          <w:trHeight w:val="232"/>
        </w:trPr>
        <w:tc>
          <w:tcPr>
            <w:tcW w:w="690" w:type="dxa"/>
          </w:tcPr>
          <w:p w14:paraId="69C500EF"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Barić 2018</w:t>
            </w:r>
          </w:p>
        </w:tc>
        <w:tc>
          <w:tcPr>
            <w:tcW w:w="846" w:type="dxa"/>
          </w:tcPr>
          <w:p w14:paraId="45C1B800"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51" w:type="dxa"/>
          </w:tcPr>
          <w:p w14:paraId="33BCB669"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With condition</w:t>
            </w:r>
          </w:p>
        </w:tc>
        <w:tc>
          <w:tcPr>
            <w:tcW w:w="1130" w:type="dxa"/>
          </w:tcPr>
          <w:p w14:paraId="69AEAEE3"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Adults (at least 18 years of age) with GAD diagnosed according to defined criteria</w:t>
            </w:r>
          </w:p>
        </w:tc>
        <w:tc>
          <w:tcPr>
            <w:tcW w:w="1076" w:type="dxa"/>
          </w:tcPr>
          <w:p w14:paraId="6D782503"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Eligible supplement + naturopathy co-intervention VS placebo</w:t>
            </w:r>
          </w:p>
        </w:tc>
        <w:tc>
          <w:tcPr>
            <w:tcW w:w="1241" w:type="dxa"/>
          </w:tcPr>
          <w:p w14:paraId="3530C92B"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Extract of crataegus oxycantha and Eschscholtzia californica combined with Magnesium</w:t>
            </w:r>
          </w:p>
        </w:tc>
        <w:tc>
          <w:tcPr>
            <w:tcW w:w="1055" w:type="dxa"/>
          </w:tcPr>
          <w:p w14:paraId="2BA251CF"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38" w:type="dxa"/>
          </w:tcPr>
          <w:p w14:paraId="0D294E37" w14:textId="53A858F9"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1 RCT</w:t>
            </w:r>
          </w:p>
        </w:tc>
        <w:tc>
          <w:tcPr>
            <w:tcW w:w="1056" w:type="dxa"/>
          </w:tcPr>
          <w:p w14:paraId="04AA498F"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81</w:t>
            </w:r>
          </w:p>
        </w:tc>
        <w:tc>
          <w:tcPr>
            <w:tcW w:w="1022" w:type="dxa"/>
          </w:tcPr>
          <w:p w14:paraId="13D4A18F"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HAM-A; Patient self- assessment VAS score, CGI</w:t>
            </w:r>
          </w:p>
        </w:tc>
        <w:tc>
          <w:tcPr>
            <w:tcW w:w="811" w:type="dxa"/>
          </w:tcPr>
          <w:p w14:paraId="5F469DAD" w14:textId="63BCCBC0"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RR = 1.41 (1.04 to 1.93)</w:t>
            </w:r>
          </w:p>
        </w:tc>
        <w:tc>
          <w:tcPr>
            <w:tcW w:w="1186" w:type="dxa"/>
          </w:tcPr>
          <w:p w14:paraId="331BCE90" w14:textId="4F13FF05" w:rsidR="005D7998" w:rsidRPr="00D518FF" w:rsidRDefault="00552991" w:rsidP="00F614C8">
            <w:pPr>
              <w:pStyle w:val="2024TABLETEXT"/>
              <w:framePr w:hSpace="0" w:wrap="auto" w:vAnchor="margin" w:yAlign="inline"/>
              <w:spacing w:line="240" w:lineRule="auto"/>
              <w:suppressOverlap w:val="0"/>
              <w:rPr>
                <w:sz w:val="16"/>
                <w:szCs w:val="16"/>
              </w:rPr>
            </w:pPr>
            <w:r w:rsidRPr="00552991">
              <w:rPr>
                <w:sz w:val="16"/>
                <w:szCs w:val="16"/>
              </w:rPr>
              <w:t>Difference in reduction in HAM-A score: –1.7 (–1.8 to –1.6)</w:t>
            </w:r>
          </w:p>
        </w:tc>
        <w:tc>
          <w:tcPr>
            <w:tcW w:w="1276" w:type="dxa"/>
          </w:tcPr>
          <w:p w14:paraId="6D2F59B3" w14:textId="1C254EE1"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Low risk of bias in included study</w:t>
            </w:r>
            <w:r w:rsidR="009C488B">
              <w:rPr>
                <w:sz w:val="16"/>
                <w:szCs w:val="16"/>
              </w:rPr>
              <w:t>.</w:t>
            </w:r>
          </w:p>
        </w:tc>
        <w:tc>
          <w:tcPr>
            <w:tcW w:w="1067" w:type="dxa"/>
          </w:tcPr>
          <w:p w14:paraId="5B11AC5D" w14:textId="4B13B0B3" w:rsidR="005D7998" w:rsidRPr="00D518FF" w:rsidRDefault="005D7998" w:rsidP="00F614C8">
            <w:pPr>
              <w:pStyle w:val="2024TABLETEXT"/>
              <w:framePr w:hSpace="0" w:wrap="auto" w:vAnchor="margin" w:yAlign="inline"/>
              <w:spacing w:line="240" w:lineRule="auto"/>
              <w:suppressOverlap w:val="0"/>
              <w:rPr>
                <w:sz w:val="16"/>
                <w:szCs w:val="16"/>
              </w:rPr>
            </w:pPr>
            <w:r w:rsidRPr="00E77295">
              <w:rPr>
                <w:sz w:val="16"/>
                <w:szCs w:val="16"/>
              </w:rPr>
              <w:t>Low risk</w:t>
            </w:r>
          </w:p>
        </w:tc>
      </w:tr>
      <w:tr w:rsidR="00A77D6B" w:rsidRPr="00D518FF" w14:paraId="600AA18A" w14:textId="7375BA4F" w:rsidTr="006418B8">
        <w:trPr>
          <w:trHeight w:val="124"/>
        </w:trPr>
        <w:tc>
          <w:tcPr>
            <w:tcW w:w="690" w:type="dxa"/>
          </w:tcPr>
          <w:p w14:paraId="752C0EEC"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Tsai 2023</w:t>
            </w:r>
          </w:p>
        </w:tc>
        <w:tc>
          <w:tcPr>
            <w:tcW w:w="846" w:type="dxa"/>
          </w:tcPr>
          <w:p w14:paraId="36456F38"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51" w:type="dxa"/>
          </w:tcPr>
          <w:p w14:paraId="20C87802"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At-risk of condition</w:t>
            </w:r>
          </w:p>
        </w:tc>
        <w:tc>
          <w:tcPr>
            <w:tcW w:w="1130" w:type="dxa"/>
          </w:tcPr>
          <w:p w14:paraId="45B0B533"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During pregnancy or within the first 12 months postpartum</w:t>
            </w:r>
          </w:p>
        </w:tc>
        <w:tc>
          <w:tcPr>
            <w:tcW w:w="1076" w:type="dxa"/>
          </w:tcPr>
          <w:p w14:paraId="27244284"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w:t>
            </w:r>
          </w:p>
        </w:tc>
        <w:tc>
          <w:tcPr>
            <w:tcW w:w="1241" w:type="dxa"/>
          </w:tcPr>
          <w:p w14:paraId="35188564"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Magnesium (64.6mg)</w:t>
            </w:r>
          </w:p>
        </w:tc>
        <w:tc>
          <w:tcPr>
            <w:tcW w:w="1055" w:type="dxa"/>
          </w:tcPr>
          <w:p w14:paraId="08C21317"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38" w:type="dxa"/>
          </w:tcPr>
          <w:p w14:paraId="186310F4" w14:textId="1089FA13"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1 RCT</w:t>
            </w:r>
          </w:p>
        </w:tc>
        <w:tc>
          <w:tcPr>
            <w:tcW w:w="1056" w:type="dxa"/>
          </w:tcPr>
          <w:p w14:paraId="2B8E31F0"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64</w:t>
            </w:r>
          </w:p>
        </w:tc>
        <w:tc>
          <w:tcPr>
            <w:tcW w:w="1022" w:type="dxa"/>
          </w:tcPr>
          <w:p w14:paraId="091EA11A"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STAI</w:t>
            </w:r>
          </w:p>
        </w:tc>
        <w:tc>
          <w:tcPr>
            <w:tcW w:w="811" w:type="dxa"/>
          </w:tcPr>
          <w:p w14:paraId="77171EE9" w14:textId="4257376A"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SMD = -0.34 (-0.83 to 0.15)</w:t>
            </w:r>
          </w:p>
        </w:tc>
        <w:tc>
          <w:tcPr>
            <w:tcW w:w="1186" w:type="dxa"/>
          </w:tcPr>
          <w:p w14:paraId="4D09C0E3" w14:textId="26F5A9C9"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w:t>
            </w:r>
          </w:p>
        </w:tc>
        <w:tc>
          <w:tcPr>
            <w:tcW w:w="1276" w:type="dxa"/>
          </w:tcPr>
          <w:p w14:paraId="0A39A20E" w14:textId="21A3CFA1"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Some concerns of bias in included study</w:t>
            </w:r>
            <w:r w:rsidR="009C488B">
              <w:rPr>
                <w:sz w:val="16"/>
                <w:szCs w:val="16"/>
              </w:rPr>
              <w:t>.</w:t>
            </w:r>
          </w:p>
        </w:tc>
        <w:tc>
          <w:tcPr>
            <w:tcW w:w="1067" w:type="dxa"/>
          </w:tcPr>
          <w:p w14:paraId="067957D2" w14:textId="4D6E9825" w:rsidR="005D7998" w:rsidRPr="00D518FF" w:rsidRDefault="005D7998" w:rsidP="00F614C8">
            <w:pPr>
              <w:pStyle w:val="2024TABLETEXT"/>
              <w:framePr w:hSpace="0" w:wrap="auto" w:vAnchor="margin" w:yAlign="inline"/>
              <w:spacing w:line="240" w:lineRule="auto"/>
              <w:suppressOverlap w:val="0"/>
              <w:rPr>
                <w:sz w:val="16"/>
                <w:szCs w:val="16"/>
              </w:rPr>
            </w:pPr>
            <w:r w:rsidRPr="00E77295">
              <w:rPr>
                <w:sz w:val="16"/>
                <w:szCs w:val="16"/>
              </w:rPr>
              <w:t>Low risk</w:t>
            </w:r>
          </w:p>
        </w:tc>
      </w:tr>
      <w:tr w:rsidR="00A77D6B" w:rsidRPr="00D518FF" w14:paraId="0120DBE0" w14:textId="1934BBC6" w:rsidTr="006418B8">
        <w:trPr>
          <w:trHeight w:val="25"/>
        </w:trPr>
        <w:tc>
          <w:tcPr>
            <w:tcW w:w="690" w:type="dxa"/>
          </w:tcPr>
          <w:p w14:paraId="12E41CA7"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Tsai 2023</w:t>
            </w:r>
          </w:p>
        </w:tc>
        <w:tc>
          <w:tcPr>
            <w:tcW w:w="846" w:type="dxa"/>
          </w:tcPr>
          <w:p w14:paraId="542BED43"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951" w:type="dxa"/>
          </w:tcPr>
          <w:p w14:paraId="3439FED4"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At-risk of condition</w:t>
            </w:r>
          </w:p>
        </w:tc>
        <w:tc>
          <w:tcPr>
            <w:tcW w:w="1130" w:type="dxa"/>
          </w:tcPr>
          <w:p w14:paraId="2FF1DC8A"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During pregnancy or within the first 12 months postpartum</w:t>
            </w:r>
          </w:p>
        </w:tc>
        <w:tc>
          <w:tcPr>
            <w:tcW w:w="1076" w:type="dxa"/>
          </w:tcPr>
          <w:p w14:paraId="6CA66595"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w:t>
            </w:r>
          </w:p>
        </w:tc>
        <w:tc>
          <w:tcPr>
            <w:tcW w:w="1241" w:type="dxa"/>
          </w:tcPr>
          <w:p w14:paraId="469401F6"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Magnesium (64.6mg)</w:t>
            </w:r>
          </w:p>
        </w:tc>
        <w:tc>
          <w:tcPr>
            <w:tcW w:w="1055" w:type="dxa"/>
          </w:tcPr>
          <w:p w14:paraId="371C055F"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38" w:type="dxa"/>
          </w:tcPr>
          <w:p w14:paraId="4906E088" w14:textId="2092A85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1 RCT</w:t>
            </w:r>
          </w:p>
        </w:tc>
        <w:tc>
          <w:tcPr>
            <w:tcW w:w="1056" w:type="dxa"/>
          </w:tcPr>
          <w:p w14:paraId="27E0A523"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64</w:t>
            </w:r>
          </w:p>
        </w:tc>
        <w:tc>
          <w:tcPr>
            <w:tcW w:w="1022" w:type="dxa"/>
          </w:tcPr>
          <w:p w14:paraId="702C007C" w14:textId="77777777"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EPDS</w:t>
            </w:r>
          </w:p>
        </w:tc>
        <w:tc>
          <w:tcPr>
            <w:tcW w:w="811" w:type="dxa"/>
          </w:tcPr>
          <w:p w14:paraId="631B8DE8" w14:textId="397F5A6A"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SMD = 0.20 (-0.29 to 0.69)</w:t>
            </w:r>
          </w:p>
        </w:tc>
        <w:tc>
          <w:tcPr>
            <w:tcW w:w="1186" w:type="dxa"/>
          </w:tcPr>
          <w:p w14:paraId="331FD6AC" w14:textId="65BC588A"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w:t>
            </w:r>
          </w:p>
        </w:tc>
        <w:tc>
          <w:tcPr>
            <w:tcW w:w="1276" w:type="dxa"/>
          </w:tcPr>
          <w:p w14:paraId="677B52B5" w14:textId="3CA4FD40" w:rsidR="005D7998" w:rsidRPr="00D518FF" w:rsidRDefault="005D7998" w:rsidP="00F614C8">
            <w:pPr>
              <w:pStyle w:val="2024TABLETEXT"/>
              <w:framePr w:hSpace="0" w:wrap="auto" w:vAnchor="margin" w:yAlign="inline"/>
              <w:spacing w:line="240" w:lineRule="auto"/>
              <w:suppressOverlap w:val="0"/>
              <w:rPr>
                <w:sz w:val="16"/>
                <w:szCs w:val="16"/>
              </w:rPr>
            </w:pPr>
            <w:r w:rsidRPr="00D518FF">
              <w:rPr>
                <w:sz w:val="16"/>
                <w:szCs w:val="16"/>
              </w:rPr>
              <w:t>Some concerns of bias in included study</w:t>
            </w:r>
            <w:r w:rsidR="009C488B">
              <w:rPr>
                <w:sz w:val="16"/>
                <w:szCs w:val="16"/>
              </w:rPr>
              <w:t>.</w:t>
            </w:r>
          </w:p>
        </w:tc>
        <w:tc>
          <w:tcPr>
            <w:tcW w:w="1067" w:type="dxa"/>
          </w:tcPr>
          <w:p w14:paraId="1714645D" w14:textId="19CAB6AA" w:rsidR="005D7998" w:rsidRPr="00D518FF" w:rsidRDefault="005D7998" w:rsidP="00F614C8">
            <w:pPr>
              <w:pStyle w:val="2024TABLETEXT"/>
              <w:framePr w:hSpace="0" w:wrap="auto" w:vAnchor="margin" w:yAlign="inline"/>
              <w:spacing w:line="240" w:lineRule="auto"/>
              <w:suppressOverlap w:val="0"/>
              <w:rPr>
                <w:sz w:val="16"/>
                <w:szCs w:val="16"/>
              </w:rPr>
            </w:pPr>
            <w:r w:rsidRPr="00E77295">
              <w:rPr>
                <w:sz w:val="16"/>
                <w:szCs w:val="16"/>
              </w:rPr>
              <w:t>Low risk</w:t>
            </w:r>
          </w:p>
        </w:tc>
      </w:tr>
    </w:tbl>
    <w:p w14:paraId="649FC5FD" w14:textId="088FD53B" w:rsidR="009E4D3F" w:rsidRPr="00D518FF" w:rsidRDefault="009E4D3F" w:rsidP="00AA72BD">
      <w:pPr>
        <w:pStyle w:val="2024TABLEFOOTER"/>
        <w:spacing w:line="240" w:lineRule="auto"/>
        <w:rPr>
          <w:szCs w:val="16"/>
        </w:rPr>
      </w:pPr>
      <w:r w:rsidRPr="00D518FF">
        <w:rPr>
          <w:szCs w:val="16"/>
        </w:rPr>
        <w:t xml:space="preserve">Abbreviations: </w:t>
      </w:r>
      <w:r w:rsidR="0005754F" w:rsidRPr="00D518FF">
        <w:rPr>
          <w:szCs w:val="16"/>
        </w:rPr>
        <w:t xml:space="preserve">CGI=Clinician global impression; </w:t>
      </w:r>
      <w:r w:rsidR="002E4025">
        <w:rPr>
          <w:szCs w:val="16"/>
        </w:rPr>
        <w:t>EPDS=</w:t>
      </w:r>
      <w:r w:rsidR="002E4025" w:rsidRPr="002E4025">
        <w:t xml:space="preserve"> </w:t>
      </w:r>
      <w:r w:rsidR="002E4025" w:rsidRPr="002E4025">
        <w:rPr>
          <w:szCs w:val="16"/>
        </w:rPr>
        <w:t>Edinburgh Postnatal Depression Scale</w:t>
      </w:r>
      <w:r w:rsidR="002E4025">
        <w:rPr>
          <w:szCs w:val="16"/>
        </w:rPr>
        <w:t xml:space="preserve">; </w:t>
      </w:r>
      <w:r w:rsidRPr="00D518FF">
        <w:rPr>
          <w:szCs w:val="16"/>
        </w:rPr>
        <w:t xml:space="preserve">GAD=generalised anxiety disorder; </w:t>
      </w:r>
      <w:r w:rsidR="0005754F" w:rsidRPr="00D518FF">
        <w:rPr>
          <w:szCs w:val="16"/>
        </w:rPr>
        <w:t xml:space="preserve">HAM-A=Hamilton Anxiety Rating Scale; </w:t>
      </w:r>
      <w:r w:rsidR="004622EE" w:rsidRPr="00D518FF">
        <w:rPr>
          <w:szCs w:val="16"/>
        </w:rPr>
        <w:t>RCT</w:t>
      </w:r>
      <w:r w:rsidRPr="00D518FF">
        <w:rPr>
          <w:szCs w:val="16"/>
        </w:rPr>
        <w:t>=randomised controlled trial</w:t>
      </w:r>
      <w:r w:rsidR="00324528">
        <w:rPr>
          <w:szCs w:val="16"/>
        </w:rPr>
        <w:t xml:space="preserve">; RR=relative risk; STAI=State-Trait Anxiety Inventory; </w:t>
      </w:r>
      <w:r w:rsidR="002E4025">
        <w:rPr>
          <w:szCs w:val="16"/>
        </w:rPr>
        <w:t>SMD=standardised mean difference</w:t>
      </w:r>
    </w:p>
    <w:p w14:paraId="4A131DA6" w14:textId="77777777" w:rsidR="0005754F" w:rsidRPr="00D518FF" w:rsidRDefault="0005754F" w:rsidP="00AA72BD">
      <w:pPr>
        <w:pStyle w:val="2024TABLEFOOTER"/>
        <w:spacing w:line="240" w:lineRule="auto"/>
        <w:rPr>
          <w:szCs w:val="16"/>
        </w:rPr>
      </w:pPr>
    </w:p>
    <w:p w14:paraId="607B5BCB" w14:textId="77777777" w:rsidR="009E4D3F" w:rsidRPr="00D518FF" w:rsidRDefault="009E4D3F" w:rsidP="00AA72BD">
      <w:pPr>
        <w:pStyle w:val="2024TABLEFOOTER"/>
        <w:spacing w:line="240" w:lineRule="auto"/>
        <w:rPr>
          <w:szCs w:val="16"/>
        </w:rPr>
      </w:pPr>
      <w:r w:rsidRPr="00D518FF">
        <w:rPr>
          <w:szCs w:val="16"/>
        </w:rPr>
        <w:t>^Outcome domains identified as part of the Outcome Prioritisation Exercise:</w:t>
      </w:r>
    </w:p>
    <w:p w14:paraId="777D5ABA" w14:textId="77777777" w:rsidR="009E4D3F" w:rsidRPr="00D518FF" w:rsidRDefault="009E4D3F" w:rsidP="003F5774">
      <w:pPr>
        <w:pStyle w:val="2024TABLEFOOTER"/>
        <w:numPr>
          <w:ilvl w:val="0"/>
          <w:numId w:val="15"/>
        </w:numPr>
        <w:spacing w:line="240" w:lineRule="auto"/>
        <w:rPr>
          <w:szCs w:val="16"/>
        </w:rPr>
      </w:pPr>
      <w:r w:rsidRPr="00D518FF">
        <w:rPr>
          <w:szCs w:val="16"/>
        </w:rPr>
        <w:t>Anxiety-related emotional functioning/mental health burden;</w:t>
      </w:r>
    </w:p>
    <w:p w14:paraId="1F0E8590" w14:textId="22930C21" w:rsidR="009E4D3F" w:rsidRPr="00D518FF" w:rsidRDefault="009E4D3F" w:rsidP="003F5774">
      <w:pPr>
        <w:pStyle w:val="2024TABLEFOOTER"/>
        <w:numPr>
          <w:ilvl w:val="0"/>
          <w:numId w:val="15"/>
        </w:numPr>
        <w:spacing w:line="240" w:lineRule="auto"/>
        <w:rPr>
          <w:szCs w:val="16"/>
        </w:rPr>
      </w:pPr>
      <w:r w:rsidRPr="00D518FF">
        <w:rPr>
          <w:szCs w:val="16"/>
        </w:rPr>
        <w:lastRenderedPageBreak/>
        <w:t>Physical function burden from anxiety (gastrointestinal disorders, loss of sexual desire, frequent upper respiratory tract and other infections)</w:t>
      </w:r>
      <w:r w:rsidR="00A81593">
        <w:rPr>
          <w:szCs w:val="16"/>
        </w:rPr>
        <w:t xml:space="preserve"> </w:t>
      </w:r>
    </w:p>
    <w:p w14:paraId="0B269FAF" w14:textId="77777777" w:rsidR="009E4D3F" w:rsidRPr="00D518FF" w:rsidRDefault="009E4D3F" w:rsidP="003F5774">
      <w:pPr>
        <w:pStyle w:val="2024TABLEFOOTER"/>
        <w:numPr>
          <w:ilvl w:val="0"/>
          <w:numId w:val="15"/>
        </w:numPr>
        <w:spacing w:line="240" w:lineRule="auto"/>
        <w:rPr>
          <w:szCs w:val="16"/>
        </w:rPr>
      </w:pPr>
      <w:r w:rsidRPr="00D518FF">
        <w:rPr>
          <w:szCs w:val="16"/>
        </w:rPr>
        <w:t>Improvement in clinical levels of anxiety</w:t>
      </w:r>
    </w:p>
    <w:p w14:paraId="63C8C328" w14:textId="77777777" w:rsidR="009E4D3F" w:rsidRPr="00D518FF" w:rsidRDefault="009E4D3F" w:rsidP="003F5774">
      <w:pPr>
        <w:pStyle w:val="2024TABLEFOOTER"/>
        <w:numPr>
          <w:ilvl w:val="0"/>
          <w:numId w:val="15"/>
        </w:numPr>
        <w:spacing w:line="240" w:lineRule="auto"/>
        <w:rPr>
          <w:szCs w:val="16"/>
        </w:rPr>
      </w:pPr>
      <w:r w:rsidRPr="00D518FF">
        <w:rPr>
          <w:szCs w:val="16"/>
        </w:rPr>
        <w:t>Depression-related emotional functioning/mental health burden</w:t>
      </w:r>
    </w:p>
    <w:p w14:paraId="27F3B36B" w14:textId="77777777" w:rsidR="009E4D3F" w:rsidRPr="00D518FF" w:rsidRDefault="009E4D3F" w:rsidP="003F5774">
      <w:pPr>
        <w:pStyle w:val="2024TABLEFOOTER"/>
        <w:numPr>
          <w:ilvl w:val="0"/>
          <w:numId w:val="15"/>
        </w:numPr>
        <w:spacing w:line="240" w:lineRule="auto"/>
        <w:rPr>
          <w:szCs w:val="16"/>
        </w:rPr>
      </w:pPr>
      <w:r w:rsidRPr="00D518FF">
        <w:rPr>
          <w:szCs w:val="16"/>
        </w:rPr>
        <w:t>Stress-related emotional functioning/mental health burden</w:t>
      </w:r>
    </w:p>
    <w:p w14:paraId="4B36DA33" w14:textId="77777777" w:rsidR="009E4D3F" w:rsidRPr="00D518FF" w:rsidRDefault="009E4D3F" w:rsidP="003F5774">
      <w:pPr>
        <w:pStyle w:val="2024TABLEFOOTER"/>
        <w:numPr>
          <w:ilvl w:val="0"/>
          <w:numId w:val="15"/>
        </w:numPr>
        <w:spacing w:line="240" w:lineRule="auto"/>
        <w:rPr>
          <w:szCs w:val="16"/>
        </w:rPr>
      </w:pPr>
      <w:r w:rsidRPr="00D518FF">
        <w:rPr>
          <w:szCs w:val="16"/>
        </w:rPr>
        <w:t>Physiological symptoms of anxiety (heart rate, BP, adrenaline, skin conductance, weight gain, weight loss, cortisol levels)</w:t>
      </w:r>
    </w:p>
    <w:p w14:paraId="6F9999F9" w14:textId="71CDA7D3" w:rsidR="00607416" w:rsidRPr="00D518FF" w:rsidRDefault="009E4D3F" w:rsidP="00E77295">
      <w:pPr>
        <w:pStyle w:val="2024TABLEFOOTER"/>
        <w:numPr>
          <w:ilvl w:val="0"/>
          <w:numId w:val="15"/>
        </w:numPr>
        <w:spacing w:line="240" w:lineRule="auto"/>
      </w:pPr>
      <w:r w:rsidRPr="00D518FF">
        <w:rPr>
          <w:szCs w:val="16"/>
        </w:rPr>
        <w:t>Health-related quality of life</w:t>
      </w:r>
    </w:p>
    <w:p w14:paraId="243841E9" w14:textId="77777777" w:rsidR="00D72385" w:rsidRDefault="00D72385" w:rsidP="00D72385">
      <w:pPr>
        <w:pStyle w:val="2024TABLEFOOTER"/>
        <w:spacing w:line="240" w:lineRule="auto"/>
        <w:rPr>
          <w:szCs w:val="16"/>
        </w:rPr>
      </w:pPr>
    </w:p>
    <w:p w14:paraId="07AF72C0" w14:textId="585F289C" w:rsidR="00D72385" w:rsidRPr="00D72385" w:rsidRDefault="00D72385" w:rsidP="00D72385">
      <w:pPr>
        <w:pStyle w:val="2024TABLEFOOTER"/>
        <w:spacing w:line="240" w:lineRule="auto"/>
        <w:rPr>
          <w:sz w:val="20"/>
          <w:szCs w:val="20"/>
        </w:rPr>
      </w:pPr>
      <w:r>
        <w:rPr>
          <w:sz w:val="20"/>
          <w:szCs w:val="20"/>
        </w:rPr>
        <w:t xml:space="preserve">For Anxiety all included reviews were preferred reviews. </w:t>
      </w:r>
    </w:p>
    <w:p w14:paraId="3057CB68" w14:textId="2A5E8182" w:rsidR="009E4D3F" w:rsidRPr="00B53559" w:rsidRDefault="009E4D3F" w:rsidP="00B53559">
      <w:pPr>
        <w:pStyle w:val="heading2numbers"/>
        <w:rPr>
          <w:rStyle w:val="Heading1Char"/>
          <w:rFonts w:ascii="Aptos" w:eastAsia="Calibri" w:hAnsi="Aptos"/>
          <w:bCs w:val="0"/>
          <w:color w:val="C00000"/>
          <w:sz w:val="28"/>
          <w:szCs w:val="26"/>
        </w:rPr>
      </w:pPr>
      <w:bookmarkStart w:id="183" w:name="_Toc185254661"/>
      <w:r w:rsidRPr="00B53559">
        <w:rPr>
          <w:rStyle w:val="Heading1Char"/>
          <w:rFonts w:ascii="Aptos" w:eastAsia="Calibri" w:hAnsi="Aptos"/>
          <w:bCs w:val="0"/>
          <w:color w:val="C00000"/>
          <w:sz w:val="28"/>
          <w:szCs w:val="26"/>
        </w:rPr>
        <w:t>Stress (perceived, occupational), magnesium</w:t>
      </w:r>
      <w:bookmarkEnd w:id="183"/>
    </w:p>
    <w:p w14:paraId="3323222F" w14:textId="77777777" w:rsidR="009E4D3F" w:rsidRPr="00D518FF" w:rsidRDefault="009E4D3F" w:rsidP="00AA72BD">
      <w:pPr>
        <w:spacing w:before="180" w:after="180"/>
        <w:rPr>
          <w:rStyle w:val="Heading1Char"/>
          <w:rFonts w:ascii="Aptos" w:hAnsi="Aptos" w:cs="Times New Roman"/>
          <w:b/>
          <w:bCs w:val="0"/>
          <w:color w:val="auto"/>
          <w:sz w:val="20"/>
          <w:szCs w:val="20"/>
        </w:rPr>
      </w:pPr>
      <w:r w:rsidRPr="00D518FF">
        <w:rPr>
          <w:rFonts w:ascii="Aptos" w:hAnsi="Aptos"/>
          <w:sz w:val="20"/>
          <w:szCs w:val="20"/>
        </w:rPr>
        <w:t>No reviews were identified for inclusion in the Overview.</w:t>
      </w:r>
    </w:p>
    <w:p w14:paraId="65E330E6" w14:textId="7397E247" w:rsidR="009E4D3F" w:rsidRPr="00B53559" w:rsidRDefault="009E4D3F" w:rsidP="00B53559">
      <w:pPr>
        <w:pStyle w:val="heading2numbers"/>
      </w:pPr>
      <w:bookmarkStart w:id="184" w:name="_Toc185254662"/>
      <w:r w:rsidRPr="00B53559">
        <w:rPr>
          <w:rStyle w:val="Heading1Char"/>
          <w:rFonts w:ascii="Aptos" w:eastAsia="Calibri" w:hAnsi="Aptos"/>
          <w:bCs w:val="0"/>
          <w:color w:val="C00000"/>
          <w:sz w:val="28"/>
          <w:szCs w:val="26"/>
        </w:rPr>
        <w:t>Irritable bowel syndrome, probiotics</w:t>
      </w:r>
      <w:bookmarkEnd w:id="184"/>
    </w:p>
    <w:p w14:paraId="20018DEB" w14:textId="726D6CB4" w:rsidR="00787C6E" w:rsidRPr="0039692D" w:rsidRDefault="0006125A" w:rsidP="0039692D">
      <w:pPr>
        <w:pStyle w:val="Caption"/>
        <w:rPr>
          <w:rFonts w:ascii="Aptos" w:hAnsi="Aptos"/>
        </w:rPr>
      </w:pPr>
      <w:bookmarkStart w:id="185" w:name="_Toc185254574"/>
      <w:r w:rsidRPr="00A6108F">
        <w:rPr>
          <w:rFonts w:ascii="Aptos" w:hAnsi="Aptos"/>
        </w:rPr>
        <w:t xml:space="preserve">Table </w:t>
      </w:r>
      <w:r w:rsidR="00DC4767" w:rsidRPr="00A6108F">
        <w:rPr>
          <w:rFonts w:ascii="Aptos" w:hAnsi="Aptos"/>
        </w:rPr>
        <w:fldChar w:fldCharType="begin" w:fldLock="1"/>
      </w:r>
      <w:r w:rsidR="00DC4767" w:rsidRPr="00A6108F">
        <w:rPr>
          <w:rFonts w:ascii="Aptos" w:hAnsi="Aptos"/>
        </w:rPr>
        <w:instrText xml:space="preserve"> STYLEREF 1 \s </w:instrText>
      </w:r>
      <w:r w:rsidR="00DC4767" w:rsidRPr="00A6108F">
        <w:rPr>
          <w:rFonts w:ascii="Aptos" w:hAnsi="Aptos"/>
        </w:rPr>
        <w:fldChar w:fldCharType="separate"/>
      </w:r>
      <w:r w:rsidR="00DC4767" w:rsidRPr="00A6108F">
        <w:rPr>
          <w:rFonts w:ascii="Aptos" w:hAnsi="Aptos"/>
        </w:rPr>
        <w:t>E</w:t>
      </w:r>
      <w:r w:rsidR="00DC4767" w:rsidRPr="00A6108F">
        <w:rPr>
          <w:rFonts w:ascii="Aptos" w:hAnsi="Aptos"/>
        </w:rPr>
        <w:fldChar w:fldCharType="end"/>
      </w:r>
      <w:r w:rsidR="00DC4767" w:rsidRPr="00A6108F">
        <w:rPr>
          <w:rFonts w:ascii="Aptos" w:hAnsi="Aptos"/>
        </w:rPr>
        <w:noBreakHyphen/>
      </w:r>
      <w:r w:rsidR="00DC4767" w:rsidRPr="00A6108F">
        <w:rPr>
          <w:rFonts w:ascii="Aptos" w:hAnsi="Aptos"/>
        </w:rPr>
        <w:fldChar w:fldCharType="begin"/>
      </w:r>
      <w:r w:rsidR="00DC4767" w:rsidRPr="00A6108F">
        <w:rPr>
          <w:rFonts w:ascii="Aptos" w:hAnsi="Aptos"/>
        </w:rPr>
        <w:instrText xml:space="preserve"> SEQ Table \* ARABIC \s 1 </w:instrText>
      </w:r>
      <w:r w:rsidR="00DC4767" w:rsidRPr="00A6108F">
        <w:rPr>
          <w:rFonts w:ascii="Aptos" w:hAnsi="Aptos"/>
        </w:rPr>
        <w:fldChar w:fldCharType="separate"/>
      </w:r>
      <w:r w:rsidR="00C426C6">
        <w:rPr>
          <w:rFonts w:ascii="Aptos" w:hAnsi="Aptos"/>
          <w:noProof/>
        </w:rPr>
        <w:t>2</w:t>
      </w:r>
      <w:r w:rsidR="00DC4767" w:rsidRPr="00A6108F">
        <w:rPr>
          <w:rFonts w:ascii="Aptos" w:hAnsi="Aptos"/>
        </w:rPr>
        <w:fldChar w:fldCharType="end"/>
      </w:r>
      <w:r w:rsidR="009E4D3F" w:rsidRPr="00D518FF">
        <w:rPr>
          <w:rFonts w:ascii="Aptos" w:hAnsi="Aptos"/>
        </w:rPr>
        <w:t xml:space="preserve">. Results of </w:t>
      </w:r>
      <w:r w:rsidR="00851509">
        <w:rPr>
          <w:rFonts w:ascii="Aptos" w:hAnsi="Aptos"/>
        </w:rPr>
        <w:t>preferred</w:t>
      </w:r>
      <w:r w:rsidR="009E4D3F" w:rsidRPr="00D518FF">
        <w:rPr>
          <w:rFonts w:ascii="Aptos" w:hAnsi="Aptos"/>
        </w:rPr>
        <w:t xml:space="preserve"> reviews by outcome domain – irritable bowel syndrome, probiotics</w:t>
      </w:r>
      <w:r w:rsidR="00BE502C">
        <w:rPr>
          <w:rFonts w:ascii="Aptos" w:hAnsi="Aptos"/>
        </w:rPr>
        <w:t>.</w:t>
      </w:r>
      <w:bookmarkEnd w:id="185"/>
    </w:p>
    <w:tbl>
      <w:tblPr>
        <w:tblStyle w:val="TableGrid"/>
        <w:tblpPr w:leftFromText="180" w:rightFromText="180" w:vertAnchor="text" w:tblpX="-10" w:tblpY="1"/>
        <w:tblOverlap w:val="never"/>
        <w:tblW w:w="5000" w:type="pct"/>
        <w:tblCellMar>
          <w:top w:w="28" w:type="dxa"/>
          <w:left w:w="28" w:type="dxa"/>
          <w:bottom w:w="28" w:type="dxa"/>
          <w:right w:w="0" w:type="dxa"/>
        </w:tblCellMar>
        <w:tblLook w:val="04A0" w:firstRow="1" w:lastRow="0" w:firstColumn="1" w:lastColumn="0" w:noHBand="0" w:noVBand="1"/>
      </w:tblPr>
      <w:tblGrid>
        <w:gridCol w:w="651"/>
        <w:gridCol w:w="782"/>
        <w:gridCol w:w="893"/>
        <w:gridCol w:w="1264"/>
        <w:gridCol w:w="1239"/>
        <w:gridCol w:w="1194"/>
        <w:gridCol w:w="978"/>
        <w:gridCol w:w="1000"/>
        <w:gridCol w:w="979"/>
        <w:gridCol w:w="1073"/>
        <w:gridCol w:w="916"/>
        <w:gridCol w:w="1126"/>
        <w:gridCol w:w="1168"/>
        <w:gridCol w:w="982"/>
      </w:tblGrid>
      <w:tr w:rsidR="00262381" w:rsidRPr="00D518FF" w14:paraId="680D5561" w14:textId="77777777" w:rsidTr="00714CCE">
        <w:trPr>
          <w:trHeight w:val="104"/>
        </w:trPr>
        <w:tc>
          <w:tcPr>
            <w:tcW w:w="226" w:type="pct"/>
            <w:vMerge w:val="restart"/>
            <w:shd w:val="clear" w:color="auto" w:fill="D9D9D9" w:themeFill="background1" w:themeFillShade="D9"/>
          </w:tcPr>
          <w:p w14:paraId="7A93AF86" w14:textId="77777777" w:rsidR="0014211B" w:rsidRPr="00D518FF" w:rsidRDefault="0014211B" w:rsidP="00F614C8">
            <w:pPr>
              <w:pStyle w:val="2024TABLEHEADER"/>
              <w:spacing w:before="0" w:after="0" w:line="240" w:lineRule="auto"/>
              <w:rPr>
                <w:sz w:val="16"/>
                <w:szCs w:val="16"/>
              </w:rPr>
            </w:pPr>
            <w:r w:rsidRPr="00D518FF">
              <w:rPr>
                <w:sz w:val="16"/>
                <w:szCs w:val="16"/>
              </w:rPr>
              <w:t>Review ID</w:t>
            </w:r>
          </w:p>
        </w:tc>
        <w:tc>
          <w:tcPr>
            <w:tcW w:w="271" w:type="pct"/>
            <w:vMerge w:val="restart"/>
            <w:shd w:val="clear" w:color="auto" w:fill="D9D9D9" w:themeFill="background1" w:themeFillShade="D9"/>
          </w:tcPr>
          <w:p w14:paraId="0EC19202" w14:textId="77777777" w:rsidR="0014211B" w:rsidRPr="00D518FF" w:rsidRDefault="0014211B" w:rsidP="00F614C8">
            <w:pPr>
              <w:pStyle w:val="2024TABLEHEADER"/>
              <w:spacing w:before="0" w:after="0" w:line="240" w:lineRule="auto"/>
              <w:rPr>
                <w:sz w:val="16"/>
                <w:szCs w:val="16"/>
              </w:rPr>
            </w:pPr>
            <w:r w:rsidRPr="00D518FF">
              <w:rPr>
                <w:sz w:val="16"/>
                <w:szCs w:val="16"/>
              </w:rPr>
              <w:t>Outcome domain</w:t>
            </w:r>
          </w:p>
        </w:tc>
        <w:tc>
          <w:tcPr>
            <w:tcW w:w="310" w:type="pct"/>
            <w:vMerge w:val="restart"/>
            <w:shd w:val="clear" w:color="auto" w:fill="D9D9D9" w:themeFill="background1" w:themeFillShade="D9"/>
          </w:tcPr>
          <w:p w14:paraId="330B009D" w14:textId="77777777" w:rsidR="0014211B" w:rsidRPr="00D518FF" w:rsidRDefault="0014211B" w:rsidP="00F614C8">
            <w:pPr>
              <w:pStyle w:val="2024TABLEHEADER"/>
              <w:spacing w:before="0" w:after="0" w:line="240" w:lineRule="auto"/>
              <w:rPr>
                <w:sz w:val="16"/>
                <w:szCs w:val="16"/>
              </w:rPr>
            </w:pPr>
            <w:r w:rsidRPr="00D518FF">
              <w:rPr>
                <w:sz w:val="16"/>
                <w:szCs w:val="16"/>
              </w:rPr>
              <w:t>Population group</w:t>
            </w:r>
          </w:p>
        </w:tc>
        <w:tc>
          <w:tcPr>
            <w:tcW w:w="438" w:type="pct"/>
            <w:vMerge w:val="restart"/>
            <w:shd w:val="clear" w:color="auto" w:fill="D9D9D9" w:themeFill="background1" w:themeFillShade="D9"/>
          </w:tcPr>
          <w:p w14:paraId="48234F1E" w14:textId="77777777" w:rsidR="0014211B" w:rsidRPr="00D518FF" w:rsidRDefault="0014211B" w:rsidP="00F614C8">
            <w:pPr>
              <w:pStyle w:val="2024TABLEHEADER"/>
              <w:spacing w:before="0" w:after="0" w:line="240" w:lineRule="auto"/>
              <w:rPr>
                <w:sz w:val="16"/>
                <w:szCs w:val="16"/>
              </w:rPr>
            </w:pPr>
            <w:r w:rsidRPr="00D518FF">
              <w:rPr>
                <w:sz w:val="16"/>
                <w:szCs w:val="16"/>
              </w:rPr>
              <w:t>Population details</w:t>
            </w:r>
          </w:p>
        </w:tc>
        <w:tc>
          <w:tcPr>
            <w:tcW w:w="430" w:type="pct"/>
            <w:vMerge w:val="restart"/>
            <w:shd w:val="clear" w:color="auto" w:fill="D9D9D9" w:themeFill="background1" w:themeFillShade="D9"/>
          </w:tcPr>
          <w:p w14:paraId="0D9F01B3" w14:textId="77777777" w:rsidR="0014211B" w:rsidRPr="00D518FF" w:rsidRDefault="0014211B" w:rsidP="00F614C8">
            <w:pPr>
              <w:pStyle w:val="2024TABLEHEADER"/>
              <w:spacing w:before="0" w:after="0" w:line="240" w:lineRule="auto"/>
              <w:rPr>
                <w:sz w:val="16"/>
                <w:szCs w:val="16"/>
              </w:rPr>
            </w:pPr>
            <w:r w:rsidRPr="00D518FF">
              <w:rPr>
                <w:sz w:val="16"/>
                <w:szCs w:val="16"/>
              </w:rPr>
              <w:t>Type of comparison</w:t>
            </w:r>
          </w:p>
        </w:tc>
        <w:tc>
          <w:tcPr>
            <w:tcW w:w="414" w:type="pct"/>
            <w:vMerge w:val="restart"/>
            <w:shd w:val="clear" w:color="auto" w:fill="D9D9D9" w:themeFill="background1" w:themeFillShade="D9"/>
          </w:tcPr>
          <w:p w14:paraId="2810F4AA" w14:textId="77777777" w:rsidR="0014211B" w:rsidRPr="00D518FF" w:rsidRDefault="0014211B" w:rsidP="00F614C8">
            <w:pPr>
              <w:pStyle w:val="2024TABLEHEADER"/>
              <w:spacing w:before="0" w:after="0" w:line="240" w:lineRule="auto"/>
              <w:rPr>
                <w:sz w:val="16"/>
                <w:szCs w:val="16"/>
              </w:rPr>
            </w:pPr>
            <w:r w:rsidRPr="00D518FF">
              <w:rPr>
                <w:sz w:val="16"/>
                <w:szCs w:val="16"/>
              </w:rPr>
              <w:t>Intervention description</w:t>
            </w:r>
          </w:p>
        </w:tc>
        <w:tc>
          <w:tcPr>
            <w:tcW w:w="339" w:type="pct"/>
            <w:vMerge w:val="restart"/>
            <w:shd w:val="clear" w:color="auto" w:fill="D9D9D9" w:themeFill="background1" w:themeFillShade="D9"/>
          </w:tcPr>
          <w:p w14:paraId="2D86DFEC" w14:textId="77777777" w:rsidR="0014211B" w:rsidRPr="00D518FF" w:rsidRDefault="0014211B" w:rsidP="00F614C8">
            <w:pPr>
              <w:pStyle w:val="2024TABLEHEADER"/>
              <w:spacing w:before="0" w:after="0" w:line="240" w:lineRule="auto"/>
              <w:rPr>
                <w:sz w:val="16"/>
                <w:szCs w:val="16"/>
              </w:rPr>
            </w:pPr>
            <w:r w:rsidRPr="00D518FF">
              <w:rPr>
                <w:sz w:val="16"/>
                <w:szCs w:val="16"/>
              </w:rPr>
              <w:t>Comparator description</w:t>
            </w:r>
          </w:p>
        </w:tc>
        <w:tc>
          <w:tcPr>
            <w:tcW w:w="402" w:type="pct"/>
            <w:vMerge w:val="restart"/>
            <w:shd w:val="clear" w:color="auto" w:fill="D9D9D9" w:themeFill="background1" w:themeFillShade="D9"/>
          </w:tcPr>
          <w:p w14:paraId="2A49231F" w14:textId="77777777" w:rsidR="0014211B" w:rsidRPr="00D518FF" w:rsidRDefault="0014211B" w:rsidP="00F614C8">
            <w:pPr>
              <w:pStyle w:val="2024TABLEHEADER"/>
              <w:spacing w:before="0" w:after="0" w:line="240" w:lineRule="auto"/>
              <w:rPr>
                <w:sz w:val="16"/>
                <w:szCs w:val="16"/>
              </w:rPr>
            </w:pPr>
            <w:r w:rsidRPr="00D518FF">
              <w:rPr>
                <w:sz w:val="16"/>
                <w:szCs w:val="16"/>
              </w:rPr>
              <w:t>No/types of included studies</w:t>
            </w:r>
          </w:p>
        </w:tc>
        <w:tc>
          <w:tcPr>
            <w:tcW w:w="339" w:type="pct"/>
            <w:vMerge w:val="restart"/>
            <w:shd w:val="clear" w:color="auto" w:fill="D9D9D9" w:themeFill="background1" w:themeFillShade="D9"/>
          </w:tcPr>
          <w:p w14:paraId="52D5338D" w14:textId="77777777" w:rsidR="0014211B" w:rsidRPr="00D518FF" w:rsidRDefault="0014211B" w:rsidP="00F614C8">
            <w:pPr>
              <w:pStyle w:val="2024TABLEHEADER"/>
              <w:spacing w:before="0" w:after="0" w:line="240" w:lineRule="auto"/>
              <w:rPr>
                <w:sz w:val="16"/>
                <w:szCs w:val="16"/>
              </w:rPr>
            </w:pPr>
            <w:r w:rsidRPr="00D518FF">
              <w:rPr>
                <w:sz w:val="16"/>
                <w:szCs w:val="16"/>
              </w:rPr>
              <w:t>No of participants (total)</w:t>
            </w:r>
          </w:p>
        </w:tc>
        <w:tc>
          <w:tcPr>
            <w:tcW w:w="372" w:type="pct"/>
            <w:vMerge w:val="restart"/>
            <w:shd w:val="clear" w:color="auto" w:fill="D9D9D9" w:themeFill="background1" w:themeFillShade="D9"/>
          </w:tcPr>
          <w:p w14:paraId="58279983" w14:textId="77777777" w:rsidR="0014211B" w:rsidRPr="00D518FF" w:rsidRDefault="0014211B" w:rsidP="00F614C8">
            <w:pPr>
              <w:pStyle w:val="2024TABLEHEADER"/>
              <w:spacing w:before="0" w:after="0" w:line="240" w:lineRule="auto"/>
              <w:rPr>
                <w:sz w:val="16"/>
                <w:szCs w:val="16"/>
              </w:rPr>
            </w:pPr>
            <w:r w:rsidRPr="00D518FF">
              <w:rPr>
                <w:sz w:val="16"/>
                <w:szCs w:val="16"/>
              </w:rPr>
              <w:t>Outcome measure(s) used</w:t>
            </w:r>
          </w:p>
        </w:tc>
        <w:tc>
          <w:tcPr>
            <w:tcW w:w="1117" w:type="pct"/>
            <w:gridSpan w:val="3"/>
            <w:shd w:val="clear" w:color="auto" w:fill="D9D9D9" w:themeFill="background1" w:themeFillShade="D9"/>
          </w:tcPr>
          <w:p w14:paraId="02392902" w14:textId="182588E2" w:rsidR="0014211B" w:rsidRPr="00D518FF" w:rsidRDefault="0014211B" w:rsidP="00F614C8">
            <w:pPr>
              <w:pStyle w:val="2024TABLEHEADER"/>
              <w:spacing w:before="0" w:after="0" w:line="240" w:lineRule="auto"/>
              <w:rPr>
                <w:sz w:val="16"/>
                <w:szCs w:val="16"/>
              </w:rPr>
            </w:pPr>
            <w:r w:rsidRPr="00D518FF">
              <w:rPr>
                <w:sz w:val="16"/>
                <w:szCs w:val="16"/>
              </w:rPr>
              <w:t>Results</w:t>
            </w:r>
          </w:p>
        </w:tc>
        <w:tc>
          <w:tcPr>
            <w:tcW w:w="340" w:type="pct"/>
            <w:vMerge w:val="restart"/>
            <w:shd w:val="clear" w:color="auto" w:fill="D9D9D9" w:themeFill="background1" w:themeFillShade="D9"/>
          </w:tcPr>
          <w:p w14:paraId="65E6F336" w14:textId="77777777" w:rsidR="0014211B" w:rsidRPr="00D518FF" w:rsidRDefault="0014211B" w:rsidP="00F614C8">
            <w:pPr>
              <w:pStyle w:val="2024TABLEHEADER"/>
              <w:spacing w:before="0" w:after="0" w:line="240" w:lineRule="auto"/>
              <w:rPr>
                <w:sz w:val="16"/>
                <w:szCs w:val="16"/>
              </w:rPr>
            </w:pPr>
            <w:r>
              <w:rPr>
                <w:sz w:val="16"/>
                <w:szCs w:val="16"/>
              </w:rPr>
              <w:t>ROBIS assessment (for the review overall)</w:t>
            </w:r>
          </w:p>
        </w:tc>
      </w:tr>
      <w:tr w:rsidR="007F5859" w:rsidRPr="00D518FF" w14:paraId="1E1D16EE" w14:textId="77777777" w:rsidTr="00714CCE">
        <w:trPr>
          <w:trHeight w:val="156"/>
        </w:trPr>
        <w:tc>
          <w:tcPr>
            <w:tcW w:w="226" w:type="pct"/>
            <w:vMerge/>
            <w:shd w:val="clear" w:color="auto" w:fill="F2F2F2" w:themeFill="background1" w:themeFillShade="F2"/>
          </w:tcPr>
          <w:p w14:paraId="62915742" w14:textId="77777777" w:rsidR="0014211B" w:rsidRPr="00D518FF" w:rsidRDefault="0014211B" w:rsidP="00F614C8">
            <w:pPr>
              <w:pStyle w:val="2024TABLEHEADER"/>
              <w:spacing w:before="0" w:after="0" w:line="240" w:lineRule="auto"/>
              <w:rPr>
                <w:sz w:val="16"/>
                <w:szCs w:val="16"/>
              </w:rPr>
            </w:pPr>
          </w:p>
        </w:tc>
        <w:tc>
          <w:tcPr>
            <w:tcW w:w="271" w:type="pct"/>
            <w:vMerge/>
            <w:shd w:val="clear" w:color="auto" w:fill="F2F2F2" w:themeFill="background1" w:themeFillShade="F2"/>
          </w:tcPr>
          <w:p w14:paraId="7CCD63D4" w14:textId="77777777" w:rsidR="0014211B" w:rsidRPr="00D518FF" w:rsidRDefault="0014211B" w:rsidP="00F614C8">
            <w:pPr>
              <w:pStyle w:val="2024TABLEHEADER"/>
              <w:spacing w:before="0" w:after="0" w:line="240" w:lineRule="auto"/>
              <w:rPr>
                <w:sz w:val="16"/>
                <w:szCs w:val="16"/>
              </w:rPr>
            </w:pPr>
          </w:p>
        </w:tc>
        <w:tc>
          <w:tcPr>
            <w:tcW w:w="310" w:type="pct"/>
            <w:vMerge/>
            <w:shd w:val="clear" w:color="auto" w:fill="F2F2F2" w:themeFill="background1" w:themeFillShade="F2"/>
          </w:tcPr>
          <w:p w14:paraId="6E7BA896" w14:textId="77777777" w:rsidR="0014211B" w:rsidRPr="00D518FF" w:rsidRDefault="0014211B" w:rsidP="00F614C8">
            <w:pPr>
              <w:pStyle w:val="2024TABLEHEADER"/>
              <w:spacing w:before="0" w:after="0" w:line="240" w:lineRule="auto"/>
              <w:rPr>
                <w:sz w:val="16"/>
                <w:szCs w:val="16"/>
              </w:rPr>
            </w:pPr>
          </w:p>
        </w:tc>
        <w:tc>
          <w:tcPr>
            <w:tcW w:w="438" w:type="pct"/>
            <w:vMerge/>
            <w:shd w:val="clear" w:color="auto" w:fill="F2F2F2" w:themeFill="background1" w:themeFillShade="F2"/>
          </w:tcPr>
          <w:p w14:paraId="18FF63FA" w14:textId="77777777" w:rsidR="0014211B" w:rsidRPr="00D518FF" w:rsidRDefault="0014211B" w:rsidP="00F614C8">
            <w:pPr>
              <w:pStyle w:val="2024TABLEHEADER"/>
              <w:spacing w:before="0" w:after="0" w:line="240" w:lineRule="auto"/>
              <w:rPr>
                <w:sz w:val="16"/>
                <w:szCs w:val="16"/>
              </w:rPr>
            </w:pPr>
          </w:p>
        </w:tc>
        <w:tc>
          <w:tcPr>
            <w:tcW w:w="430" w:type="pct"/>
            <w:vMerge/>
            <w:shd w:val="clear" w:color="auto" w:fill="F2F2F2" w:themeFill="background1" w:themeFillShade="F2"/>
          </w:tcPr>
          <w:p w14:paraId="18AB2D70" w14:textId="77777777" w:rsidR="0014211B" w:rsidRPr="00D518FF" w:rsidRDefault="0014211B" w:rsidP="00F614C8">
            <w:pPr>
              <w:pStyle w:val="2024TABLEHEADER"/>
              <w:spacing w:before="0" w:after="0" w:line="240" w:lineRule="auto"/>
              <w:rPr>
                <w:sz w:val="16"/>
                <w:szCs w:val="16"/>
              </w:rPr>
            </w:pPr>
          </w:p>
        </w:tc>
        <w:tc>
          <w:tcPr>
            <w:tcW w:w="414" w:type="pct"/>
            <w:vMerge/>
            <w:shd w:val="clear" w:color="auto" w:fill="F2F2F2" w:themeFill="background1" w:themeFillShade="F2"/>
          </w:tcPr>
          <w:p w14:paraId="79FADD54" w14:textId="77777777" w:rsidR="0014211B" w:rsidRPr="00D518FF" w:rsidRDefault="0014211B" w:rsidP="00F614C8">
            <w:pPr>
              <w:pStyle w:val="2024TABLEHEADER"/>
              <w:spacing w:before="0" w:after="0" w:line="240" w:lineRule="auto"/>
              <w:rPr>
                <w:sz w:val="16"/>
                <w:szCs w:val="16"/>
              </w:rPr>
            </w:pPr>
          </w:p>
        </w:tc>
        <w:tc>
          <w:tcPr>
            <w:tcW w:w="339" w:type="pct"/>
            <w:vMerge/>
            <w:shd w:val="clear" w:color="auto" w:fill="F2F2F2" w:themeFill="background1" w:themeFillShade="F2"/>
          </w:tcPr>
          <w:p w14:paraId="2809CFD6" w14:textId="77777777" w:rsidR="0014211B" w:rsidRPr="00D518FF" w:rsidRDefault="0014211B" w:rsidP="00F614C8">
            <w:pPr>
              <w:pStyle w:val="2024TABLEHEADER"/>
              <w:spacing w:before="0" w:after="0" w:line="240" w:lineRule="auto"/>
              <w:rPr>
                <w:sz w:val="16"/>
                <w:szCs w:val="16"/>
              </w:rPr>
            </w:pPr>
          </w:p>
        </w:tc>
        <w:tc>
          <w:tcPr>
            <w:tcW w:w="402" w:type="pct"/>
            <w:vMerge/>
            <w:shd w:val="clear" w:color="auto" w:fill="F2F2F2" w:themeFill="background1" w:themeFillShade="F2"/>
          </w:tcPr>
          <w:p w14:paraId="1B770303" w14:textId="77777777" w:rsidR="0014211B" w:rsidRPr="00D518FF" w:rsidRDefault="0014211B" w:rsidP="00F614C8">
            <w:pPr>
              <w:pStyle w:val="2024TABLEHEADER"/>
              <w:spacing w:before="0" w:after="0" w:line="240" w:lineRule="auto"/>
              <w:rPr>
                <w:sz w:val="16"/>
                <w:szCs w:val="16"/>
              </w:rPr>
            </w:pPr>
          </w:p>
        </w:tc>
        <w:tc>
          <w:tcPr>
            <w:tcW w:w="339" w:type="pct"/>
            <w:vMerge/>
            <w:shd w:val="clear" w:color="auto" w:fill="F2F2F2" w:themeFill="background1" w:themeFillShade="F2"/>
          </w:tcPr>
          <w:p w14:paraId="3FBB3B65" w14:textId="77777777" w:rsidR="0014211B" w:rsidRPr="00D518FF" w:rsidRDefault="0014211B" w:rsidP="00F614C8">
            <w:pPr>
              <w:pStyle w:val="2024TABLEHEADER"/>
              <w:spacing w:before="0" w:after="0" w:line="240" w:lineRule="auto"/>
              <w:rPr>
                <w:sz w:val="16"/>
                <w:szCs w:val="16"/>
              </w:rPr>
            </w:pPr>
          </w:p>
        </w:tc>
        <w:tc>
          <w:tcPr>
            <w:tcW w:w="372" w:type="pct"/>
            <w:vMerge/>
            <w:shd w:val="clear" w:color="auto" w:fill="F2F2F2" w:themeFill="background1" w:themeFillShade="F2"/>
          </w:tcPr>
          <w:p w14:paraId="0CE2591A" w14:textId="77777777" w:rsidR="0014211B" w:rsidRPr="00D518FF" w:rsidRDefault="0014211B" w:rsidP="00F614C8">
            <w:pPr>
              <w:pStyle w:val="2024TABLEHEADER"/>
              <w:spacing w:before="0" w:after="0" w:line="240" w:lineRule="auto"/>
              <w:rPr>
                <w:sz w:val="16"/>
                <w:szCs w:val="16"/>
              </w:rPr>
            </w:pPr>
          </w:p>
        </w:tc>
        <w:tc>
          <w:tcPr>
            <w:tcW w:w="318" w:type="pct"/>
            <w:shd w:val="clear" w:color="auto" w:fill="D9D9D9" w:themeFill="background1" w:themeFillShade="D9"/>
          </w:tcPr>
          <w:p w14:paraId="6280F1E4" w14:textId="77777777" w:rsidR="0014211B" w:rsidRPr="00D518FF" w:rsidRDefault="0014211B" w:rsidP="00F614C8">
            <w:pPr>
              <w:pStyle w:val="2024TABLEHEADER"/>
              <w:spacing w:before="0" w:after="0" w:line="240" w:lineRule="auto"/>
              <w:rPr>
                <w:sz w:val="16"/>
                <w:szCs w:val="16"/>
              </w:rPr>
            </w:pPr>
            <w:r w:rsidRPr="00D518FF">
              <w:rPr>
                <w:sz w:val="16"/>
                <w:szCs w:val="16"/>
              </w:rPr>
              <w:t>Relative effect (95% CI)</w:t>
            </w:r>
          </w:p>
        </w:tc>
        <w:tc>
          <w:tcPr>
            <w:tcW w:w="390" w:type="pct"/>
            <w:shd w:val="clear" w:color="auto" w:fill="D9D9D9" w:themeFill="background1" w:themeFillShade="D9"/>
          </w:tcPr>
          <w:p w14:paraId="07CCA18E" w14:textId="77777777" w:rsidR="0014211B" w:rsidRPr="00D518FF" w:rsidRDefault="0014211B" w:rsidP="00F614C8">
            <w:pPr>
              <w:pStyle w:val="2024TABLEHEADER"/>
              <w:spacing w:before="0" w:after="0" w:line="240" w:lineRule="auto"/>
              <w:rPr>
                <w:sz w:val="16"/>
                <w:szCs w:val="16"/>
              </w:rPr>
            </w:pPr>
            <w:r w:rsidRPr="00D518FF">
              <w:rPr>
                <w:sz w:val="16"/>
                <w:szCs w:val="16"/>
              </w:rPr>
              <w:t>Other reported results</w:t>
            </w:r>
          </w:p>
        </w:tc>
        <w:tc>
          <w:tcPr>
            <w:tcW w:w="409" w:type="pct"/>
            <w:shd w:val="clear" w:color="auto" w:fill="D9D9D9" w:themeFill="background1" w:themeFillShade="D9"/>
          </w:tcPr>
          <w:p w14:paraId="505E8360" w14:textId="77777777" w:rsidR="0014211B" w:rsidRPr="00D518FF" w:rsidRDefault="0014211B" w:rsidP="00F614C8">
            <w:pPr>
              <w:pStyle w:val="2024TABLEHEADER"/>
              <w:spacing w:before="0" w:after="0" w:line="240" w:lineRule="auto"/>
              <w:rPr>
                <w:sz w:val="16"/>
                <w:szCs w:val="16"/>
              </w:rPr>
            </w:pPr>
            <w:r>
              <w:rPr>
                <w:sz w:val="16"/>
                <w:szCs w:val="16"/>
              </w:rPr>
              <w:t>Risk of bias</w:t>
            </w:r>
            <w:r w:rsidRPr="00D518FF">
              <w:rPr>
                <w:sz w:val="16"/>
                <w:szCs w:val="16"/>
              </w:rPr>
              <w:t xml:space="preserve"> </w:t>
            </w:r>
            <w:r>
              <w:rPr>
                <w:sz w:val="16"/>
                <w:szCs w:val="16"/>
              </w:rPr>
              <w:t>summary (primary studies)</w:t>
            </w:r>
          </w:p>
        </w:tc>
        <w:tc>
          <w:tcPr>
            <w:tcW w:w="340" w:type="pct"/>
            <w:vMerge/>
            <w:shd w:val="clear" w:color="auto" w:fill="D9D9D9" w:themeFill="background1" w:themeFillShade="D9"/>
          </w:tcPr>
          <w:p w14:paraId="54E2DBF5" w14:textId="77777777" w:rsidR="0014211B" w:rsidRPr="00D518FF" w:rsidRDefault="0014211B" w:rsidP="00F614C8">
            <w:pPr>
              <w:pStyle w:val="2024TABLEHEADER"/>
              <w:spacing w:before="0" w:after="0" w:line="240" w:lineRule="auto"/>
              <w:rPr>
                <w:sz w:val="16"/>
                <w:szCs w:val="16"/>
              </w:rPr>
            </w:pPr>
          </w:p>
        </w:tc>
      </w:tr>
      <w:tr w:rsidR="007F5859" w:rsidRPr="00D518FF" w14:paraId="102B24FF" w14:textId="77777777" w:rsidTr="00714CCE">
        <w:trPr>
          <w:trHeight w:val="156"/>
        </w:trPr>
        <w:tc>
          <w:tcPr>
            <w:tcW w:w="226" w:type="pct"/>
            <w:shd w:val="clear" w:color="auto" w:fill="auto"/>
          </w:tcPr>
          <w:p w14:paraId="5D056287"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Abboud 2020</w:t>
            </w:r>
          </w:p>
        </w:tc>
        <w:tc>
          <w:tcPr>
            <w:tcW w:w="271" w:type="pct"/>
            <w:shd w:val="clear" w:color="auto" w:fill="auto"/>
          </w:tcPr>
          <w:p w14:paraId="32A1CC7B"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310" w:type="pct"/>
            <w:shd w:val="clear" w:color="auto" w:fill="auto"/>
          </w:tcPr>
          <w:p w14:paraId="042E52B2" w14:textId="77777777" w:rsidR="0014211B" w:rsidRPr="00D518FF" w:rsidRDefault="0014211B"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00271923"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Adults or children, healthy or with disease other than those known to influence vitamin D metabolism, and including an intervention group that received a co-supplementation of vitamin D and probiotics</w:t>
            </w:r>
          </w:p>
        </w:tc>
        <w:tc>
          <w:tcPr>
            <w:tcW w:w="430" w:type="pct"/>
            <w:shd w:val="clear" w:color="auto" w:fill="auto"/>
          </w:tcPr>
          <w:p w14:paraId="76FBF61B"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 xml:space="preserve">Eligible supplement + naturopathy co-intervention VS inactive control (placebo, usual care, no intervention) </w:t>
            </w:r>
          </w:p>
        </w:tc>
        <w:tc>
          <w:tcPr>
            <w:tcW w:w="414" w:type="pct"/>
            <w:shd w:val="clear" w:color="auto" w:fill="auto"/>
          </w:tcPr>
          <w:p w14:paraId="3B1D51F6"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Vitamin D3 and probiotic supplement:</w:t>
            </w:r>
            <w:r w:rsidRPr="00D518FF">
              <w:rPr>
                <w:sz w:val="16"/>
                <w:szCs w:val="16"/>
              </w:rPr>
              <w:br/>
              <w:t>- Vitamin D3: sublingual liquid spray, 3000 IU daily</w:t>
            </w:r>
            <w:r w:rsidRPr="00D518FF">
              <w:rPr>
                <w:sz w:val="16"/>
                <w:szCs w:val="16"/>
              </w:rPr>
              <w:br/>
              <w:t xml:space="preserve">- Probiotics: Lactobacillus acidophilus, CUL60 (NCIMB 30157), CUL21 (NCIMB 30156), Bifidobacterium bifidum CUL20 (NCIMB 30153) and Bifidobacterium animalis </w:t>
            </w:r>
            <w:r w:rsidRPr="00D518FF">
              <w:rPr>
                <w:sz w:val="16"/>
                <w:szCs w:val="16"/>
              </w:rPr>
              <w:lastRenderedPageBreak/>
              <w:t>subsp. Lactis CUL34 (NCIMB 30172) 2.5 × 1010 CFU per capsule</w:t>
            </w:r>
          </w:p>
        </w:tc>
        <w:tc>
          <w:tcPr>
            <w:tcW w:w="339" w:type="pct"/>
            <w:shd w:val="clear" w:color="auto" w:fill="auto"/>
          </w:tcPr>
          <w:p w14:paraId="6EDE1EA9"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lastRenderedPageBreak/>
              <w:t>C1: Double placebo</w:t>
            </w:r>
            <w:r w:rsidRPr="00D518FF">
              <w:rPr>
                <w:sz w:val="16"/>
                <w:szCs w:val="16"/>
              </w:rPr>
              <w:br/>
              <w:t>C2: Placebo and Vitamin D3 (400 IU daily) Similar in form, containing identical buffers</w:t>
            </w:r>
          </w:p>
        </w:tc>
        <w:tc>
          <w:tcPr>
            <w:tcW w:w="402" w:type="pct"/>
            <w:shd w:val="clear" w:color="auto" w:fill="auto"/>
          </w:tcPr>
          <w:p w14:paraId="5A4B207F"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339" w:type="pct"/>
            <w:shd w:val="clear" w:color="auto" w:fill="auto"/>
          </w:tcPr>
          <w:p w14:paraId="0F2A7F95"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372" w:type="pct"/>
            <w:shd w:val="clear" w:color="auto" w:fill="auto"/>
          </w:tcPr>
          <w:p w14:paraId="6C6D29A1"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Questionnaire assessing abdominal pain (pain severity and number of days with pain), bloating, bowel habits (minimum and maximum bowel movement per day and satisfaction with bowel habit) and quality of life</w:t>
            </w:r>
          </w:p>
        </w:tc>
        <w:tc>
          <w:tcPr>
            <w:tcW w:w="318" w:type="pct"/>
            <w:shd w:val="clear" w:color="auto" w:fill="auto"/>
          </w:tcPr>
          <w:p w14:paraId="32E2EFAA"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390" w:type="pct"/>
            <w:shd w:val="clear" w:color="auto" w:fill="auto"/>
          </w:tcPr>
          <w:p w14:paraId="47110F12" w14:textId="77777777" w:rsidR="0014211B" w:rsidRPr="00D518FF" w:rsidRDefault="0014211B" w:rsidP="00F614C8">
            <w:pPr>
              <w:pStyle w:val="2024TABLETEXT"/>
              <w:framePr w:hSpace="0" w:wrap="auto" w:vAnchor="margin" w:yAlign="inline"/>
              <w:spacing w:line="240" w:lineRule="auto"/>
              <w:suppressOverlap w:val="0"/>
              <w:rPr>
                <w:sz w:val="16"/>
                <w:szCs w:val="16"/>
              </w:rPr>
            </w:pPr>
            <w:r w:rsidRPr="00D518FF">
              <w:rPr>
                <w:sz w:val="16"/>
                <w:szCs w:val="16"/>
              </w:rPr>
              <w:t xml:space="preserve">No significant between-group differences for any symptom tested, and total symptom severity </w:t>
            </w:r>
          </w:p>
        </w:tc>
        <w:tc>
          <w:tcPr>
            <w:tcW w:w="409" w:type="pct"/>
            <w:shd w:val="clear" w:color="auto" w:fill="auto"/>
          </w:tcPr>
          <w:p w14:paraId="747BF5DC" w14:textId="09CFE055" w:rsidR="0014211B" w:rsidRPr="00D518FF" w:rsidRDefault="006418B8" w:rsidP="00F614C8">
            <w:pPr>
              <w:pStyle w:val="2024TABLETEXT"/>
              <w:framePr w:hSpace="0" w:wrap="auto" w:vAnchor="margin" w:yAlign="inline"/>
              <w:spacing w:line="240" w:lineRule="auto"/>
              <w:suppressOverlap w:val="0"/>
              <w:rPr>
                <w:sz w:val="16"/>
                <w:szCs w:val="16"/>
              </w:rPr>
            </w:pPr>
            <w:r w:rsidRPr="00D518FF">
              <w:rPr>
                <w:sz w:val="16"/>
                <w:szCs w:val="16"/>
              </w:rPr>
              <w:t>Low risk of bias in included study</w:t>
            </w:r>
            <w:r>
              <w:rPr>
                <w:sz w:val="16"/>
                <w:szCs w:val="16"/>
              </w:rPr>
              <w:t>.</w:t>
            </w:r>
          </w:p>
        </w:tc>
        <w:tc>
          <w:tcPr>
            <w:tcW w:w="340" w:type="pct"/>
          </w:tcPr>
          <w:p w14:paraId="5293EE55" w14:textId="77777777" w:rsidR="0014211B" w:rsidRPr="00D518FF" w:rsidRDefault="0014211B" w:rsidP="00F614C8">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4EA83AB1" w14:textId="77777777" w:rsidTr="00714CCE">
        <w:trPr>
          <w:trHeight w:val="156"/>
        </w:trPr>
        <w:tc>
          <w:tcPr>
            <w:tcW w:w="226" w:type="pct"/>
            <w:shd w:val="clear" w:color="auto" w:fill="auto"/>
          </w:tcPr>
          <w:p w14:paraId="18BF552C" w14:textId="0CF97ABF"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Ding 2019</w:t>
            </w:r>
          </w:p>
        </w:tc>
        <w:tc>
          <w:tcPr>
            <w:tcW w:w="271" w:type="pct"/>
            <w:shd w:val="clear" w:color="auto" w:fill="auto"/>
          </w:tcPr>
          <w:p w14:paraId="7F333A05" w14:textId="3612DEC8"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2</w:t>
            </w:r>
          </w:p>
        </w:tc>
        <w:tc>
          <w:tcPr>
            <w:tcW w:w="310" w:type="pct"/>
            <w:shd w:val="clear" w:color="auto" w:fill="auto"/>
          </w:tcPr>
          <w:p w14:paraId="6B45C521" w14:textId="7E73A8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6EA871CE" w14:textId="221443A4"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Children 0 to 18 years old</w:t>
            </w:r>
          </w:p>
        </w:tc>
        <w:tc>
          <w:tcPr>
            <w:tcW w:w="430" w:type="pct"/>
            <w:shd w:val="clear" w:color="auto" w:fill="auto"/>
          </w:tcPr>
          <w:p w14:paraId="4F22DE8D" w14:textId="515AC3BE"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07C0A4A9" w14:textId="6DBB9BF4"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0479AE48" w14:textId="4B9D5466"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4B1FAD30" w14:textId="33B1EB51"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6</w:t>
            </w:r>
          </w:p>
        </w:tc>
        <w:tc>
          <w:tcPr>
            <w:tcW w:w="339" w:type="pct"/>
            <w:shd w:val="clear" w:color="auto" w:fill="auto"/>
          </w:tcPr>
          <w:p w14:paraId="1943EAA6" w14:textId="0CF1CF7F"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329</w:t>
            </w:r>
          </w:p>
        </w:tc>
        <w:tc>
          <w:tcPr>
            <w:tcW w:w="372" w:type="pct"/>
            <w:shd w:val="clear" w:color="auto" w:fill="auto"/>
          </w:tcPr>
          <w:p w14:paraId="5D8D9E78" w14:textId="7F737F91"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NR</w:t>
            </w:r>
          </w:p>
        </w:tc>
        <w:tc>
          <w:tcPr>
            <w:tcW w:w="318" w:type="pct"/>
            <w:shd w:val="clear" w:color="auto" w:fill="auto"/>
          </w:tcPr>
          <w:p w14:paraId="1D055C54" w14:textId="1710ED7D"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NR</w:t>
            </w:r>
          </w:p>
        </w:tc>
        <w:tc>
          <w:tcPr>
            <w:tcW w:w="390" w:type="pct"/>
            <w:shd w:val="clear" w:color="auto" w:fill="auto"/>
          </w:tcPr>
          <w:p w14:paraId="71B3CA38" w14:textId="318D5C0B"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Five of six RCTs (n=279) demonstrated a beneficial effect of probiotic, however, the specific pain parameter affected was heterogeneous among the studies. Three out of four trials using LGG demonstrated an improvement in pain severity or frequency in the probiotic group. One trial using a bifidobacteria combination product and one using VSL #3, each showed some benefits for pain resolution and pain </w:t>
            </w:r>
            <w:r w:rsidRPr="00CE29EC">
              <w:rPr>
                <w:sz w:val="16"/>
                <w:szCs w:val="16"/>
              </w:rPr>
              <w:t>severity</w:t>
            </w:r>
            <w:r w:rsidRPr="00D518FF">
              <w:rPr>
                <w:sz w:val="16"/>
                <w:szCs w:val="16"/>
              </w:rPr>
              <w:t>.</w:t>
            </w:r>
          </w:p>
        </w:tc>
        <w:tc>
          <w:tcPr>
            <w:tcW w:w="409" w:type="pct"/>
            <w:shd w:val="clear" w:color="auto" w:fill="auto"/>
          </w:tcPr>
          <w:p w14:paraId="5610A5C8" w14:textId="4A9E0EB7" w:rsidR="00714CCE" w:rsidRPr="00224B6E" w:rsidRDefault="00714CCE" w:rsidP="00714CCE">
            <w:pPr>
              <w:pStyle w:val="2024TABLETEXT"/>
              <w:framePr w:hSpace="0" w:wrap="auto" w:vAnchor="margin" w:yAlign="inline"/>
              <w:spacing w:line="240" w:lineRule="auto"/>
              <w:suppressOverlap w:val="0"/>
              <w:rPr>
                <w:sz w:val="16"/>
                <w:szCs w:val="16"/>
              </w:rPr>
            </w:pPr>
            <w:r>
              <w:rPr>
                <w:sz w:val="16"/>
                <w:szCs w:val="16"/>
              </w:rPr>
              <w:t xml:space="preserve">Low risk of bias assessed across most domains for most studies. </w:t>
            </w:r>
          </w:p>
        </w:tc>
        <w:tc>
          <w:tcPr>
            <w:tcW w:w="340" w:type="pct"/>
          </w:tcPr>
          <w:p w14:paraId="57B4D04F" w14:textId="4E771FAB"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High risk</w:t>
            </w:r>
          </w:p>
        </w:tc>
      </w:tr>
      <w:tr w:rsidR="00714CCE" w:rsidRPr="00D518FF" w14:paraId="78480C17" w14:textId="77777777" w:rsidTr="00714CCE">
        <w:trPr>
          <w:trHeight w:val="156"/>
        </w:trPr>
        <w:tc>
          <w:tcPr>
            <w:tcW w:w="226" w:type="pct"/>
            <w:shd w:val="clear" w:color="auto" w:fill="auto"/>
          </w:tcPr>
          <w:p w14:paraId="26E089E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Ding 2019</w:t>
            </w:r>
          </w:p>
        </w:tc>
        <w:tc>
          <w:tcPr>
            <w:tcW w:w="271" w:type="pct"/>
            <w:shd w:val="clear" w:color="auto" w:fill="auto"/>
          </w:tcPr>
          <w:p w14:paraId="0F16D7C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5</w:t>
            </w:r>
          </w:p>
        </w:tc>
        <w:tc>
          <w:tcPr>
            <w:tcW w:w="310" w:type="pct"/>
            <w:shd w:val="clear" w:color="auto" w:fill="auto"/>
          </w:tcPr>
          <w:p w14:paraId="7A5FDE7A"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4AE6E69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Children 0 to 18 years old with IBS (ROME Criteria)</w:t>
            </w:r>
          </w:p>
        </w:tc>
        <w:tc>
          <w:tcPr>
            <w:tcW w:w="430" w:type="pct"/>
            <w:shd w:val="clear" w:color="auto" w:fill="auto"/>
          </w:tcPr>
          <w:p w14:paraId="1728AA23"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0E13C98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2827C89E"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1948173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4</w:t>
            </w:r>
          </w:p>
        </w:tc>
        <w:tc>
          <w:tcPr>
            <w:tcW w:w="339" w:type="pct"/>
            <w:shd w:val="clear" w:color="auto" w:fill="auto"/>
          </w:tcPr>
          <w:p w14:paraId="7DAE5258"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NR</w:t>
            </w:r>
          </w:p>
        </w:tc>
        <w:tc>
          <w:tcPr>
            <w:tcW w:w="372" w:type="pct"/>
            <w:shd w:val="clear" w:color="auto" w:fill="auto"/>
          </w:tcPr>
          <w:p w14:paraId="2399E5DE"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Functional Disability Inventory, Functional scale by LS3, </w:t>
            </w:r>
            <w:r w:rsidRPr="00D518FF">
              <w:rPr>
                <w:sz w:val="16"/>
                <w:szCs w:val="16"/>
              </w:rPr>
              <w:lastRenderedPageBreak/>
              <w:t>Family life disruptions by caregiver’s report, School absenteeism (n)</w:t>
            </w:r>
          </w:p>
        </w:tc>
        <w:tc>
          <w:tcPr>
            <w:tcW w:w="318" w:type="pct"/>
            <w:shd w:val="clear" w:color="auto" w:fill="auto"/>
          </w:tcPr>
          <w:p w14:paraId="62143EB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lastRenderedPageBreak/>
              <w:t>NR</w:t>
            </w:r>
          </w:p>
        </w:tc>
        <w:tc>
          <w:tcPr>
            <w:tcW w:w="390" w:type="pct"/>
            <w:shd w:val="clear" w:color="auto" w:fill="auto"/>
          </w:tcPr>
          <w:p w14:paraId="3DB65D0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Four studies evaluated the functional impact of probiotic use, </w:t>
            </w:r>
            <w:r w:rsidRPr="00D518FF">
              <w:rPr>
                <w:sz w:val="16"/>
                <w:szCs w:val="16"/>
              </w:rPr>
              <w:lastRenderedPageBreak/>
              <w:t xml:space="preserve">with three studies finding a positive result for probiotic usage. </w:t>
            </w:r>
          </w:p>
        </w:tc>
        <w:tc>
          <w:tcPr>
            <w:tcW w:w="409" w:type="pct"/>
            <w:shd w:val="clear" w:color="auto" w:fill="auto"/>
          </w:tcPr>
          <w:p w14:paraId="181C9783" w14:textId="0929E9A5"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lastRenderedPageBreak/>
              <w:t xml:space="preserve">Low risk of bias assessed across most domains for most studies. </w:t>
            </w:r>
          </w:p>
        </w:tc>
        <w:tc>
          <w:tcPr>
            <w:tcW w:w="340" w:type="pct"/>
          </w:tcPr>
          <w:p w14:paraId="1BED43A0"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High risk</w:t>
            </w:r>
          </w:p>
        </w:tc>
      </w:tr>
      <w:tr w:rsidR="00714CCE" w:rsidRPr="00D518FF" w14:paraId="2702F1D5" w14:textId="77777777" w:rsidTr="00714CCE">
        <w:trPr>
          <w:trHeight w:val="156"/>
        </w:trPr>
        <w:tc>
          <w:tcPr>
            <w:tcW w:w="226" w:type="pct"/>
            <w:shd w:val="clear" w:color="auto" w:fill="auto"/>
          </w:tcPr>
          <w:p w14:paraId="26C8060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Le Morvan 2021</w:t>
            </w:r>
          </w:p>
        </w:tc>
        <w:tc>
          <w:tcPr>
            <w:tcW w:w="271" w:type="pct"/>
            <w:shd w:val="clear" w:color="auto" w:fill="auto"/>
          </w:tcPr>
          <w:p w14:paraId="629CC45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3</w:t>
            </w:r>
          </w:p>
        </w:tc>
        <w:tc>
          <w:tcPr>
            <w:tcW w:w="310" w:type="pct"/>
            <w:shd w:val="clear" w:color="auto" w:fill="auto"/>
          </w:tcPr>
          <w:p w14:paraId="3324159E"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0A5E1F1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Adults of both sexes and of all ages with IBS </w:t>
            </w:r>
          </w:p>
        </w:tc>
        <w:tc>
          <w:tcPr>
            <w:tcW w:w="430" w:type="pct"/>
            <w:shd w:val="clear" w:color="auto" w:fill="auto"/>
          </w:tcPr>
          <w:p w14:paraId="57DBCD9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266BB71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0D5C740F"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2EDD107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11</w:t>
            </w:r>
          </w:p>
        </w:tc>
        <w:tc>
          <w:tcPr>
            <w:tcW w:w="339" w:type="pct"/>
            <w:shd w:val="clear" w:color="auto" w:fill="auto"/>
          </w:tcPr>
          <w:p w14:paraId="71CE1EE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1501</w:t>
            </w:r>
          </w:p>
        </w:tc>
        <w:tc>
          <w:tcPr>
            <w:tcW w:w="372" w:type="pct"/>
            <w:shd w:val="clear" w:color="auto" w:fill="auto"/>
          </w:tcPr>
          <w:p w14:paraId="0B83F35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IBS-QOL questionnaire</w:t>
            </w:r>
          </w:p>
        </w:tc>
        <w:tc>
          <w:tcPr>
            <w:tcW w:w="318" w:type="pct"/>
            <w:shd w:val="clear" w:color="auto" w:fill="auto"/>
          </w:tcPr>
          <w:p w14:paraId="601BE4D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SMD = 0.36 (0.07 to 0.64); p = 0.01</w:t>
            </w:r>
          </w:p>
        </w:tc>
        <w:tc>
          <w:tcPr>
            <w:tcW w:w="390" w:type="pct"/>
            <w:shd w:val="clear" w:color="auto" w:fill="auto"/>
          </w:tcPr>
          <w:p w14:paraId="2927E753"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H</w:t>
            </w:r>
            <w:r w:rsidRPr="00EF6E63">
              <w:rPr>
                <w:sz w:val="16"/>
                <w:szCs w:val="16"/>
              </w:rPr>
              <w:t>eterogeneity was high with I2 = 86%</w:t>
            </w:r>
            <w:r>
              <w:rPr>
                <w:sz w:val="16"/>
                <w:szCs w:val="16"/>
              </w:rPr>
              <w:t xml:space="preserve">. </w:t>
            </w:r>
            <w:r w:rsidRPr="00EF6E63">
              <w:rPr>
                <w:sz w:val="16"/>
                <w:szCs w:val="16"/>
              </w:rPr>
              <w:t>In subgroup analysis of single-strain versus multi-strain studies in, no significant subgroup effects were found (p = 0.37). However, heterogeneity decreased slightly when analysing only single-strain probiotic studies (I2 = 72%) but remained similarly high for multi-strain probiotic studies (I2 = 91%).</w:t>
            </w:r>
          </w:p>
        </w:tc>
        <w:tc>
          <w:tcPr>
            <w:tcW w:w="409" w:type="pct"/>
            <w:shd w:val="clear" w:color="auto" w:fill="auto"/>
          </w:tcPr>
          <w:p w14:paraId="7AE22A59" w14:textId="49811DFD"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Eight of 11 studies had low risk of bias across all assessed domains.</w:t>
            </w:r>
          </w:p>
        </w:tc>
        <w:tc>
          <w:tcPr>
            <w:tcW w:w="340" w:type="pct"/>
          </w:tcPr>
          <w:p w14:paraId="517F984F" w14:textId="77777777" w:rsidR="00714CCE" w:rsidRDefault="00714CCE" w:rsidP="00714CCE">
            <w:pPr>
              <w:pStyle w:val="2024TABLETEXT"/>
              <w:framePr w:hSpace="0" w:wrap="auto" w:vAnchor="margin" w:yAlign="inline"/>
              <w:spacing w:line="240" w:lineRule="auto"/>
              <w:suppressOverlap w:val="0"/>
              <w:rPr>
                <w:sz w:val="16"/>
                <w:szCs w:val="16"/>
              </w:rPr>
            </w:pPr>
            <w:r>
              <w:rPr>
                <w:sz w:val="16"/>
                <w:szCs w:val="16"/>
              </w:rPr>
              <w:t>Unclear risk</w:t>
            </w:r>
          </w:p>
        </w:tc>
      </w:tr>
      <w:tr w:rsidR="00714CCE" w:rsidRPr="00D518FF" w14:paraId="173B9655" w14:textId="77777777" w:rsidTr="00714CCE">
        <w:trPr>
          <w:trHeight w:val="156"/>
        </w:trPr>
        <w:tc>
          <w:tcPr>
            <w:tcW w:w="226" w:type="pct"/>
            <w:shd w:val="clear" w:color="auto" w:fill="auto"/>
          </w:tcPr>
          <w:p w14:paraId="370437C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Li 2020</w:t>
            </w:r>
          </w:p>
        </w:tc>
        <w:tc>
          <w:tcPr>
            <w:tcW w:w="271" w:type="pct"/>
            <w:shd w:val="clear" w:color="auto" w:fill="auto"/>
          </w:tcPr>
          <w:p w14:paraId="37DC4DAB"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w:t>
            </w:r>
          </w:p>
        </w:tc>
        <w:tc>
          <w:tcPr>
            <w:tcW w:w="310" w:type="pct"/>
            <w:shd w:val="clear" w:color="auto" w:fill="auto"/>
          </w:tcPr>
          <w:p w14:paraId="199C6F71"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216BFF1F"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18 years with IBS diagnosis</w:t>
            </w:r>
          </w:p>
        </w:tc>
        <w:tc>
          <w:tcPr>
            <w:tcW w:w="430" w:type="pct"/>
            <w:shd w:val="clear" w:color="auto" w:fill="auto"/>
          </w:tcPr>
          <w:p w14:paraId="4726FD29"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3DCAF0E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2D87993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460CC22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35 comparisons from 29 trials</w:t>
            </w:r>
          </w:p>
        </w:tc>
        <w:tc>
          <w:tcPr>
            <w:tcW w:w="339" w:type="pct"/>
            <w:shd w:val="clear" w:color="auto" w:fill="auto"/>
          </w:tcPr>
          <w:p w14:paraId="7280DB0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3726</w:t>
            </w:r>
          </w:p>
        </w:tc>
        <w:tc>
          <w:tcPr>
            <w:tcW w:w="372" w:type="pct"/>
            <w:shd w:val="clear" w:color="auto" w:fill="auto"/>
          </w:tcPr>
          <w:p w14:paraId="545EC633"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IBS-SSS, Subject’s Global Assessment, Global symptoms score (GSS), GSRS, GSRS-</w:t>
            </w:r>
            <w:r w:rsidRPr="00D518FF">
              <w:rPr>
                <w:sz w:val="16"/>
                <w:szCs w:val="16"/>
              </w:rPr>
              <w:lastRenderedPageBreak/>
              <w:t>IBS, Likert scale, IBS SSI, VAS, Birmingham IBS Symptom Questionnaire</w:t>
            </w:r>
          </w:p>
        </w:tc>
        <w:tc>
          <w:tcPr>
            <w:tcW w:w="318" w:type="pct"/>
            <w:shd w:val="clear" w:color="auto" w:fill="auto"/>
          </w:tcPr>
          <w:p w14:paraId="52E670B6"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lastRenderedPageBreak/>
              <w:t>SMD = –</w:t>
            </w:r>
            <w:r>
              <w:rPr>
                <w:sz w:val="16"/>
                <w:szCs w:val="16"/>
              </w:rPr>
              <w:t>0.1</w:t>
            </w:r>
            <w:r w:rsidRPr="00D518FF">
              <w:rPr>
                <w:sz w:val="16"/>
                <w:szCs w:val="16"/>
              </w:rPr>
              <w:t>8 (–0.30 to -0.06)</w:t>
            </w:r>
          </w:p>
        </w:tc>
        <w:tc>
          <w:tcPr>
            <w:tcW w:w="390" w:type="pct"/>
            <w:shd w:val="clear" w:color="auto" w:fill="auto"/>
          </w:tcPr>
          <w:p w14:paraId="6D7EDC51" w14:textId="6206E7ED"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Heterogeneity was significant (</w:t>
            </w:r>
            <w:r>
              <w:rPr>
                <w:sz w:val="16"/>
                <w:szCs w:val="16"/>
              </w:rPr>
              <w:t>I² =</w:t>
            </w:r>
            <w:r w:rsidRPr="00D518FF">
              <w:rPr>
                <w:sz w:val="16"/>
                <w:szCs w:val="16"/>
              </w:rPr>
              <w:t xml:space="preserve"> 65%, P &lt; 0.001).</w:t>
            </w:r>
          </w:p>
        </w:tc>
        <w:tc>
          <w:tcPr>
            <w:tcW w:w="409" w:type="pct"/>
            <w:vMerge w:val="restart"/>
            <w:shd w:val="clear" w:color="auto" w:fill="auto"/>
          </w:tcPr>
          <w:p w14:paraId="36D70656" w14:textId="30CDAF26"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 xml:space="preserve">Most (23/29) studies </w:t>
            </w:r>
            <w:r w:rsidRPr="00F20577">
              <w:rPr>
                <w:sz w:val="16"/>
                <w:szCs w:val="16"/>
              </w:rPr>
              <w:t>did not describe the details of the sequence generation process</w:t>
            </w:r>
            <w:r>
              <w:rPr>
                <w:sz w:val="16"/>
                <w:szCs w:val="16"/>
              </w:rPr>
              <w:t xml:space="preserve"> or allocation </w:t>
            </w:r>
            <w:r>
              <w:rPr>
                <w:sz w:val="16"/>
                <w:szCs w:val="16"/>
              </w:rPr>
              <w:lastRenderedPageBreak/>
              <w:t xml:space="preserve">concealment. </w:t>
            </w:r>
            <w:r w:rsidRPr="0047002F">
              <w:rPr>
                <w:sz w:val="16"/>
                <w:szCs w:val="16"/>
              </w:rPr>
              <w:t>The risk of outcome assessment was mostly unclear. Attrition bias, reporting bias, and other biases were low.</w:t>
            </w:r>
          </w:p>
          <w:p w14:paraId="721AF545" w14:textId="77777777" w:rsidR="00714CCE" w:rsidRPr="00D518FF" w:rsidRDefault="00714CCE" w:rsidP="00714CCE">
            <w:pPr>
              <w:pStyle w:val="2024TABLETEXT"/>
              <w:framePr w:hSpace="0" w:wrap="auto" w:vAnchor="margin" w:yAlign="inline"/>
              <w:spacing w:line="240" w:lineRule="auto"/>
              <w:suppressOverlap w:val="0"/>
              <w:rPr>
                <w:sz w:val="16"/>
                <w:szCs w:val="16"/>
              </w:rPr>
            </w:pPr>
          </w:p>
          <w:p w14:paraId="0F4044B7"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2F98E2A5"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lastRenderedPageBreak/>
              <w:t>Low risk</w:t>
            </w:r>
          </w:p>
        </w:tc>
      </w:tr>
      <w:tr w:rsidR="00714CCE" w:rsidRPr="00D518FF" w14:paraId="31519F18" w14:textId="77777777" w:rsidTr="00714CCE">
        <w:trPr>
          <w:trHeight w:val="156"/>
        </w:trPr>
        <w:tc>
          <w:tcPr>
            <w:tcW w:w="226" w:type="pct"/>
            <w:shd w:val="clear" w:color="auto" w:fill="auto"/>
          </w:tcPr>
          <w:p w14:paraId="6402EBCE"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Li 2020</w:t>
            </w:r>
          </w:p>
        </w:tc>
        <w:tc>
          <w:tcPr>
            <w:tcW w:w="271" w:type="pct"/>
            <w:shd w:val="clear" w:color="auto" w:fill="auto"/>
          </w:tcPr>
          <w:p w14:paraId="5F1D2F2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2</w:t>
            </w:r>
          </w:p>
        </w:tc>
        <w:tc>
          <w:tcPr>
            <w:tcW w:w="310" w:type="pct"/>
            <w:shd w:val="clear" w:color="auto" w:fill="auto"/>
          </w:tcPr>
          <w:p w14:paraId="7DA5D109"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5D51547B"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18 years with IBS diagnosis</w:t>
            </w:r>
          </w:p>
        </w:tc>
        <w:tc>
          <w:tcPr>
            <w:tcW w:w="430" w:type="pct"/>
            <w:shd w:val="clear" w:color="auto" w:fill="auto"/>
          </w:tcPr>
          <w:p w14:paraId="1422E999"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1A68502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2ED88DA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44BF78E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44 comparisons from 38 trials</w:t>
            </w:r>
          </w:p>
        </w:tc>
        <w:tc>
          <w:tcPr>
            <w:tcW w:w="339" w:type="pct"/>
            <w:shd w:val="clear" w:color="auto" w:fill="auto"/>
          </w:tcPr>
          <w:p w14:paraId="008D9D4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4579</w:t>
            </w:r>
          </w:p>
        </w:tc>
        <w:tc>
          <w:tcPr>
            <w:tcW w:w="372" w:type="pct"/>
            <w:shd w:val="clear" w:color="auto" w:fill="auto"/>
          </w:tcPr>
          <w:p w14:paraId="53D71CC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Likert scale, VAS, Numerical scale, GSRS, IBS-SSS</w:t>
            </w:r>
          </w:p>
        </w:tc>
        <w:tc>
          <w:tcPr>
            <w:tcW w:w="318" w:type="pct"/>
            <w:shd w:val="clear" w:color="auto" w:fill="auto"/>
          </w:tcPr>
          <w:p w14:paraId="7E771D4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RR = 1.52 (1.32 to 1.76)</w:t>
            </w:r>
          </w:p>
        </w:tc>
        <w:tc>
          <w:tcPr>
            <w:tcW w:w="390" w:type="pct"/>
            <w:shd w:val="clear" w:color="auto" w:fill="auto"/>
          </w:tcPr>
          <w:p w14:paraId="3AAA7007"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71%, p&lt;0.001</w:t>
            </w:r>
          </w:p>
        </w:tc>
        <w:tc>
          <w:tcPr>
            <w:tcW w:w="409" w:type="pct"/>
            <w:vMerge/>
            <w:shd w:val="clear" w:color="auto" w:fill="auto"/>
          </w:tcPr>
          <w:p w14:paraId="37988A8B"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7207D3B4"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49A50810" w14:textId="77777777" w:rsidTr="00714CCE">
        <w:trPr>
          <w:trHeight w:val="156"/>
        </w:trPr>
        <w:tc>
          <w:tcPr>
            <w:tcW w:w="226" w:type="pct"/>
            <w:shd w:val="clear" w:color="auto" w:fill="auto"/>
          </w:tcPr>
          <w:p w14:paraId="23513B8E"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Li 2020</w:t>
            </w:r>
          </w:p>
        </w:tc>
        <w:tc>
          <w:tcPr>
            <w:tcW w:w="271" w:type="pct"/>
            <w:shd w:val="clear" w:color="auto" w:fill="auto"/>
          </w:tcPr>
          <w:p w14:paraId="7E667646"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2</w:t>
            </w:r>
          </w:p>
        </w:tc>
        <w:tc>
          <w:tcPr>
            <w:tcW w:w="310" w:type="pct"/>
            <w:shd w:val="clear" w:color="auto" w:fill="auto"/>
          </w:tcPr>
          <w:p w14:paraId="3BD44468"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59510FB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18 years with IBS diagnosis</w:t>
            </w:r>
          </w:p>
        </w:tc>
        <w:tc>
          <w:tcPr>
            <w:tcW w:w="430" w:type="pct"/>
            <w:shd w:val="clear" w:color="auto" w:fill="auto"/>
          </w:tcPr>
          <w:p w14:paraId="15D3BED6"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774CE0CB"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5B58CFC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7927948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44 comparisons from 38 trials</w:t>
            </w:r>
          </w:p>
        </w:tc>
        <w:tc>
          <w:tcPr>
            <w:tcW w:w="339" w:type="pct"/>
            <w:shd w:val="clear" w:color="auto" w:fill="auto"/>
          </w:tcPr>
          <w:p w14:paraId="7E78EDD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4579</w:t>
            </w:r>
          </w:p>
        </w:tc>
        <w:tc>
          <w:tcPr>
            <w:tcW w:w="372" w:type="pct"/>
            <w:shd w:val="clear" w:color="auto" w:fill="auto"/>
          </w:tcPr>
          <w:p w14:paraId="0048DD9F"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Likert scale, VAS, Numerical scale, GSRS, IBS-SSS</w:t>
            </w:r>
          </w:p>
        </w:tc>
        <w:tc>
          <w:tcPr>
            <w:tcW w:w="318" w:type="pct"/>
            <w:shd w:val="clear" w:color="auto" w:fill="auto"/>
          </w:tcPr>
          <w:p w14:paraId="066ADD2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RR = 1.52 (1.32 to 1.76)</w:t>
            </w:r>
          </w:p>
        </w:tc>
        <w:tc>
          <w:tcPr>
            <w:tcW w:w="390" w:type="pct"/>
            <w:shd w:val="clear" w:color="auto" w:fill="auto"/>
          </w:tcPr>
          <w:p w14:paraId="4CB1EF97"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71%, p&lt;0.001</w:t>
            </w:r>
          </w:p>
        </w:tc>
        <w:tc>
          <w:tcPr>
            <w:tcW w:w="409" w:type="pct"/>
            <w:vMerge/>
            <w:shd w:val="clear" w:color="auto" w:fill="auto"/>
          </w:tcPr>
          <w:p w14:paraId="61414955"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20A734E5"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536E8163" w14:textId="77777777" w:rsidTr="00714CCE">
        <w:trPr>
          <w:trHeight w:val="156"/>
        </w:trPr>
        <w:tc>
          <w:tcPr>
            <w:tcW w:w="226" w:type="pct"/>
            <w:shd w:val="clear" w:color="auto" w:fill="auto"/>
          </w:tcPr>
          <w:p w14:paraId="7C5A427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Wen 2020</w:t>
            </w:r>
          </w:p>
        </w:tc>
        <w:tc>
          <w:tcPr>
            <w:tcW w:w="271" w:type="pct"/>
            <w:shd w:val="clear" w:color="auto" w:fill="auto"/>
          </w:tcPr>
          <w:p w14:paraId="2DB4533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6</w:t>
            </w:r>
          </w:p>
        </w:tc>
        <w:tc>
          <w:tcPr>
            <w:tcW w:w="310" w:type="pct"/>
            <w:shd w:val="clear" w:color="auto" w:fill="auto"/>
          </w:tcPr>
          <w:p w14:paraId="79E8BD7D"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70BA6F2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Adult populations aged ≥16 y with functional chronic constipation defined by clinical symptoms, a physician's opinion, or the Rome I, II, or III criteria.</w:t>
            </w:r>
          </w:p>
        </w:tc>
        <w:tc>
          <w:tcPr>
            <w:tcW w:w="430" w:type="pct"/>
            <w:shd w:val="clear" w:color="auto" w:fill="auto"/>
          </w:tcPr>
          <w:p w14:paraId="3B47FA79"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5360C7C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42DDE72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55F8A6CB"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11 comparisons from 10 trials</w:t>
            </w:r>
          </w:p>
        </w:tc>
        <w:tc>
          <w:tcPr>
            <w:tcW w:w="339" w:type="pct"/>
            <w:shd w:val="clear" w:color="auto" w:fill="auto"/>
          </w:tcPr>
          <w:p w14:paraId="3F23905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1139</w:t>
            </w:r>
          </w:p>
        </w:tc>
        <w:tc>
          <w:tcPr>
            <w:tcW w:w="372" w:type="pct"/>
            <w:shd w:val="clear" w:color="auto" w:fill="auto"/>
          </w:tcPr>
          <w:p w14:paraId="526618B9" w14:textId="15DF4D86"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BM</w:t>
            </w:r>
            <w:r w:rsidR="00050BBB">
              <w:rPr>
                <w:sz w:val="16"/>
                <w:szCs w:val="16"/>
              </w:rPr>
              <w:t>s</w:t>
            </w:r>
            <w:r w:rsidRPr="00D518FF">
              <w:rPr>
                <w:sz w:val="16"/>
                <w:szCs w:val="16"/>
              </w:rPr>
              <w:t xml:space="preserve"> per week</w:t>
            </w:r>
          </w:p>
        </w:tc>
        <w:tc>
          <w:tcPr>
            <w:tcW w:w="318" w:type="pct"/>
            <w:shd w:val="clear" w:color="auto" w:fill="auto"/>
          </w:tcPr>
          <w:p w14:paraId="31CF625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MD = 1.29 bowel movements (BMs) per week (0.69 to 1.89 BMs per week) P &lt; 0.0001)</w:t>
            </w:r>
          </w:p>
        </w:tc>
        <w:tc>
          <w:tcPr>
            <w:tcW w:w="390" w:type="pct"/>
            <w:shd w:val="clear" w:color="auto" w:fill="auto"/>
          </w:tcPr>
          <w:p w14:paraId="7BFCD4CF" w14:textId="792E7E3D"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As significant heterogeneity was observed (</w:t>
            </w:r>
            <w:r w:rsidR="00E80887">
              <w:rPr>
                <w:sz w:val="16"/>
                <w:szCs w:val="16"/>
              </w:rPr>
              <w:t>p</w:t>
            </w:r>
            <w:r w:rsidRPr="00D518FF">
              <w:rPr>
                <w:sz w:val="16"/>
                <w:szCs w:val="16"/>
              </w:rPr>
              <w:t xml:space="preserve"> &lt; 0.00001 and </w:t>
            </w:r>
            <w:r>
              <w:rPr>
                <w:sz w:val="16"/>
                <w:szCs w:val="16"/>
              </w:rPr>
              <w:t>I² =</w:t>
            </w:r>
            <w:r w:rsidRPr="00D518FF">
              <w:rPr>
                <w:sz w:val="16"/>
                <w:szCs w:val="16"/>
              </w:rPr>
              <w:t xml:space="preserve"> 90), the pooled analysis was perform with random-effect model. There was no significant funnel plot asymmetry (Egger test = 1.44; 95% CI: 22.02–9.10; P = 0.183), suggesting no evidence of publication bias.</w:t>
            </w:r>
          </w:p>
        </w:tc>
        <w:tc>
          <w:tcPr>
            <w:tcW w:w="409" w:type="pct"/>
            <w:vMerge w:val="restart"/>
            <w:shd w:val="clear" w:color="auto" w:fill="auto"/>
          </w:tcPr>
          <w:p w14:paraId="2D7CF94B"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Studies assessed as</w:t>
            </w:r>
            <w:r w:rsidRPr="002E3370">
              <w:rPr>
                <w:sz w:val="16"/>
                <w:szCs w:val="16"/>
              </w:rPr>
              <w:t xml:space="preserve"> good methodological quality. All RCTs showed a low risk of bias regarding random sequence generation (selection bias) and performance bias. Unclear risk of bias was mainly observed in detection and other bias. No high risk of bias was observed.</w:t>
            </w:r>
          </w:p>
          <w:p w14:paraId="2E7481E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w:t>
            </w:r>
          </w:p>
          <w:p w14:paraId="46A80B4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w:t>
            </w:r>
          </w:p>
          <w:p w14:paraId="37C4870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w:t>
            </w:r>
          </w:p>
          <w:p w14:paraId="097C8C75" w14:textId="77777777" w:rsidR="00714CCE" w:rsidRPr="00D518FF" w:rsidRDefault="00714CCE" w:rsidP="00714CCE">
            <w:pPr>
              <w:pStyle w:val="2024TABLETEXT"/>
              <w:framePr w:hSpace="0" w:wrap="auto" w:vAnchor="margin" w:yAlign="inline"/>
              <w:spacing w:line="240" w:lineRule="auto"/>
              <w:suppressOverlap w:val="0"/>
              <w:rPr>
                <w:sz w:val="16"/>
                <w:szCs w:val="16"/>
              </w:rPr>
            </w:pPr>
          </w:p>
          <w:p w14:paraId="0A251C7B"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4CC24218"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026DB01D" w14:textId="77777777" w:rsidTr="00714CCE">
        <w:trPr>
          <w:trHeight w:val="156"/>
        </w:trPr>
        <w:tc>
          <w:tcPr>
            <w:tcW w:w="226" w:type="pct"/>
            <w:shd w:val="clear" w:color="auto" w:fill="auto"/>
          </w:tcPr>
          <w:p w14:paraId="516697AB"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Wen 2020</w:t>
            </w:r>
          </w:p>
        </w:tc>
        <w:tc>
          <w:tcPr>
            <w:tcW w:w="271" w:type="pct"/>
            <w:shd w:val="clear" w:color="auto" w:fill="auto"/>
          </w:tcPr>
          <w:p w14:paraId="67D559C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6</w:t>
            </w:r>
          </w:p>
        </w:tc>
        <w:tc>
          <w:tcPr>
            <w:tcW w:w="310" w:type="pct"/>
            <w:shd w:val="clear" w:color="auto" w:fill="auto"/>
          </w:tcPr>
          <w:p w14:paraId="7EE12AC2"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1F325907"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Adult populations aged ≥16 y with functional chronic constipation </w:t>
            </w:r>
            <w:r w:rsidRPr="00D518FF">
              <w:rPr>
                <w:sz w:val="16"/>
                <w:szCs w:val="16"/>
              </w:rPr>
              <w:lastRenderedPageBreak/>
              <w:t>defined by clinical symptoms, a physician's opinion, or the Rome I, II, or III criteria.</w:t>
            </w:r>
          </w:p>
        </w:tc>
        <w:tc>
          <w:tcPr>
            <w:tcW w:w="430" w:type="pct"/>
            <w:shd w:val="clear" w:color="auto" w:fill="auto"/>
          </w:tcPr>
          <w:p w14:paraId="698E217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lastRenderedPageBreak/>
              <w:t>Eligible supplement VS placebo/inactive control</w:t>
            </w:r>
          </w:p>
        </w:tc>
        <w:tc>
          <w:tcPr>
            <w:tcW w:w="414" w:type="pct"/>
            <w:shd w:val="clear" w:color="auto" w:fill="auto"/>
          </w:tcPr>
          <w:p w14:paraId="0CA65D06"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654B68A6"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18FA8E5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2</w:t>
            </w:r>
          </w:p>
        </w:tc>
        <w:tc>
          <w:tcPr>
            <w:tcW w:w="339" w:type="pct"/>
            <w:shd w:val="clear" w:color="auto" w:fill="auto"/>
          </w:tcPr>
          <w:p w14:paraId="5F342208"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141</w:t>
            </w:r>
          </w:p>
        </w:tc>
        <w:tc>
          <w:tcPr>
            <w:tcW w:w="372" w:type="pct"/>
            <w:shd w:val="clear" w:color="auto" w:fill="auto"/>
          </w:tcPr>
          <w:p w14:paraId="6E0A791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Rectosigmoid transit time</w:t>
            </w:r>
          </w:p>
        </w:tc>
        <w:tc>
          <w:tcPr>
            <w:tcW w:w="318" w:type="pct"/>
            <w:shd w:val="clear" w:color="auto" w:fill="auto"/>
          </w:tcPr>
          <w:p w14:paraId="22D4BF6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4.0 hours (−7.6 to −0.4 hours) P = 0.03)</w:t>
            </w:r>
          </w:p>
        </w:tc>
        <w:tc>
          <w:tcPr>
            <w:tcW w:w="390" w:type="pct"/>
            <w:shd w:val="clear" w:color="auto" w:fill="auto"/>
          </w:tcPr>
          <w:p w14:paraId="56BE932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w:t>
            </w:r>
          </w:p>
        </w:tc>
        <w:tc>
          <w:tcPr>
            <w:tcW w:w="409" w:type="pct"/>
            <w:vMerge/>
            <w:shd w:val="clear" w:color="auto" w:fill="auto"/>
          </w:tcPr>
          <w:p w14:paraId="681F16E0"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0BBD90EE"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0D6F6498" w14:textId="77777777" w:rsidTr="00714CCE">
        <w:trPr>
          <w:trHeight w:val="156"/>
        </w:trPr>
        <w:tc>
          <w:tcPr>
            <w:tcW w:w="226" w:type="pct"/>
            <w:shd w:val="clear" w:color="auto" w:fill="auto"/>
          </w:tcPr>
          <w:p w14:paraId="4509FE1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Wen 2020</w:t>
            </w:r>
          </w:p>
        </w:tc>
        <w:tc>
          <w:tcPr>
            <w:tcW w:w="271" w:type="pct"/>
            <w:shd w:val="clear" w:color="auto" w:fill="auto"/>
          </w:tcPr>
          <w:p w14:paraId="2B664D2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6</w:t>
            </w:r>
          </w:p>
        </w:tc>
        <w:tc>
          <w:tcPr>
            <w:tcW w:w="310" w:type="pct"/>
            <w:shd w:val="clear" w:color="auto" w:fill="auto"/>
          </w:tcPr>
          <w:p w14:paraId="0EAA4E2D"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3685BDA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Adult populations aged ≥16 y with functional chronic constipation defined by clinical symptoms, a physician's opinion, or the Rome I, II, or III criteria.</w:t>
            </w:r>
          </w:p>
        </w:tc>
        <w:tc>
          <w:tcPr>
            <w:tcW w:w="430" w:type="pct"/>
            <w:shd w:val="clear" w:color="auto" w:fill="auto"/>
          </w:tcPr>
          <w:p w14:paraId="43C8CCE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0969F76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41455F2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1D5FECC7"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2</w:t>
            </w:r>
          </w:p>
        </w:tc>
        <w:tc>
          <w:tcPr>
            <w:tcW w:w="339" w:type="pct"/>
            <w:shd w:val="clear" w:color="auto" w:fill="auto"/>
          </w:tcPr>
          <w:p w14:paraId="040B5C13"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141</w:t>
            </w:r>
          </w:p>
        </w:tc>
        <w:tc>
          <w:tcPr>
            <w:tcW w:w="372" w:type="pct"/>
            <w:shd w:val="clear" w:color="auto" w:fill="auto"/>
          </w:tcPr>
          <w:p w14:paraId="42D7E6D8"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Right colonic transit time</w:t>
            </w:r>
          </w:p>
        </w:tc>
        <w:tc>
          <w:tcPr>
            <w:tcW w:w="318" w:type="pct"/>
            <w:shd w:val="clear" w:color="auto" w:fill="auto"/>
          </w:tcPr>
          <w:p w14:paraId="6FBFD12B"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MD = −4.9 hours (−10.5 to 0.8 hours) p = 0.09</w:t>
            </w:r>
          </w:p>
        </w:tc>
        <w:tc>
          <w:tcPr>
            <w:tcW w:w="390" w:type="pct"/>
            <w:shd w:val="clear" w:color="auto" w:fill="auto"/>
          </w:tcPr>
          <w:p w14:paraId="2CC8639F"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w:t>
            </w:r>
          </w:p>
        </w:tc>
        <w:tc>
          <w:tcPr>
            <w:tcW w:w="409" w:type="pct"/>
            <w:vMerge/>
            <w:shd w:val="clear" w:color="auto" w:fill="auto"/>
          </w:tcPr>
          <w:p w14:paraId="1EA28E20"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5D33206A"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151244E8" w14:textId="77777777" w:rsidTr="00714CCE">
        <w:trPr>
          <w:trHeight w:val="156"/>
        </w:trPr>
        <w:tc>
          <w:tcPr>
            <w:tcW w:w="226" w:type="pct"/>
            <w:shd w:val="clear" w:color="auto" w:fill="auto"/>
          </w:tcPr>
          <w:p w14:paraId="0572C5C8"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Wen 2020</w:t>
            </w:r>
          </w:p>
        </w:tc>
        <w:tc>
          <w:tcPr>
            <w:tcW w:w="271" w:type="pct"/>
            <w:shd w:val="clear" w:color="auto" w:fill="auto"/>
          </w:tcPr>
          <w:p w14:paraId="1F1A43B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6</w:t>
            </w:r>
          </w:p>
        </w:tc>
        <w:tc>
          <w:tcPr>
            <w:tcW w:w="310" w:type="pct"/>
            <w:shd w:val="clear" w:color="auto" w:fill="auto"/>
          </w:tcPr>
          <w:p w14:paraId="4DA507A4"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4F230CF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Adult populations aged ≥16 y with functional chronic constipation defined by clinical symptoms, a physician's opinion, or the Rome I, II, or III criteria.</w:t>
            </w:r>
          </w:p>
        </w:tc>
        <w:tc>
          <w:tcPr>
            <w:tcW w:w="430" w:type="pct"/>
            <w:shd w:val="clear" w:color="auto" w:fill="auto"/>
          </w:tcPr>
          <w:p w14:paraId="0EB48F1C"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3FE2EDE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7FCE853F"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30DAAE29"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2</w:t>
            </w:r>
          </w:p>
        </w:tc>
        <w:tc>
          <w:tcPr>
            <w:tcW w:w="339" w:type="pct"/>
            <w:shd w:val="clear" w:color="auto" w:fill="auto"/>
          </w:tcPr>
          <w:p w14:paraId="5058208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141</w:t>
            </w:r>
          </w:p>
        </w:tc>
        <w:tc>
          <w:tcPr>
            <w:tcW w:w="372" w:type="pct"/>
            <w:shd w:val="clear" w:color="auto" w:fill="auto"/>
          </w:tcPr>
          <w:p w14:paraId="5FE3C4E3"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Left colonic transit time</w:t>
            </w:r>
          </w:p>
        </w:tc>
        <w:tc>
          <w:tcPr>
            <w:tcW w:w="318" w:type="pct"/>
            <w:shd w:val="clear" w:color="auto" w:fill="auto"/>
          </w:tcPr>
          <w:p w14:paraId="4005120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MD = −4.9 hours (−10.2 to 0.3 hours), p = 0.07</w:t>
            </w:r>
          </w:p>
        </w:tc>
        <w:tc>
          <w:tcPr>
            <w:tcW w:w="390" w:type="pct"/>
            <w:shd w:val="clear" w:color="auto" w:fill="auto"/>
          </w:tcPr>
          <w:p w14:paraId="1D908C87"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w:t>
            </w:r>
          </w:p>
        </w:tc>
        <w:tc>
          <w:tcPr>
            <w:tcW w:w="409" w:type="pct"/>
            <w:vMerge/>
            <w:shd w:val="clear" w:color="auto" w:fill="auto"/>
          </w:tcPr>
          <w:p w14:paraId="4D6BDA8E"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3DAC4650"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47F65565" w14:textId="77777777" w:rsidTr="00714CCE">
        <w:trPr>
          <w:trHeight w:val="156"/>
        </w:trPr>
        <w:tc>
          <w:tcPr>
            <w:tcW w:w="226" w:type="pct"/>
            <w:shd w:val="clear" w:color="auto" w:fill="auto"/>
          </w:tcPr>
          <w:p w14:paraId="78EA2396"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Wen 2020</w:t>
            </w:r>
          </w:p>
        </w:tc>
        <w:tc>
          <w:tcPr>
            <w:tcW w:w="271" w:type="pct"/>
            <w:shd w:val="clear" w:color="auto" w:fill="auto"/>
          </w:tcPr>
          <w:p w14:paraId="4964313F"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6</w:t>
            </w:r>
          </w:p>
        </w:tc>
        <w:tc>
          <w:tcPr>
            <w:tcW w:w="310" w:type="pct"/>
            <w:shd w:val="clear" w:color="auto" w:fill="auto"/>
          </w:tcPr>
          <w:p w14:paraId="23C20C30"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665A6028"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Adult populations aged ≥16 y with functional chronic constipation defined by clinical symptoms, a physician's opinion, or the </w:t>
            </w:r>
            <w:r w:rsidRPr="00D518FF">
              <w:rPr>
                <w:sz w:val="16"/>
                <w:szCs w:val="16"/>
              </w:rPr>
              <w:lastRenderedPageBreak/>
              <w:t>Rome I, II, or III criteria.</w:t>
            </w:r>
          </w:p>
        </w:tc>
        <w:tc>
          <w:tcPr>
            <w:tcW w:w="430" w:type="pct"/>
            <w:shd w:val="clear" w:color="auto" w:fill="auto"/>
          </w:tcPr>
          <w:p w14:paraId="3427CCC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lastRenderedPageBreak/>
              <w:t>Eligible supplement VS placebo/inactive control</w:t>
            </w:r>
          </w:p>
        </w:tc>
        <w:tc>
          <w:tcPr>
            <w:tcW w:w="414" w:type="pct"/>
            <w:shd w:val="clear" w:color="auto" w:fill="auto"/>
          </w:tcPr>
          <w:p w14:paraId="75E6C301"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30D3F4B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4E6044AF" w14:textId="7D0CC932"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3 </w:t>
            </w:r>
            <w:r w:rsidR="00BD03C8" w:rsidRPr="00D518FF">
              <w:rPr>
                <w:sz w:val="16"/>
                <w:szCs w:val="16"/>
              </w:rPr>
              <w:t>compariso</w:t>
            </w:r>
            <w:r w:rsidR="00BD03C8">
              <w:rPr>
                <w:sz w:val="16"/>
                <w:szCs w:val="16"/>
              </w:rPr>
              <w:t>ns</w:t>
            </w:r>
            <w:r w:rsidRPr="00D518FF">
              <w:rPr>
                <w:sz w:val="16"/>
                <w:szCs w:val="16"/>
              </w:rPr>
              <w:t xml:space="preserve"> from 2 trials</w:t>
            </w:r>
          </w:p>
        </w:tc>
        <w:tc>
          <w:tcPr>
            <w:tcW w:w="339" w:type="pct"/>
            <w:shd w:val="clear" w:color="auto" w:fill="auto"/>
          </w:tcPr>
          <w:p w14:paraId="5E37C17E"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140</w:t>
            </w:r>
          </w:p>
        </w:tc>
        <w:tc>
          <w:tcPr>
            <w:tcW w:w="372" w:type="pct"/>
            <w:shd w:val="clear" w:color="auto" w:fill="auto"/>
          </w:tcPr>
          <w:p w14:paraId="1C06E966" w14:textId="43F0B50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Gut transit time</w:t>
            </w:r>
          </w:p>
        </w:tc>
        <w:tc>
          <w:tcPr>
            <w:tcW w:w="318" w:type="pct"/>
            <w:shd w:val="clear" w:color="auto" w:fill="auto"/>
          </w:tcPr>
          <w:p w14:paraId="5034B3BD" w14:textId="78EB8A7E"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12.36 hours (−20.74 to −3.98 hours)</w:t>
            </w:r>
            <w:r w:rsidR="00BD03C8">
              <w:rPr>
                <w:sz w:val="16"/>
                <w:szCs w:val="16"/>
              </w:rPr>
              <w:t>, p</w:t>
            </w:r>
            <w:r w:rsidRPr="00D518FF">
              <w:rPr>
                <w:sz w:val="16"/>
                <w:szCs w:val="16"/>
              </w:rPr>
              <w:t xml:space="preserve"> = 0.004</w:t>
            </w:r>
          </w:p>
        </w:tc>
        <w:tc>
          <w:tcPr>
            <w:tcW w:w="390" w:type="pct"/>
            <w:shd w:val="clear" w:color="auto" w:fill="auto"/>
          </w:tcPr>
          <w:p w14:paraId="10E030A8"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As no significant heterogeneity between studies was observed (Ph = 0.27 and </w:t>
            </w:r>
            <w:r>
              <w:rPr>
                <w:sz w:val="16"/>
                <w:szCs w:val="16"/>
              </w:rPr>
              <w:t>I² =</w:t>
            </w:r>
            <w:r w:rsidRPr="00D518FF">
              <w:rPr>
                <w:sz w:val="16"/>
                <w:szCs w:val="16"/>
              </w:rPr>
              <w:t xml:space="preserve"> 23), the pooled analysis was perform with </w:t>
            </w:r>
            <w:r w:rsidRPr="00D518FF">
              <w:rPr>
                <w:sz w:val="16"/>
                <w:szCs w:val="16"/>
              </w:rPr>
              <w:lastRenderedPageBreak/>
              <w:t>fixed-effect model</w:t>
            </w:r>
          </w:p>
        </w:tc>
        <w:tc>
          <w:tcPr>
            <w:tcW w:w="409" w:type="pct"/>
            <w:vMerge/>
            <w:shd w:val="clear" w:color="auto" w:fill="auto"/>
          </w:tcPr>
          <w:p w14:paraId="03B74C17"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29EEC488"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r w:rsidR="00714CCE" w:rsidRPr="00D518FF" w14:paraId="4571E0BF" w14:textId="77777777" w:rsidTr="00714CCE">
        <w:trPr>
          <w:trHeight w:val="156"/>
        </w:trPr>
        <w:tc>
          <w:tcPr>
            <w:tcW w:w="226" w:type="pct"/>
            <w:shd w:val="clear" w:color="auto" w:fill="auto"/>
          </w:tcPr>
          <w:p w14:paraId="5036E22D"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Wen 2020</w:t>
            </w:r>
          </w:p>
        </w:tc>
        <w:tc>
          <w:tcPr>
            <w:tcW w:w="271" w:type="pct"/>
            <w:shd w:val="clear" w:color="auto" w:fill="auto"/>
          </w:tcPr>
          <w:p w14:paraId="648FB40F"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7</w:t>
            </w:r>
          </w:p>
        </w:tc>
        <w:tc>
          <w:tcPr>
            <w:tcW w:w="310" w:type="pct"/>
            <w:shd w:val="clear" w:color="auto" w:fill="auto"/>
          </w:tcPr>
          <w:p w14:paraId="77FB89E0" w14:textId="77777777" w:rsidR="00714CCE" w:rsidRPr="00D518FF" w:rsidRDefault="00714CCE" w:rsidP="00714CCE">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438" w:type="pct"/>
            <w:shd w:val="clear" w:color="auto" w:fill="auto"/>
          </w:tcPr>
          <w:p w14:paraId="07E53BD5"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Adult populations aged ≥16 y with functional chronic constipation defined by clinical symptoms, a physician's opinion, or the Rome I, II, or III criteria.</w:t>
            </w:r>
          </w:p>
        </w:tc>
        <w:tc>
          <w:tcPr>
            <w:tcW w:w="430" w:type="pct"/>
            <w:shd w:val="clear" w:color="auto" w:fill="auto"/>
          </w:tcPr>
          <w:p w14:paraId="00350BC3"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414" w:type="pct"/>
            <w:shd w:val="clear" w:color="auto" w:fill="auto"/>
          </w:tcPr>
          <w:p w14:paraId="0E10DFDB"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Probiotics</w:t>
            </w:r>
          </w:p>
        </w:tc>
        <w:tc>
          <w:tcPr>
            <w:tcW w:w="339" w:type="pct"/>
            <w:shd w:val="clear" w:color="auto" w:fill="auto"/>
          </w:tcPr>
          <w:p w14:paraId="386887E3"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Placebo</w:t>
            </w:r>
          </w:p>
        </w:tc>
        <w:tc>
          <w:tcPr>
            <w:tcW w:w="402" w:type="pct"/>
            <w:shd w:val="clear" w:color="auto" w:fill="auto"/>
          </w:tcPr>
          <w:p w14:paraId="1D31E19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10 comparisons from 9 trials</w:t>
            </w:r>
          </w:p>
        </w:tc>
        <w:tc>
          <w:tcPr>
            <w:tcW w:w="339" w:type="pct"/>
            <w:shd w:val="clear" w:color="auto" w:fill="auto"/>
          </w:tcPr>
          <w:p w14:paraId="1DA75C62"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NR</w:t>
            </w:r>
          </w:p>
        </w:tc>
        <w:tc>
          <w:tcPr>
            <w:tcW w:w="372" w:type="pct"/>
            <w:shd w:val="clear" w:color="auto" w:fill="auto"/>
          </w:tcPr>
          <w:p w14:paraId="388FD3E0"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Stool frequency, Bristol Stool Form Scale or modified versions of it</w:t>
            </w:r>
          </w:p>
        </w:tc>
        <w:tc>
          <w:tcPr>
            <w:tcW w:w="318" w:type="pct"/>
            <w:shd w:val="clear" w:color="auto" w:fill="auto"/>
          </w:tcPr>
          <w:p w14:paraId="00BFFBAA"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SMD = 0.55 (0.27 to 0.82) P = 0.0001</w:t>
            </w:r>
          </w:p>
        </w:tc>
        <w:tc>
          <w:tcPr>
            <w:tcW w:w="390" w:type="pct"/>
            <w:shd w:val="clear" w:color="auto" w:fill="auto"/>
          </w:tcPr>
          <w:p w14:paraId="60266094" w14:textId="77777777" w:rsidR="00714CCE" w:rsidRPr="00D518FF" w:rsidRDefault="00714CCE" w:rsidP="00714CCE">
            <w:pPr>
              <w:pStyle w:val="2024TABLETEXT"/>
              <w:framePr w:hSpace="0" w:wrap="auto" w:vAnchor="margin" w:yAlign="inline"/>
              <w:spacing w:line="240" w:lineRule="auto"/>
              <w:suppressOverlap w:val="0"/>
              <w:rPr>
                <w:sz w:val="16"/>
                <w:szCs w:val="16"/>
              </w:rPr>
            </w:pPr>
            <w:r w:rsidRPr="00D518FF">
              <w:rPr>
                <w:sz w:val="16"/>
                <w:szCs w:val="16"/>
              </w:rPr>
              <w:t xml:space="preserve">As significant heterogeneity between studies was observed (Ph &lt; 0.00001 and </w:t>
            </w:r>
            <w:r>
              <w:rPr>
                <w:sz w:val="16"/>
                <w:szCs w:val="16"/>
              </w:rPr>
              <w:t>I² =</w:t>
            </w:r>
            <w:r w:rsidRPr="00D518FF">
              <w:rPr>
                <w:sz w:val="16"/>
                <w:szCs w:val="16"/>
              </w:rPr>
              <w:t xml:space="preserve"> 80), the pooled analysis was performed with random-effect model (Fig. 5). There was no funnel plot asymmetry (Egger test = 0.57; 95% CI: 24.87–8.09; P = 0.583), suggesting no evidence of publication bias.</w:t>
            </w:r>
          </w:p>
        </w:tc>
        <w:tc>
          <w:tcPr>
            <w:tcW w:w="409" w:type="pct"/>
            <w:vMerge/>
            <w:shd w:val="clear" w:color="auto" w:fill="auto"/>
          </w:tcPr>
          <w:p w14:paraId="3B53F3F8" w14:textId="77777777" w:rsidR="00714CCE" w:rsidRPr="00D518FF" w:rsidRDefault="00714CCE" w:rsidP="00714CCE">
            <w:pPr>
              <w:pStyle w:val="2024TABLETEXT"/>
              <w:framePr w:hSpace="0" w:wrap="auto" w:vAnchor="margin" w:yAlign="inline"/>
              <w:spacing w:line="240" w:lineRule="auto"/>
              <w:suppressOverlap w:val="0"/>
              <w:rPr>
                <w:sz w:val="16"/>
                <w:szCs w:val="16"/>
              </w:rPr>
            </w:pPr>
          </w:p>
        </w:tc>
        <w:tc>
          <w:tcPr>
            <w:tcW w:w="340" w:type="pct"/>
          </w:tcPr>
          <w:p w14:paraId="1EC34D1C" w14:textId="77777777" w:rsidR="00714CCE" w:rsidRPr="00D518FF" w:rsidRDefault="00714CCE" w:rsidP="00714CCE">
            <w:pPr>
              <w:pStyle w:val="2024TABLETEXT"/>
              <w:framePr w:hSpace="0" w:wrap="auto" w:vAnchor="margin" w:yAlign="inline"/>
              <w:spacing w:line="240" w:lineRule="auto"/>
              <w:suppressOverlap w:val="0"/>
              <w:rPr>
                <w:sz w:val="16"/>
                <w:szCs w:val="16"/>
              </w:rPr>
            </w:pPr>
            <w:r>
              <w:rPr>
                <w:sz w:val="16"/>
                <w:szCs w:val="16"/>
              </w:rPr>
              <w:t>Low risk</w:t>
            </w:r>
          </w:p>
        </w:tc>
      </w:tr>
    </w:tbl>
    <w:p w14:paraId="497B35E2" w14:textId="26785A05" w:rsidR="0014211B" w:rsidRPr="00D518FF" w:rsidRDefault="0014211B" w:rsidP="0014211B">
      <w:pPr>
        <w:pStyle w:val="2024TABLEFOOTER"/>
        <w:spacing w:line="240" w:lineRule="auto"/>
        <w:rPr>
          <w:szCs w:val="16"/>
        </w:rPr>
      </w:pPr>
      <w:r w:rsidRPr="00D518FF">
        <w:rPr>
          <w:szCs w:val="16"/>
        </w:rPr>
        <w:t>Abbreviations:</w:t>
      </w:r>
      <w:r w:rsidR="00050BBB">
        <w:rPr>
          <w:szCs w:val="16"/>
        </w:rPr>
        <w:t xml:space="preserve"> </w:t>
      </w:r>
      <w:r w:rsidR="00050BBB" w:rsidRPr="00D518FF">
        <w:rPr>
          <w:szCs w:val="16"/>
        </w:rPr>
        <w:t>BM</w:t>
      </w:r>
      <w:r w:rsidR="00050BBB">
        <w:rPr>
          <w:szCs w:val="16"/>
        </w:rPr>
        <w:t>=bowel movement;</w:t>
      </w:r>
      <w:r w:rsidRPr="00D518FF">
        <w:rPr>
          <w:szCs w:val="16"/>
        </w:rPr>
        <w:t xml:space="preserve"> </w:t>
      </w:r>
      <w:r w:rsidR="00B65ED0">
        <w:rPr>
          <w:szCs w:val="16"/>
        </w:rPr>
        <w:t xml:space="preserve">IBS=irritable bowel syndrome; </w:t>
      </w:r>
      <w:r w:rsidR="00BD03C8">
        <w:rPr>
          <w:szCs w:val="16"/>
        </w:rPr>
        <w:t>IBS-SSS=</w:t>
      </w:r>
      <w:r w:rsidR="00BD03C8" w:rsidRPr="00BD03C8">
        <w:rPr>
          <w:szCs w:val="16"/>
        </w:rPr>
        <w:t>IBS Symptom Severity Scale</w:t>
      </w:r>
      <w:r w:rsidR="00BD03C8">
        <w:rPr>
          <w:szCs w:val="16"/>
        </w:rPr>
        <w:t xml:space="preserve">; </w:t>
      </w:r>
      <w:r w:rsidR="008A782D" w:rsidRPr="00D518FF">
        <w:rPr>
          <w:szCs w:val="16"/>
        </w:rPr>
        <w:t>GSS</w:t>
      </w:r>
      <w:r w:rsidR="008A782D">
        <w:rPr>
          <w:szCs w:val="16"/>
        </w:rPr>
        <w:t>=</w:t>
      </w:r>
      <w:r w:rsidR="008A782D" w:rsidRPr="008A782D">
        <w:rPr>
          <w:szCs w:val="16"/>
        </w:rPr>
        <w:t xml:space="preserve"> </w:t>
      </w:r>
      <w:r w:rsidR="008A782D" w:rsidRPr="00D518FF">
        <w:rPr>
          <w:szCs w:val="16"/>
        </w:rPr>
        <w:t>Global symptoms score</w:t>
      </w:r>
      <w:r w:rsidR="008A782D">
        <w:rPr>
          <w:szCs w:val="16"/>
        </w:rPr>
        <w:t xml:space="preserve">; </w:t>
      </w:r>
      <w:r w:rsidR="00E80887">
        <w:rPr>
          <w:szCs w:val="16"/>
        </w:rPr>
        <w:t>GSRS=</w:t>
      </w:r>
      <w:r w:rsidR="00E80887" w:rsidRPr="00E80887">
        <w:rPr>
          <w:szCs w:val="16"/>
        </w:rPr>
        <w:t>Gastrointestinal Symptom Rating Scale</w:t>
      </w:r>
      <w:r w:rsidR="00E80887">
        <w:rPr>
          <w:szCs w:val="16"/>
        </w:rPr>
        <w:t xml:space="preserve">; </w:t>
      </w:r>
      <w:r w:rsidR="00E8132D">
        <w:rPr>
          <w:szCs w:val="16"/>
        </w:rPr>
        <w:t>LGG=</w:t>
      </w:r>
      <w:r w:rsidR="00E8132D" w:rsidRPr="00E8132D">
        <w:t xml:space="preserve"> </w:t>
      </w:r>
      <w:r w:rsidR="00E8132D" w:rsidRPr="00E8132D">
        <w:rPr>
          <w:szCs w:val="16"/>
        </w:rPr>
        <w:t>Lactobacillus rhamnosus GG</w:t>
      </w:r>
      <w:r w:rsidR="00E8132D">
        <w:rPr>
          <w:szCs w:val="16"/>
        </w:rPr>
        <w:t xml:space="preserve">; </w:t>
      </w:r>
      <w:r w:rsidR="00714CCE">
        <w:rPr>
          <w:szCs w:val="16"/>
        </w:rPr>
        <w:t xml:space="preserve">MD=mean difference; </w:t>
      </w:r>
      <w:r w:rsidR="004A5492" w:rsidRPr="00D518FF">
        <w:rPr>
          <w:szCs w:val="16"/>
        </w:rPr>
        <w:t xml:space="preserve">NR=Not reported; </w:t>
      </w:r>
      <w:r w:rsidR="00050BBB">
        <w:rPr>
          <w:szCs w:val="16"/>
        </w:rPr>
        <w:t xml:space="preserve">RR=relative risk; </w:t>
      </w:r>
      <w:r>
        <w:rPr>
          <w:szCs w:val="16"/>
        </w:rPr>
        <w:t xml:space="preserve">SMD=Standard mean difference; </w:t>
      </w:r>
      <w:r w:rsidR="00050BBB" w:rsidRPr="00050BBB">
        <w:rPr>
          <w:szCs w:val="16"/>
          <w:lang w:val="en-GB"/>
        </w:rPr>
        <w:t>VAS=visual analogue scale</w:t>
      </w:r>
    </w:p>
    <w:p w14:paraId="16CEF160" w14:textId="77777777" w:rsidR="0014211B" w:rsidRPr="00D518FF" w:rsidRDefault="0014211B" w:rsidP="0014211B">
      <w:pPr>
        <w:pStyle w:val="2024TABLEFOOTER"/>
        <w:spacing w:line="240" w:lineRule="auto"/>
        <w:ind w:left="720" w:hanging="360"/>
        <w:rPr>
          <w:szCs w:val="16"/>
        </w:rPr>
      </w:pPr>
    </w:p>
    <w:p w14:paraId="1C0EB449" w14:textId="77777777" w:rsidR="0014211B" w:rsidRPr="00D518FF" w:rsidRDefault="0014211B" w:rsidP="0014211B">
      <w:pPr>
        <w:pStyle w:val="2024TABLEFOOTER"/>
        <w:spacing w:line="240" w:lineRule="auto"/>
        <w:rPr>
          <w:szCs w:val="16"/>
        </w:rPr>
      </w:pPr>
      <w:r w:rsidRPr="00D518FF">
        <w:rPr>
          <w:szCs w:val="16"/>
        </w:rPr>
        <w:t>^Outcome domains identified as part of the Outcome Prioritisation Exercise:</w:t>
      </w:r>
    </w:p>
    <w:p w14:paraId="7B272823" w14:textId="77777777" w:rsidR="0014211B" w:rsidRPr="00D518FF" w:rsidRDefault="0014211B" w:rsidP="0014211B">
      <w:pPr>
        <w:pStyle w:val="2024TABLEFOOTER"/>
        <w:numPr>
          <w:ilvl w:val="0"/>
          <w:numId w:val="16"/>
        </w:numPr>
        <w:spacing w:line="240" w:lineRule="auto"/>
        <w:rPr>
          <w:szCs w:val="16"/>
        </w:rPr>
      </w:pPr>
      <w:r w:rsidRPr="00D518FF">
        <w:rPr>
          <w:szCs w:val="16"/>
        </w:rPr>
        <w:t>Global improvement of IBS</w:t>
      </w:r>
    </w:p>
    <w:p w14:paraId="283BBBD4" w14:textId="77777777" w:rsidR="0014211B" w:rsidRPr="00D518FF" w:rsidRDefault="0014211B" w:rsidP="0014211B">
      <w:pPr>
        <w:pStyle w:val="2024TABLEFOOTER"/>
        <w:numPr>
          <w:ilvl w:val="0"/>
          <w:numId w:val="16"/>
        </w:numPr>
        <w:spacing w:line="240" w:lineRule="auto"/>
        <w:rPr>
          <w:szCs w:val="16"/>
        </w:rPr>
      </w:pPr>
      <w:r w:rsidRPr="00D518FF">
        <w:rPr>
          <w:szCs w:val="16"/>
        </w:rPr>
        <w:t>Abdominal pain burden</w:t>
      </w:r>
    </w:p>
    <w:p w14:paraId="16A18A43" w14:textId="77777777" w:rsidR="0014211B" w:rsidRPr="00D518FF" w:rsidRDefault="0014211B" w:rsidP="0014211B">
      <w:pPr>
        <w:pStyle w:val="2024TABLEFOOTER"/>
        <w:numPr>
          <w:ilvl w:val="0"/>
          <w:numId w:val="16"/>
        </w:numPr>
        <w:spacing w:line="240" w:lineRule="auto"/>
        <w:rPr>
          <w:szCs w:val="16"/>
        </w:rPr>
      </w:pPr>
      <w:r w:rsidRPr="00D518FF">
        <w:rPr>
          <w:szCs w:val="16"/>
        </w:rPr>
        <w:t>Health-related quality of life</w:t>
      </w:r>
    </w:p>
    <w:p w14:paraId="4E41E270" w14:textId="77777777" w:rsidR="0014211B" w:rsidRPr="00D518FF" w:rsidRDefault="0014211B" w:rsidP="0014211B">
      <w:pPr>
        <w:pStyle w:val="2024TABLEFOOTER"/>
        <w:numPr>
          <w:ilvl w:val="0"/>
          <w:numId w:val="16"/>
        </w:numPr>
        <w:spacing w:line="240" w:lineRule="auto"/>
        <w:rPr>
          <w:szCs w:val="16"/>
        </w:rPr>
      </w:pPr>
      <w:r w:rsidRPr="00D518FF">
        <w:rPr>
          <w:szCs w:val="16"/>
        </w:rPr>
        <w:t>Number of recurrent episodes</w:t>
      </w:r>
    </w:p>
    <w:p w14:paraId="5098C212" w14:textId="77777777" w:rsidR="0014211B" w:rsidRPr="00D518FF" w:rsidRDefault="0014211B" w:rsidP="0014211B">
      <w:pPr>
        <w:pStyle w:val="2024TABLEFOOTER"/>
        <w:numPr>
          <w:ilvl w:val="0"/>
          <w:numId w:val="16"/>
        </w:numPr>
        <w:spacing w:line="240" w:lineRule="auto"/>
        <w:rPr>
          <w:szCs w:val="16"/>
        </w:rPr>
      </w:pPr>
      <w:r w:rsidRPr="00D518FF">
        <w:rPr>
          <w:szCs w:val="16"/>
        </w:rPr>
        <w:t>Functioning</w:t>
      </w:r>
    </w:p>
    <w:p w14:paraId="0F5A0F26" w14:textId="77777777" w:rsidR="0014211B" w:rsidRPr="00D518FF" w:rsidRDefault="0014211B" w:rsidP="0014211B">
      <w:pPr>
        <w:pStyle w:val="2024TABLEFOOTER"/>
        <w:numPr>
          <w:ilvl w:val="0"/>
          <w:numId w:val="16"/>
        </w:numPr>
        <w:spacing w:line="240" w:lineRule="auto"/>
        <w:rPr>
          <w:szCs w:val="16"/>
        </w:rPr>
      </w:pPr>
      <w:r w:rsidRPr="00D518FF">
        <w:rPr>
          <w:szCs w:val="16"/>
        </w:rPr>
        <w:t>Stool frequency, bowel transit time</w:t>
      </w:r>
    </w:p>
    <w:p w14:paraId="4ABDF377" w14:textId="120CF164" w:rsidR="0014211B" w:rsidRPr="00714CCE" w:rsidRDefault="0014211B" w:rsidP="0006125A">
      <w:pPr>
        <w:pStyle w:val="2024TABLEFOOTER"/>
        <w:numPr>
          <w:ilvl w:val="0"/>
          <w:numId w:val="16"/>
        </w:numPr>
        <w:spacing w:line="240" w:lineRule="auto"/>
        <w:rPr>
          <w:rFonts w:cs="Calibri"/>
          <w:bCs/>
          <w:color w:val="053341"/>
          <w:sz w:val="24"/>
          <w:szCs w:val="24"/>
          <w:lang w:eastAsia="en-GB"/>
        </w:rPr>
      </w:pPr>
      <w:r w:rsidRPr="00D518FF">
        <w:rPr>
          <w:szCs w:val="16"/>
        </w:rPr>
        <w:t>Stool consistency</w:t>
      </w:r>
    </w:p>
    <w:p w14:paraId="3764DDD3" w14:textId="77777777" w:rsidR="00714CCE" w:rsidRPr="00714CCE" w:rsidRDefault="00714CCE" w:rsidP="00714CCE">
      <w:pPr>
        <w:pStyle w:val="2024TABLEFOOTER"/>
        <w:spacing w:line="240" w:lineRule="auto"/>
        <w:ind w:left="720"/>
        <w:rPr>
          <w:rFonts w:cs="Calibri"/>
          <w:bCs/>
          <w:color w:val="053341"/>
          <w:sz w:val="24"/>
          <w:szCs w:val="24"/>
          <w:lang w:eastAsia="en-GB"/>
        </w:rPr>
      </w:pPr>
    </w:p>
    <w:p w14:paraId="57D7E0DD" w14:textId="50C59E8E" w:rsidR="009E4D3F" w:rsidRPr="00D518FF" w:rsidRDefault="0006125A" w:rsidP="0006125A">
      <w:pPr>
        <w:pStyle w:val="Caption"/>
        <w:rPr>
          <w:rFonts w:ascii="Aptos" w:hAnsi="Aptos"/>
        </w:rPr>
      </w:pPr>
      <w:bookmarkStart w:id="186" w:name="_Toc185254575"/>
      <w:r w:rsidRPr="00714CCE">
        <w:rPr>
          <w:rFonts w:ascii="Aptos" w:hAnsi="Aptos"/>
        </w:rPr>
        <w:t xml:space="preserve">Table </w:t>
      </w:r>
      <w:r w:rsidR="003B0594" w:rsidRPr="00714CCE">
        <w:rPr>
          <w:rFonts w:ascii="Aptos" w:hAnsi="Aptos"/>
        </w:rPr>
        <w:fldChar w:fldCharType="begin" w:fldLock="1"/>
      </w:r>
      <w:r w:rsidR="003B0594" w:rsidRPr="00714CCE">
        <w:rPr>
          <w:rFonts w:ascii="Aptos" w:hAnsi="Aptos"/>
        </w:rPr>
        <w:instrText xml:space="preserve"> STYLEREF 1 \s </w:instrText>
      </w:r>
      <w:r w:rsidR="003B0594" w:rsidRPr="00714CCE">
        <w:rPr>
          <w:rFonts w:ascii="Aptos" w:hAnsi="Aptos"/>
        </w:rPr>
        <w:fldChar w:fldCharType="separate"/>
      </w:r>
      <w:r w:rsidR="003B0594" w:rsidRPr="00714CCE">
        <w:rPr>
          <w:rFonts w:ascii="Aptos" w:hAnsi="Aptos"/>
        </w:rPr>
        <w:t>E</w:t>
      </w:r>
      <w:r w:rsidR="003B0594" w:rsidRPr="00714CCE">
        <w:rPr>
          <w:rFonts w:ascii="Aptos" w:hAnsi="Aptos"/>
        </w:rPr>
        <w:fldChar w:fldCharType="end"/>
      </w:r>
      <w:r w:rsidR="00DC4767" w:rsidRPr="00714CCE">
        <w:rPr>
          <w:rFonts w:ascii="Aptos" w:hAnsi="Aptos"/>
        </w:rPr>
        <w:noBreakHyphen/>
      </w:r>
      <w:r w:rsidR="003B0594" w:rsidRPr="00714CCE">
        <w:rPr>
          <w:rFonts w:ascii="Aptos" w:hAnsi="Aptos"/>
        </w:rPr>
        <w:fldChar w:fldCharType="begin"/>
      </w:r>
      <w:r w:rsidR="003B0594" w:rsidRPr="00714CCE">
        <w:rPr>
          <w:rFonts w:ascii="Aptos" w:hAnsi="Aptos"/>
        </w:rPr>
        <w:instrText xml:space="preserve"> SEQ Table \* ARABIC \s 1 </w:instrText>
      </w:r>
      <w:r w:rsidR="003B0594" w:rsidRPr="00714CCE">
        <w:rPr>
          <w:rFonts w:ascii="Aptos" w:hAnsi="Aptos"/>
        </w:rPr>
        <w:fldChar w:fldCharType="separate"/>
      </w:r>
      <w:r w:rsidR="00C426C6">
        <w:rPr>
          <w:rFonts w:ascii="Aptos" w:hAnsi="Aptos"/>
          <w:noProof/>
        </w:rPr>
        <w:t>3</w:t>
      </w:r>
      <w:r w:rsidR="003B0594" w:rsidRPr="00714CCE">
        <w:rPr>
          <w:rFonts w:ascii="Aptos" w:hAnsi="Aptos"/>
        </w:rPr>
        <w:fldChar w:fldCharType="end"/>
      </w:r>
      <w:r w:rsidR="009E4D3F" w:rsidRPr="00D518FF">
        <w:rPr>
          <w:rFonts w:ascii="Aptos" w:hAnsi="Aptos"/>
        </w:rPr>
        <w:t xml:space="preserve">. Results of included </w:t>
      </w:r>
      <w:r w:rsidR="00F212B7">
        <w:rPr>
          <w:rFonts w:ascii="Aptos" w:hAnsi="Aptos"/>
        </w:rPr>
        <w:t xml:space="preserve">(non-preferred) </w:t>
      </w:r>
      <w:r w:rsidR="009E4D3F" w:rsidRPr="00D518FF">
        <w:rPr>
          <w:rFonts w:ascii="Aptos" w:hAnsi="Aptos"/>
        </w:rPr>
        <w:t>reviews by outcome domain – irritable bowel syndrome, probiotics</w:t>
      </w:r>
      <w:bookmarkEnd w:id="186"/>
    </w:p>
    <w:tbl>
      <w:tblPr>
        <w:tblStyle w:val="TableGrid"/>
        <w:tblpPr w:leftFromText="180" w:rightFromText="180" w:vertAnchor="text" w:tblpX="-10" w:tblpY="1"/>
        <w:tblOverlap w:val="never"/>
        <w:tblW w:w="14398" w:type="dxa"/>
        <w:tblLayout w:type="fixed"/>
        <w:tblCellMar>
          <w:top w:w="28" w:type="dxa"/>
          <w:left w:w="57" w:type="dxa"/>
          <w:bottom w:w="28" w:type="dxa"/>
          <w:right w:w="0" w:type="dxa"/>
        </w:tblCellMar>
        <w:tblLook w:val="04A0" w:firstRow="1" w:lastRow="0" w:firstColumn="1" w:lastColumn="0" w:noHBand="0" w:noVBand="1"/>
      </w:tblPr>
      <w:tblGrid>
        <w:gridCol w:w="1256"/>
        <w:gridCol w:w="887"/>
        <w:gridCol w:w="937"/>
        <w:gridCol w:w="1220"/>
        <w:gridCol w:w="1300"/>
        <w:gridCol w:w="1112"/>
        <w:gridCol w:w="938"/>
        <w:gridCol w:w="813"/>
        <w:gridCol w:w="743"/>
        <w:gridCol w:w="1256"/>
        <w:gridCol w:w="790"/>
        <w:gridCol w:w="1076"/>
        <w:gridCol w:w="1011"/>
        <w:gridCol w:w="1059"/>
      </w:tblGrid>
      <w:tr w:rsidR="00A72AFF" w:rsidRPr="00D518FF" w14:paraId="01D4A22E" w14:textId="747D24E0" w:rsidTr="004C6AA1">
        <w:trPr>
          <w:trHeight w:val="529"/>
        </w:trPr>
        <w:tc>
          <w:tcPr>
            <w:tcW w:w="1256" w:type="dxa"/>
            <w:vMerge w:val="restart"/>
            <w:shd w:val="clear" w:color="auto" w:fill="D9D9D9" w:themeFill="background1" w:themeFillShade="D9"/>
          </w:tcPr>
          <w:p w14:paraId="0FDA5B0D" w14:textId="77777777" w:rsidR="00A72AFF" w:rsidRPr="00D518FF" w:rsidRDefault="00A72AFF" w:rsidP="00F614C8">
            <w:pPr>
              <w:pStyle w:val="2024TABLEHEADER"/>
              <w:spacing w:before="0" w:after="0" w:line="240" w:lineRule="auto"/>
              <w:rPr>
                <w:sz w:val="16"/>
                <w:szCs w:val="16"/>
              </w:rPr>
            </w:pPr>
            <w:r w:rsidRPr="00D518FF">
              <w:rPr>
                <w:sz w:val="16"/>
                <w:szCs w:val="16"/>
              </w:rPr>
              <w:t>Review ID</w:t>
            </w:r>
          </w:p>
        </w:tc>
        <w:tc>
          <w:tcPr>
            <w:tcW w:w="887" w:type="dxa"/>
            <w:vMerge w:val="restart"/>
            <w:shd w:val="clear" w:color="auto" w:fill="D9D9D9" w:themeFill="background1" w:themeFillShade="D9"/>
          </w:tcPr>
          <w:p w14:paraId="46E3B041" w14:textId="77777777" w:rsidR="00A72AFF" w:rsidRPr="00D518FF" w:rsidRDefault="00A72AFF" w:rsidP="00F614C8">
            <w:pPr>
              <w:pStyle w:val="2024TABLEHEADER"/>
              <w:spacing w:before="0" w:after="0" w:line="240" w:lineRule="auto"/>
              <w:rPr>
                <w:sz w:val="16"/>
                <w:szCs w:val="16"/>
              </w:rPr>
            </w:pPr>
            <w:r w:rsidRPr="00D518FF">
              <w:rPr>
                <w:sz w:val="16"/>
                <w:szCs w:val="16"/>
              </w:rPr>
              <w:t>Outcome domain</w:t>
            </w:r>
          </w:p>
        </w:tc>
        <w:tc>
          <w:tcPr>
            <w:tcW w:w="937" w:type="dxa"/>
            <w:vMerge w:val="restart"/>
            <w:shd w:val="clear" w:color="auto" w:fill="D9D9D9" w:themeFill="background1" w:themeFillShade="D9"/>
          </w:tcPr>
          <w:p w14:paraId="27ED7FBD" w14:textId="77777777" w:rsidR="00A72AFF" w:rsidRPr="00D518FF" w:rsidRDefault="00A72AFF" w:rsidP="00F614C8">
            <w:pPr>
              <w:pStyle w:val="2024TABLEHEADER"/>
              <w:spacing w:before="0" w:after="0" w:line="240" w:lineRule="auto"/>
              <w:rPr>
                <w:sz w:val="16"/>
                <w:szCs w:val="16"/>
              </w:rPr>
            </w:pPr>
            <w:r w:rsidRPr="00D518FF">
              <w:rPr>
                <w:sz w:val="16"/>
                <w:szCs w:val="16"/>
              </w:rPr>
              <w:t>Population group</w:t>
            </w:r>
          </w:p>
        </w:tc>
        <w:tc>
          <w:tcPr>
            <w:tcW w:w="1220" w:type="dxa"/>
            <w:vMerge w:val="restart"/>
            <w:shd w:val="clear" w:color="auto" w:fill="D9D9D9" w:themeFill="background1" w:themeFillShade="D9"/>
          </w:tcPr>
          <w:p w14:paraId="5D4A2C22" w14:textId="77777777" w:rsidR="00A72AFF" w:rsidRPr="00D518FF" w:rsidRDefault="00A72AFF" w:rsidP="00F614C8">
            <w:pPr>
              <w:pStyle w:val="2024TABLEHEADER"/>
              <w:spacing w:before="0" w:after="0" w:line="240" w:lineRule="auto"/>
              <w:rPr>
                <w:sz w:val="16"/>
                <w:szCs w:val="16"/>
              </w:rPr>
            </w:pPr>
            <w:r w:rsidRPr="00D518FF">
              <w:rPr>
                <w:sz w:val="16"/>
                <w:szCs w:val="16"/>
              </w:rPr>
              <w:t>Population details</w:t>
            </w:r>
          </w:p>
        </w:tc>
        <w:tc>
          <w:tcPr>
            <w:tcW w:w="1300" w:type="dxa"/>
            <w:vMerge w:val="restart"/>
            <w:shd w:val="clear" w:color="auto" w:fill="D9D9D9" w:themeFill="background1" w:themeFillShade="D9"/>
          </w:tcPr>
          <w:p w14:paraId="018BF038" w14:textId="77777777" w:rsidR="00A72AFF" w:rsidRPr="00D518FF" w:rsidRDefault="00A72AFF" w:rsidP="00F614C8">
            <w:pPr>
              <w:pStyle w:val="2024TABLEHEADER"/>
              <w:spacing w:before="0" w:after="0" w:line="240" w:lineRule="auto"/>
              <w:rPr>
                <w:sz w:val="16"/>
                <w:szCs w:val="16"/>
              </w:rPr>
            </w:pPr>
            <w:r w:rsidRPr="00D518FF">
              <w:rPr>
                <w:sz w:val="16"/>
                <w:szCs w:val="16"/>
              </w:rPr>
              <w:t>Type of comparison</w:t>
            </w:r>
          </w:p>
        </w:tc>
        <w:tc>
          <w:tcPr>
            <w:tcW w:w="1112" w:type="dxa"/>
            <w:vMerge w:val="restart"/>
            <w:shd w:val="clear" w:color="auto" w:fill="D9D9D9" w:themeFill="background1" w:themeFillShade="D9"/>
          </w:tcPr>
          <w:p w14:paraId="708B3BFA" w14:textId="77777777" w:rsidR="00A72AFF" w:rsidRPr="00D518FF" w:rsidRDefault="00A72AFF" w:rsidP="00F614C8">
            <w:pPr>
              <w:pStyle w:val="2024TABLEHEADER"/>
              <w:spacing w:before="0" w:after="0" w:line="240" w:lineRule="auto"/>
              <w:rPr>
                <w:sz w:val="16"/>
                <w:szCs w:val="16"/>
              </w:rPr>
            </w:pPr>
            <w:r w:rsidRPr="00D518FF">
              <w:rPr>
                <w:sz w:val="16"/>
                <w:szCs w:val="16"/>
              </w:rPr>
              <w:t>Intervention description</w:t>
            </w:r>
          </w:p>
        </w:tc>
        <w:tc>
          <w:tcPr>
            <w:tcW w:w="938" w:type="dxa"/>
            <w:vMerge w:val="restart"/>
            <w:shd w:val="clear" w:color="auto" w:fill="D9D9D9" w:themeFill="background1" w:themeFillShade="D9"/>
          </w:tcPr>
          <w:p w14:paraId="2888E966" w14:textId="77777777" w:rsidR="00A72AFF" w:rsidRPr="00D518FF" w:rsidRDefault="00A72AFF" w:rsidP="00F614C8">
            <w:pPr>
              <w:pStyle w:val="2024TABLEHEADER"/>
              <w:spacing w:before="0" w:after="0" w:line="240" w:lineRule="auto"/>
              <w:rPr>
                <w:sz w:val="16"/>
                <w:szCs w:val="16"/>
              </w:rPr>
            </w:pPr>
            <w:r w:rsidRPr="00D518FF">
              <w:rPr>
                <w:sz w:val="16"/>
                <w:szCs w:val="16"/>
              </w:rPr>
              <w:t xml:space="preserve">Comparator </w:t>
            </w:r>
            <w:r w:rsidRPr="00D518FF">
              <w:rPr>
                <w:sz w:val="16"/>
                <w:szCs w:val="16"/>
              </w:rPr>
              <w:lastRenderedPageBreak/>
              <w:t>description</w:t>
            </w:r>
          </w:p>
        </w:tc>
        <w:tc>
          <w:tcPr>
            <w:tcW w:w="813" w:type="dxa"/>
            <w:vMerge w:val="restart"/>
            <w:shd w:val="clear" w:color="auto" w:fill="D9D9D9" w:themeFill="background1" w:themeFillShade="D9"/>
          </w:tcPr>
          <w:p w14:paraId="276EAB93" w14:textId="77777777" w:rsidR="00A72AFF" w:rsidRPr="00D518FF" w:rsidRDefault="00A72AFF" w:rsidP="00F614C8">
            <w:pPr>
              <w:pStyle w:val="2024TABLEHEADER"/>
              <w:spacing w:before="0" w:after="0" w:line="240" w:lineRule="auto"/>
              <w:rPr>
                <w:sz w:val="16"/>
                <w:szCs w:val="16"/>
              </w:rPr>
            </w:pPr>
            <w:r w:rsidRPr="00D518FF">
              <w:rPr>
                <w:sz w:val="16"/>
                <w:szCs w:val="16"/>
              </w:rPr>
              <w:lastRenderedPageBreak/>
              <w:t xml:space="preserve">No/types of </w:t>
            </w:r>
            <w:r w:rsidRPr="00D518FF">
              <w:rPr>
                <w:sz w:val="16"/>
                <w:szCs w:val="16"/>
              </w:rPr>
              <w:lastRenderedPageBreak/>
              <w:t>included studies</w:t>
            </w:r>
          </w:p>
        </w:tc>
        <w:tc>
          <w:tcPr>
            <w:tcW w:w="743" w:type="dxa"/>
            <w:vMerge w:val="restart"/>
            <w:shd w:val="clear" w:color="auto" w:fill="D9D9D9" w:themeFill="background1" w:themeFillShade="D9"/>
          </w:tcPr>
          <w:p w14:paraId="5BB8DEBF" w14:textId="77777777" w:rsidR="00A72AFF" w:rsidRPr="00D518FF" w:rsidRDefault="00A72AFF" w:rsidP="00F614C8">
            <w:pPr>
              <w:pStyle w:val="2024TABLEHEADER"/>
              <w:spacing w:before="0" w:after="0" w:line="240" w:lineRule="auto"/>
              <w:rPr>
                <w:sz w:val="16"/>
                <w:szCs w:val="16"/>
              </w:rPr>
            </w:pPr>
            <w:r w:rsidRPr="00D518FF">
              <w:rPr>
                <w:sz w:val="16"/>
                <w:szCs w:val="16"/>
              </w:rPr>
              <w:lastRenderedPageBreak/>
              <w:t>No of particip</w:t>
            </w:r>
            <w:r w:rsidRPr="00D518FF">
              <w:rPr>
                <w:sz w:val="16"/>
                <w:szCs w:val="16"/>
              </w:rPr>
              <w:lastRenderedPageBreak/>
              <w:t>ants (total)</w:t>
            </w:r>
          </w:p>
        </w:tc>
        <w:tc>
          <w:tcPr>
            <w:tcW w:w="1256" w:type="dxa"/>
            <w:vMerge w:val="restart"/>
            <w:shd w:val="clear" w:color="auto" w:fill="D9D9D9" w:themeFill="background1" w:themeFillShade="D9"/>
          </w:tcPr>
          <w:p w14:paraId="5E463601" w14:textId="77777777" w:rsidR="00A72AFF" w:rsidRPr="00D518FF" w:rsidRDefault="00A72AFF" w:rsidP="00F614C8">
            <w:pPr>
              <w:pStyle w:val="2024TABLEHEADER"/>
              <w:spacing w:before="0" w:after="0" w:line="240" w:lineRule="auto"/>
              <w:rPr>
                <w:sz w:val="16"/>
                <w:szCs w:val="16"/>
              </w:rPr>
            </w:pPr>
            <w:r w:rsidRPr="00D518FF">
              <w:rPr>
                <w:sz w:val="16"/>
                <w:szCs w:val="16"/>
              </w:rPr>
              <w:lastRenderedPageBreak/>
              <w:t>Outcome measure(s) used</w:t>
            </w:r>
          </w:p>
        </w:tc>
        <w:tc>
          <w:tcPr>
            <w:tcW w:w="2877" w:type="dxa"/>
            <w:gridSpan w:val="3"/>
            <w:shd w:val="clear" w:color="auto" w:fill="D9D9D9" w:themeFill="background1" w:themeFillShade="D9"/>
          </w:tcPr>
          <w:p w14:paraId="1F324EED" w14:textId="2B083E8F" w:rsidR="00A72AFF" w:rsidRDefault="00A72AFF" w:rsidP="00F614C8">
            <w:pPr>
              <w:pStyle w:val="2024TABLEHEADER"/>
              <w:spacing w:before="0" w:after="0" w:line="240" w:lineRule="auto"/>
              <w:rPr>
                <w:sz w:val="16"/>
                <w:szCs w:val="16"/>
              </w:rPr>
            </w:pPr>
            <w:r w:rsidRPr="00D518FF">
              <w:rPr>
                <w:sz w:val="16"/>
                <w:szCs w:val="16"/>
              </w:rPr>
              <w:t>Results</w:t>
            </w:r>
          </w:p>
        </w:tc>
        <w:tc>
          <w:tcPr>
            <w:tcW w:w="1059" w:type="dxa"/>
            <w:vMerge w:val="restart"/>
            <w:shd w:val="clear" w:color="auto" w:fill="D9D9D9" w:themeFill="background1" w:themeFillShade="D9"/>
          </w:tcPr>
          <w:p w14:paraId="7FFC93BE" w14:textId="71D8A4AC" w:rsidR="00A72AFF" w:rsidRPr="00D518FF" w:rsidRDefault="00A72AFF" w:rsidP="00F614C8">
            <w:pPr>
              <w:pStyle w:val="2024TABLEHEADER"/>
              <w:spacing w:before="0" w:after="0" w:line="240" w:lineRule="auto"/>
              <w:rPr>
                <w:sz w:val="16"/>
                <w:szCs w:val="16"/>
              </w:rPr>
            </w:pPr>
            <w:r>
              <w:rPr>
                <w:sz w:val="16"/>
                <w:szCs w:val="16"/>
              </w:rPr>
              <w:t xml:space="preserve">ROBIS assessment </w:t>
            </w:r>
            <w:r>
              <w:rPr>
                <w:sz w:val="16"/>
                <w:szCs w:val="16"/>
              </w:rPr>
              <w:lastRenderedPageBreak/>
              <w:t>(for the review overall)</w:t>
            </w:r>
          </w:p>
        </w:tc>
      </w:tr>
      <w:tr w:rsidR="00A72AFF" w:rsidRPr="00D518FF" w14:paraId="1C8BE13E" w14:textId="4DF56389" w:rsidTr="004C6AA1">
        <w:trPr>
          <w:trHeight w:val="156"/>
        </w:trPr>
        <w:tc>
          <w:tcPr>
            <w:tcW w:w="1256" w:type="dxa"/>
            <w:vMerge/>
            <w:shd w:val="clear" w:color="auto" w:fill="F2F2F2" w:themeFill="background1" w:themeFillShade="F2"/>
          </w:tcPr>
          <w:p w14:paraId="555E655F" w14:textId="77777777" w:rsidR="00A72AFF" w:rsidRPr="00D518FF" w:rsidRDefault="00A72AFF" w:rsidP="00F614C8">
            <w:pPr>
              <w:pStyle w:val="2024TABLEHEADER"/>
              <w:spacing w:before="0" w:after="0" w:line="240" w:lineRule="auto"/>
              <w:rPr>
                <w:sz w:val="16"/>
                <w:szCs w:val="16"/>
              </w:rPr>
            </w:pPr>
          </w:p>
        </w:tc>
        <w:tc>
          <w:tcPr>
            <w:tcW w:w="887" w:type="dxa"/>
            <w:vMerge/>
            <w:shd w:val="clear" w:color="auto" w:fill="F2F2F2" w:themeFill="background1" w:themeFillShade="F2"/>
          </w:tcPr>
          <w:p w14:paraId="2163E33B" w14:textId="77777777" w:rsidR="00A72AFF" w:rsidRPr="00D518FF" w:rsidRDefault="00A72AFF" w:rsidP="00F614C8">
            <w:pPr>
              <w:pStyle w:val="2024TABLEHEADER"/>
              <w:spacing w:before="0" w:after="0" w:line="240" w:lineRule="auto"/>
              <w:rPr>
                <w:sz w:val="16"/>
                <w:szCs w:val="16"/>
              </w:rPr>
            </w:pPr>
          </w:p>
        </w:tc>
        <w:tc>
          <w:tcPr>
            <w:tcW w:w="937" w:type="dxa"/>
            <w:vMerge/>
            <w:shd w:val="clear" w:color="auto" w:fill="F2F2F2" w:themeFill="background1" w:themeFillShade="F2"/>
          </w:tcPr>
          <w:p w14:paraId="10110044" w14:textId="77777777" w:rsidR="00A72AFF" w:rsidRPr="00D518FF" w:rsidRDefault="00A72AFF" w:rsidP="00F614C8">
            <w:pPr>
              <w:pStyle w:val="2024TABLEHEADER"/>
              <w:spacing w:before="0" w:after="0" w:line="240" w:lineRule="auto"/>
              <w:rPr>
                <w:sz w:val="16"/>
                <w:szCs w:val="16"/>
              </w:rPr>
            </w:pPr>
          </w:p>
        </w:tc>
        <w:tc>
          <w:tcPr>
            <w:tcW w:w="1220" w:type="dxa"/>
            <w:vMerge/>
            <w:shd w:val="clear" w:color="auto" w:fill="F2F2F2" w:themeFill="background1" w:themeFillShade="F2"/>
          </w:tcPr>
          <w:p w14:paraId="7743DC29" w14:textId="77777777" w:rsidR="00A72AFF" w:rsidRPr="00D518FF" w:rsidRDefault="00A72AFF" w:rsidP="00F614C8">
            <w:pPr>
              <w:pStyle w:val="2024TABLEHEADER"/>
              <w:spacing w:before="0" w:after="0" w:line="240" w:lineRule="auto"/>
              <w:rPr>
                <w:sz w:val="16"/>
                <w:szCs w:val="16"/>
              </w:rPr>
            </w:pPr>
          </w:p>
        </w:tc>
        <w:tc>
          <w:tcPr>
            <w:tcW w:w="1300" w:type="dxa"/>
            <w:vMerge/>
            <w:shd w:val="clear" w:color="auto" w:fill="F2F2F2" w:themeFill="background1" w:themeFillShade="F2"/>
          </w:tcPr>
          <w:p w14:paraId="0161F83A" w14:textId="77777777" w:rsidR="00A72AFF" w:rsidRPr="00D518FF" w:rsidRDefault="00A72AFF" w:rsidP="00F614C8">
            <w:pPr>
              <w:pStyle w:val="2024TABLEHEADER"/>
              <w:spacing w:before="0" w:after="0" w:line="240" w:lineRule="auto"/>
              <w:rPr>
                <w:sz w:val="16"/>
                <w:szCs w:val="16"/>
              </w:rPr>
            </w:pPr>
          </w:p>
        </w:tc>
        <w:tc>
          <w:tcPr>
            <w:tcW w:w="1112" w:type="dxa"/>
            <w:vMerge/>
            <w:shd w:val="clear" w:color="auto" w:fill="F2F2F2" w:themeFill="background1" w:themeFillShade="F2"/>
          </w:tcPr>
          <w:p w14:paraId="267C68C4" w14:textId="77777777" w:rsidR="00A72AFF" w:rsidRPr="00D518FF" w:rsidRDefault="00A72AFF" w:rsidP="00F614C8">
            <w:pPr>
              <w:pStyle w:val="2024TABLEHEADER"/>
              <w:spacing w:before="0" w:after="0" w:line="240" w:lineRule="auto"/>
              <w:rPr>
                <w:sz w:val="16"/>
                <w:szCs w:val="16"/>
              </w:rPr>
            </w:pPr>
          </w:p>
        </w:tc>
        <w:tc>
          <w:tcPr>
            <w:tcW w:w="938" w:type="dxa"/>
            <w:vMerge/>
            <w:shd w:val="clear" w:color="auto" w:fill="F2F2F2" w:themeFill="background1" w:themeFillShade="F2"/>
          </w:tcPr>
          <w:p w14:paraId="0DCBFAAE" w14:textId="77777777" w:rsidR="00A72AFF" w:rsidRPr="00D518FF" w:rsidRDefault="00A72AFF" w:rsidP="00F614C8">
            <w:pPr>
              <w:pStyle w:val="2024TABLEHEADER"/>
              <w:spacing w:before="0" w:after="0" w:line="240" w:lineRule="auto"/>
              <w:rPr>
                <w:sz w:val="16"/>
                <w:szCs w:val="16"/>
              </w:rPr>
            </w:pPr>
          </w:p>
        </w:tc>
        <w:tc>
          <w:tcPr>
            <w:tcW w:w="813" w:type="dxa"/>
            <w:vMerge/>
            <w:shd w:val="clear" w:color="auto" w:fill="F2F2F2" w:themeFill="background1" w:themeFillShade="F2"/>
          </w:tcPr>
          <w:p w14:paraId="655C8B29" w14:textId="77777777" w:rsidR="00A72AFF" w:rsidRPr="00D518FF" w:rsidRDefault="00A72AFF" w:rsidP="00F614C8">
            <w:pPr>
              <w:pStyle w:val="2024TABLEHEADER"/>
              <w:spacing w:before="0" w:after="0" w:line="240" w:lineRule="auto"/>
              <w:rPr>
                <w:sz w:val="16"/>
                <w:szCs w:val="16"/>
              </w:rPr>
            </w:pPr>
          </w:p>
        </w:tc>
        <w:tc>
          <w:tcPr>
            <w:tcW w:w="743" w:type="dxa"/>
            <w:vMerge/>
            <w:shd w:val="clear" w:color="auto" w:fill="F2F2F2" w:themeFill="background1" w:themeFillShade="F2"/>
          </w:tcPr>
          <w:p w14:paraId="2A5390F4" w14:textId="77777777" w:rsidR="00A72AFF" w:rsidRPr="00D518FF" w:rsidRDefault="00A72AFF" w:rsidP="00F614C8">
            <w:pPr>
              <w:pStyle w:val="2024TABLEHEADER"/>
              <w:spacing w:before="0" w:after="0" w:line="240" w:lineRule="auto"/>
              <w:rPr>
                <w:sz w:val="16"/>
                <w:szCs w:val="16"/>
              </w:rPr>
            </w:pPr>
          </w:p>
        </w:tc>
        <w:tc>
          <w:tcPr>
            <w:tcW w:w="1256" w:type="dxa"/>
            <w:vMerge/>
            <w:shd w:val="clear" w:color="auto" w:fill="F2F2F2" w:themeFill="background1" w:themeFillShade="F2"/>
          </w:tcPr>
          <w:p w14:paraId="62ECB5D5" w14:textId="77777777" w:rsidR="00A72AFF" w:rsidRPr="00D518FF" w:rsidRDefault="00A72AFF" w:rsidP="00F614C8">
            <w:pPr>
              <w:pStyle w:val="2024TABLEHEADER"/>
              <w:spacing w:before="0" w:after="0" w:line="240" w:lineRule="auto"/>
              <w:rPr>
                <w:sz w:val="16"/>
                <w:szCs w:val="16"/>
              </w:rPr>
            </w:pPr>
          </w:p>
        </w:tc>
        <w:tc>
          <w:tcPr>
            <w:tcW w:w="790" w:type="dxa"/>
            <w:shd w:val="clear" w:color="auto" w:fill="D9D9D9" w:themeFill="background1" w:themeFillShade="D9"/>
          </w:tcPr>
          <w:p w14:paraId="2E089A60" w14:textId="77777777" w:rsidR="00A72AFF" w:rsidRPr="00D518FF" w:rsidRDefault="00A72AFF" w:rsidP="00F614C8">
            <w:pPr>
              <w:pStyle w:val="2024TABLEHEADER"/>
              <w:spacing w:before="0" w:after="0" w:line="240" w:lineRule="auto"/>
              <w:rPr>
                <w:sz w:val="16"/>
                <w:szCs w:val="16"/>
              </w:rPr>
            </w:pPr>
            <w:r w:rsidRPr="00D518FF">
              <w:rPr>
                <w:sz w:val="16"/>
                <w:szCs w:val="16"/>
              </w:rPr>
              <w:t>Relative effect (95% CI)</w:t>
            </w:r>
          </w:p>
        </w:tc>
        <w:tc>
          <w:tcPr>
            <w:tcW w:w="1076" w:type="dxa"/>
            <w:shd w:val="clear" w:color="auto" w:fill="D9D9D9" w:themeFill="background1" w:themeFillShade="D9"/>
          </w:tcPr>
          <w:p w14:paraId="1B17213B" w14:textId="77777777" w:rsidR="00A72AFF" w:rsidRPr="00D518FF" w:rsidRDefault="00A72AFF" w:rsidP="00F614C8">
            <w:pPr>
              <w:pStyle w:val="2024TABLEHEADER"/>
              <w:spacing w:before="0" w:after="0" w:line="240" w:lineRule="auto"/>
              <w:rPr>
                <w:sz w:val="16"/>
                <w:szCs w:val="16"/>
              </w:rPr>
            </w:pPr>
            <w:r w:rsidRPr="00D518FF">
              <w:rPr>
                <w:sz w:val="16"/>
                <w:szCs w:val="16"/>
              </w:rPr>
              <w:t>Other reported results</w:t>
            </w:r>
          </w:p>
        </w:tc>
        <w:tc>
          <w:tcPr>
            <w:tcW w:w="1011" w:type="dxa"/>
            <w:shd w:val="clear" w:color="auto" w:fill="D9D9D9" w:themeFill="background1" w:themeFillShade="D9"/>
          </w:tcPr>
          <w:p w14:paraId="78491386" w14:textId="302A5917" w:rsidR="00A72AFF" w:rsidRPr="00D518FF" w:rsidRDefault="00A72AFF" w:rsidP="00F614C8">
            <w:pPr>
              <w:pStyle w:val="2024TABLEHEADER"/>
              <w:spacing w:before="0" w:after="0" w:line="240" w:lineRule="auto"/>
              <w:rPr>
                <w:sz w:val="16"/>
                <w:szCs w:val="16"/>
              </w:rPr>
            </w:pPr>
            <w:r>
              <w:rPr>
                <w:sz w:val="16"/>
                <w:szCs w:val="16"/>
              </w:rPr>
              <w:t>Risk of bias</w:t>
            </w:r>
            <w:r w:rsidRPr="00D518FF">
              <w:rPr>
                <w:sz w:val="16"/>
                <w:szCs w:val="16"/>
              </w:rPr>
              <w:t xml:space="preserve"> </w:t>
            </w:r>
            <w:r>
              <w:rPr>
                <w:sz w:val="16"/>
                <w:szCs w:val="16"/>
              </w:rPr>
              <w:t>summary (primary studies)</w:t>
            </w:r>
          </w:p>
        </w:tc>
        <w:tc>
          <w:tcPr>
            <w:tcW w:w="1059" w:type="dxa"/>
            <w:vMerge/>
            <w:shd w:val="clear" w:color="auto" w:fill="D9D9D9" w:themeFill="background1" w:themeFillShade="D9"/>
          </w:tcPr>
          <w:p w14:paraId="59F866D8" w14:textId="42455134" w:rsidR="00A72AFF" w:rsidRPr="00D518FF" w:rsidRDefault="00A72AFF" w:rsidP="00F614C8">
            <w:pPr>
              <w:pStyle w:val="2024TABLEHEADER"/>
              <w:spacing w:before="0" w:after="0" w:line="240" w:lineRule="auto"/>
              <w:rPr>
                <w:sz w:val="16"/>
                <w:szCs w:val="16"/>
              </w:rPr>
            </w:pPr>
          </w:p>
        </w:tc>
      </w:tr>
      <w:tr w:rsidR="00A72AFF" w:rsidRPr="00D518FF" w14:paraId="3346D755" w14:textId="5E49ED97" w:rsidTr="004C6AA1">
        <w:trPr>
          <w:trHeight w:val="156"/>
        </w:trPr>
        <w:tc>
          <w:tcPr>
            <w:tcW w:w="1256" w:type="dxa"/>
            <w:shd w:val="clear" w:color="auto" w:fill="auto"/>
          </w:tcPr>
          <w:p w14:paraId="362A3F1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Asha 2020</w:t>
            </w:r>
          </w:p>
        </w:tc>
        <w:tc>
          <w:tcPr>
            <w:tcW w:w="887" w:type="dxa"/>
            <w:shd w:val="clear" w:color="auto" w:fill="auto"/>
          </w:tcPr>
          <w:p w14:paraId="0DC3167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1041CD84" w14:textId="7075B918"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4776053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IBS patients (aged ≥18 years)</w:t>
            </w:r>
          </w:p>
        </w:tc>
        <w:tc>
          <w:tcPr>
            <w:tcW w:w="1300" w:type="dxa"/>
            <w:shd w:val="clear" w:color="auto" w:fill="auto"/>
          </w:tcPr>
          <w:p w14:paraId="15B2D4AB" w14:textId="15FB30F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089554C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 (single strain or multiple strain)</w:t>
            </w:r>
          </w:p>
        </w:tc>
        <w:tc>
          <w:tcPr>
            <w:tcW w:w="938" w:type="dxa"/>
            <w:shd w:val="clear" w:color="auto" w:fill="auto"/>
          </w:tcPr>
          <w:p w14:paraId="63E11F2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E75912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17</w:t>
            </w:r>
          </w:p>
        </w:tc>
        <w:tc>
          <w:tcPr>
            <w:tcW w:w="743" w:type="dxa"/>
            <w:shd w:val="clear" w:color="auto" w:fill="auto"/>
          </w:tcPr>
          <w:p w14:paraId="0F4E91E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2431</w:t>
            </w:r>
          </w:p>
        </w:tc>
        <w:tc>
          <w:tcPr>
            <w:tcW w:w="1256" w:type="dxa"/>
            <w:shd w:val="clear" w:color="auto" w:fill="auto"/>
          </w:tcPr>
          <w:p w14:paraId="543F699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FC27B3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−0.32 (−0.48 to −0.15)</w:t>
            </w:r>
          </w:p>
        </w:tc>
        <w:tc>
          <w:tcPr>
            <w:tcW w:w="1076" w:type="dxa"/>
            <w:shd w:val="clear" w:color="auto" w:fill="auto"/>
          </w:tcPr>
          <w:p w14:paraId="02FD6052" w14:textId="365D180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Significant heterogeneity (</w:t>
            </w:r>
            <w:r>
              <w:rPr>
                <w:sz w:val="16"/>
                <w:szCs w:val="16"/>
              </w:rPr>
              <w:t>I² =</w:t>
            </w:r>
            <w:r w:rsidRPr="00D518FF">
              <w:rPr>
                <w:sz w:val="16"/>
                <w:szCs w:val="16"/>
              </w:rPr>
              <w:t xml:space="preserve"> 72%; p &lt; 0.001). </w:t>
            </w:r>
          </w:p>
        </w:tc>
        <w:tc>
          <w:tcPr>
            <w:tcW w:w="1011" w:type="dxa"/>
          </w:tcPr>
          <w:p w14:paraId="76123638" w14:textId="513CE143"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52CAC1F" w14:textId="75BD311E"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7666704D" w14:textId="1A53502E" w:rsidTr="004C6AA1">
        <w:trPr>
          <w:trHeight w:val="156"/>
        </w:trPr>
        <w:tc>
          <w:tcPr>
            <w:tcW w:w="1256" w:type="dxa"/>
            <w:shd w:val="clear" w:color="auto" w:fill="auto"/>
          </w:tcPr>
          <w:p w14:paraId="3FBFAF5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Asha 2020</w:t>
            </w:r>
          </w:p>
        </w:tc>
        <w:tc>
          <w:tcPr>
            <w:tcW w:w="887" w:type="dxa"/>
            <w:shd w:val="clear" w:color="auto" w:fill="auto"/>
          </w:tcPr>
          <w:p w14:paraId="37B5B5A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5106B1D7" w14:textId="6F4AC72D"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8E16DB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IBS patients (aged ≥18 years)</w:t>
            </w:r>
          </w:p>
        </w:tc>
        <w:tc>
          <w:tcPr>
            <w:tcW w:w="1300" w:type="dxa"/>
            <w:shd w:val="clear" w:color="auto" w:fill="auto"/>
          </w:tcPr>
          <w:p w14:paraId="4B3A821C" w14:textId="12871E9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E9E3F5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 (single strain or multiple strain)</w:t>
            </w:r>
          </w:p>
        </w:tc>
        <w:tc>
          <w:tcPr>
            <w:tcW w:w="938" w:type="dxa"/>
            <w:shd w:val="clear" w:color="auto" w:fill="auto"/>
          </w:tcPr>
          <w:p w14:paraId="37F0DE4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2E8BEBF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26</w:t>
            </w:r>
          </w:p>
        </w:tc>
        <w:tc>
          <w:tcPr>
            <w:tcW w:w="743" w:type="dxa"/>
            <w:shd w:val="clear" w:color="auto" w:fill="auto"/>
          </w:tcPr>
          <w:p w14:paraId="48E80F9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3678</w:t>
            </w:r>
          </w:p>
        </w:tc>
        <w:tc>
          <w:tcPr>
            <w:tcW w:w="1256" w:type="dxa"/>
            <w:shd w:val="clear" w:color="auto" w:fill="auto"/>
          </w:tcPr>
          <w:p w14:paraId="09ABCC4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EC9B71C" w14:textId="7321211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−0.18 (−0.43 to 0.07)</w:t>
            </w:r>
          </w:p>
        </w:tc>
        <w:tc>
          <w:tcPr>
            <w:tcW w:w="1076" w:type="dxa"/>
            <w:shd w:val="clear" w:color="auto" w:fill="auto"/>
          </w:tcPr>
          <w:p w14:paraId="3B8280CB" w14:textId="534DE7ED" w:rsidR="00A72AFF" w:rsidRPr="00D518FF" w:rsidRDefault="00A72AFF" w:rsidP="00F614C8">
            <w:pPr>
              <w:pStyle w:val="2024TABLETEXT"/>
              <w:framePr w:hSpace="0" w:wrap="auto" w:vAnchor="margin" w:yAlign="inline"/>
              <w:spacing w:line="240" w:lineRule="auto"/>
              <w:suppressOverlap w:val="0"/>
              <w:rPr>
                <w:sz w:val="16"/>
                <w:szCs w:val="16"/>
              </w:rPr>
            </w:pPr>
            <w:r w:rsidRPr="007F01DB">
              <w:rPr>
                <w:sz w:val="16"/>
                <w:szCs w:val="16"/>
              </w:rPr>
              <w:t>Significant heterogeneity (I² = 92%; p &lt; 0.001)</w:t>
            </w:r>
          </w:p>
        </w:tc>
        <w:tc>
          <w:tcPr>
            <w:tcW w:w="1011" w:type="dxa"/>
          </w:tcPr>
          <w:p w14:paraId="443FF845" w14:textId="0EEAFAFD"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937C350" w14:textId="0CA8D6AA" w:rsidR="00A72AFF" w:rsidRPr="00DE3E51" w:rsidRDefault="00A72AFF" w:rsidP="00F614C8">
            <w:pPr>
              <w:pStyle w:val="2024TABLETEXT"/>
              <w:framePr w:hSpace="0" w:wrap="auto" w:vAnchor="margin" w:yAlign="inline"/>
              <w:spacing w:line="240" w:lineRule="auto"/>
              <w:suppressOverlap w:val="0"/>
              <w:rPr>
                <w:sz w:val="16"/>
                <w:szCs w:val="16"/>
                <w:highlight w:val="yellow"/>
              </w:rPr>
            </w:pPr>
            <w:r>
              <w:rPr>
                <w:sz w:val="16"/>
                <w:szCs w:val="16"/>
              </w:rPr>
              <w:t>High risk</w:t>
            </w:r>
          </w:p>
        </w:tc>
      </w:tr>
      <w:tr w:rsidR="00A72AFF" w:rsidRPr="00D518FF" w14:paraId="672B5E6D" w14:textId="09226DF1" w:rsidTr="004C6AA1">
        <w:trPr>
          <w:trHeight w:val="156"/>
        </w:trPr>
        <w:tc>
          <w:tcPr>
            <w:tcW w:w="1256" w:type="dxa"/>
            <w:shd w:val="clear" w:color="auto" w:fill="auto"/>
          </w:tcPr>
          <w:p w14:paraId="52EF35D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Asha 2020</w:t>
            </w:r>
          </w:p>
        </w:tc>
        <w:tc>
          <w:tcPr>
            <w:tcW w:w="887" w:type="dxa"/>
            <w:shd w:val="clear" w:color="auto" w:fill="auto"/>
          </w:tcPr>
          <w:p w14:paraId="3DF0E99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5E3E556B" w14:textId="22C7F41F"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185FC49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IBS patients (aged ≥18 years)</w:t>
            </w:r>
          </w:p>
        </w:tc>
        <w:tc>
          <w:tcPr>
            <w:tcW w:w="1300" w:type="dxa"/>
            <w:shd w:val="clear" w:color="auto" w:fill="auto"/>
          </w:tcPr>
          <w:p w14:paraId="2D066D3D" w14:textId="6C9F649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A998B7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 (single strain or multiple strain)</w:t>
            </w:r>
          </w:p>
        </w:tc>
        <w:tc>
          <w:tcPr>
            <w:tcW w:w="938" w:type="dxa"/>
            <w:shd w:val="clear" w:color="auto" w:fill="auto"/>
          </w:tcPr>
          <w:p w14:paraId="1F88009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F8B68B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43" w:type="dxa"/>
            <w:shd w:val="clear" w:color="auto" w:fill="auto"/>
          </w:tcPr>
          <w:p w14:paraId="623CEF5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56B806D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6CEC806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076" w:type="dxa"/>
            <w:shd w:val="clear" w:color="auto" w:fill="auto"/>
          </w:tcPr>
          <w:p w14:paraId="48072F76" w14:textId="535DE61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Nil</w:t>
            </w:r>
          </w:p>
        </w:tc>
        <w:tc>
          <w:tcPr>
            <w:tcW w:w="1011" w:type="dxa"/>
          </w:tcPr>
          <w:p w14:paraId="36FAE0E3" w14:textId="67AB6904"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8E07977" w14:textId="0B86370F"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778DF4AD" w14:textId="34924F82" w:rsidTr="004C6AA1">
        <w:trPr>
          <w:trHeight w:val="156"/>
        </w:trPr>
        <w:tc>
          <w:tcPr>
            <w:tcW w:w="1256" w:type="dxa"/>
            <w:shd w:val="clear" w:color="auto" w:fill="auto"/>
          </w:tcPr>
          <w:p w14:paraId="05D2785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Connell 2018</w:t>
            </w:r>
          </w:p>
        </w:tc>
        <w:tc>
          <w:tcPr>
            <w:tcW w:w="887" w:type="dxa"/>
            <w:shd w:val="clear" w:color="auto" w:fill="auto"/>
          </w:tcPr>
          <w:p w14:paraId="765FFF1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5BCA12DC" w14:textId="6BED1CF4"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242655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Patients with IBS</w:t>
            </w:r>
          </w:p>
        </w:tc>
        <w:tc>
          <w:tcPr>
            <w:tcW w:w="1300" w:type="dxa"/>
            <w:shd w:val="clear" w:color="auto" w:fill="auto"/>
          </w:tcPr>
          <w:p w14:paraId="783708F4" w14:textId="5C23876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725F81F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VSL no. 3.</w:t>
            </w:r>
          </w:p>
        </w:tc>
        <w:tc>
          <w:tcPr>
            <w:tcW w:w="938" w:type="dxa"/>
            <w:shd w:val="clear" w:color="auto" w:fill="auto"/>
          </w:tcPr>
          <w:p w14:paraId="550A787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DBB3D1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6322DA5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177</w:t>
            </w:r>
          </w:p>
        </w:tc>
        <w:tc>
          <w:tcPr>
            <w:tcW w:w="1256" w:type="dxa"/>
            <w:shd w:val="clear" w:color="auto" w:fill="auto"/>
          </w:tcPr>
          <w:p w14:paraId="4B1E3C2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790" w:type="dxa"/>
            <w:shd w:val="clear" w:color="auto" w:fill="auto"/>
          </w:tcPr>
          <w:p w14:paraId="61F67F21" w14:textId="0907A1E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1.39 (0.98 to 1.96)</w:t>
            </w:r>
          </w:p>
        </w:tc>
        <w:tc>
          <w:tcPr>
            <w:tcW w:w="1076" w:type="dxa"/>
            <w:shd w:val="clear" w:color="auto" w:fill="auto"/>
          </w:tcPr>
          <w:p w14:paraId="48780275" w14:textId="02A631E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No significant heterogeneity (</w:t>
            </w:r>
            <w:r>
              <w:rPr>
                <w:sz w:val="16"/>
                <w:szCs w:val="16"/>
              </w:rPr>
              <w:t>I² =</w:t>
            </w:r>
            <w:r w:rsidRPr="00D518FF">
              <w:rPr>
                <w:sz w:val="16"/>
                <w:szCs w:val="16"/>
              </w:rPr>
              <w:t xml:space="preserve"> 0%, p = 0.63).</w:t>
            </w:r>
          </w:p>
        </w:tc>
        <w:tc>
          <w:tcPr>
            <w:tcW w:w="1011" w:type="dxa"/>
          </w:tcPr>
          <w:p w14:paraId="63B885FB" w14:textId="35E8A5A1"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6C00FD6C" w14:textId="6B6D85F2"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6A841DCC" w14:textId="5E2E2F36" w:rsidTr="004C6AA1">
        <w:trPr>
          <w:trHeight w:val="156"/>
        </w:trPr>
        <w:tc>
          <w:tcPr>
            <w:tcW w:w="1256" w:type="dxa"/>
            <w:shd w:val="clear" w:color="auto" w:fill="auto"/>
          </w:tcPr>
          <w:p w14:paraId="1BF09AD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Connell 2018</w:t>
            </w:r>
          </w:p>
        </w:tc>
        <w:tc>
          <w:tcPr>
            <w:tcW w:w="887" w:type="dxa"/>
            <w:shd w:val="clear" w:color="auto" w:fill="auto"/>
          </w:tcPr>
          <w:p w14:paraId="7872007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488838C2" w14:textId="027CB8BA"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CF6436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Patients with IBS</w:t>
            </w:r>
          </w:p>
        </w:tc>
        <w:tc>
          <w:tcPr>
            <w:tcW w:w="1300" w:type="dxa"/>
            <w:shd w:val="clear" w:color="auto" w:fill="auto"/>
          </w:tcPr>
          <w:p w14:paraId="7E852AA5" w14:textId="175B342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55C206C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VSL no. 3.</w:t>
            </w:r>
          </w:p>
        </w:tc>
        <w:tc>
          <w:tcPr>
            <w:tcW w:w="938" w:type="dxa"/>
            <w:shd w:val="clear" w:color="auto" w:fill="auto"/>
          </w:tcPr>
          <w:p w14:paraId="0F8B16D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65F7734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w:t>
            </w:r>
          </w:p>
        </w:tc>
        <w:tc>
          <w:tcPr>
            <w:tcW w:w="743" w:type="dxa"/>
            <w:shd w:val="clear" w:color="auto" w:fill="auto"/>
          </w:tcPr>
          <w:p w14:paraId="610DF70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243</w:t>
            </w:r>
          </w:p>
        </w:tc>
        <w:tc>
          <w:tcPr>
            <w:tcW w:w="1256" w:type="dxa"/>
            <w:shd w:val="clear" w:color="auto" w:fill="auto"/>
          </w:tcPr>
          <w:p w14:paraId="6FC9D28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VAS, Gastrointestinal Symptom Rating Scale (GSRS)</w:t>
            </w:r>
          </w:p>
        </w:tc>
        <w:tc>
          <w:tcPr>
            <w:tcW w:w="790" w:type="dxa"/>
            <w:shd w:val="clear" w:color="auto" w:fill="auto"/>
          </w:tcPr>
          <w:p w14:paraId="2C9D8358" w14:textId="0B2B0E6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0.03 (−0.22 to 0.29)</w:t>
            </w:r>
          </w:p>
        </w:tc>
        <w:tc>
          <w:tcPr>
            <w:tcW w:w="1076" w:type="dxa"/>
            <w:shd w:val="clear" w:color="auto" w:fill="auto"/>
          </w:tcPr>
          <w:p w14:paraId="31C490C6" w14:textId="79B9507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No significant heterogeneity (</w:t>
            </w:r>
            <w:r>
              <w:rPr>
                <w:sz w:val="16"/>
                <w:szCs w:val="16"/>
              </w:rPr>
              <w:t xml:space="preserve">I² </w:t>
            </w:r>
            <w:r w:rsidRPr="00D518FF">
              <w:rPr>
                <w:sz w:val="16"/>
                <w:szCs w:val="16"/>
              </w:rPr>
              <w:t>=0%, P-value for Cochrane’s Q = 0.7).</w:t>
            </w:r>
          </w:p>
        </w:tc>
        <w:tc>
          <w:tcPr>
            <w:tcW w:w="1011" w:type="dxa"/>
          </w:tcPr>
          <w:p w14:paraId="19277DDC" w14:textId="3926EFE6"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2CD6250D" w14:textId="2110B61F"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1CF005AE" w14:textId="2CF20217" w:rsidTr="004C6AA1">
        <w:trPr>
          <w:trHeight w:val="156"/>
        </w:trPr>
        <w:tc>
          <w:tcPr>
            <w:tcW w:w="1256" w:type="dxa"/>
            <w:shd w:val="clear" w:color="auto" w:fill="auto"/>
          </w:tcPr>
          <w:p w14:paraId="69780C4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Connell 2018</w:t>
            </w:r>
          </w:p>
        </w:tc>
        <w:tc>
          <w:tcPr>
            <w:tcW w:w="887" w:type="dxa"/>
            <w:shd w:val="clear" w:color="auto" w:fill="auto"/>
          </w:tcPr>
          <w:p w14:paraId="3D7AD7B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2CB2EAAA" w14:textId="05C76342"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6E14B6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Patients with IBS</w:t>
            </w:r>
          </w:p>
        </w:tc>
        <w:tc>
          <w:tcPr>
            <w:tcW w:w="1300" w:type="dxa"/>
            <w:shd w:val="clear" w:color="auto" w:fill="auto"/>
          </w:tcPr>
          <w:p w14:paraId="6C16B1D7" w14:textId="512F75B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3DB175D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VSL no. 3.</w:t>
            </w:r>
          </w:p>
        </w:tc>
        <w:tc>
          <w:tcPr>
            <w:tcW w:w="938" w:type="dxa"/>
            <w:shd w:val="clear" w:color="auto" w:fill="auto"/>
          </w:tcPr>
          <w:p w14:paraId="5C03D41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9EC354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15C56E4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170</w:t>
            </w:r>
          </w:p>
        </w:tc>
        <w:tc>
          <w:tcPr>
            <w:tcW w:w="1256" w:type="dxa"/>
            <w:shd w:val="clear" w:color="auto" w:fill="auto"/>
          </w:tcPr>
          <w:p w14:paraId="5223EF62" w14:textId="4D378A7C" w:rsidR="00A72AFF" w:rsidRPr="00D518FF" w:rsidRDefault="00A72AFF" w:rsidP="00F614C8">
            <w:pPr>
              <w:pStyle w:val="2024TABLETEXT"/>
              <w:framePr w:hSpace="0" w:wrap="auto" w:vAnchor="margin" w:yAlign="inline"/>
              <w:spacing w:line="240" w:lineRule="auto"/>
              <w:suppressOverlap w:val="0"/>
              <w:rPr>
                <w:sz w:val="16"/>
                <w:szCs w:val="16"/>
              </w:rPr>
            </w:pPr>
          </w:p>
        </w:tc>
        <w:tc>
          <w:tcPr>
            <w:tcW w:w="790" w:type="dxa"/>
            <w:shd w:val="clear" w:color="auto" w:fill="auto"/>
          </w:tcPr>
          <w:p w14:paraId="47A363C9" w14:textId="40A23E4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−0.08 (−0.39 to 0.22)</w:t>
            </w:r>
          </w:p>
        </w:tc>
        <w:tc>
          <w:tcPr>
            <w:tcW w:w="1076" w:type="dxa"/>
            <w:shd w:val="clear" w:color="auto" w:fill="auto"/>
          </w:tcPr>
          <w:p w14:paraId="6237E00C" w14:textId="1426A00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No significant</w:t>
            </w:r>
            <w:r w:rsidRPr="00D518FF">
              <w:rPr>
                <w:sz w:val="16"/>
                <w:szCs w:val="16"/>
              </w:rPr>
              <w:br/>
              <w:t>heterogeneity (</w:t>
            </w:r>
            <w:r>
              <w:rPr>
                <w:sz w:val="16"/>
                <w:szCs w:val="16"/>
              </w:rPr>
              <w:t>I² =</w:t>
            </w:r>
            <w:r w:rsidRPr="00D518FF">
              <w:rPr>
                <w:sz w:val="16"/>
                <w:szCs w:val="16"/>
              </w:rPr>
              <w:t xml:space="preserve"> 0%, P = 0.65).</w:t>
            </w:r>
          </w:p>
        </w:tc>
        <w:tc>
          <w:tcPr>
            <w:tcW w:w="1011" w:type="dxa"/>
          </w:tcPr>
          <w:p w14:paraId="6E223620" w14:textId="25CE1F4D"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B46FABB" w14:textId="1BCEF88F"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1FA9BA1D" w14:textId="16017B8E" w:rsidTr="004C6AA1">
        <w:trPr>
          <w:trHeight w:val="156"/>
        </w:trPr>
        <w:tc>
          <w:tcPr>
            <w:tcW w:w="1256" w:type="dxa"/>
            <w:shd w:val="clear" w:color="auto" w:fill="auto"/>
          </w:tcPr>
          <w:p w14:paraId="3F16B0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Connell 2018</w:t>
            </w:r>
          </w:p>
        </w:tc>
        <w:tc>
          <w:tcPr>
            <w:tcW w:w="887" w:type="dxa"/>
            <w:shd w:val="clear" w:color="auto" w:fill="auto"/>
          </w:tcPr>
          <w:p w14:paraId="646F227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937" w:type="dxa"/>
            <w:shd w:val="clear" w:color="auto" w:fill="auto"/>
          </w:tcPr>
          <w:p w14:paraId="16896E6C" w14:textId="66C887AA"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15DD42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Patients with IBS</w:t>
            </w:r>
          </w:p>
        </w:tc>
        <w:tc>
          <w:tcPr>
            <w:tcW w:w="1300" w:type="dxa"/>
            <w:shd w:val="clear" w:color="auto" w:fill="auto"/>
          </w:tcPr>
          <w:p w14:paraId="77A037AD" w14:textId="77322E3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5884D67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VSL no. 3.</w:t>
            </w:r>
          </w:p>
        </w:tc>
        <w:tc>
          <w:tcPr>
            <w:tcW w:w="938" w:type="dxa"/>
            <w:shd w:val="clear" w:color="auto" w:fill="auto"/>
          </w:tcPr>
          <w:p w14:paraId="7B238AC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D9023C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3DB94C3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177</w:t>
            </w:r>
          </w:p>
        </w:tc>
        <w:tc>
          <w:tcPr>
            <w:tcW w:w="1256" w:type="dxa"/>
            <w:shd w:val="clear" w:color="auto" w:fill="auto"/>
          </w:tcPr>
          <w:p w14:paraId="08AD489A" w14:textId="3609680A" w:rsidR="00A72AFF" w:rsidRPr="00D518FF" w:rsidRDefault="00A72AFF" w:rsidP="00F614C8">
            <w:pPr>
              <w:pStyle w:val="2024TABLETEXT"/>
              <w:framePr w:hSpace="0" w:wrap="auto" w:vAnchor="margin" w:yAlign="inline"/>
              <w:spacing w:line="240" w:lineRule="auto"/>
              <w:suppressOverlap w:val="0"/>
              <w:rPr>
                <w:sz w:val="16"/>
                <w:szCs w:val="16"/>
              </w:rPr>
            </w:pPr>
          </w:p>
        </w:tc>
        <w:tc>
          <w:tcPr>
            <w:tcW w:w="790" w:type="dxa"/>
            <w:shd w:val="clear" w:color="auto" w:fill="auto"/>
          </w:tcPr>
          <w:p w14:paraId="7AC6EA06" w14:textId="1E8A7A8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Overall MD = 0 (−0.09</w:t>
            </w:r>
            <w:r w:rsidRPr="00D518FF">
              <w:rPr>
                <w:sz w:val="16"/>
                <w:szCs w:val="16"/>
              </w:rPr>
              <w:br/>
              <w:t>to 0.08)</w:t>
            </w:r>
          </w:p>
        </w:tc>
        <w:tc>
          <w:tcPr>
            <w:tcW w:w="1076" w:type="dxa"/>
            <w:shd w:val="clear" w:color="auto" w:fill="auto"/>
          </w:tcPr>
          <w:p w14:paraId="3C0CDD38" w14:textId="55D713D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There was no observed heterogeneity across studies (</w:t>
            </w:r>
            <w:r>
              <w:rPr>
                <w:sz w:val="16"/>
                <w:szCs w:val="16"/>
              </w:rPr>
              <w:t>I² =</w:t>
            </w:r>
            <w:r w:rsidRPr="00D518FF">
              <w:rPr>
                <w:sz w:val="16"/>
                <w:szCs w:val="16"/>
              </w:rPr>
              <w:t xml:space="preserve"> 0%, p = 0.71)</w:t>
            </w:r>
          </w:p>
        </w:tc>
        <w:tc>
          <w:tcPr>
            <w:tcW w:w="1011" w:type="dxa"/>
          </w:tcPr>
          <w:p w14:paraId="47DB0773" w14:textId="6F939128"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1EDC410" w14:textId="196EB9CF"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5189ABF6" w14:textId="004EC447" w:rsidTr="004C6AA1">
        <w:trPr>
          <w:trHeight w:val="156"/>
        </w:trPr>
        <w:tc>
          <w:tcPr>
            <w:tcW w:w="1256" w:type="dxa"/>
            <w:shd w:val="clear" w:color="auto" w:fill="auto"/>
          </w:tcPr>
          <w:p w14:paraId="4D55A74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Corbitt 2018</w:t>
            </w:r>
          </w:p>
        </w:tc>
        <w:tc>
          <w:tcPr>
            <w:tcW w:w="887" w:type="dxa"/>
            <w:shd w:val="clear" w:color="auto" w:fill="auto"/>
          </w:tcPr>
          <w:p w14:paraId="6A001AB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210E1EAC" w14:textId="21E914F6"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5BB82C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Adults aged 18 years and above</w:t>
            </w:r>
          </w:p>
        </w:tc>
        <w:tc>
          <w:tcPr>
            <w:tcW w:w="1300" w:type="dxa"/>
            <w:shd w:val="clear" w:color="auto" w:fill="auto"/>
          </w:tcPr>
          <w:p w14:paraId="7595D5E6" w14:textId="6CABD93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03BDA2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632DF9B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 parallel group, no control</w:t>
            </w:r>
          </w:p>
        </w:tc>
        <w:tc>
          <w:tcPr>
            <w:tcW w:w="813" w:type="dxa"/>
            <w:shd w:val="clear" w:color="auto" w:fill="auto"/>
          </w:tcPr>
          <w:p w14:paraId="75D0D3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21</w:t>
            </w:r>
          </w:p>
        </w:tc>
        <w:tc>
          <w:tcPr>
            <w:tcW w:w="743" w:type="dxa"/>
            <w:shd w:val="clear" w:color="auto" w:fill="auto"/>
          </w:tcPr>
          <w:p w14:paraId="673FFB3D" w14:textId="79EE1622" w:rsidR="00A72AFF" w:rsidRPr="00D518FF" w:rsidRDefault="00A72AFF" w:rsidP="00F614C8">
            <w:pPr>
              <w:pStyle w:val="2024TABLETEXT"/>
              <w:framePr w:hSpace="0" w:wrap="auto" w:vAnchor="margin" w:yAlign="inline"/>
              <w:spacing w:line="240" w:lineRule="auto"/>
              <w:suppressOverlap w:val="0"/>
              <w:rPr>
                <w:sz w:val="16"/>
                <w:szCs w:val="16"/>
              </w:rPr>
            </w:pPr>
          </w:p>
        </w:tc>
        <w:tc>
          <w:tcPr>
            <w:tcW w:w="1256" w:type="dxa"/>
            <w:shd w:val="clear" w:color="auto" w:fill="auto"/>
          </w:tcPr>
          <w:p w14:paraId="1C964F2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 diaries, GSRS, 7-point Likert, IBS-SSI, IBS Sum Score, Birmingham </w:t>
            </w:r>
            <w:r w:rsidRPr="00D518FF">
              <w:rPr>
                <w:sz w:val="16"/>
                <w:szCs w:val="16"/>
              </w:rPr>
              <w:lastRenderedPageBreak/>
              <w:t>IBS Symptom Questionnaire, Integrative Medicine Patient Satisfaction Scale (IMPSS), VAS, single question</w:t>
            </w:r>
          </w:p>
        </w:tc>
        <w:tc>
          <w:tcPr>
            <w:tcW w:w="790" w:type="dxa"/>
            <w:shd w:val="clear" w:color="auto" w:fill="auto"/>
          </w:tcPr>
          <w:p w14:paraId="4D67EFB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NR</w:t>
            </w:r>
          </w:p>
        </w:tc>
        <w:tc>
          <w:tcPr>
            <w:tcW w:w="1076" w:type="dxa"/>
            <w:shd w:val="clear" w:color="auto" w:fill="auto"/>
          </w:tcPr>
          <w:p w14:paraId="27638005" w14:textId="43988CD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The results were variable, with 8 (of 24) studies </w:t>
            </w:r>
            <w:r w:rsidRPr="00D518FF">
              <w:rPr>
                <w:sz w:val="16"/>
                <w:szCs w:val="16"/>
              </w:rPr>
              <w:lastRenderedPageBreak/>
              <w:t>finding that a probiotic significantly improved IBS symptoms compared to the control</w:t>
            </w:r>
          </w:p>
        </w:tc>
        <w:tc>
          <w:tcPr>
            <w:tcW w:w="1011" w:type="dxa"/>
          </w:tcPr>
          <w:p w14:paraId="0BF25AE0" w14:textId="0B34909D"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68CC82CD" w14:textId="3745CDBB"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281EFAAF" w14:textId="42515C34" w:rsidTr="004C6AA1">
        <w:trPr>
          <w:trHeight w:val="156"/>
        </w:trPr>
        <w:tc>
          <w:tcPr>
            <w:tcW w:w="1256" w:type="dxa"/>
            <w:shd w:val="clear" w:color="auto" w:fill="auto"/>
          </w:tcPr>
          <w:p w14:paraId="2996CB5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Corbitt 2018</w:t>
            </w:r>
          </w:p>
        </w:tc>
        <w:tc>
          <w:tcPr>
            <w:tcW w:w="887" w:type="dxa"/>
            <w:shd w:val="clear" w:color="auto" w:fill="auto"/>
          </w:tcPr>
          <w:p w14:paraId="1903B3A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3E10E357" w14:textId="3DD4191A"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8EE653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Adults aged 18 years and above</w:t>
            </w:r>
          </w:p>
        </w:tc>
        <w:tc>
          <w:tcPr>
            <w:tcW w:w="1300" w:type="dxa"/>
            <w:shd w:val="clear" w:color="auto" w:fill="auto"/>
          </w:tcPr>
          <w:p w14:paraId="5CAE8676" w14:textId="2A9EBA4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E694AA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18612D0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 parallel group, no control</w:t>
            </w:r>
          </w:p>
        </w:tc>
        <w:tc>
          <w:tcPr>
            <w:tcW w:w="813" w:type="dxa"/>
            <w:shd w:val="clear" w:color="auto" w:fill="auto"/>
          </w:tcPr>
          <w:p w14:paraId="630928E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15</w:t>
            </w:r>
          </w:p>
        </w:tc>
        <w:tc>
          <w:tcPr>
            <w:tcW w:w="743" w:type="dxa"/>
            <w:shd w:val="clear" w:color="auto" w:fill="auto"/>
          </w:tcPr>
          <w:p w14:paraId="71730B12" w14:textId="0CD3D2F0" w:rsidR="00A72AFF" w:rsidRPr="00D518FF" w:rsidRDefault="00A72AFF" w:rsidP="00F614C8">
            <w:pPr>
              <w:pStyle w:val="2024TABLETEXT"/>
              <w:framePr w:hSpace="0" w:wrap="auto" w:vAnchor="margin" w:yAlign="inline"/>
              <w:spacing w:line="240" w:lineRule="auto"/>
              <w:suppressOverlap w:val="0"/>
              <w:rPr>
                <w:sz w:val="16"/>
                <w:szCs w:val="16"/>
              </w:rPr>
            </w:pPr>
          </w:p>
        </w:tc>
        <w:tc>
          <w:tcPr>
            <w:tcW w:w="1256" w:type="dxa"/>
            <w:shd w:val="clear" w:color="auto" w:fill="auto"/>
          </w:tcPr>
          <w:p w14:paraId="657C939E" w14:textId="56889AD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IBS-QOL, SF-12, SF-36, Quality of Life Questionnaire for Functional Digestive Disorders (FDDQL), RAND 36-Q, HR-QOL, patient diaries</w:t>
            </w:r>
          </w:p>
        </w:tc>
        <w:tc>
          <w:tcPr>
            <w:tcW w:w="790" w:type="dxa"/>
            <w:shd w:val="clear" w:color="auto" w:fill="auto"/>
          </w:tcPr>
          <w:p w14:paraId="77380BC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076" w:type="dxa"/>
            <w:shd w:val="clear" w:color="auto" w:fill="auto"/>
          </w:tcPr>
          <w:p w14:paraId="3C27F8E1" w14:textId="19731CF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Four studies reported a significant improvement in QoL, one study reported a significant improvement in both groups.</w:t>
            </w:r>
          </w:p>
        </w:tc>
        <w:tc>
          <w:tcPr>
            <w:tcW w:w="1011" w:type="dxa"/>
          </w:tcPr>
          <w:p w14:paraId="2840E08D" w14:textId="7A9C8BDB"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464B1F57" w14:textId="36CE6D38"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3FA2D842" w14:textId="6BF8BECA" w:rsidTr="004C6AA1">
        <w:trPr>
          <w:trHeight w:val="156"/>
        </w:trPr>
        <w:tc>
          <w:tcPr>
            <w:tcW w:w="1256" w:type="dxa"/>
            <w:shd w:val="clear" w:color="auto" w:fill="auto"/>
          </w:tcPr>
          <w:p w14:paraId="4783D0E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Corbitt 2018</w:t>
            </w:r>
          </w:p>
        </w:tc>
        <w:tc>
          <w:tcPr>
            <w:tcW w:w="887" w:type="dxa"/>
            <w:shd w:val="clear" w:color="auto" w:fill="auto"/>
          </w:tcPr>
          <w:p w14:paraId="26F1489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937" w:type="dxa"/>
            <w:shd w:val="clear" w:color="auto" w:fill="auto"/>
          </w:tcPr>
          <w:p w14:paraId="117B9910" w14:textId="35500885"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4DABAF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Adults aged 18 years and above</w:t>
            </w:r>
          </w:p>
        </w:tc>
        <w:tc>
          <w:tcPr>
            <w:tcW w:w="1300" w:type="dxa"/>
            <w:shd w:val="clear" w:color="auto" w:fill="auto"/>
          </w:tcPr>
          <w:p w14:paraId="4E69BD22" w14:textId="4916BBD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98993C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3DF6E54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 parallel group, no control</w:t>
            </w:r>
          </w:p>
        </w:tc>
        <w:tc>
          <w:tcPr>
            <w:tcW w:w="813" w:type="dxa"/>
            <w:shd w:val="clear" w:color="auto" w:fill="auto"/>
          </w:tcPr>
          <w:p w14:paraId="43C6A02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w:t>
            </w:r>
          </w:p>
        </w:tc>
        <w:tc>
          <w:tcPr>
            <w:tcW w:w="743" w:type="dxa"/>
            <w:shd w:val="clear" w:color="auto" w:fill="auto"/>
          </w:tcPr>
          <w:p w14:paraId="35FB877C" w14:textId="5A63AD28" w:rsidR="00A72AFF" w:rsidRPr="00D518FF" w:rsidRDefault="00A72AFF" w:rsidP="00F614C8">
            <w:pPr>
              <w:pStyle w:val="2024TABLETEXT"/>
              <w:framePr w:hSpace="0" w:wrap="auto" w:vAnchor="margin" w:yAlign="inline"/>
              <w:spacing w:line="240" w:lineRule="auto"/>
              <w:suppressOverlap w:val="0"/>
              <w:rPr>
                <w:sz w:val="16"/>
                <w:szCs w:val="16"/>
              </w:rPr>
            </w:pPr>
          </w:p>
        </w:tc>
        <w:tc>
          <w:tcPr>
            <w:tcW w:w="1256" w:type="dxa"/>
            <w:shd w:val="clear" w:color="auto" w:fill="auto"/>
          </w:tcPr>
          <w:p w14:paraId="0D896F2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Patient reporting of number of bowel movements per day</w:t>
            </w:r>
          </w:p>
        </w:tc>
        <w:tc>
          <w:tcPr>
            <w:tcW w:w="790" w:type="dxa"/>
            <w:shd w:val="clear" w:color="auto" w:fill="auto"/>
          </w:tcPr>
          <w:p w14:paraId="6C7ABDA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076" w:type="dxa"/>
            <w:shd w:val="clear" w:color="auto" w:fill="auto"/>
          </w:tcPr>
          <w:p w14:paraId="3BC9B0BD" w14:textId="6143F6D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Two studies reported an improvement in stool frequency. It was also noted that the improvement in stool frequency was attributed to two different IBS sub-groups.</w:t>
            </w:r>
          </w:p>
        </w:tc>
        <w:tc>
          <w:tcPr>
            <w:tcW w:w="1011" w:type="dxa"/>
          </w:tcPr>
          <w:p w14:paraId="35C10E32" w14:textId="62AE52E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40BC4152" w14:textId="738E50DC"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DB5BC7" w:rsidRPr="00D518FF" w14:paraId="2564820C" w14:textId="77777777" w:rsidTr="004C6AA1">
        <w:trPr>
          <w:trHeight w:val="156"/>
        </w:trPr>
        <w:tc>
          <w:tcPr>
            <w:tcW w:w="1256" w:type="dxa"/>
            <w:shd w:val="clear" w:color="auto" w:fill="auto"/>
          </w:tcPr>
          <w:p w14:paraId="13B07448" w14:textId="3FF5E80A"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Ding 2019</w:t>
            </w:r>
          </w:p>
        </w:tc>
        <w:tc>
          <w:tcPr>
            <w:tcW w:w="887" w:type="dxa"/>
            <w:shd w:val="clear" w:color="auto" w:fill="auto"/>
          </w:tcPr>
          <w:p w14:paraId="7369A407" w14:textId="57D3999A"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36C69163" w14:textId="6BB89E35" w:rsidR="00DB5BC7" w:rsidRDefault="00DB5BC7" w:rsidP="00DB5BC7">
            <w:pPr>
              <w:pStyle w:val="2024TABLETEXT"/>
              <w:framePr w:hSpace="0" w:wrap="auto" w:vAnchor="margin" w:yAlign="inline"/>
              <w:spacing w:line="240" w:lineRule="auto"/>
              <w:suppressOverlap w:val="0"/>
              <w:rPr>
                <w:rFonts w:cs="Calibri"/>
                <w:color w:val="000000"/>
                <w:sz w:val="16"/>
                <w:szCs w:val="16"/>
              </w:rPr>
            </w:pPr>
            <w:r>
              <w:rPr>
                <w:rFonts w:cs="Calibri"/>
                <w:color w:val="000000"/>
                <w:sz w:val="16"/>
                <w:szCs w:val="16"/>
              </w:rPr>
              <w:t>With condition</w:t>
            </w:r>
          </w:p>
        </w:tc>
        <w:tc>
          <w:tcPr>
            <w:tcW w:w="1220" w:type="dxa"/>
            <w:shd w:val="clear" w:color="auto" w:fill="auto"/>
          </w:tcPr>
          <w:p w14:paraId="7AC44B91" w14:textId="249A3B5C"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Children 0 to 18 years old</w:t>
            </w:r>
          </w:p>
        </w:tc>
        <w:tc>
          <w:tcPr>
            <w:tcW w:w="1300" w:type="dxa"/>
            <w:shd w:val="clear" w:color="auto" w:fill="auto"/>
          </w:tcPr>
          <w:p w14:paraId="5793FA40" w14:textId="4BE405AC"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2F45DC3" w14:textId="05BA7BBE"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53BDECFD" w14:textId="5E29DCD9"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8397602" w14:textId="070A4CD9"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6</w:t>
            </w:r>
          </w:p>
        </w:tc>
        <w:tc>
          <w:tcPr>
            <w:tcW w:w="743" w:type="dxa"/>
            <w:shd w:val="clear" w:color="auto" w:fill="auto"/>
          </w:tcPr>
          <w:p w14:paraId="0F710B3D" w14:textId="3132D668"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329</w:t>
            </w:r>
          </w:p>
        </w:tc>
        <w:tc>
          <w:tcPr>
            <w:tcW w:w="1256" w:type="dxa"/>
            <w:shd w:val="clear" w:color="auto" w:fill="auto"/>
          </w:tcPr>
          <w:p w14:paraId="7EC8D4D6" w14:textId="065828C1"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7999FFFD" w14:textId="7F2026D6"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NR</w:t>
            </w:r>
          </w:p>
        </w:tc>
        <w:tc>
          <w:tcPr>
            <w:tcW w:w="1076" w:type="dxa"/>
            <w:shd w:val="clear" w:color="auto" w:fill="auto"/>
          </w:tcPr>
          <w:p w14:paraId="23FE7C7B" w14:textId="0F7EDED3" w:rsidR="00DB5BC7" w:rsidRPr="00D518FF" w:rsidRDefault="00DB5BC7" w:rsidP="00DB5BC7">
            <w:pPr>
              <w:pStyle w:val="2024TABLETEXT"/>
              <w:framePr w:hSpace="0" w:wrap="auto" w:vAnchor="margin" w:yAlign="inline"/>
              <w:spacing w:line="240" w:lineRule="auto"/>
              <w:suppressOverlap w:val="0"/>
              <w:rPr>
                <w:sz w:val="16"/>
                <w:szCs w:val="16"/>
              </w:rPr>
            </w:pPr>
            <w:r w:rsidRPr="00D518FF">
              <w:rPr>
                <w:sz w:val="16"/>
                <w:szCs w:val="16"/>
              </w:rPr>
              <w:t xml:space="preserve">Five of six RCTs (n=279) demonstrated a beneficial effect of probiotic, however, the </w:t>
            </w:r>
            <w:r w:rsidRPr="00D518FF">
              <w:rPr>
                <w:sz w:val="16"/>
                <w:szCs w:val="16"/>
              </w:rPr>
              <w:lastRenderedPageBreak/>
              <w:t xml:space="preserve">specific pain parameter affected was heterogeneous among the studies. Three out of four trials using LGG demonstrated an improvement in pain severity or frequency in the probiotic group. One trial using a bifidobacteria combination product and one using VSL #3, each showed some benefits for pain resolution and pain </w:t>
            </w:r>
            <w:r w:rsidRPr="00CE29EC">
              <w:rPr>
                <w:sz w:val="16"/>
                <w:szCs w:val="16"/>
              </w:rPr>
              <w:t>severity</w:t>
            </w:r>
            <w:r w:rsidRPr="00D518FF">
              <w:rPr>
                <w:sz w:val="16"/>
                <w:szCs w:val="16"/>
              </w:rPr>
              <w:t>.</w:t>
            </w:r>
          </w:p>
        </w:tc>
        <w:tc>
          <w:tcPr>
            <w:tcW w:w="1011" w:type="dxa"/>
          </w:tcPr>
          <w:p w14:paraId="1136FA87" w14:textId="77777777" w:rsidR="00DB5BC7" w:rsidRDefault="00DB5BC7" w:rsidP="00DB5BC7">
            <w:pPr>
              <w:pStyle w:val="2024TABLETEXT"/>
              <w:framePr w:hSpace="0" w:wrap="auto" w:vAnchor="margin" w:yAlign="inline"/>
              <w:spacing w:line="240" w:lineRule="auto"/>
              <w:suppressOverlap w:val="0"/>
              <w:rPr>
                <w:sz w:val="16"/>
                <w:szCs w:val="16"/>
              </w:rPr>
            </w:pPr>
            <w:r w:rsidRPr="00224B6E">
              <w:rPr>
                <w:sz w:val="16"/>
                <w:szCs w:val="16"/>
              </w:rPr>
              <w:lastRenderedPageBreak/>
              <w:t>Most (5/6) studies had low risk of bias for randomi</w:t>
            </w:r>
            <w:r>
              <w:rPr>
                <w:sz w:val="16"/>
                <w:szCs w:val="16"/>
              </w:rPr>
              <w:t>s</w:t>
            </w:r>
            <w:r w:rsidRPr="00224B6E">
              <w:rPr>
                <w:sz w:val="16"/>
                <w:szCs w:val="16"/>
              </w:rPr>
              <w:t xml:space="preserve">ation, allocation concealment, blinding, </w:t>
            </w:r>
            <w:r w:rsidRPr="00224B6E">
              <w:rPr>
                <w:sz w:val="16"/>
                <w:szCs w:val="16"/>
              </w:rPr>
              <w:lastRenderedPageBreak/>
              <w:t>data collection, and selective reporting.</w:t>
            </w:r>
          </w:p>
          <w:p w14:paraId="0535D787" w14:textId="77777777" w:rsidR="00DB5BC7" w:rsidRPr="00224B6E" w:rsidRDefault="00DB5BC7" w:rsidP="00DB5BC7">
            <w:pPr>
              <w:pStyle w:val="2024TABLETEXT"/>
              <w:framePr w:hSpace="0" w:wrap="auto" w:vAnchor="margin" w:yAlign="inline"/>
              <w:spacing w:line="240" w:lineRule="auto"/>
              <w:suppressOverlap w:val="0"/>
              <w:rPr>
                <w:sz w:val="16"/>
                <w:szCs w:val="16"/>
              </w:rPr>
            </w:pPr>
          </w:p>
          <w:p w14:paraId="74FA3FFD" w14:textId="7D99F848" w:rsidR="00DB5BC7" w:rsidRDefault="00DB5BC7" w:rsidP="00DB5BC7">
            <w:pPr>
              <w:pStyle w:val="2024TABLETEXT"/>
              <w:framePr w:hSpace="0" w:wrap="auto" w:vAnchor="margin" w:yAlign="inline"/>
              <w:spacing w:line="240" w:lineRule="auto"/>
              <w:suppressOverlap w:val="0"/>
              <w:rPr>
                <w:sz w:val="16"/>
                <w:szCs w:val="16"/>
              </w:rPr>
            </w:pPr>
            <w:r w:rsidRPr="00224B6E">
              <w:rPr>
                <w:sz w:val="16"/>
                <w:szCs w:val="16"/>
              </w:rPr>
              <w:t xml:space="preserve">Five studies were sponsored by a pharmaceutical company. </w:t>
            </w:r>
          </w:p>
        </w:tc>
        <w:tc>
          <w:tcPr>
            <w:tcW w:w="1059" w:type="dxa"/>
          </w:tcPr>
          <w:p w14:paraId="3F75CDCA" w14:textId="16D6E2BC" w:rsidR="00DB5BC7" w:rsidRDefault="00DB5BC7" w:rsidP="00DB5BC7">
            <w:pPr>
              <w:pStyle w:val="2024TABLETEXT"/>
              <w:framePr w:hSpace="0" w:wrap="auto" w:vAnchor="margin" w:yAlign="inline"/>
              <w:spacing w:line="240" w:lineRule="auto"/>
              <w:suppressOverlap w:val="0"/>
              <w:rPr>
                <w:sz w:val="16"/>
                <w:szCs w:val="16"/>
              </w:rPr>
            </w:pPr>
            <w:r>
              <w:rPr>
                <w:sz w:val="16"/>
                <w:szCs w:val="16"/>
              </w:rPr>
              <w:lastRenderedPageBreak/>
              <w:t>High risk</w:t>
            </w:r>
          </w:p>
        </w:tc>
      </w:tr>
      <w:tr w:rsidR="00A72AFF" w:rsidRPr="00D518FF" w14:paraId="5CCD00B2" w14:textId="68A6B43F" w:rsidTr="004C6AA1">
        <w:trPr>
          <w:trHeight w:val="156"/>
        </w:trPr>
        <w:tc>
          <w:tcPr>
            <w:tcW w:w="1256" w:type="dxa"/>
            <w:shd w:val="clear" w:color="auto" w:fill="auto"/>
          </w:tcPr>
          <w:p w14:paraId="0922841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Fatahi 2022</w:t>
            </w:r>
          </w:p>
        </w:tc>
        <w:tc>
          <w:tcPr>
            <w:tcW w:w="887" w:type="dxa"/>
            <w:shd w:val="clear" w:color="auto" w:fill="auto"/>
          </w:tcPr>
          <w:p w14:paraId="0C323CC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7E5155C8" w14:textId="08CA6446"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1154D72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Children and adolescents (under or equal to 18 years of age) with IBS</w:t>
            </w:r>
          </w:p>
        </w:tc>
        <w:tc>
          <w:tcPr>
            <w:tcW w:w="1300" w:type="dxa"/>
            <w:shd w:val="clear" w:color="auto" w:fill="auto"/>
          </w:tcPr>
          <w:p w14:paraId="7ECF2352" w14:textId="1EC0409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B8B026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EE87F7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86FB64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743" w:type="dxa"/>
            <w:shd w:val="clear" w:color="auto" w:fill="auto"/>
          </w:tcPr>
          <w:p w14:paraId="00B1844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441</w:t>
            </w:r>
          </w:p>
        </w:tc>
        <w:tc>
          <w:tcPr>
            <w:tcW w:w="1256" w:type="dxa"/>
            <w:shd w:val="clear" w:color="auto" w:fill="auto"/>
          </w:tcPr>
          <w:p w14:paraId="352CB5F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Faces pain scale, Subject’s global assessment of relief, Likert</w:t>
            </w:r>
          </w:p>
        </w:tc>
        <w:tc>
          <w:tcPr>
            <w:tcW w:w="790" w:type="dxa"/>
            <w:shd w:val="clear" w:color="auto" w:fill="auto"/>
          </w:tcPr>
          <w:p w14:paraId="0F4DAF95" w14:textId="60DD526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WMD = −2.36 (−4.12 to −0.60) </w:t>
            </w:r>
          </w:p>
        </w:tc>
        <w:tc>
          <w:tcPr>
            <w:tcW w:w="1076" w:type="dxa"/>
            <w:shd w:val="clear" w:color="auto" w:fill="auto"/>
          </w:tcPr>
          <w:p w14:paraId="0702D89D" w14:textId="77777777" w:rsidR="00A72A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The length of supplementation longer than four weeks was more effective (WMD = −2.43; −2.76 to −2.09). None of the subgroup analyses for the age of the </w:t>
            </w:r>
            <w:r w:rsidRPr="00D518FF">
              <w:rPr>
                <w:sz w:val="16"/>
                <w:szCs w:val="16"/>
              </w:rPr>
              <w:lastRenderedPageBreak/>
              <w:t>participants and the duration of the intervention could find a possible source of heterogeneity.</w:t>
            </w:r>
          </w:p>
          <w:p w14:paraId="18461809" w14:textId="77777777" w:rsidR="00A72AFF" w:rsidRDefault="00A72AFF" w:rsidP="00F614C8">
            <w:pPr>
              <w:pStyle w:val="2024TABLETEXT"/>
              <w:framePr w:hSpace="0" w:wrap="auto" w:vAnchor="margin" w:yAlign="inline"/>
              <w:spacing w:line="240" w:lineRule="auto"/>
              <w:suppressOverlap w:val="0"/>
              <w:rPr>
                <w:sz w:val="16"/>
                <w:szCs w:val="16"/>
              </w:rPr>
            </w:pPr>
          </w:p>
          <w:p w14:paraId="3255A6DB" w14:textId="5414CD5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Significant heterogeneity (Cochran Q test, p &lt; 0.001, </w:t>
            </w:r>
            <w:r>
              <w:rPr>
                <w:sz w:val="16"/>
                <w:szCs w:val="16"/>
              </w:rPr>
              <w:t>I² =</w:t>
            </w:r>
            <w:r w:rsidRPr="00D518FF">
              <w:rPr>
                <w:sz w:val="16"/>
                <w:szCs w:val="16"/>
              </w:rPr>
              <w:t xml:space="preserve"> 99.9%)</w:t>
            </w:r>
          </w:p>
        </w:tc>
        <w:tc>
          <w:tcPr>
            <w:tcW w:w="1011" w:type="dxa"/>
          </w:tcPr>
          <w:p w14:paraId="5A14F5B6" w14:textId="54B076C3"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5E5DCBA6" w14:textId="6ED0C4A6"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292B094A" w14:textId="12E1E381" w:rsidTr="004C6AA1">
        <w:trPr>
          <w:trHeight w:val="156"/>
        </w:trPr>
        <w:tc>
          <w:tcPr>
            <w:tcW w:w="1256" w:type="dxa"/>
            <w:shd w:val="clear" w:color="auto" w:fill="auto"/>
          </w:tcPr>
          <w:p w14:paraId="3FA091C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Ford 2014</w:t>
            </w:r>
          </w:p>
        </w:tc>
        <w:tc>
          <w:tcPr>
            <w:tcW w:w="887" w:type="dxa"/>
            <w:shd w:val="clear" w:color="auto" w:fill="auto"/>
          </w:tcPr>
          <w:p w14:paraId="0E0571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01D115A5" w14:textId="57759098"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4D37FF9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(over the age of 16 years) with IBS</w:t>
            </w:r>
          </w:p>
        </w:tc>
        <w:tc>
          <w:tcPr>
            <w:tcW w:w="1300" w:type="dxa"/>
            <w:shd w:val="clear" w:color="auto" w:fill="auto"/>
          </w:tcPr>
          <w:p w14:paraId="7854CA26" w14:textId="7A1D64E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7DC0E8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0268BD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61CF8A6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23</w:t>
            </w:r>
          </w:p>
        </w:tc>
        <w:tc>
          <w:tcPr>
            <w:tcW w:w="743" w:type="dxa"/>
            <w:shd w:val="clear" w:color="auto" w:fill="auto"/>
          </w:tcPr>
          <w:p w14:paraId="71FE50D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1642</w:t>
            </w:r>
          </w:p>
        </w:tc>
        <w:tc>
          <w:tcPr>
            <w:tcW w:w="1256" w:type="dxa"/>
            <w:shd w:val="clear" w:color="auto" w:fill="auto"/>
          </w:tcPr>
          <w:p w14:paraId="447016C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B26C5DC" w14:textId="0E9F7F6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RR = 0.79 (0.70 to 0.89) </w:t>
            </w:r>
          </w:p>
        </w:tc>
        <w:tc>
          <w:tcPr>
            <w:tcW w:w="1076" w:type="dxa"/>
            <w:shd w:val="clear" w:color="auto" w:fill="auto"/>
          </w:tcPr>
          <w:p w14:paraId="39813C2C"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11" w:type="dxa"/>
          </w:tcPr>
          <w:p w14:paraId="03D09641" w14:textId="10C8EBD0"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7EE186FA" w14:textId="443D6ECD"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373EB47B" w14:textId="552DA4FB" w:rsidTr="004C6AA1">
        <w:trPr>
          <w:trHeight w:val="156"/>
        </w:trPr>
        <w:tc>
          <w:tcPr>
            <w:tcW w:w="1256" w:type="dxa"/>
            <w:shd w:val="clear" w:color="auto" w:fill="auto"/>
          </w:tcPr>
          <w:p w14:paraId="731028F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Ford 2014</w:t>
            </w:r>
          </w:p>
        </w:tc>
        <w:tc>
          <w:tcPr>
            <w:tcW w:w="887" w:type="dxa"/>
            <w:shd w:val="clear" w:color="auto" w:fill="auto"/>
          </w:tcPr>
          <w:p w14:paraId="4E0121D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1C7CFEB8" w14:textId="5438F5C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2448DB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(over the age of 16 years) with IBS</w:t>
            </w:r>
          </w:p>
        </w:tc>
        <w:tc>
          <w:tcPr>
            <w:tcW w:w="1300" w:type="dxa"/>
            <w:shd w:val="clear" w:color="auto" w:fill="auto"/>
          </w:tcPr>
          <w:p w14:paraId="1AFE9502" w14:textId="266F81A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33A71F2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2D64140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73624FF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25</w:t>
            </w:r>
          </w:p>
        </w:tc>
        <w:tc>
          <w:tcPr>
            <w:tcW w:w="743" w:type="dxa"/>
            <w:shd w:val="clear" w:color="auto" w:fill="auto"/>
          </w:tcPr>
          <w:p w14:paraId="1DA2089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2026</w:t>
            </w:r>
          </w:p>
        </w:tc>
        <w:tc>
          <w:tcPr>
            <w:tcW w:w="1256" w:type="dxa"/>
            <w:shd w:val="clear" w:color="auto" w:fill="auto"/>
          </w:tcPr>
          <w:p w14:paraId="6C2FCD6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00E919F5" w14:textId="4CC0C59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−0.25 (−0.36 to −0.14)</w:t>
            </w:r>
          </w:p>
        </w:tc>
        <w:tc>
          <w:tcPr>
            <w:tcW w:w="1076" w:type="dxa"/>
            <w:shd w:val="clear" w:color="auto" w:fill="auto"/>
          </w:tcPr>
          <w:p w14:paraId="09957E6F" w14:textId="2F06DA3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No significant heterogeneity (</w:t>
            </w:r>
            <w:r>
              <w:rPr>
                <w:sz w:val="16"/>
                <w:szCs w:val="16"/>
              </w:rPr>
              <w:t>I² =</w:t>
            </w:r>
            <w:r w:rsidRPr="00D518FF">
              <w:rPr>
                <w:sz w:val="16"/>
                <w:szCs w:val="16"/>
              </w:rPr>
              <w:t xml:space="preserve"> 27%, P = 0.11</w:t>
            </w:r>
          </w:p>
        </w:tc>
        <w:tc>
          <w:tcPr>
            <w:tcW w:w="1011" w:type="dxa"/>
          </w:tcPr>
          <w:p w14:paraId="274B2284" w14:textId="070B3D4B"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31F155D" w14:textId="5320AAF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492CB164" w14:textId="5B7A5EB3" w:rsidTr="004C6AA1">
        <w:trPr>
          <w:trHeight w:val="156"/>
        </w:trPr>
        <w:tc>
          <w:tcPr>
            <w:tcW w:w="1256" w:type="dxa"/>
            <w:shd w:val="clear" w:color="auto" w:fill="auto"/>
          </w:tcPr>
          <w:p w14:paraId="7B9EAA5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Horvath 2011</w:t>
            </w:r>
          </w:p>
        </w:tc>
        <w:tc>
          <w:tcPr>
            <w:tcW w:w="887" w:type="dxa"/>
            <w:shd w:val="clear" w:color="auto" w:fill="auto"/>
          </w:tcPr>
          <w:p w14:paraId="10FA061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62C8F154" w14:textId="2839B5FA"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1DF143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Children up to 18 years of age</w:t>
            </w:r>
          </w:p>
        </w:tc>
        <w:tc>
          <w:tcPr>
            <w:tcW w:w="1300" w:type="dxa"/>
            <w:shd w:val="clear" w:color="auto" w:fill="auto"/>
          </w:tcPr>
          <w:p w14:paraId="76171648" w14:textId="4BB14BB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EBED0F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Lactobacillus GG</w:t>
            </w:r>
          </w:p>
        </w:tc>
        <w:tc>
          <w:tcPr>
            <w:tcW w:w="938" w:type="dxa"/>
            <w:shd w:val="clear" w:color="auto" w:fill="auto"/>
          </w:tcPr>
          <w:p w14:paraId="2963D43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75D15A9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743" w:type="dxa"/>
            <w:shd w:val="clear" w:color="auto" w:fill="auto"/>
          </w:tcPr>
          <w:p w14:paraId="7B8DEC9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117</w:t>
            </w:r>
          </w:p>
        </w:tc>
        <w:tc>
          <w:tcPr>
            <w:tcW w:w="1256" w:type="dxa"/>
            <w:shd w:val="clear" w:color="auto" w:fill="auto"/>
          </w:tcPr>
          <w:p w14:paraId="0EBA0F2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2E360B3" w14:textId="3C89E4C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1.70 (1.27 to 2.27)</w:t>
            </w:r>
          </w:p>
        </w:tc>
        <w:tc>
          <w:tcPr>
            <w:tcW w:w="1076" w:type="dxa"/>
            <w:shd w:val="clear" w:color="auto" w:fill="auto"/>
          </w:tcPr>
          <w:p w14:paraId="3801623C" w14:textId="3723159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 = 0.22; </w:t>
            </w:r>
            <w:r>
              <w:rPr>
                <w:sz w:val="16"/>
                <w:szCs w:val="16"/>
              </w:rPr>
              <w:t>I² =</w:t>
            </w:r>
            <w:r w:rsidRPr="00D518FF">
              <w:rPr>
                <w:sz w:val="16"/>
                <w:szCs w:val="16"/>
              </w:rPr>
              <w:t xml:space="preserve"> 33%</w:t>
            </w:r>
          </w:p>
        </w:tc>
        <w:tc>
          <w:tcPr>
            <w:tcW w:w="1011" w:type="dxa"/>
          </w:tcPr>
          <w:p w14:paraId="56E9381D" w14:textId="553B1899" w:rsidR="00A72AFF" w:rsidRPr="00E77295"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08FD186" w14:textId="0C20870A" w:rsidR="00A72AFF" w:rsidRPr="00D518FF" w:rsidRDefault="00A72AFF" w:rsidP="00F614C8">
            <w:pPr>
              <w:pStyle w:val="2024TABLETEXT"/>
              <w:framePr w:hSpace="0" w:wrap="auto" w:vAnchor="margin" w:yAlign="inline"/>
              <w:spacing w:line="240" w:lineRule="auto"/>
              <w:suppressOverlap w:val="0"/>
              <w:rPr>
                <w:sz w:val="16"/>
                <w:szCs w:val="16"/>
              </w:rPr>
            </w:pPr>
            <w:r w:rsidRPr="00E77295">
              <w:rPr>
                <w:sz w:val="16"/>
                <w:szCs w:val="16"/>
              </w:rPr>
              <w:t>Unclear</w:t>
            </w:r>
            <w:r w:rsidRPr="00E77295" w:rsidDel="00982A5C">
              <w:rPr>
                <w:sz w:val="16"/>
                <w:szCs w:val="16"/>
              </w:rPr>
              <w:t xml:space="preserve"> </w:t>
            </w:r>
            <w:r w:rsidRPr="00E77295">
              <w:rPr>
                <w:sz w:val="16"/>
                <w:szCs w:val="16"/>
              </w:rPr>
              <w:t>risk</w:t>
            </w:r>
          </w:p>
        </w:tc>
      </w:tr>
      <w:tr w:rsidR="00A72AFF" w:rsidRPr="00D518FF" w14:paraId="03A7BA44" w14:textId="2F5631CA" w:rsidTr="004C6AA1">
        <w:trPr>
          <w:trHeight w:val="156"/>
        </w:trPr>
        <w:tc>
          <w:tcPr>
            <w:tcW w:w="1256" w:type="dxa"/>
            <w:shd w:val="clear" w:color="auto" w:fill="auto"/>
          </w:tcPr>
          <w:p w14:paraId="529E289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887" w:type="dxa"/>
            <w:shd w:val="clear" w:color="auto" w:fill="auto"/>
          </w:tcPr>
          <w:p w14:paraId="1886F0F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0BD7B0C4" w14:textId="4906F3C3"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CA5120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Patients with IBS </w:t>
            </w:r>
          </w:p>
        </w:tc>
        <w:tc>
          <w:tcPr>
            <w:tcW w:w="1300" w:type="dxa"/>
            <w:shd w:val="clear" w:color="auto" w:fill="auto"/>
          </w:tcPr>
          <w:p w14:paraId="13B1E460" w14:textId="39D4166B"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A92E92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6107526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70F2614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743" w:type="dxa"/>
            <w:shd w:val="clear" w:color="auto" w:fill="auto"/>
          </w:tcPr>
          <w:p w14:paraId="1D8B1C1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895</w:t>
            </w:r>
          </w:p>
        </w:tc>
        <w:tc>
          <w:tcPr>
            <w:tcW w:w="1256" w:type="dxa"/>
            <w:shd w:val="clear" w:color="auto" w:fill="auto"/>
          </w:tcPr>
          <w:p w14:paraId="7CC2624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Dichotomous data</w:t>
            </w:r>
          </w:p>
        </w:tc>
        <w:tc>
          <w:tcPr>
            <w:tcW w:w="790" w:type="dxa"/>
            <w:shd w:val="clear" w:color="auto" w:fill="auto"/>
          </w:tcPr>
          <w:p w14:paraId="4840D3D2" w14:textId="398ECEB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OR = 1.63 (1.23 to 2.17)</w:t>
            </w:r>
          </w:p>
        </w:tc>
        <w:tc>
          <w:tcPr>
            <w:tcW w:w="1076" w:type="dxa"/>
            <w:shd w:val="clear" w:color="auto" w:fill="auto"/>
          </w:tcPr>
          <w:p w14:paraId="7A0B088F" w14:textId="5D23878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w:t>
            </w:r>
            <w:r w:rsidR="00BD03C8">
              <w:rPr>
                <w:sz w:val="16"/>
                <w:szCs w:val="16"/>
              </w:rPr>
              <w:t xml:space="preserve"> </w:t>
            </w:r>
            <w:r w:rsidRPr="00D518FF">
              <w:rPr>
                <w:sz w:val="16"/>
                <w:szCs w:val="16"/>
              </w:rPr>
              <w:t>=</w:t>
            </w:r>
            <w:r w:rsidR="00BD03C8">
              <w:rPr>
                <w:sz w:val="16"/>
                <w:szCs w:val="16"/>
              </w:rPr>
              <w:t xml:space="preserve"> </w:t>
            </w:r>
            <w:r w:rsidRPr="00D518FF">
              <w:rPr>
                <w:sz w:val="16"/>
                <w:szCs w:val="16"/>
              </w:rPr>
              <w:t xml:space="preserve">.22, </w:t>
            </w:r>
            <w:r>
              <w:rPr>
                <w:sz w:val="16"/>
                <w:szCs w:val="16"/>
              </w:rPr>
              <w:t>I² =</w:t>
            </w:r>
            <w:r w:rsidRPr="00D518FF">
              <w:rPr>
                <w:sz w:val="16"/>
                <w:szCs w:val="16"/>
              </w:rPr>
              <w:t xml:space="preserve"> 27.5%</w:t>
            </w:r>
          </w:p>
        </w:tc>
        <w:tc>
          <w:tcPr>
            <w:tcW w:w="1011" w:type="dxa"/>
          </w:tcPr>
          <w:p w14:paraId="4BF9FA0A" w14:textId="572B81D1" w:rsidR="00A72AFF" w:rsidRPr="005460FE"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8C0DF7D" w14:textId="3A7C41ED" w:rsidR="00A72AFF" w:rsidRPr="00D518FF" w:rsidRDefault="00A72AFF" w:rsidP="00F614C8">
            <w:pPr>
              <w:pStyle w:val="2024TABLETEXT"/>
              <w:framePr w:hSpace="0" w:wrap="auto" w:vAnchor="margin" w:yAlign="inline"/>
              <w:spacing w:line="240" w:lineRule="auto"/>
              <w:suppressOverlap w:val="0"/>
              <w:rPr>
                <w:sz w:val="16"/>
                <w:szCs w:val="16"/>
              </w:rPr>
            </w:pPr>
            <w:r w:rsidRPr="005460FE">
              <w:rPr>
                <w:sz w:val="16"/>
                <w:szCs w:val="16"/>
              </w:rPr>
              <w:t>Unclear</w:t>
            </w:r>
            <w:r w:rsidRPr="005460FE" w:rsidDel="00982A5C">
              <w:rPr>
                <w:sz w:val="16"/>
                <w:szCs w:val="16"/>
              </w:rPr>
              <w:t xml:space="preserve"> </w:t>
            </w:r>
            <w:r w:rsidRPr="005460FE">
              <w:rPr>
                <w:sz w:val="16"/>
                <w:szCs w:val="16"/>
              </w:rPr>
              <w:t>risk</w:t>
            </w:r>
          </w:p>
        </w:tc>
      </w:tr>
      <w:tr w:rsidR="00A72AFF" w:rsidRPr="00D518FF" w14:paraId="27A78601" w14:textId="38CC1E3E" w:rsidTr="004C6AA1">
        <w:trPr>
          <w:trHeight w:val="156"/>
        </w:trPr>
        <w:tc>
          <w:tcPr>
            <w:tcW w:w="1256" w:type="dxa"/>
            <w:shd w:val="clear" w:color="auto" w:fill="auto"/>
          </w:tcPr>
          <w:p w14:paraId="54A16B0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887" w:type="dxa"/>
            <w:shd w:val="clear" w:color="auto" w:fill="auto"/>
          </w:tcPr>
          <w:p w14:paraId="4F9347A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6030AB48" w14:textId="2AC265AB"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4627CC4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Patients with IBS </w:t>
            </w:r>
          </w:p>
        </w:tc>
        <w:tc>
          <w:tcPr>
            <w:tcW w:w="1300" w:type="dxa"/>
            <w:shd w:val="clear" w:color="auto" w:fill="auto"/>
          </w:tcPr>
          <w:p w14:paraId="7FD4F245" w14:textId="2576A67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75F348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A6F1BC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638A4B8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6</w:t>
            </w:r>
          </w:p>
        </w:tc>
        <w:tc>
          <w:tcPr>
            <w:tcW w:w="743" w:type="dxa"/>
            <w:shd w:val="clear" w:color="auto" w:fill="auto"/>
          </w:tcPr>
          <w:p w14:paraId="4B7F915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657</w:t>
            </w:r>
          </w:p>
        </w:tc>
        <w:tc>
          <w:tcPr>
            <w:tcW w:w="1256" w:type="dxa"/>
            <w:shd w:val="clear" w:color="auto" w:fill="auto"/>
          </w:tcPr>
          <w:p w14:paraId="77F8A68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Continuous data</w:t>
            </w:r>
          </w:p>
        </w:tc>
        <w:tc>
          <w:tcPr>
            <w:tcW w:w="790" w:type="dxa"/>
            <w:shd w:val="clear" w:color="auto" w:fill="auto"/>
          </w:tcPr>
          <w:p w14:paraId="19187729" w14:textId="21575A7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0.23 (0.07 to 0.38)</w:t>
            </w:r>
          </w:p>
        </w:tc>
        <w:tc>
          <w:tcPr>
            <w:tcW w:w="1076" w:type="dxa"/>
            <w:shd w:val="clear" w:color="auto" w:fill="auto"/>
          </w:tcPr>
          <w:p w14:paraId="5AA020B5" w14:textId="5D361EA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w:t>
            </w:r>
            <w:r w:rsidR="00BD03C8">
              <w:rPr>
                <w:sz w:val="16"/>
                <w:szCs w:val="16"/>
              </w:rPr>
              <w:t xml:space="preserve"> </w:t>
            </w:r>
            <w:r w:rsidRPr="00D518FF">
              <w:rPr>
                <w:sz w:val="16"/>
                <w:szCs w:val="16"/>
              </w:rPr>
              <w:t>=</w:t>
            </w:r>
            <w:r w:rsidR="00BD03C8">
              <w:rPr>
                <w:sz w:val="16"/>
                <w:szCs w:val="16"/>
              </w:rPr>
              <w:t xml:space="preserve"> </w:t>
            </w:r>
            <w:r w:rsidRPr="00D518FF">
              <w:rPr>
                <w:sz w:val="16"/>
                <w:szCs w:val="16"/>
              </w:rPr>
              <w:t xml:space="preserve">0.8, </w:t>
            </w:r>
            <w:r>
              <w:rPr>
                <w:sz w:val="16"/>
                <w:szCs w:val="16"/>
              </w:rPr>
              <w:t>I² =</w:t>
            </w:r>
            <w:r w:rsidRPr="00D518FF">
              <w:rPr>
                <w:sz w:val="16"/>
                <w:szCs w:val="16"/>
              </w:rPr>
              <w:t xml:space="preserve"> 0%</w:t>
            </w:r>
          </w:p>
        </w:tc>
        <w:tc>
          <w:tcPr>
            <w:tcW w:w="1011" w:type="dxa"/>
          </w:tcPr>
          <w:p w14:paraId="41D6A435" w14:textId="3B201FC5" w:rsidR="00A72AFF" w:rsidRPr="005460FE"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9B11382" w14:textId="0A56DFDC" w:rsidR="00A72AFF" w:rsidRPr="00D518FF" w:rsidRDefault="00A72AFF" w:rsidP="00F614C8">
            <w:pPr>
              <w:pStyle w:val="2024TABLETEXT"/>
              <w:framePr w:hSpace="0" w:wrap="auto" w:vAnchor="margin" w:yAlign="inline"/>
              <w:spacing w:line="240" w:lineRule="auto"/>
              <w:suppressOverlap w:val="0"/>
              <w:rPr>
                <w:sz w:val="16"/>
                <w:szCs w:val="16"/>
              </w:rPr>
            </w:pPr>
            <w:r w:rsidRPr="005460FE">
              <w:rPr>
                <w:sz w:val="16"/>
                <w:szCs w:val="16"/>
              </w:rPr>
              <w:t>Unclear</w:t>
            </w:r>
            <w:r w:rsidRPr="005460FE" w:rsidDel="00982A5C">
              <w:rPr>
                <w:sz w:val="16"/>
                <w:szCs w:val="16"/>
              </w:rPr>
              <w:t xml:space="preserve"> </w:t>
            </w:r>
            <w:r w:rsidRPr="005460FE">
              <w:rPr>
                <w:sz w:val="16"/>
                <w:szCs w:val="16"/>
              </w:rPr>
              <w:t>risk</w:t>
            </w:r>
          </w:p>
        </w:tc>
      </w:tr>
      <w:tr w:rsidR="00A72AFF" w:rsidRPr="00D518FF" w14:paraId="34997DE7" w14:textId="4FC05027" w:rsidTr="004C6AA1">
        <w:trPr>
          <w:trHeight w:val="156"/>
        </w:trPr>
        <w:tc>
          <w:tcPr>
            <w:tcW w:w="1256" w:type="dxa"/>
            <w:shd w:val="clear" w:color="auto" w:fill="auto"/>
          </w:tcPr>
          <w:p w14:paraId="60CC988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887" w:type="dxa"/>
            <w:shd w:val="clear" w:color="auto" w:fill="auto"/>
          </w:tcPr>
          <w:p w14:paraId="240517F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72742D4C" w14:textId="7EC32530"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DFAB80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Patients with IBS </w:t>
            </w:r>
          </w:p>
        </w:tc>
        <w:tc>
          <w:tcPr>
            <w:tcW w:w="1300" w:type="dxa"/>
            <w:shd w:val="clear" w:color="auto" w:fill="auto"/>
          </w:tcPr>
          <w:p w14:paraId="46725196" w14:textId="57CFCA5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AB0C32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5A3AA87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75D06F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743" w:type="dxa"/>
            <w:shd w:val="clear" w:color="auto" w:fill="auto"/>
          </w:tcPr>
          <w:p w14:paraId="66E1EF2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398</w:t>
            </w:r>
          </w:p>
        </w:tc>
        <w:tc>
          <w:tcPr>
            <w:tcW w:w="1256" w:type="dxa"/>
            <w:shd w:val="clear" w:color="auto" w:fill="auto"/>
          </w:tcPr>
          <w:p w14:paraId="049F88F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Dichotomous data</w:t>
            </w:r>
          </w:p>
        </w:tc>
        <w:tc>
          <w:tcPr>
            <w:tcW w:w="790" w:type="dxa"/>
            <w:shd w:val="clear" w:color="auto" w:fill="auto"/>
          </w:tcPr>
          <w:p w14:paraId="7755A273" w14:textId="227FF9DB"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OR = 2.88 (1.84 to 4.50)</w:t>
            </w:r>
          </w:p>
        </w:tc>
        <w:tc>
          <w:tcPr>
            <w:tcW w:w="1076" w:type="dxa"/>
            <w:shd w:val="clear" w:color="auto" w:fill="auto"/>
          </w:tcPr>
          <w:p w14:paraId="2B45FD41" w14:textId="60647FB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w:t>
            </w:r>
            <w:r w:rsidR="00BD03C8">
              <w:rPr>
                <w:sz w:val="16"/>
                <w:szCs w:val="16"/>
              </w:rPr>
              <w:t xml:space="preserve"> </w:t>
            </w:r>
            <w:r w:rsidRPr="00D518FF">
              <w:rPr>
                <w:sz w:val="16"/>
                <w:szCs w:val="16"/>
              </w:rPr>
              <w:t>=</w:t>
            </w:r>
            <w:r w:rsidR="00BD03C8">
              <w:rPr>
                <w:sz w:val="16"/>
                <w:szCs w:val="16"/>
              </w:rPr>
              <w:t xml:space="preserve"> </w:t>
            </w:r>
            <w:r w:rsidRPr="00D518FF">
              <w:rPr>
                <w:sz w:val="16"/>
                <w:szCs w:val="16"/>
              </w:rPr>
              <w:t xml:space="preserve">.25, </w:t>
            </w:r>
            <w:r>
              <w:rPr>
                <w:sz w:val="16"/>
                <w:szCs w:val="16"/>
              </w:rPr>
              <w:t>I² =</w:t>
            </w:r>
            <w:r w:rsidRPr="00D518FF">
              <w:rPr>
                <w:sz w:val="16"/>
                <w:szCs w:val="16"/>
              </w:rPr>
              <w:t xml:space="preserve"> 24.1%</w:t>
            </w:r>
          </w:p>
        </w:tc>
        <w:tc>
          <w:tcPr>
            <w:tcW w:w="1011" w:type="dxa"/>
          </w:tcPr>
          <w:p w14:paraId="4B114FCA" w14:textId="5A6F912C" w:rsidR="00A72AFF" w:rsidRPr="005460FE"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FCFD2A5" w14:textId="1D25B805" w:rsidR="00A72AFF" w:rsidRPr="00D518FF" w:rsidRDefault="00A72AFF" w:rsidP="00F614C8">
            <w:pPr>
              <w:pStyle w:val="2024TABLETEXT"/>
              <w:framePr w:hSpace="0" w:wrap="auto" w:vAnchor="margin" w:yAlign="inline"/>
              <w:spacing w:line="240" w:lineRule="auto"/>
              <w:suppressOverlap w:val="0"/>
              <w:rPr>
                <w:sz w:val="16"/>
                <w:szCs w:val="16"/>
              </w:rPr>
            </w:pPr>
            <w:r w:rsidRPr="005460FE">
              <w:rPr>
                <w:sz w:val="16"/>
                <w:szCs w:val="16"/>
              </w:rPr>
              <w:t>Unclear</w:t>
            </w:r>
            <w:r w:rsidRPr="005460FE" w:rsidDel="00982A5C">
              <w:rPr>
                <w:sz w:val="16"/>
                <w:szCs w:val="16"/>
              </w:rPr>
              <w:t xml:space="preserve"> </w:t>
            </w:r>
            <w:r w:rsidRPr="005460FE">
              <w:rPr>
                <w:sz w:val="16"/>
                <w:szCs w:val="16"/>
              </w:rPr>
              <w:t>risk</w:t>
            </w:r>
          </w:p>
        </w:tc>
      </w:tr>
      <w:tr w:rsidR="00A72AFF" w:rsidRPr="00D518FF" w14:paraId="6204F69B" w14:textId="20A122A8" w:rsidTr="004C6AA1">
        <w:trPr>
          <w:trHeight w:val="156"/>
        </w:trPr>
        <w:tc>
          <w:tcPr>
            <w:tcW w:w="1256" w:type="dxa"/>
            <w:shd w:val="clear" w:color="auto" w:fill="auto"/>
          </w:tcPr>
          <w:p w14:paraId="7F7FC87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887" w:type="dxa"/>
            <w:shd w:val="clear" w:color="auto" w:fill="auto"/>
          </w:tcPr>
          <w:p w14:paraId="643AEE0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43CB3A9F" w14:textId="1F769B00"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694ADB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Patients with IBS </w:t>
            </w:r>
          </w:p>
        </w:tc>
        <w:tc>
          <w:tcPr>
            <w:tcW w:w="1300" w:type="dxa"/>
            <w:shd w:val="clear" w:color="auto" w:fill="auto"/>
          </w:tcPr>
          <w:p w14:paraId="70D84786" w14:textId="4668AAF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Eligible supplement VS </w:t>
            </w:r>
            <w:r w:rsidRPr="00D518FF">
              <w:rPr>
                <w:sz w:val="16"/>
                <w:szCs w:val="16"/>
              </w:rPr>
              <w:lastRenderedPageBreak/>
              <w:t>placebo/inactive control</w:t>
            </w:r>
          </w:p>
        </w:tc>
        <w:tc>
          <w:tcPr>
            <w:tcW w:w="1112" w:type="dxa"/>
            <w:shd w:val="clear" w:color="auto" w:fill="auto"/>
          </w:tcPr>
          <w:p w14:paraId="343CD2E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Probiotics</w:t>
            </w:r>
          </w:p>
        </w:tc>
        <w:tc>
          <w:tcPr>
            <w:tcW w:w="938" w:type="dxa"/>
            <w:shd w:val="clear" w:color="auto" w:fill="auto"/>
          </w:tcPr>
          <w:p w14:paraId="1C74692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8F2A03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743" w:type="dxa"/>
            <w:shd w:val="clear" w:color="auto" w:fill="auto"/>
          </w:tcPr>
          <w:p w14:paraId="4EF9F7E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362</w:t>
            </w:r>
          </w:p>
        </w:tc>
        <w:tc>
          <w:tcPr>
            <w:tcW w:w="1256" w:type="dxa"/>
            <w:shd w:val="clear" w:color="auto" w:fill="auto"/>
          </w:tcPr>
          <w:p w14:paraId="66A9795E" w14:textId="7C06652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IBS specific QoL </w:t>
            </w:r>
            <w:r w:rsidRPr="00D518FF">
              <w:rPr>
                <w:sz w:val="16"/>
                <w:szCs w:val="16"/>
              </w:rPr>
              <w:lastRenderedPageBreak/>
              <w:t xml:space="preserve">questionnaire and the Hospital Anxiety and Depression Scale (HAD). </w:t>
            </w:r>
          </w:p>
        </w:tc>
        <w:tc>
          <w:tcPr>
            <w:tcW w:w="790" w:type="dxa"/>
            <w:shd w:val="clear" w:color="auto" w:fill="auto"/>
          </w:tcPr>
          <w:p w14:paraId="0EA1FA6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w:t>
            </w:r>
          </w:p>
        </w:tc>
        <w:tc>
          <w:tcPr>
            <w:tcW w:w="1076" w:type="dxa"/>
            <w:shd w:val="clear" w:color="auto" w:fill="auto"/>
          </w:tcPr>
          <w:p w14:paraId="7710AA97" w14:textId="1C0BC96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No significant </w:t>
            </w:r>
            <w:r w:rsidRPr="00D518FF">
              <w:rPr>
                <w:sz w:val="16"/>
                <w:szCs w:val="16"/>
              </w:rPr>
              <w:lastRenderedPageBreak/>
              <w:t xml:space="preserve">change in the QoL or HAD scores was reported with any of the probiotic dosages in comparison to placebo. </w:t>
            </w:r>
          </w:p>
        </w:tc>
        <w:tc>
          <w:tcPr>
            <w:tcW w:w="1011" w:type="dxa"/>
          </w:tcPr>
          <w:p w14:paraId="03534DF1" w14:textId="05211F34" w:rsidR="00A72AFF" w:rsidRPr="005460FE"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60BB5B40" w14:textId="290A184F" w:rsidR="00A72AFF" w:rsidRPr="00D518FF" w:rsidRDefault="00A72AFF" w:rsidP="00F614C8">
            <w:pPr>
              <w:pStyle w:val="2024TABLETEXT"/>
              <w:framePr w:hSpace="0" w:wrap="auto" w:vAnchor="margin" w:yAlign="inline"/>
              <w:spacing w:line="240" w:lineRule="auto"/>
              <w:suppressOverlap w:val="0"/>
              <w:rPr>
                <w:sz w:val="16"/>
                <w:szCs w:val="16"/>
              </w:rPr>
            </w:pPr>
            <w:r w:rsidRPr="005460FE">
              <w:rPr>
                <w:sz w:val="16"/>
                <w:szCs w:val="16"/>
              </w:rPr>
              <w:t>Unclear</w:t>
            </w:r>
            <w:r w:rsidRPr="005460FE" w:rsidDel="00982A5C">
              <w:rPr>
                <w:sz w:val="16"/>
                <w:szCs w:val="16"/>
              </w:rPr>
              <w:t xml:space="preserve"> </w:t>
            </w:r>
            <w:r w:rsidRPr="005460FE">
              <w:rPr>
                <w:sz w:val="16"/>
                <w:szCs w:val="16"/>
              </w:rPr>
              <w:t>risk</w:t>
            </w:r>
          </w:p>
        </w:tc>
      </w:tr>
      <w:tr w:rsidR="00A72AFF" w:rsidRPr="00D518FF" w14:paraId="4BFD0D23" w14:textId="71F5D8BF" w:rsidTr="004C6AA1">
        <w:trPr>
          <w:trHeight w:val="156"/>
        </w:trPr>
        <w:tc>
          <w:tcPr>
            <w:tcW w:w="1256" w:type="dxa"/>
            <w:shd w:val="clear" w:color="auto" w:fill="auto"/>
          </w:tcPr>
          <w:p w14:paraId="737587A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887" w:type="dxa"/>
            <w:shd w:val="clear" w:color="auto" w:fill="auto"/>
          </w:tcPr>
          <w:p w14:paraId="7EE1E85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3B9BF168" w14:textId="24250C85"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888F07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Patients with IBS </w:t>
            </w:r>
          </w:p>
        </w:tc>
        <w:tc>
          <w:tcPr>
            <w:tcW w:w="1300" w:type="dxa"/>
            <w:shd w:val="clear" w:color="auto" w:fill="auto"/>
          </w:tcPr>
          <w:p w14:paraId="687E8662" w14:textId="3F6B4A0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58F6466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7AF8A1D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2F663BB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743" w:type="dxa"/>
            <w:shd w:val="clear" w:color="auto" w:fill="auto"/>
          </w:tcPr>
          <w:p w14:paraId="000E417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274</w:t>
            </w:r>
          </w:p>
        </w:tc>
        <w:tc>
          <w:tcPr>
            <w:tcW w:w="1256" w:type="dxa"/>
            <w:shd w:val="clear" w:color="auto" w:fill="auto"/>
          </w:tcPr>
          <w:p w14:paraId="3DF12A9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Functional Digestive Disorders Quality of Life questionnaire </w:t>
            </w:r>
          </w:p>
        </w:tc>
        <w:tc>
          <w:tcPr>
            <w:tcW w:w="790" w:type="dxa"/>
            <w:shd w:val="clear" w:color="auto" w:fill="auto"/>
          </w:tcPr>
          <w:p w14:paraId="67FCF3C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76" w:type="dxa"/>
            <w:shd w:val="clear" w:color="auto" w:fill="auto"/>
          </w:tcPr>
          <w:p w14:paraId="6E21BF0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Global score did not differ significantly between the probiotic group and the control group </w:t>
            </w:r>
          </w:p>
        </w:tc>
        <w:tc>
          <w:tcPr>
            <w:tcW w:w="1011" w:type="dxa"/>
          </w:tcPr>
          <w:p w14:paraId="7F23FDA9" w14:textId="62B6B5AD" w:rsidR="00A72AFF" w:rsidRPr="005460FE"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7F890527" w14:textId="1F64F552" w:rsidR="00A72AFF" w:rsidRPr="00D518FF" w:rsidRDefault="00A72AFF" w:rsidP="00F614C8">
            <w:pPr>
              <w:pStyle w:val="2024TABLETEXT"/>
              <w:framePr w:hSpace="0" w:wrap="auto" w:vAnchor="margin" w:yAlign="inline"/>
              <w:spacing w:line="240" w:lineRule="auto"/>
              <w:suppressOverlap w:val="0"/>
              <w:rPr>
                <w:sz w:val="16"/>
                <w:szCs w:val="16"/>
              </w:rPr>
            </w:pPr>
            <w:r w:rsidRPr="005460FE">
              <w:rPr>
                <w:sz w:val="16"/>
                <w:szCs w:val="16"/>
              </w:rPr>
              <w:t>Unclear</w:t>
            </w:r>
            <w:r w:rsidRPr="005460FE" w:rsidDel="00982A5C">
              <w:rPr>
                <w:sz w:val="16"/>
                <w:szCs w:val="16"/>
              </w:rPr>
              <w:t xml:space="preserve"> </w:t>
            </w:r>
            <w:r w:rsidRPr="005460FE">
              <w:rPr>
                <w:sz w:val="16"/>
                <w:szCs w:val="16"/>
              </w:rPr>
              <w:t>risk</w:t>
            </w:r>
          </w:p>
        </w:tc>
      </w:tr>
      <w:tr w:rsidR="00A72AFF" w:rsidRPr="00D518FF" w14:paraId="70364748" w14:textId="36B1E16E" w:rsidTr="004C6AA1">
        <w:trPr>
          <w:trHeight w:val="156"/>
        </w:trPr>
        <w:tc>
          <w:tcPr>
            <w:tcW w:w="1256" w:type="dxa"/>
            <w:shd w:val="clear" w:color="auto" w:fill="auto"/>
          </w:tcPr>
          <w:p w14:paraId="45EDE2D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887" w:type="dxa"/>
            <w:shd w:val="clear" w:color="auto" w:fill="auto"/>
          </w:tcPr>
          <w:p w14:paraId="5225086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71BF781B" w14:textId="3C5E02AA"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96FA23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Patients with IBS </w:t>
            </w:r>
          </w:p>
        </w:tc>
        <w:tc>
          <w:tcPr>
            <w:tcW w:w="1300" w:type="dxa"/>
            <w:shd w:val="clear" w:color="auto" w:fill="auto"/>
          </w:tcPr>
          <w:p w14:paraId="2AAEDBF1" w14:textId="3C13254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1387CB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3F15ACA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D8E897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743" w:type="dxa"/>
            <w:shd w:val="clear" w:color="auto" w:fill="auto"/>
          </w:tcPr>
          <w:p w14:paraId="203D916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103</w:t>
            </w:r>
          </w:p>
        </w:tc>
        <w:tc>
          <w:tcPr>
            <w:tcW w:w="1256" w:type="dxa"/>
            <w:shd w:val="clear" w:color="auto" w:fill="auto"/>
          </w:tcPr>
          <w:p w14:paraId="74FFBBBC" w14:textId="34A2E61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RAND</w:t>
            </w:r>
            <w:r w:rsidR="00F24BDA" w:rsidRPr="00F24BDA">
              <w:rPr>
                <w:rFonts w:ascii="Times New Roman" w:hAnsi="Times New Roman" w:cs="Times New Roman"/>
                <w:sz w:val="24"/>
                <w:szCs w:val="24"/>
                <w:lang w:eastAsia="en-GB"/>
              </w:rPr>
              <w:t xml:space="preserve"> </w:t>
            </w:r>
            <w:r w:rsidR="00F24BDA" w:rsidRPr="00F24BDA">
              <w:rPr>
                <w:sz w:val="16"/>
                <w:szCs w:val="16"/>
              </w:rPr>
              <w:t>36 item health survey</w:t>
            </w:r>
          </w:p>
        </w:tc>
        <w:tc>
          <w:tcPr>
            <w:tcW w:w="790" w:type="dxa"/>
            <w:shd w:val="clear" w:color="auto" w:fill="auto"/>
          </w:tcPr>
          <w:p w14:paraId="11D218A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76" w:type="dxa"/>
            <w:shd w:val="clear" w:color="auto" w:fill="auto"/>
          </w:tcPr>
          <w:p w14:paraId="44089429" w14:textId="32318E9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Mean QoL was somewhat higher in the probiotic group, but the difference between the groups was non-significant compared with the baseline. There was no change in the mean score at three months or six months in either group.</w:t>
            </w:r>
          </w:p>
        </w:tc>
        <w:tc>
          <w:tcPr>
            <w:tcW w:w="1011" w:type="dxa"/>
          </w:tcPr>
          <w:p w14:paraId="7D7D8542" w14:textId="166498FF" w:rsidR="00A72AFF" w:rsidRPr="005460FE"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6122174B" w14:textId="182FD14F" w:rsidR="00A72AFF" w:rsidRPr="00D518FF" w:rsidRDefault="00A72AFF" w:rsidP="00F614C8">
            <w:pPr>
              <w:pStyle w:val="2024TABLETEXT"/>
              <w:framePr w:hSpace="0" w:wrap="auto" w:vAnchor="margin" w:yAlign="inline"/>
              <w:spacing w:line="240" w:lineRule="auto"/>
              <w:suppressOverlap w:val="0"/>
              <w:rPr>
                <w:sz w:val="16"/>
                <w:szCs w:val="16"/>
              </w:rPr>
            </w:pPr>
            <w:r w:rsidRPr="005460FE">
              <w:rPr>
                <w:sz w:val="16"/>
                <w:szCs w:val="16"/>
              </w:rPr>
              <w:t>Unclear</w:t>
            </w:r>
            <w:r w:rsidRPr="005460FE" w:rsidDel="00982A5C">
              <w:rPr>
                <w:sz w:val="16"/>
                <w:szCs w:val="16"/>
              </w:rPr>
              <w:t xml:space="preserve"> </w:t>
            </w:r>
            <w:r w:rsidRPr="005460FE">
              <w:rPr>
                <w:sz w:val="16"/>
                <w:szCs w:val="16"/>
              </w:rPr>
              <w:t>risk</w:t>
            </w:r>
          </w:p>
        </w:tc>
      </w:tr>
      <w:tr w:rsidR="00A72AFF" w:rsidRPr="00D518FF" w14:paraId="3374185A" w14:textId="3B618DD8" w:rsidTr="004C6AA1">
        <w:trPr>
          <w:trHeight w:val="156"/>
        </w:trPr>
        <w:tc>
          <w:tcPr>
            <w:tcW w:w="1256" w:type="dxa"/>
            <w:shd w:val="clear" w:color="auto" w:fill="auto"/>
          </w:tcPr>
          <w:p w14:paraId="6D599A6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Hoveyda 2009</w:t>
            </w:r>
          </w:p>
        </w:tc>
        <w:tc>
          <w:tcPr>
            <w:tcW w:w="887" w:type="dxa"/>
            <w:shd w:val="clear" w:color="auto" w:fill="auto"/>
          </w:tcPr>
          <w:p w14:paraId="2184536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6C8174DB" w14:textId="7D98FE02"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D6CE3D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Patients with IBS </w:t>
            </w:r>
          </w:p>
        </w:tc>
        <w:tc>
          <w:tcPr>
            <w:tcW w:w="1300" w:type="dxa"/>
            <w:shd w:val="clear" w:color="auto" w:fill="auto"/>
          </w:tcPr>
          <w:p w14:paraId="156E0A6C" w14:textId="2C5F802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39929E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8C87FF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EE156B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743" w:type="dxa"/>
            <w:shd w:val="clear" w:color="auto" w:fill="auto"/>
          </w:tcPr>
          <w:p w14:paraId="35C837E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80</w:t>
            </w:r>
          </w:p>
        </w:tc>
        <w:tc>
          <w:tcPr>
            <w:tcW w:w="1256" w:type="dxa"/>
            <w:shd w:val="clear" w:color="auto" w:fill="auto"/>
          </w:tcPr>
          <w:p w14:paraId="5D15135F" w14:textId="725E267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w:t>
            </w:r>
            <w:r w:rsidR="00F24BDA">
              <w:rPr>
                <w:sz w:val="16"/>
                <w:szCs w:val="16"/>
              </w:rPr>
              <w:t>-</w:t>
            </w:r>
            <w:r w:rsidRPr="00D518FF">
              <w:rPr>
                <w:sz w:val="16"/>
                <w:szCs w:val="16"/>
              </w:rPr>
              <w:t>specific questionnaire</w:t>
            </w:r>
          </w:p>
        </w:tc>
        <w:tc>
          <w:tcPr>
            <w:tcW w:w="790" w:type="dxa"/>
            <w:shd w:val="clear" w:color="auto" w:fill="auto"/>
          </w:tcPr>
          <w:p w14:paraId="0C9512C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76" w:type="dxa"/>
            <w:shd w:val="clear" w:color="auto" w:fill="auto"/>
          </w:tcPr>
          <w:p w14:paraId="4DFE5261" w14:textId="36D5A91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For most domains, </w:t>
            </w:r>
            <w:r w:rsidR="00BD03C8">
              <w:rPr>
                <w:sz w:val="16"/>
                <w:szCs w:val="16"/>
              </w:rPr>
              <w:t>QoL</w:t>
            </w:r>
            <w:r w:rsidRPr="00D518FF">
              <w:rPr>
                <w:sz w:val="16"/>
                <w:szCs w:val="16"/>
              </w:rPr>
              <w:t xml:space="preserve"> scores were </w:t>
            </w:r>
            <w:r w:rsidRPr="00D518FF">
              <w:rPr>
                <w:sz w:val="16"/>
                <w:szCs w:val="16"/>
              </w:rPr>
              <w:lastRenderedPageBreak/>
              <w:t>numerically lower than those for placebo for the patients randomized to the pro- biotics, but reached statistical significance versus placebo, during the treatment phase only, for health worry for bifidobacterium (at the 0.05 level) and dysphoria for lactobacillus at the 0.10 level.</w:t>
            </w:r>
          </w:p>
        </w:tc>
        <w:tc>
          <w:tcPr>
            <w:tcW w:w="1011" w:type="dxa"/>
          </w:tcPr>
          <w:p w14:paraId="20F3DECF" w14:textId="2C4E3EBD" w:rsidR="00A72AFF" w:rsidRPr="005460FE"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288B7D13" w14:textId="10DD9D9A" w:rsidR="00A72AFF" w:rsidRPr="00D518FF" w:rsidRDefault="00A72AFF" w:rsidP="00F614C8">
            <w:pPr>
              <w:pStyle w:val="2024TABLETEXT"/>
              <w:framePr w:hSpace="0" w:wrap="auto" w:vAnchor="margin" w:yAlign="inline"/>
              <w:spacing w:line="240" w:lineRule="auto"/>
              <w:suppressOverlap w:val="0"/>
              <w:rPr>
                <w:sz w:val="16"/>
                <w:szCs w:val="16"/>
              </w:rPr>
            </w:pPr>
            <w:r w:rsidRPr="005460FE">
              <w:rPr>
                <w:sz w:val="16"/>
                <w:szCs w:val="16"/>
              </w:rPr>
              <w:t>Unclear</w:t>
            </w:r>
            <w:r w:rsidRPr="005460FE" w:rsidDel="00982A5C">
              <w:rPr>
                <w:sz w:val="16"/>
                <w:szCs w:val="16"/>
              </w:rPr>
              <w:t xml:space="preserve"> </w:t>
            </w:r>
            <w:r w:rsidRPr="005460FE">
              <w:rPr>
                <w:sz w:val="16"/>
                <w:szCs w:val="16"/>
              </w:rPr>
              <w:t>risk</w:t>
            </w:r>
          </w:p>
        </w:tc>
      </w:tr>
      <w:tr w:rsidR="00A72AFF" w:rsidRPr="00D518FF" w14:paraId="76D189FF" w14:textId="2F5659FB" w:rsidTr="004C6AA1">
        <w:trPr>
          <w:trHeight w:val="156"/>
        </w:trPr>
        <w:tc>
          <w:tcPr>
            <w:tcW w:w="1256" w:type="dxa"/>
            <w:shd w:val="clear" w:color="auto" w:fill="auto"/>
          </w:tcPr>
          <w:p w14:paraId="07D6F6B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Huertas-Ceballos 2009</w:t>
            </w:r>
          </w:p>
        </w:tc>
        <w:tc>
          <w:tcPr>
            <w:tcW w:w="887" w:type="dxa"/>
            <w:shd w:val="clear" w:color="auto" w:fill="auto"/>
          </w:tcPr>
          <w:p w14:paraId="5CC3589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4D299235" w14:textId="7155932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4EDAEBCC" w14:textId="23EFE6E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School-age children (5-18 </w:t>
            </w:r>
            <w:r w:rsidR="00173487" w:rsidRPr="00D518FF">
              <w:rPr>
                <w:sz w:val="16"/>
                <w:szCs w:val="16"/>
              </w:rPr>
              <w:t xml:space="preserve">years old) with </w:t>
            </w:r>
            <w:r w:rsidR="00173487" w:rsidRPr="00173487">
              <w:rPr>
                <w:sz w:val="16"/>
                <w:szCs w:val="16"/>
              </w:rPr>
              <w:t xml:space="preserve">recurrent abdominal pain </w:t>
            </w:r>
            <w:r w:rsidR="00173487" w:rsidRPr="00D518FF">
              <w:rPr>
                <w:sz w:val="16"/>
                <w:szCs w:val="16"/>
              </w:rPr>
              <w:t xml:space="preserve">(defined </w:t>
            </w:r>
            <w:r w:rsidRPr="00D518FF">
              <w:rPr>
                <w:sz w:val="16"/>
                <w:szCs w:val="16"/>
              </w:rPr>
              <w:t>as at least three episodes of pain interfering with normal activities within a three-month period)</w:t>
            </w:r>
          </w:p>
        </w:tc>
        <w:tc>
          <w:tcPr>
            <w:tcW w:w="1300" w:type="dxa"/>
            <w:shd w:val="clear" w:color="auto" w:fill="auto"/>
          </w:tcPr>
          <w:p w14:paraId="3F94C435" w14:textId="28BDE88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937E99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Lactobacillus </w:t>
            </w:r>
          </w:p>
        </w:tc>
        <w:tc>
          <w:tcPr>
            <w:tcW w:w="938" w:type="dxa"/>
            <w:shd w:val="clear" w:color="auto" w:fill="auto"/>
          </w:tcPr>
          <w:p w14:paraId="0109128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417D81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743" w:type="dxa"/>
            <w:shd w:val="clear" w:color="auto" w:fill="auto"/>
          </w:tcPr>
          <w:p w14:paraId="31CA0CE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154</w:t>
            </w:r>
          </w:p>
        </w:tc>
        <w:tc>
          <w:tcPr>
            <w:tcW w:w="1256" w:type="dxa"/>
            <w:shd w:val="clear" w:color="auto" w:fill="auto"/>
          </w:tcPr>
          <w:p w14:paraId="2F5CD1D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GSRS, other</w:t>
            </w:r>
          </w:p>
        </w:tc>
        <w:tc>
          <w:tcPr>
            <w:tcW w:w="790" w:type="dxa"/>
            <w:shd w:val="clear" w:color="auto" w:fill="auto"/>
          </w:tcPr>
          <w:p w14:paraId="16EB884A" w14:textId="16348AF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1.17 (0.62 to 2.21</w:t>
            </w:r>
          </w:p>
        </w:tc>
        <w:tc>
          <w:tcPr>
            <w:tcW w:w="1076" w:type="dxa"/>
            <w:shd w:val="clear" w:color="auto" w:fill="auto"/>
          </w:tcPr>
          <w:p w14:paraId="64D84E88" w14:textId="4C34E38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P=0.99; </w:t>
            </w:r>
            <w:r>
              <w:rPr>
                <w:sz w:val="16"/>
                <w:szCs w:val="16"/>
              </w:rPr>
              <w:t xml:space="preserve">I² </w:t>
            </w:r>
            <w:r w:rsidRPr="00D518FF">
              <w:rPr>
                <w:sz w:val="16"/>
                <w:szCs w:val="16"/>
              </w:rPr>
              <w:t>=0%</w:t>
            </w:r>
          </w:p>
        </w:tc>
        <w:tc>
          <w:tcPr>
            <w:tcW w:w="1011" w:type="dxa"/>
          </w:tcPr>
          <w:p w14:paraId="7C5E71B7" w14:textId="50C992CE"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EC6AE21" w14:textId="4804D4A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11935A84" w14:textId="0C74E6D1" w:rsidTr="004C6AA1">
        <w:trPr>
          <w:trHeight w:val="156"/>
        </w:trPr>
        <w:tc>
          <w:tcPr>
            <w:tcW w:w="1256" w:type="dxa"/>
            <w:shd w:val="clear" w:color="auto" w:fill="auto"/>
          </w:tcPr>
          <w:p w14:paraId="5FA7E3A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Hungin 2018</w:t>
            </w:r>
          </w:p>
        </w:tc>
        <w:tc>
          <w:tcPr>
            <w:tcW w:w="887" w:type="dxa"/>
            <w:shd w:val="clear" w:color="auto" w:fill="auto"/>
          </w:tcPr>
          <w:p w14:paraId="46D4C28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6B3868FF" w14:textId="7AFB25BE"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E20ED4E" w14:textId="53BE45B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(&gt;= 18 years)</w:t>
            </w:r>
            <w:r w:rsidR="00173487">
              <w:rPr>
                <w:sz w:val="16"/>
                <w:szCs w:val="16"/>
              </w:rPr>
              <w:t xml:space="preserve"> </w:t>
            </w:r>
            <w:r w:rsidRPr="00D518FF">
              <w:rPr>
                <w:sz w:val="16"/>
                <w:szCs w:val="16"/>
              </w:rPr>
              <w:t>with IBS</w:t>
            </w:r>
          </w:p>
        </w:tc>
        <w:tc>
          <w:tcPr>
            <w:tcW w:w="1300" w:type="dxa"/>
            <w:shd w:val="clear" w:color="auto" w:fill="auto"/>
          </w:tcPr>
          <w:p w14:paraId="003CAE1E" w14:textId="1C4B290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32F0743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DA728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20BAC95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23</w:t>
            </w:r>
          </w:p>
        </w:tc>
        <w:tc>
          <w:tcPr>
            <w:tcW w:w="743" w:type="dxa"/>
            <w:shd w:val="clear" w:color="auto" w:fill="auto"/>
          </w:tcPr>
          <w:p w14:paraId="38CBACA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3112</w:t>
            </w:r>
          </w:p>
        </w:tc>
        <w:tc>
          <w:tcPr>
            <w:tcW w:w="1256" w:type="dxa"/>
            <w:shd w:val="clear" w:color="auto" w:fill="auto"/>
          </w:tcPr>
          <w:p w14:paraId="78AC7C6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790" w:type="dxa"/>
            <w:shd w:val="clear" w:color="auto" w:fill="auto"/>
          </w:tcPr>
          <w:p w14:paraId="0C2C8808"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76" w:type="dxa"/>
            <w:shd w:val="clear" w:color="auto" w:fill="auto"/>
          </w:tcPr>
          <w:p w14:paraId="236B58E0" w14:textId="0E66FCF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15 evaluated overall IBS symptoms as a primary endpoint, of which 8 </w:t>
            </w:r>
            <w:r w:rsidRPr="00D518FF">
              <w:rPr>
                <w:sz w:val="16"/>
                <w:szCs w:val="16"/>
              </w:rPr>
              <w:lastRenderedPageBreak/>
              <w:t>reported a significant beneficial effect of 8 different probiotic products (dosed at 3.4 9 107 to 2.5 9 1010 CFU per day) compared with placebo, 5 reported no significant differences between 2 specific probiotic treatments and placebo, and 2 reported mixed results.</w:t>
            </w:r>
          </w:p>
        </w:tc>
        <w:tc>
          <w:tcPr>
            <w:tcW w:w="1011" w:type="dxa"/>
          </w:tcPr>
          <w:p w14:paraId="2E745188" w14:textId="6011C0E0"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7BC79D5D" w14:textId="19034B81"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47BA147F" w14:textId="25607BA3" w:rsidTr="004C6AA1">
        <w:trPr>
          <w:trHeight w:val="156"/>
        </w:trPr>
        <w:tc>
          <w:tcPr>
            <w:tcW w:w="1256" w:type="dxa"/>
            <w:shd w:val="clear" w:color="auto" w:fill="auto"/>
          </w:tcPr>
          <w:p w14:paraId="5D042FE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Hungin 2018</w:t>
            </w:r>
          </w:p>
        </w:tc>
        <w:tc>
          <w:tcPr>
            <w:tcW w:w="887" w:type="dxa"/>
            <w:shd w:val="clear" w:color="auto" w:fill="auto"/>
          </w:tcPr>
          <w:p w14:paraId="04AE825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35CC14A2" w14:textId="0FE3DD7E"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1406570" w14:textId="13476D4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(&gt;= 18 years)</w:t>
            </w:r>
            <w:r w:rsidR="00173487">
              <w:rPr>
                <w:sz w:val="16"/>
                <w:szCs w:val="16"/>
              </w:rPr>
              <w:t xml:space="preserve"> </w:t>
            </w:r>
            <w:r w:rsidRPr="00D518FF">
              <w:rPr>
                <w:sz w:val="16"/>
                <w:szCs w:val="16"/>
              </w:rPr>
              <w:t>with IBS</w:t>
            </w:r>
          </w:p>
        </w:tc>
        <w:tc>
          <w:tcPr>
            <w:tcW w:w="1300" w:type="dxa"/>
            <w:shd w:val="clear" w:color="auto" w:fill="auto"/>
          </w:tcPr>
          <w:p w14:paraId="4E806AAE" w14:textId="1E457E9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F896BC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5F79D1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75223E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30</w:t>
            </w:r>
          </w:p>
        </w:tc>
        <w:tc>
          <w:tcPr>
            <w:tcW w:w="743" w:type="dxa"/>
            <w:shd w:val="clear" w:color="auto" w:fill="auto"/>
          </w:tcPr>
          <w:p w14:paraId="3537C5E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3771</w:t>
            </w:r>
          </w:p>
        </w:tc>
        <w:tc>
          <w:tcPr>
            <w:tcW w:w="1256" w:type="dxa"/>
            <w:shd w:val="clear" w:color="auto" w:fill="auto"/>
          </w:tcPr>
          <w:p w14:paraId="37B12F13"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790" w:type="dxa"/>
            <w:shd w:val="clear" w:color="auto" w:fill="auto"/>
          </w:tcPr>
          <w:p w14:paraId="2367D029"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76" w:type="dxa"/>
            <w:shd w:val="clear" w:color="auto" w:fill="auto"/>
          </w:tcPr>
          <w:p w14:paraId="60A969B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7 studies showed a significant beneficial effect of specific probiotic treatments compared with placebo. </w:t>
            </w:r>
          </w:p>
        </w:tc>
        <w:tc>
          <w:tcPr>
            <w:tcW w:w="1011" w:type="dxa"/>
          </w:tcPr>
          <w:p w14:paraId="19C8F7E9" w14:textId="24213BA0"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173ED24" w14:textId="376E33E0"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60289330" w14:textId="62BCBD35" w:rsidTr="004C6AA1">
        <w:trPr>
          <w:trHeight w:val="156"/>
        </w:trPr>
        <w:tc>
          <w:tcPr>
            <w:tcW w:w="1256" w:type="dxa"/>
            <w:shd w:val="clear" w:color="auto" w:fill="auto"/>
          </w:tcPr>
          <w:p w14:paraId="48B1211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Hungin 2018</w:t>
            </w:r>
          </w:p>
        </w:tc>
        <w:tc>
          <w:tcPr>
            <w:tcW w:w="887" w:type="dxa"/>
            <w:shd w:val="clear" w:color="auto" w:fill="auto"/>
          </w:tcPr>
          <w:p w14:paraId="4E4FE1E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699A0D44" w14:textId="33B4DACE"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5FBEC4D" w14:textId="4CF5063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(&gt;= 18 years)</w:t>
            </w:r>
            <w:r w:rsidR="00173487">
              <w:rPr>
                <w:sz w:val="16"/>
                <w:szCs w:val="16"/>
              </w:rPr>
              <w:t xml:space="preserve"> </w:t>
            </w:r>
            <w:r w:rsidRPr="00D518FF">
              <w:rPr>
                <w:sz w:val="16"/>
                <w:szCs w:val="16"/>
              </w:rPr>
              <w:t>with IBS</w:t>
            </w:r>
          </w:p>
        </w:tc>
        <w:tc>
          <w:tcPr>
            <w:tcW w:w="1300" w:type="dxa"/>
            <w:shd w:val="clear" w:color="auto" w:fill="auto"/>
          </w:tcPr>
          <w:p w14:paraId="3CA536D1" w14:textId="54C4846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934B88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6698139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733588E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6</w:t>
            </w:r>
          </w:p>
        </w:tc>
        <w:tc>
          <w:tcPr>
            <w:tcW w:w="743" w:type="dxa"/>
            <w:shd w:val="clear" w:color="auto" w:fill="auto"/>
          </w:tcPr>
          <w:p w14:paraId="67D23DCA" w14:textId="6CAB705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r w:rsidR="008113A3">
              <w:rPr>
                <w:sz w:val="16"/>
                <w:szCs w:val="16"/>
              </w:rPr>
              <w:t>NR</w:t>
            </w:r>
          </w:p>
        </w:tc>
        <w:tc>
          <w:tcPr>
            <w:tcW w:w="1256" w:type="dxa"/>
            <w:shd w:val="clear" w:color="auto" w:fill="auto"/>
          </w:tcPr>
          <w:p w14:paraId="079964D9"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790" w:type="dxa"/>
            <w:shd w:val="clear" w:color="auto" w:fill="auto"/>
          </w:tcPr>
          <w:p w14:paraId="22BE92FA"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76" w:type="dxa"/>
            <w:shd w:val="clear" w:color="auto" w:fill="auto"/>
          </w:tcPr>
          <w:p w14:paraId="041958DD" w14:textId="1AC71FA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Two studies of 2 different probiotics reported a significantly greater improvement in HRQoL with </w:t>
            </w:r>
            <w:r w:rsidRPr="00D518FF">
              <w:rPr>
                <w:sz w:val="16"/>
                <w:szCs w:val="16"/>
              </w:rPr>
              <w:lastRenderedPageBreak/>
              <w:t xml:space="preserve">probiotics, as measured by an improvement in GI well-being in women with minor GI symptoms and improvements in scores using the Irritable Bowel Syndrome Quality of Life (IBS-QOL) instrument in patients with IBS,65 compared with placebo. One study in patients with IBS-C reported no significant difference between the probiotic and placebo groups for the change from baseline in the discomfort dimension score of the Functional Digestive Disorders Quality of </w:t>
            </w:r>
            <w:r w:rsidRPr="00D518FF">
              <w:rPr>
                <w:sz w:val="16"/>
                <w:szCs w:val="16"/>
              </w:rPr>
              <w:lastRenderedPageBreak/>
              <w:t xml:space="preserve">Life (FDDQL) questionnaire after 3 and 6 weeks of treatment; however, the probiotic group had a significantly greater proportion of responders for the discomfort dimension score than the placebo group at week 3.50 Another study assessed 2 different probiotics in patients with FGID and found no significant differences between the probiotic and control groups for the Gastrointestinal Quality of Life Index (GIQLI) total score and well-being subscales (physical, social and mental; primary endpoint); </w:t>
            </w:r>
            <w:r w:rsidRPr="00D518FF">
              <w:rPr>
                <w:sz w:val="16"/>
                <w:szCs w:val="16"/>
              </w:rPr>
              <w:lastRenderedPageBreak/>
              <w:t>however, use of the 36-item Short-Form Health Survey (SF-36; secondary endpoint) revealed significant improvements in</w:t>
            </w:r>
          </w:p>
        </w:tc>
        <w:tc>
          <w:tcPr>
            <w:tcW w:w="1011" w:type="dxa"/>
          </w:tcPr>
          <w:p w14:paraId="08F61EA6" w14:textId="29F93255"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7DB3816D" w14:textId="0651BE17"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3E1DC538" w14:textId="1839042A" w:rsidTr="004C6AA1">
        <w:trPr>
          <w:trHeight w:val="156"/>
        </w:trPr>
        <w:tc>
          <w:tcPr>
            <w:tcW w:w="1256" w:type="dxa"/>
            <w:shd w:val="clear" w:color="auto" w:fill="auto"/>
          </w:tcPr>
          <w:p w14:paraId="0FA3840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Hungin 2018</w:t>
            </w:r>
          </w:p>
        </w:tc>
        <w:tc>
          <w:tcPr>
            <w:tcW w:w="887" w:type="dxa"/>
            <w:shd w:val="clear" w:color="auto" w:fill="auto"/>
          </w:tcPr>
          <w:p w14:paraId="0F0D20D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937" w:type="dxa"/>
            <w:shd w:val="clear" w:color="auto" w:fill="auto"/>
          </w:tcPr>
          <w:p w14:paraId="05B0B9B6" w14:textId="3C3AD4DF"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7D12F0A" w14:textId="231F071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(&gt;= 18 years) with IBS</w:t>
            </w:r>
          </w:p>
        </w:tc>
        <w:tc>
          <w:tcPr>
            <w:tcW w:w="1300" w:type="dxa"/>
            <w:shd w:val="clear" w:color="auto" w:fill="auto"/>
          </w:tcPr>
          <w:p w14:paraId="5F068E1D" w14:textId="4069E9EB"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986D59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64BBC5C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29F8D0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25</w:t>
            </w:r>
          </w:p>
        </w:tc>
        <w:tc>
          <w:tcPr>
            <w:tcW w:w="743" w:type="dxa"/>
            <w:shd w:val="clear" w:color="auto" w:fill="auto"/>
          </w:tcPr>
          <w:p w14:paraId="0DF1492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3069</w:t>
            </w:r>
          </w:p>
        </w:tc>
        <w:tc>
          <w:tcPr>
            <w:tcW w:w="1256" w:type="dxa"/>
            <w:shd w:val="clear" w:color="auto" w:fill="auto"/>
          </w:tcPr>
          <w:p w14:paraId="7C909603"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790" w:type="dxa"/>
            <w:shd w:val="clear" w:color="auto" w:fill="auto"/>
          </w:tcPr>
          <w:p w14:paraId="51D7F56A"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76" w:type="dxa"/>
            <w:shd w:val="clear" w:color="auto" w:fill="auto"/>
          </w:tcPr>
          <w:p w14:paraId="007DE838" w14:textId="77777777" w:rsidR="00173487"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Two studies of 2 different probiotics (administered at doses of between 1.3 9 108 and 9 9 109 CFU per day) evaluated bowel habit as a primary endpoint, with 1 study (included in the original consensus) reporting no significant difference in weekly defecation frequency between the probiotic and placebo groups, although a significant positive effect of the specific probiotic </w:t>
            </w:r>
            <w:r w:rsidRPr="00D518FF">
              <w:rPr>
                <w:sz w:val="16"/>
                <w:szCs w:val="16"/>
              </w:rPr>
              <w:lastRenderedPageBreak/>
              <w:t xml:space="preserve">treatment vs placebo was observed on the secondary endpoints of urgency and feelings of incomplete evacuation. The second study (published since the original consensus) found that the number of bowel movements changed favourably in the probiotic group compared with the placebo group. </w:t>
            </w:r>
          </w:p>
          <w:p w14:paraId="038DBF84" w14:textId="77777777" w:rsidR="00173487" w:rsidRDefault="00173487" w:rsidP="00F614C8">
            <w:pPr>
              <w:pStyle w:val="2024TABLETEXT"/>
              <w:framePr w:hSpace="0" w:wrap="auto" w:vAnchor="margin" w:yAlign="inline"/>
              <w:spacing w:line="240" w:lineRule="auto"/>
              <w:suppressOverlap w:val="0"/>
              <w:rPr>
                <w:sz w:val="16"/>
                <w:szCs w:val="16"/>
              </w:rPr>
            </w:pPr>
          </w:p>
          <w:p w14:paraId="5C5A9CED" w14:textId="4129D431" w:rsidR="00173487"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Of the 25 studies in patients with IBS, 22 evaluated bowel habit as a secondary endpoint only. Seventeen studies used 1 or more of 3 main endpoints: stool frequency, </w:t>
            </w:r>
            <w:r w:rsidRPr="00D518FF">
              <w:rPr>
                <w:sz w:val="16"/>
                <w:szCs w:val="16"/>
              </w:rPr>
              <w:lastRenderedPageBreak/>
              <w:t>stool consistency and satisfaction with bowel habits. Eleven reported significant beneficial effects of 11 different probiotics; 1 of these studies reported a significant improvement in the feeling of incomplete defecation on completion of 4 weeks of treatment that was not significant 1 month later. Nine studies reported no significant effects of 7 different probiotics (1 of which showed no significant benefit on the primary endpoint in another study). One found a trend to normalisatio</w:t>
            </w:r>
            <w:r w:rsidRPr="00D518FF">
              <w:rPr>
                <w:sz w:val="16"/>
                <w:szCs w:val="16"/>
              </w:rPr>
              <w:lastRenderedPageBreak/>
              <w:t>n of stool consistency (P = 0.058); however, no significant effects on straining and feelings of incomplete evacuation were observed. Another study reported a significant negative effect of the specific probiotic treatment. Of the 22 studies, 7 had been published since the original consensus. Of the 7 new studies, 4 (57%) reported no significant effect or a negative effect, com physical functioning and/or “role-physical” domains with probiotics,</w:t>
            </w:r>
            <w:r w:rsidRPr="00D518FF">
              <w:rPr>
                <w:sz w:val="16"/>
                <w:szCs w:val="16"/>
              </w:rPr>
              <w:br/>
              <w:t xml:space="preserve">but no significant changes in </w:t>
            </w:r>
            <w:r w:rsidRPr="00D518FF">
              <w:rPr>
                <w:sz w:val="16"/>
                <w:szCs w:val="16"/>
              </w:rPr>
              <w:lastRenderedPageBreak/>
              <w:t>the control groups. In 1 study, a significant reduction in “health-related worry” was observed in patients</w:t>
            </w:r>
            <w:r w:rsidRPr="00D518FF">
              <w:rPr>
                <w:sz w:val="16"/>
                <w:szCs w:val="16"/>
              </w:rPr>
              <w:br/>
              <w:t>with IBS receiving the probiotic treatment vs placebo, but not in</w:t>
            </w:r>
            <w:r w:rsidRPr="00D518FF">
              <w:rPr>
                <w:sz w:val="16"/>
                <w:szCs w:val="16"/>
              </w:rPr>
              <w:br/>
              <w:t>other domains of the IBS-QOL. The remaining study in women</w:t>
            </w:r>
            <w:r w:rsidRPr="00D518FF">
              <w:rPr>
                <w:sz w:val="16"/>
                <w:szCs w:val="16"/>
              </w:rPr>
              <w:br/>
              <w:t>with minor GI symptoms found no significant difference in the percentage of women reporting an improvement in GI well-being with</w:t>
            </w:r>
            <w:r w:rsidRPr="00D518FF">
              <w:rPr>
                <w:sz w:val="16"/>
                <w:szCs w:val="16"/>
              </w:rPr>
              <w:br/>
              <w:t>probiotics vs placebo.</w:t>
            </w:r>
          </w:p>
          <w:p w14:paraId="714CD607" w14:textId="77777777" w:rsidR="00173487" w:rsidRDefault="00173487" w:rsidP="00F614C8">
            <w:pPr>
              <w:pStyle w:val="2024TABLETEXT"/>
              <w:framePr w:hSpace="0" w:wrap="auto" w:vAnchor="margin" w:yAlign="inline"/>
              <w:spacing w:line="240" w:lineRule="auto"/>
              <w:suppressOverlap w:val="0"/>
              <w:rPr>
                <w:sz w:val="16"/>
                <w:szCs w:val="16"/>
              </w:rPr>
            </w:pPr>
          </w:p>
          <w:p w14:paraId="64EEB4CE" w14:textId="04AB368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Nineteen studies assessed aspects of</w:t>
            </w:r>
            <w:r w:rsidRPr="00D518FF">
              <w:rPr>
                <w:sz w:val="16"/>
                <w:szCs w:val="16"/>
              </w:rPr>
              <w:br/>
            </w:r>
            <w:r w:rsidR="00173487">
              <w:rPr>
                <w:sz w:val="16"/>
                <w:szCs w:val="16"/>
              </w:rPr>
              <w:t>HRQoL</w:t>
            </w:r>
            <w:r w:rsidR="00173487" w:rsidRPr="00D518FF">
              <w:rPr>
                <w:sz w:val="16"/>
                <w:szCs w:val="16"/>
              </w:rPr>
              <w:t xml:space="preserve"> </w:t>
            </w:r>
            <w:r w:rsidRPr="00D518FF">
              <w:rPr>
                <w:sz w:val="16"/>
                <w:szCs w:val="16"/>
              </w:rPr>
              <w:t xml:space="preserve">as secondary endpoints </w:t>
            </w:r>
            <w:r w:rsidRPr="00D518FF">
              <w:rPr>
                <w:sz w:val="16"/>
                <w:szCs w:val="16"/>
              </w:rPr>
              <w:lastRenderedPageBreak/>
              <w:t>only. Fourteen of these (evaluating</w:t>
            </w:r>
            <w:r w:rsidRPr="00D518FF">
              <w:rPr>
                <w:sz w:val="16"/>
                <w:szCs w:val="16"/>
              </w:rPr>
              <w:br/>
              <w:t xml:space="preserve">12 different probiotics) found no difference between treatment groups in measures of </w:t>
            </w:r>
            <w:r w:rsidR="00173487">
              <w:rPr>
                <w:sz w:val="16"/>
                <w:szCs w:val="16"/>
              </w:rPr>
              <w:t>HRQoL</w:t>
            </w:r>
            <w:r w:rsidRPr="00D518FF">
              <w:rPr>
                <w:sz w:val="16"/>
                <w:szCs w:val="16"/>
              </w:rPr>
              <w:t xml:space="preserve">, whereas 5 studies (all in patients with IBS) reported significant benefits of 5 different probiotic treatments for some aspects of </w:t>
            </w:r>
            <w:r w:rsidR="00173487">
              <w:rPr>
                <w:sz w:val="16"/>
                <w:szCs w:val="16"/>
              </w:rPr>
              <w:t>HRQoL</w:t>
            </w:r>
            <w:r w:rsidRPr="00D518FF">
              <w:rPr>
                <w:sz w:val="16"/>
                <w:szCs w:val="16"/>
              </w:rPr>
              <w:t>.</w:t>
            </w:r>
          </w:p>
        </w:tc>
        <w:tc>
          <w:tcPr>
            <w:tcW w:w="1011" w:type="dxa"/>
          </w:tcPr>
          <w:p w14:paraId="4B7CB9A6" w14:textId="580CAC1D"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5E617DF9" w14:textId="2D525B13"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5294FE46" w14:textId="1F6257B0" w:rsidTr="004C6AA1">
        <w:trPr>
          <w:trHeight w:val="156"/>
        </w:trPr>
        <w:tc>
          <w:tcPr>
            <w:tcW w:w="1256" w:type="dxa"/>
            <w:shd w:val="clear" w:color="auto" w:fill="auto"/>
          </w:tcPr>
          <w:p w14:paraId="1723BF3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Konstantis 2023</w:t>
            </w:r>
          </w:p>
        </w:tc>
        <w:tc>
          <w:tcPr>
            <w:tcW w:w="887" w:type="dxa"/>
            <w:shd w:val="clear" w:color="auto" w:fill="auto"/>
          </w:tcPr>
          <w:p w14:paraId="516BCB4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2F62D111" w14:textId="3805462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CFB445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 patients categorized solely according to the Rome IV criteria, adult</w:t>
            </w:r>
          </w:p>
        </w:tc>
        <w:tc>
          <w:tcPr>
            <w:tcW w:w="1300" w:type="dxa"/>
            <w:shd w:val="clear" w:color="auto" w:fill="auto"/>
          </w:tcPr>
          <w:p w14:paraId="4E792B79" w14:textId="673AF9F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9859C7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35CF92F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7744CCA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743" w:type="dxa"/>
            <w:shd w:val="clear" w:color="auto" w:fill="auto"/>
          </w:tcPr>
          <w:p w14:paraId="256B860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 - in table</w:t>
            </w:r>
          </w:p>
        </w:tc>
        <w:tc>
          <w:tcPr>
            <w:tcW w:w="1256" w:type="dxa"/>
            <w:shd w:val="clear" w:color="auto" w:fill="auto"/>
          </w:tcPr>
          <w:p w14:paraId="2902455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IBS-Symptom Severity Score </w:t>
            </w:r>
          </w:p>
        </w:tc>
        <w:tc>
          <w:tcPr>
            <w:tcW w:w="790" w:type="dxa"/>
            <w:shd w:val="clear" w:color="auto" w:fill="auto"/>
          </w:tcPr>
          <w:p w14:paraId="572BD3CE" w14:textId="1283B1F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WMD = 43.2 (87.5 to 1.02)</w:t>
            </w:r>
          </w:p>
        </w:tc>
        <w:tc>
          <w:tcPr>
            <w:tcW w:w="1076" w:type="dxa"/>
            <w:shd w:val="clear" w:color="auto" w:fill="auto"/>
          </w:tcPr>
          <w:p w14:paraId="47696991" w14:textId="07B2A9DD"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 xml:space="preserve">I² </w:t>
            </w:r>
            <w:r w:rsidR="00173487">
              <w:rPr>
                <w:sz w:val="16"/>
                <w:szCs w:val="16"/>
              </w:rPr>
              <w:t>=</w:t>
            </w:r>
            <w:r w:rsidRPr="00D518FF">
              <w:rPr>
                <w:sz w:val="16"/>
                <w:szCs w:val="16"/>
              </w:rPr>
              <w:t xml:space="preserve"> 82.9% </w:t>
            </w:r>
          </w:p>
        </w:tc>
        <w:tc>
          <w:tcPr>
            <w:tcW w:w="1011" w:type="dxa"/>
          </w:tcPr>
          <w:p w14:paraId="0E0710F8" w14:textId="7933A814"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ACACF89" w14:textId="7A619E69" w:rsidR="00A72A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413310E0" w14:textId="1F85ED5F" w:rsidTr="004C6AA1">
        <w:trPr>
          <w:trHeight w:val="156"/>
        </w:trPr>
        <w:tc>
          <w:tcPr>
            <w:tcW w:w="1256" w:type="dxa"/>
            <w:shd w:val="clear" w:color="auto" w:fill="auto"/>
          </w:tcPr>
          <w:p w14:paraId="38EB9CB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Konstantis 2023</w:t>
            </w:r>
          </w:p>
        </w:tc>
        <w:tc>
          <w:tcPr>
            <w:tcW w:w="887" w:type="dxa"/>
            <w:shd w:val="clear" w:color="auto" w:fill="auto"/>
          </w:tcPr>
          <w:p w14:paraId="41E912A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257D13D1" w14:textId="3D612986"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4A6E048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 patients categorized solely according to the Rome IV criteria, adult</w:t>
            </w:r>
          </w:p>
        </w:tc>
        <w:tc>
          <w:tcPr>
            <w:tcW w:w="1300" w:type="dxa"/>
            <w:shd w:val="clear" w:color="auto" w:fill="auto"/>
          </w:tcPr>
          <w:p w14:paraId="79B09372" w14:textId="60A64D6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0615658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7DE532F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CE1847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6</w:t>
            </w:r>
          </w:p>
        </w:tc>
        <w:tc>
          <w:tcPr>
            <w:tcW w:w="743" w:type="dxa"/>
            <w:shd w:val="clear" w:color="auto" w:fill="auto"/>
          </w:tcPr>
          <w:p w14:paraId="52A4062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 - in table</w:t>
            </w:r>
          </w:p>
        </w:tc>
        <w:tc>
          <w:tcPr>
            <w:tcW w:w="1256" w:type="dxa"/>
            <w:shd w:val="clear" w:color="auto" w:fill="auto"/>
          </w:tcPr>
          <w:p w14:paraId="798BD03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VAS optical scale to assess pain, APS-NRS score, Likert scale</w:t>
            </w:r>
          </w:p>
        </w:tc>
        <w:tc>
          <w:tcPr>
            <w:tcW w:w="790" w:type="dxa"/>
            <w:shd w:val="clear" w:color="auto" w:fill="auto"/>
          </w:tcPr>
          <w:p w14:paraId="03C0B378" w14:textId="614EFF6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0.94 (1.53 to 0.35)</w:t>
            </w:r>
          </w:p>
        </w:tc>
        <w:tc>
          <w:tcPr>
            <w:tcW w:w="1076" w:type="dxa"/>
            <w:shd w:val="clear" w:color="auto" w:fill="auto"/>
          </w:tcPr>
          <w:p w14:paraId="12B1A716" w14:textId="6A8EED8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 xml:space="preserve">I² </w:t>
            </w:r>
            <w:r w:rsidR="00173487">
              <w:rPr>
                <w:sz w:val="16"/>
                <w:szCs w:val="16"/>
              </w:rPr>
              <w:t>=</w:t>
            </w:r>
            <w:r w:rsidR="00173487" w:rsidRPr="00D518FF">
              <w:rPr>
                <w:sz w:val="16"/>
                <w:szCs w:val="16"/>
              </w:rPr>
              <w:t xml:space="preserve"> </w:t>
            </w:r>
            <w:r w:rsidRPr="00D518FF">
              <w:rPr>
                <w:sz w:val="16"/>
                <w:szCs w:val="16"/>
              </w:rPr>
              <w:t>92.2%</w:t>
            </w:r>
          </w:p>
        </w:tc>
        <w:tc>
          <w:tcPr>
            <w:tcW w:w="1011" w:type="dxa"/>
          </w:tcPr>
          <w:p w14:paraId="44224AF4" w14:textId="4DC3F569"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6FF01233" w14:textId="1B9F2A31" w:rsidR="00A72A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545ED379" w14:textId="6717795A" w:rsidTr="004C6AA1">
        <w:trPr>
          <w:trHeight w:val="156"/>
        </w:trPr>
        <w:tc>
          <w:tcPr>
            <w:tcW w:w="1256" w:type="dxa"/>
            <w:shd w:val="clear" w:color="auto" w:fill="auto"/>
          </w:tcPr>
          <w:p w14:paraId="5F1B316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Konstantis 2023</w:t>
            </w:r>
          </w:p>
        </w:tc>
        <w:tc>
          <w:tcPr>
            <w:tcW w:w="887" w:type="dxa"/>
            <w:shd w:val="clear" w:color="auto" w:fill="auto"/>
          </w:tcPr>
          <w:p w14:paraId="3142EF9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6FEE7661" w14:textId="5382CDF9"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A4051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 patients categorized solely according to the Rome IV criteria, adult</w:t>
            </w:r>
          </w:p>
        </w:tc>
        <w:tc>
          <w:tcPr>
            <w:tcW w:w="1300" w:type="dxa"/>
            <w:shd w:val="clear" w:color="auto" w:fill="auto"/>
          </w:tcPr>
          <w:p w14:paraId="00749257" w14:textId="2A6C51DB"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31ECE0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1FD3964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338E0B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w:t>
            </w:r>
          </w:p>
        </w:tc>
        <w:tc>
          <w:tcPr>
            <w:tcW w:w="743" w:type="dxa"/>
            <w:shd w:val="clear" w:color="auto" w:fill="auto"/>
          </w:tcPr>
          <w:p w14:paraId="0810E60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 - in table</w:t>
            </w:r>
          </w:p>
        </w:tc>
        <w:tc>
          <w:tcPr>
            <w:tcW w:w="1256" w:type="dxa"/>
            <w:shd w:val="clear" w:color="auto" w:fill="auto"/>
          </w:tcPr>
          <w:p w14:paraId="0B55056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VAS, qol-score</w:t>
            </w:r>
          </w:p>
        </w:tc>
        <w:tc>
          <w:tcPr>
            <w:tcW w:w="790" w:type="dxa"/>
            <w:shd w:val="clear" w:color="auto" w:fill="auto"/>
          </w:tcPr>
          <w:p w14:paraId="57BC14DE" w14:textId="2DEA827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–0.64, (–1.27 to 0.00)</w:t>
            </w:r>
          </w:p>
        </w:tc>
        <w:tc>
          <w:tcPr>
            <w:tcW w:w="1076" w:type="dxa"/>
            <w:shd w:val="clear" w:color="auto" w:fill="auto"/>
          </w:tcPr>
          <w:p w14:paraId="65797ACD" w14:textId="5ACB0E1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 </w:t>
            </w:r>
            <w:r>
              <w:rPr>
                <w:sz w:val="16"/>
                <w:szCs w:val="16"/>
              </w:rPr>
              <w:t xml:space="preserve">I² </w:t>
            </w:r>
            <w:r w:rsidR="00173487">
              <w:rPr>
                <w:sz w:val="16"/>
                <w:szCs w:val="16"/>
              </w:rPr>
              <w:t>=</w:t>
            </w:r>
            <w:r w:rsidR="00173487" w:rsidRPr="00D518FF">
              <w:rPr>
                <w:sz w:val="16"/>
                <w:szCs w:val="16"/>
              </w:rPr>
              <w:t xml:space="preserve"> </w:t>
            </w:r>
            <w:r w:rsidRPr="00D518FF">
              <w:rPr>
                <w:sz w:val="16"/>
                <w:szCs w:val="16"/>
              </w:rPr>
              <w:t>93,9%</w:t>
            </w:r>
          </w:p>
        </w:tc>
        <w:tc>
          <w:tcPr>
            <w:tcW w:w="1011" w:type="dxa"/>
          </w:tcPr>
          <w:p w14:paraId="3452E23A" w14:textId="71AA976E"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A975488" w14:textId="167F7FB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78E4BA06" w14:textId="77D5559B" w:rsidTr="004C6AA1">
        <w:trPr>
          <w:trHeight w:val="156"/>
        </w:trPr>
        <w:tc>
          <w:tcPr>
            <w:tcW w:w="1256" w:type="dxa"/>
            <w:shd w:val="clear" w:color="auto" w:fill="auto"/>
          </w:tcPr>
          <w:p w14:paraId="54E3AEC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Korterink 2014</w:t>
            </w:r>
          </w:p>
        </w:tc>
        <w:tc>
          <w:tcPr>
            <w:tcW w:w="887" w:type="dxa"/>
            <w:shd w:val="clear" w:color="auto" w:fill="auto"/>
          </w:tcPr>
          <w:p w14:paraId="3DB5377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6C1E10B8" w14:textId="5C24B08F"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874550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Children and adolescents with functional gastrointestinal disorders - IBS subgroup analysis</w:t>
            </w:r>
          </w:p>
        </w:tc>
        <w:tc>
          <w:tcPr>
            <w:tcW w:w="1300" w:type="dxa"/>
            <w:shd w:val="clear" w:color="auto" w:fill="auto"/>
          </w:tcPr>
          <w:p w14:paraId="01EF0D38" w14:textId="782D0FE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ADAD3B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7F9F4E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B35C47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743" w:type="dxa"/>
            <w:shd w:val="clear" w:color="auto" w:fill="auto"/>
          </w:tcPr>
          <w:p w14:paraId="38C00FE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3B2F13F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81DDF06" w14:textId="4D72395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1.62 (1.27 to 2.06)</w:t>
            </w:r>
          </w:p>
        </w:tc>
        <w:tc>
          <w:tcPr>
            <w:tcW w:w="1076" w:type="dxa"/>
            <w:shd w:val="clear" w:color="auto" w:fill="auto"/>
          </w:tcPr>
          <w:p w14:paraId="4D01990F" w14:textId="2E8DA0E8"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20%, p = 0.29</w:t>
            </w:r>
          </w:p>
        </w:tc>
        <w:tc>
          <w:tcPr>
            <w:tcW w:w="1011" w:type="dxa"/>
          </w:tcPr>
          <w:p w14:paraId="3C407258" w14:textId="38805272"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4E420CD3" w14:textId="72337C9C" w:rsidR="00A72A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0FCEDE78" w14:textId="3BC81F4F" w:rsidTr="004C6AA1">
        <w:trPr>
          <w:trHeight w:val="156"/>
        </w:trPr>
        <w:tc>
          <w:tcPr>
            <w:tcW w:w="1256" w:type="dxa"/>
            <w:shd w:val="clear" w:color="auto" w:fill="auto"/>
          </w:tcPr>
          <w:p w14:paraId="79C1812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Korterink 2014</w:t>
            </w:r>
          </w:p>
        </w:tc>
        <w:tc>
          <w:tcPr>
            <w:tcW w:w="887" w:type="dxa"/>
            <w:shd w:val="clear" w:color="auto" w:fill="auto"/>
          </w:tcPr>
          <w:p w14:paraId="0F846A2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6, 7</w:t>
            </w:r>
          </w:p>
        </w:tc>
        <w:tc>
          <w:tcPr>
            <w:tcW w:w="937" w:type="dxa"/>
            <w:shd w:val="clear" w:color="auto" w:fill="auto"/>
          </w:tcPr>
          <w:p w14:paraId="65E8D11A" w14:textId="06963565"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FAAAD1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Children and adolescents with functional gastrointestinal disorders - IBS subgroup analysis</w:t>
            </w:r>
          </w:p>
        </w:tc>
        <w:tc>
          <w:tcPr>
            <w:tcW w:w="1300" w:type="dxa"/>
            <w:shd w:val="clear" w:color="auto" w:fill="auto"/>
          </w:tcPr>
          <w:p w14:paraId="41BFDCC5" w14:textId="389F4A2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788543F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2B8E134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485966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743" w:type="dxa"/>
            <w:shd w:val="clear" w:color="auto" w:fill="auto"/>
          </w:tcPr>
          <w:p w14:paraId="13E8D06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6590D6F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The questionnaires used gathered information about defecation frequency and consistency. </w:t>
            </w:r>
          </w:p>
        </w:tc>
        <w:tc>
          <w:tcPr>
            <w:tcW w:w="790" w:type="dxa"/>
            <w:shd w:val="clear" w:color="auto" w:fill="auto"/>
          </w:tcPr>
          <w:p w14:paraId="009394C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076" w:type="dxa"/>
            <w:shd w:val="clear" w:color="auto" w:fill="auto"/>
          </w:tcPr>
          <w:p w14:paraId="38BE6D7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One study did not find a significant improvement in stool pattern comparing LGG with placebo (50 participants, p = 0.61). The other study also failed to show a significant effect of VSL#3 on improving stool pattern in children with IBS (59 participants, p = 0.06).</w:t>
            </w:r>
          </w:p>
        </w:tc>
        <w:tc>
          <w:tcPr>
            <w:tcW w:w="1011" w:type="dxa"/>
          </w:tcPr>
          <w:p w14:paraId="2C98BB83" w14:textId="2DE7A014"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765E588" w14:textId="05E13AC8"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601B1A70" w14:textId="5EBDAE9C" w:rsidTr="004C6AA1">
        <w:trPr>
          <w:trHeight w:val="156"/>
        </w:trPr>
        <w:tc>
          <w:tcPr>
            <w:tcW w:w="1256" w:type="dxa"/>
            <w:shd w:val="clear" w:color="auto" w:fill="auto"/>
          </w:tcPr>
          <w:p w14:paraId="70B1A36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Liang 2019</w:t>
            </w:r>
          </w:p>
        </w:tc>
        <w:tc>
          <w:tcPr>
            <w:tcW w:w="887" w:type="dxa"/>
            <w:shd w:val="clear" w:color="auto" w:fill="auto"/>
          </w:tcPr>
          <w:p w14:paraId="69D7AF9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12772A37" w14:textId="6FE99601"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09B3FF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(age ≥18 years) with IBS</w:t>
            </w:r>
          </w:p>
        </w:tc>
        <w:tc>
          <w:tcPr>
            <w:tcW w:w="1300" w:type="dxa"/>
            <w:shd w:val="clear" w:color="auto" w:fill="auto"/>
          </w:tcPr>
          <w:p w14:paraId="5EF1EB94" w14:textId="1DD9DB1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01E7687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25A0023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681AF0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13</w:t>
            </w:r>
          </w:p>
        </w:tc>
        <w:tc>
          <w:tcPr>
            <w:tcW w:w="743" w:type="dxa"/>
            <w:shd w:val="clear" w:color="auto" w:fill="auto"/>
          </w:tcPr>
          <w:p w14:paraId="382589F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1573</w:t>
            </w:r>
          </w:p>
        </w:tc>
        <w:tc>
          <w:tcPr>
            <w:tcW w:w="1256" w:type="dxa"/>
            <w:shd w:val="clear" w:color="auto" w:fill="auto"/>
          </w:tcPr>
          <w:p w14:paraId="132ADFCA" w14:textId="614F26D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Dichotomous data are “responders” which reflect the global efficacy of probiotics, defined as reporting “adequate relief (AR)” or “satisfactory relief (SR)” of IBS symptoms </w:t>
            </w:r>
            <w:r w:rsidRPr="00D518FF">
              <w:rPr>
                <w:sz w:val="16"/>
                <w:szCs w:val="16"/>
              </w:rPr>
              <w:lastRenderedPageBreak/>
              <w:t>for &gt;50% of the time</w:t>
            </w:r>
          </w:p>
        </w:tc>
        <w:tc>
          <w:tcPr>
            <w:tcW w:w="790" w:type="dxa"/>
            <w:shd w:val="clear" w:color="auto" w:fill="auto"/>
          </w:tcPr>
          <w:p w14:paraId="6ED8030D" w14:textId="7894F94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xml:space="preserve">RR = 1.27 (1.13 to 1.44); P &lt; .001 </w:t>
            </w:r>
          </w:p>
        </w:tc>
        <w:tc>
          <w:tcPr>
            <w:tcW w:w="1076" w:type="dxa"/>
            <w:shd w:val="clear" w:color="auto" w:fill="auto"/>
          </w:tcPr>
          <w:p w14:paraId="6FF9EC2D" w14:textId="29D235F1"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34%</w:t>
            </w:r>
          </w:p>
        </w:tc>
        <w:tc>
          <w:tcPr>
            <w:tcW w:w="1011" w:type="dxa"/>
          </w:tcPr>
          <w:p w14:paraId="1AC9C48B" w14:textId="29F4EFBE"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2DE075D5" w14:textId="644A8B2A" w:rsidR="00A72A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4792874E" w14:textId="5D99048E" w:rsidTr="004C6AA1">
        <w:trPr>
          <w:trHeight w:val="156"/>
        </w:trPr>
        <w:tc>
          <w:tcPr>
            <w:tcW w:w="1256" w:type="dxa"/>
            <w:shd w:val="clear" w:color="auto" w:fill="auto"/>
          </w:tcPr>
          <w:p w14:paraId="0AD2149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Mcfarland 2008</w:t>
            </w:r>
          </w:p>
        </w:tc>
        <w:tc>
          <w:tcPr>
            <w:tcW w:w="887" w:type="dxa"/>
            <w:shd w:val="clear" w:color="auto" w:fill="auto"/>
          </w:tcPr>
          <w:p w14:paraId="386D309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4FEDBFC3" w14:textId="6F2C960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EE26A7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300" w:type="dxa"/>
            <w:shd w:val="clear" w:color="auto" w:fill="auto"/>
          </w:tcPr>
          <w:p w14:paraId="7F1A3947" w14:textId="300E262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C145CE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243C79A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F141246" w14:textId="0B5A612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14 comparisons from 12 trials</w:t>
            </w:r>
          </w:p>
        </w:tc>
        <w:tc>
          <w:tcPr>
            <w:tcW w:w="743" w:type="dxa"/>
            <w:shd w:val="clear" w:color="auto" w:fill="auto"/>
          </w:tcPr>
          <w:p w14:paraId="000DE50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30179F4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5460B96" w14:textId="37671A1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0.77 (0.62 to 0.94)</w:t>
            </w:r>
          </w:p>
        </w:tc>
        <w:tc>
          <w:tcPr>
            <w:tcW w:w="1076" w:type="dxa"/>
            <w:shd w:val="clear" w:color="auto" w:fill="auto"/>
          </w:tcPr>
          <w:p w14:paraId="3B3741B9" w14:textId="3C420AE7"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68.3%, P = 0.000</w:t>
            </w:r>
          </w:p>
        </w:tc>
        <w:tc>
          <w:tcPr>
            <w:tcW w:w="1011" w:type="dxa"/>
          </w:tcPr>
          <w:p w14:paraId="3DA59CE2" w14:textId="349E02A6"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25099D8" w14:textId="64FF9FE2" w:rsidR="00A72A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50D7DE32" w14:textId="6DEACAB1" w:rsidTr="004C6AA1">
        <w:trPr>
          <w:trHeight w:val="156"/>
        </w:trPr>
        <w:tc>
          <w:tcPr>
            <w:tcW w:w="1256" w:type="dxa"/>
            <w:shd w:val="clear" w:color="auto" w:fill="auto"/>
          </w:tcPr>
          <w:p w14:paraId="5B5DA49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Mcfarland 2008</w:t>
            </w:r>
          </w:p>
        </w:tc>
        <w:tc>
          <w:tcPr>
            <w:tcW w:w="887" w:type="dxa"/>
            <w:shd w:val="clear" w:color="auto" w:fill="auto"/>
          </w:tcPr>
          <w:p w14:paraId="3280D66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13AD1BAF" w14:textId="1C847984"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30BD73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300" w:type="dxa"/>
            <w:shd w:val="clear" w:color="auto" w:fill="auto"/>
          </w:tcPr>
          <w:p w14:paraId="284D8173" w14:textId="3AC1A8B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06BF27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841A95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A09DD2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11 comparisons from 8 trials</w:t>
            </w:r>
          </w:p>
        </w:tc>
        <w:tc>
          <w:tcPr>
            <w:tcW w:w="743" w:type="dxa"/>
            <w:shd w:val="clear" w:color="auto" w:fill="auto"/>
          </w:tcPr>
          <w:p w14:paraId="4775C84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0C9144F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3C0F1377" w14:textId="27D9011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0.78 (0.69 to 0.88)</w:t>
            </w:r>
          </w:p>
        </w:tc>
        <w:tc>
          <w:tcPr>
            <w:tcW w:w="1076" w:type="dxa"/>
            <w:shd w:val="clear" w:color="auto" w:fill="auto"/>
          </w:tcPr>
          <w:p w14:paraId="296A995E" w14:textId="4E5382A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The pooled </w:t>
            </w:r>
            <w:r w:rsidR="00173487">
              <w:rPr>
                <w:sz w:val="16"/>
                <w:szCs w:val="16"/>
              </w:rPr>
              <w:t>RR</w:t>
            </w:r>
            <w:r w:rsidRPr="00D518FF">
              <w:rPr>
                <w:sz w:val="16"/>
                <w:szCs w:val="16"/>
              </w:rPr>
              <w:t xml:space="preserve"> for abdominal pain was similar when weighted by study quality (RR pooled = 0.61; 95% CI, 0.45-0.81) and after exclusion of the two trials conducted in children (RR pooled = 0.77; 95% CI, 0.68-0.88).</w:t>
            </w:r>
          </w:p>
        </w:tc>
        <w:tc>
          <w:tcPr>
            <w:tcW w:w="1011" w:type="dxa"/>
          </w:tcPr>
          <w:p w14:paraId="3221BEAF" w14:textId="2CD85DBE"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636ECA88" w14:textId="4921D629"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5F47D2E8" w14:textId="6258A6E7" w:rsidTr="004C6AA1">
        <w:trPr>
          <w:trHeight w:val="156"/>
        </w:trPr>
        <w:tc>
          <w:tcPr>
            <w:tcW w:w="1256" w:type="dxa"/>
            <w:shd w:val="clear" w:color="auto" w:fill="auto"/>
          </w:tcPr>
          <w:p w14:paraId="047402F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Mcfarland 2021</w:t>
            </w:r>
          </w:p>
        </w:tc>
        <w:tc>
          <w:tcPr>
            <w:tcW w:w="887" w:type="dxa"/>
            <w:shd w:val="clear" w:color="auto" w:fill="auto"/>
          </w:tcPr>
          <w:p w14:paraId="71A1F57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6D540571" w14:textId="213670E1"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4B61A71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Adult or pediatric patients diagnosed with IBS </w:t>
            </w:r>
          </w:p>
        </w:tc>
        <w:tc>
          <w:tcPr>
            <w:tcW w:w="1300" w:type="dxa"/>
            <w:shd w:val="clear" w:color="auto" w:fill="auto"/>
          </w:tcPr>
          <w:p w14:paraId="7C537ACF" w14:textId="3E9ED95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99B618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8F8EAA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04E0EF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15 comparisons from 12 trials</w:t>
            </w:r>
          </w:p>
        </w:tc>
        <w:tc>
          <w:tcPr>
            <w:tcW w:w="743" w:type="dxa"/>
            <w:shd w:val="clear" w:color="auto" w:fill="auto"/>
          </w:tcPr>
          <w:p w14:paraId="1DA1B3F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5F82AD9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Change in IBS symptom scores</w:t>
            </w:r>
          </w:p>
        </w:tc>
        <w:tc>
          <w:tcPr>
            <w:tcW w:w="790" w:type="dxa"/>
            <w:shd w:val="clear" w:color="auto" w:fill="auto"/>
          </w:tcPr>
          <w:p w14:paraId="334ACBBB" w14:textId="456A9CF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–2.39 (–3.32 to –1.46)</w:t>
            </w:r>
          </w:p>
        </w:tc>
        <w:tc>
          <w:tcPr>
            <w:tcW w:w="1076" w:type="dxa"/>
            <w:shd w:val="clear" w:color="auto" w:fill="auto"/>
          </w:tcPr>
          <w:p w14:paraId="57769628" w14:textId="1B6497B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Heterogeneity in the 21 RCTs with this outcome was high (</w:t>
            </w:r>
            <w:r>
              <w:rPr>
                <w:sz w:val="16"/>
                <w:szCs w:val="16"/>
              </w:rPr>
              <w:t xml:space="preserve">I² </w:t>
            </w:r>
            <w:r w:rsidRPr="00D518FF">
              <w:rPr>
                <w:sz w:val="16"/>
                <w:szCs w:val="16"/>
              </w:rPr>
              <w:t>= 97.9%)</w:t>
            </w:r>
            <w:r w:rsidR="00173487">
              <w:rPr>
                <w:sz w:val="16"/>
                <w:szCs w:val="16"/>
              </w:rPr>
              <w:t>.</w:t>
            </w:r>
          </w:p>
        </w:tc>
        <w:tc>
          <w:tcPr>
            <w:tcW w:w="1011" w:type="dxa"/>
          </w:tcPr>
          <w:p w14:paraId="62A4E7C6" w14:textId="039107C9"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7E07D3B1" w14:textId="60FCF08B"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02AB86B0" w14:textId="5B2BEE1A" w:rsidTr="004C6AA1">
        <w:trPr>
          <w:trHeight w:val="156"/>
        </w:trPr>
        <w:tc>
          <w:tcPr>
            <w:tcW w:w="1256" w:type="dxa"/>
            <w:shd w:val="clear" w:color="auto" w:fill="auto"/>
          </w:tcPr>
          <w:p w14:paraId="6172FE2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Mcfarland 2021</w:t>
            </w:r>
          </w:p>
        </w:tc>
        <w:tc>
          <w:tcPr>
            <w:tcW w:w="887" w:type="dxa"/>
            <w:shd w:val="clear" w:color="auto" w:fill="auto"/>
          </w:tcPr>
          <w:p w14:paraId="138CD8E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1D6A4C12" w14:textId="40953CDB"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11F517D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Adult or pediatric patients diagnosed with IBS </w:t>
            </w:r>
          </w:p>
        </w:tc>
        <w:tc>
          <w:tcPr>
            <w:tcW w:w="1300" w:type="dxa"/>
            <w:shd w:val="clear" w:color="auto" w:fill="auto"/>
          </w:tcPr>
          <w:p w14:paraId="029F9F7F" w14:textId="1B62787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0B6743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329490B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87F775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32 comparisons from 29 trials</w:t>
            </w:r>
          </w:p>
        </w:tc>
        <w:tc>
          <w:tcPr>
            <w:tcW w:w="743" w:type="dxa"/>
            <w:shd w:val="clear" w:color="auto" w:fill="auto"/>
          </w:tcPr>
          <w:p w14:paraId="1D1248C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617EE40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Change in IBS abdominal pain scores</w:t>
            </w:r>
          </w:p>
        </w:tc>
        <w:tc>
          <w:tcPr>
            <w:tcW w:w="790" w:type="dxa"/>
            <w:shd w:val="clear" w:color="auto" w:fill="auto"/>
          </w:tcPr>
          <w:p w14:paraId="5BFE529B" w14:textId="6F9A713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–1.47 (1.95 to –0.99)</w:t>
            </w:r>
          </w:p>
        </w:tc>
        <w:tc>
          <w:tcPr>
            <w:tcW w:w="1076" w:type="dxa"/>
            <w:shd w:val="clear" w:color="auto" w:fill="auto"/>
          </w:tcPr>
          <w:p w14:paraId="46B3E664" w14:textId="3DC1FB2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Overall, the heterogeneity in the 29 RCTs with this outcome was high (</w:t>
            </w:r>
            <w:r>
              <w:rPr>
                <w:sz w:val="16"/>
                <w:szCs w:val="16"/>
              </w:rPr>
              <w:t xml:space="preserve">I² </w:t>
            </w:r>
            <w:r w:rsidRPr="00D518FF">
              <w:rPr>
                <w:sz w:val="16"/>
                <w:szCs w:val="16"/>
              </w:rPr>
              <w:t>= 95.9%),</w:t>
            </w:r>
          </w:p>
        </w:tc>
        <w:tc>
          <w:tcPr>
            <w:tcW w:w="1011" w:type="dxa"/>
          </w:tcPr>
          <w:p w14:paraId="474F4D46" w14:textId="6DE4619D"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3F5A4AB7" w14:textId="798A3CE6"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32194490" w14:textId="12FDE805" w:rsidTr="004C6AA1">
        <w:trPr>
          <w:trHeight w:val="156"/>
        </w:trPr>
        <w:tc>
          <w:tcPr>
            <w:tcW w:w="1256" w:type="dxa"/>
            <w:shd w:val="clear" w:color="auto" w:fill="auto"/>
          </w:tcPr>
          <w:p w14:paraId="095AB8B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Mcfarland 2021</w:t>
            </w:r>
          </w:p>
        </w:tc>
        <w:tc>
          <w:tcPr>
            <w:tcW w:w="887" w:type="dxa"/>
            <w:shd w:val="clear" w:color="auto" w:fill="auto"/>
          </w:tcPr>
          <w:p w14:paraId="786D602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170FC6C8" w14:textId="384C8496"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349976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Adult or pediatric patients </w:t>
            </w:r>
            <w:r w:rsidRPr="00D518FF">
              <w:rPr>
                <w:sz w:val="16"/>
                <w:szCs w:val="16"/>
              </w:rPr>
              <w:lastRenderedPageBreak/>
              <w:t xml:space="preserve">diagnosed with IBS </w:t>
            </w:r>
          </w:p>
        </w:tc>
        <w:tc>
          <w:tcPr>
            <w:tcW w:w="1300" w:type="dxa"/>
            <w:shd w:val="clear" w:color="auto" w:fill="auto"/>
          </w:tcPr>
          <w:p w14:paraId="494360AE" w14:textId="285A499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xml:space="preserve">Eligible supplement VS </w:t>
            </w:r>
            <w:r w:rsidRPr="00D518FF">
              <w:rPr>
                <w:sz w:val="16"/>
                <w:szCs w:val="16"/>
              </w:rPr>
              <w:lastRenderedPageBreak/>
              <w:t>placebo/inactive control</w:t>
            </w:r>
          </w:p>
        </w:tc>
        <w:tc>
          <w:tcPr>
            <w:tcW w:w="1112" w:type="dxa"/>
            <w:shd w:val="clear" w:color="auto" w:fill="auto"/>
          </w:tcPr>
          <w:p w14:paraId="38E0C78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Probiotics</w:t>
            </w:r>
          </w:p>
        </w:tc>
        <w:tc>
          <w:tcPr>
            <w:tcW w:w="938" w:type="dxa"/>
            <w:shd w:val="clear" w:color="auto" w:fill="auto"/>
          </w:tcPr>
          <w:p w14:paraId="225286F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310892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32 comparisons </w:t>
            </w:r>
            <w:r w:rsidRPr="00D518FF">
              <w:rPr>
                <w:sz w:val="16"/>
                <w:szCs w:val="16"/>
              </w:rPr>
              <w:lastRenderedPageBreak/>
              <w:t>from 11 trials</w:t>
            </w:r>
          </w:p>
        </w:tc>
        <w:tc>
          <w:tcPr>
            <w:tcW w:w="743" w:type="dxa"/>
            <w:shd w:val="clear" w:color="auto" w:fill="auto"/>
          </w:tcPr>
          <w:p w14:paraId="3C6B35D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NR</w:t>
            </w:r>
          </w:p>
        </w:tc>
        <w:tc>
          <w:tcPr>
            <w:tcW w:w="1256" w:type="dxa"/>
            <w:shd w:val="clear" w:color="auto" w:fill="auto"/>
          </w:tcPr>
          <w:p w14:paraId="77FDB00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Frequency reporting less </w:t>
            </w:r>
            <w:r w:rsidRPr="00D518FF">
              <w:rPr>
                <w:sz w:val="16"/>
                <w:szCs w:val="16"/>
              </w:rPr>
              <w:lastRenderedPageBreak/>
              <w:t>abdominal pain by study end</w:t>
            </w:r>
          </w:p>
        </w:tc>
        <w:tc>
          <w:tcPr>
            <w:tcW w:w="790" w:type="dxa"/>
            <w:shd w:val="clear" w:color="auto" w:fill="auto"/>
          </w:tcPr>
          <w:p w14:paraId="5A55FEF6" w14:textId="108C1AC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xml:space="preserve">SMD = 1.94 </w:t>
            </w:r>
            <w:r w:rsidRPr="00D518FF">
              <w:rPr>
                <w:sz w:val="16"/>
                <w:szCs w:val="16"/>
              </w:rPr>
              <w:lastRenderedPageBreak/>
              <w:t>(1.39 to 2.71)</w:t>
            </w:r>
          </w:p>
        </w:tc>
        <w:tc>
          <w:tcPr>
            <w:tcW w:w="1076" w:type="dxa"/>
            <w:shd w:val="clear" w:color="auto" w:fill="auto"/>
          </w:tcPr>
          <w:p w14:paraId="30231316" w14:textId="3395D8E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xml:space="preserve">Overall, the heterogeneity in the 13 </w:t>
            </w:r>
            <w:r w:rsidRPr="00D518FF">
              <w:rPr>
                <w:sz w:val="16"/>
                <w:szCs w:val="16"/>
              </w:rPr>
              <w:lastRenderedPageBreak/>
              <w:t>RCTs with this outcome was high (</w:t>
            </w:r>
            <w:r>
              <w:rPr>
                <w:sz w:val="16"/>
                <w:szCs w:val="16"/>
              </w:rPr>
              <w:t xml:space="preserve">I² </w:t>
            </w:r>
            <w:r w:rsidRPr="00D518FF">
              <w:rPr>
                <w:sz w:val="16"/>
                <w:szCs w:val="16"/>
              </w:rPr>
              <w:t>=87%),</w:t>
            </w:r>
          </w:p>
        </w:tc>
        <w:tc>
          <w:tcPr>
            <w:tcW w:w="1011" w:type="dxa"/>
          </w:tcPr>
          <w:p w14:paraId="0F5885F2" w14:textId="6D81BBB1"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31BAC9D4" w14:textId="3B6AE82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2333BBF5" w14:textId="13CB4368" w:rsidTr="004C6AA1">
        <w:trPr>
          <w:trHeight w:val="156"/>
        </w:trPr>
        <w:tc>
          <w:tcPr>
            <w:tcW w:w="1256" w:type="dxa"/>
            <w:shd w:val="clear" w:color="auto" w:fill="auto"/>
          </w:tcPr>
          <w:p w14:paraId="0E6810D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Moayyedi 2010</w:t>
            </w:r>
          </w:p>
        </w:tc>
        <w:tc>
          <w:tcPr>
            <w:tcW w:w="887" w:type="dxa"/>
            <w:shd w:val="clear" w:color="auto" w:fill="auto"/>
          </w:tcPr>
          <w:p w14:paraId="495B01B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435D9BC0" w14:textId="6A873EF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92CFF8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Adult patients with IBS (over the age of 16 years) </w:t>
            </w:r>
          </w:p>
        </w:tc>
        <w:tc>
          <w:tcPr>
            <w:tcW w:w="1300" w:type="dxa"/>
            <w:shd w:val="clear" w:color="auto" w:fill="auto"/>
          </w:tcPr>
          <w:p w14:paraId="4E538B4D" w14:textId="02F0266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7613D7B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7247AA5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25FFA5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10</w:t>
            </w:r>
          </w:p>
        </w:tc>
        <w:tc>
          <w:tcPr>
            <w:tcW w:w="743" w:type="dxa"/>
            <w:shd w:val="clear" w:color="auto" w:fill="auto"/>
          </w:tcPr>
          <w:p w14:paraId="7714CBB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533</w:t>
            </w:r>
          </w:p>
        </w:tc>
        <w:tc>
          <w:tcPr>
            <w:tcW w:w="1256" w:type="dxa"/>
            <w:shd w:val="clear" w:color="auto" w:fill="auto"/>
          </w:tcPr>
          <w:p w14:paraId="73D887C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Dichotomous outcome</w:t>
            </w:r>
          </w:p>
        </w:tc>
        <w:tc>
          <w:tcPr>
            <w:tcW w:w="790" w:type="dxa"/>
            <w:shd w:val="clear" w:color="auto" w:fill="auto"/>
          </w:tcPr>
          <w:p w14:paraId="54DD6B4E" w14:textId="147A4F3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0.71 (0.57 to 0.88)</w:t>
            </w:r>
          </w:p>
        </w:tc>
        <w:tc>
          <w:tcPr>
            <w:tcW w:w="1076" w:type="dxa"/>
            <w:shd w:val="clear" w:color="auto" w:fill="auto"/>
          </w:tcPr>
          <w:p w14:paraId="4D6A67FA" w14:textId="0FF7DF5B"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68.2% </w:t>
            </w:r>
          </w:p>
        </w:tc>
        <w:tc>
          <w:tcPr>
            <w:tcW w:w="1011" w:type="dxa"/>
          </w:tcPr>
          <w:p w14:paraId="1B33489C" w14:textId="250A78A7"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77E59983" w14:textId="71E28C75"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2B0BEE36" w14:textId="56E296F2" w:rsidTr="004C6AA1">
        <w:trPr>
          <w:trHeight w:val="156"/>
        </w:trPr>
        <w:tc>
          <w:tcPr>
            <w:tcW w:w="1256" w:type="dxa"/>
            <w:shd w:val="clear" w:color="auto" w:fill="auto"/>
          </w:tcPr>
          <w:p w14:paraId="12BE6E3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Moayyedi 2010</w:t>
            </w:r>
          </w:p>
        </w:tc>
        <w:tc>
          <w:tcPr>
            <w:tcW w:w="887" w:type="dxa"/>
            <w:shd w:val="clear" w:color="auto" w:fill="auto"/>
          </w:tcPr>
          <w:p w14:paraId="2E97D18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114E312A" w14:textId="618766B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FC0DB2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Adult patients with IBS (over the age of 16 years) </w:t>
            </w:r>
          </w:p>
        </w:tc>
        <w:tc>
          <w:tcPr>
            <w:tcW w:w="1300" w:type="dxa"/>
            <w:shd w:val="clear" w:color="auto" w:fill="auto"/>
          </w:tcPr>
          <w:p w14:paraId="24A4E254" w14:textId="1254FDC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48B84F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5778A00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9A0953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15</w:t>
            </w:r>
          </w:p>
        </w:tc>
        <w:tc>
          <w:tcPr>
            <w:tcW w:w="743" w:type="dxa"/>
            <w:shd w:val="clear" w:color="auto" w:fill="auto"/>
          </w:tcPr>
          <w:p w14:paraId="308878C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533</w:t>
            </w:r>
          </w:p>
        </w:tc>
        <w:tc>
          <w:tcPr>
            <w:tcW w:w="1256" w:type="dxa"/>
            <w:shd w:val="clear" w:color="auto" w:fill="auto"/>
          </w:tcPr>
          <w:p w14:paraId="7E8E4D6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Continuous outcome</w:t>
            </w:r>
          </w:p>
        </w:tc>
        <w:tc>
          <w:tcPr>
            <w:tcW w:w="790" w:type="dxa"/>
            <w:shd w:val="clear" w:color="auto" w:fill="auto"/>
          </w:tcPr>
          <w:p w14:paraId="343D0DFD" w14:textId="400CF73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–0.34 (–0.6 to –.07)</w:t>
            </w:r>
          </w:p>
        </w:tc>
        <w:tc>
          <w:tcPr>
            <w:tcW w:w="1076" w:type="dxa"/>
            <w:shd w:val="clear" w:color="auto" w:fill="auto"/>
          </w:tcPr>
          <w:p w14:paraId="254E7003" w14:textId="2E78F206"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79.1% </w:t>
            </w:r>
          </w:p>
        </w:tc>
        <w:tc>
          <w:tcPr>
            <w:tcW w:w="1011" w:type="dxa"/>
          </w:tcPr>
          <w:p w14:paraId="3652DE18" w14:textId="1DC3622E"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4DC59383" w14:textId="2D411F19"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707D2481" w14:textId="3E009811" w:rsidTr="004C6AA1">
        <w:trPr>
          <w:trHeight w:val="156"/>
        </w:trPr>
        <w:tc>
          <w:tcPr>
            <w:tcW w:w="1256" w:type="dxa"/>
            <w:shd w:val="clear" w:color="auto" w:fill="auto"/>
          </w:tcPr>
          <w:p w14:paraId="03BE68E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Moayyedi 2010</w:t>
            </w:r>
          </w:p>
        </w:tc>
        <w:tc>
          <w:tcPr>
            <w:tcW w:w="887" w:type="dxa"/>
            <w:shd w:val="clear" w:color="auto" w:fill="auto"/>
          </w:tcPr>
          <w:p w14:paraId="3ACA62B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013A04AA" w14:textId="227C6448"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9D19CB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Adult patients with IBS (over the age of 16 years) </w:t>
            </w:r>
          </w:p>
        </w:tc>
        <w:tc>
          <w:tcPr>
            <w:tcW w:w="1300" w:type="dxa"/>
            <w:shd w:val="clear" w:color="auto" w:fill="auto"/>
          </w:tcPr>
          <w:p w14:paraId="6976D43A" w14:textId="598F4D0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0EB8AB0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5D86B1C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35F88B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10</w:t>
            </w:r>
          </w:p>
        </w:tc>
        <w:tc>
          <w:tcPr>
            <w:tcW w:w="743" w:type="dxa"/>
            <w:shd w:val="clear" w:color="auto" w:fill="auto"/>
          </w:tcPr>
          <w:p w14:paraId="530BE73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834</w:t>
            </w:r>
          </w:p>
        </w:tc>
        <w:tc>
          <w:tcPr>
            <w:tcW w:w="1256" w:type="dxa"/>
            <w:shd w:val="clear" w:color="auto" w:fill="auto"/>
          </w:tcPr>
          <w:p w14:paraId="0AB2C91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Continuous outcome</w:t>
            </w:r>
          </w:p>
        </w:tc>
        <w:tc>
          <w:tcPr>
            <w:tcW w:w="790" w:type="dxa"/>
            <w:shd w:val="clear" w:color="auto" w:fill="auto"/>
          </w:tcPr>
          <w:p w14:paraId="07D8EDC5" w14:textId="361366A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–0.51 (–0.91 to –0.09), p = 0.016</w:t>
            </w:r>
          </w:p>
        </w:tc>
        <w:tc>
          <w:tcPr>
            <w:tcW w:w="1076" w:type="dxa"/>
            <w:shd w:val="clear" w:color="auto" w:fill="auto"/>
          </w:tcPr>
          <w:p w14:paraId="28264874" w14:textId="033A0EE6"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85%</w:t>
            </w:r>
          </w:p>
        </w:tc>
        <w:tc>
          <w:tcPr>
            <w:tcW w:w="1011" w:type="dxa"/>
          </w:tcPr>
          <w:p w14:paraId="242E3413" w14:textId="6B9A4B6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37D693AD" w14:textId="54C4FD17"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1A4F37E2" w14:textId="3EFA35B2" w:rsidTr="004C6AA1">
        <w:trPr>
          <w:trHeight w:val="156"/>
        </w:trPr>
        <w:tc>
          <w:tcPr>
            <w:tcW w:w="1256" w:type="dxa"/>
            <w:shd w:val="clear" w:color="auto" w:fill="auto"/>
          </w:tcPr>
          <w:p w14:paraId="0BEE53D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Nikfar 2008</w:t>
            </w:r>
          </w:p>
        </w:tc>
        <w:tc>
          <w:tcPr>
            <w:tcW w:w="887" w:type="dxa"/>
            <w:shd w:val="clear" w:color="auto" w:fill="auto"/>
          </w:tcPr>
          <w:p w14:paraId="5114077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086E892B" w14:textId="191FE3EB"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1390E78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Only Rome criteria were accepted for diagnosis of IBS</w:t>
            </w:r>
          </w:p>
        </w:tc>
        <w:tc>
          <w:tcPr>
            <w:tcW w:w="1300" w:type="dxa"/>
            <w:shd w:val="clear" w:color="auto" w:fill="auto"/>
          </w:tcPr>
          <w:p w14:paraId="390FD727" w14:textId="32E78E5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FBDBF3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1D5DAF3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2E16E19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w:t>
            </w:r>
          </w:p>
        </w:tc>
        <w:tc>
          <w:tcPr>
            <w:tcW w:w="743" w:type="dxa"/>
            <w:shd w:val="clear" w:color="auto" w:fill="auto"/>
          </w:tcPr>
          <w:p w14:paraId="3ED8275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1011</w:t>
            </w:r>
          </w:p>
        </w:tc>
        <w:tc>
          <w:tcPr>
            <w:tcW w:w="1256" w:type="dxa"/>
            <w:shd w:val="clear" w:color="auto" w:fill="auto"/>
          </w:tcPr>
          <w:p w14:paraId="0569AF7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"Clinical improvement", measures NR</w:t>
            </w:r>
          </w:p>
        </w:tc>
        <w:tc>
          <w:tcPr>
            <w:tcW w:w="790" w:type="dxa"/>
            <w:shd w:val="clear" w:color="auto" w:fill="auto"/>
          </w:tcPr>
          <w:p w14:paraId="427C2112" w14:textId="215CEE3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1.22 (1.07, 1.40), p = 0.0042</w:t>
            </w:r>
          </w:p>
        </w:tc>
        <w:tc>
          <w:tcPr>
            <w:tcW w:w="1076" w:type="dxa"/>
            <w:shd w:val="clear" w:color="auto" w:fill="auto"/>
          </w:tcPr>
          <w:p w14:paraId="2F0D9106" w14:textId="33175D2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The Cochran</w:t>
            </w:r>
            <w:r w:rsidR="00173487">
              <w:rPr>
                <w:sz w:val="16"/>
                <w:szCs w:val="16"/>
              </w:rPr>
              <w:t>e</w:t>
            </w:r>
            <w:r w:rsidRPr="00D518FF">
              <w:rPr>
                <w:sz w:val="16"/>
                <w:szCs w:val="16"/>
              </w:rPr>
              <w:t xml:space="preserve"> Q test for heterogeneity (P</w:t>
            </w:r>
            <w:r w:rsidR="00173487">
              <w:rPr>
                <w:sz w:val="16"/>
                <w:szCs w:val="16"/>
              </w:rPr>
              <w:t xml:space="preserve"> </w:t>
            </w:r>
            <w:r w:rsidRPr="00D518FF">
              <w:rPr>
                <w:sz w:val="16"/>
                <w:szCs w:val="16"/>
              </w:rPr>
              <w:t>=</w:t>
            </w:r>
            <w:r w:rsidR="00173487">
              <w:rPr>
                <w:sz w:val="16"/>
                <w:szCs w:val="16"/>
              </w:rPr>
              <w:t xml:space="preserve"> </w:t>
            </w:r>
            <w:r w:rsidRPr="00D518FF">
              <w:rPr>
                <w:sz w:val="16"/>
                <w:szCs w:val="16"/>
              </w:rPr>
              <w:t>0.4482) indicated that the studies are homogenous and could be combined thus the fixed effects for individual and summary of RR for meta-analysis of studies have been applied.</w:t>
            </w:r>
          </w:p>
        </w:tc>
        <w:tc>
          <w:tcPr>
            <w:tcW w:w="1011" w:type="dxa"/>
          </w:tcPr>
          <w:p w14:paraId="4D483BFC" w14:textId="194CE187"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FEAD30B" w14:textId="2360A28A"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1DEF0C43" w14:textId="58DB2858" w:rsidTr="004C6AA1">
        <w:trPr>
          <w:trHeight w:val="156"/>
        </w:trPr>
        <w:tc>
          <w:tcPr>
            <w:tcW w:w="1256" w:type="dxa"/>
            <w:shd w:val="clear" w:color="auto" w:fill="auto"/>
          </w:tcPr>
          <w:p w14:paraId="6C1FA72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Niu 2020</w:t>
            </w:r>
          </w:p>
        </w:tc>
        <w:tc>
          <w:tcPr>
            <w:tcW w:w="887" w:type="dxa"/>
            <w:shd w:val="clear" w:color="auto" w:fill="auto"/>
          </w:tcPr>
          <w:p w14:paraId="155D4D8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37740857" w14:textId="777765F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970B25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&gt; 16 years, patients diagnosed with IBS based on a physician's </w:t>
            </w:r>
            <w:r w:rsidRPr="00D518FF">
              <w:rPr>
                <w:sz w:val="16"/>
                <w:szCs w:val="16"/>
              </w:rPr>
              <w:lastRenderedPageBreak/>
              <w:t xml:space="preserve">opinion or symptom-based diagnostic criteria </w:t>
            </w:r>
          </w:p>
        </w:tc>
        <w:tc>
          <w:tcPr>
            <w:tcW w:w="1300" w:type="dxa"/>
            <w:shd w:val="clear" w:color="auto" w:fill="auto"/>
          </w:tcPr>
          <w:p w14:paraId="7376B168" w14:textId="0AE9950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Eligible supplement VS placebo/inactive control</w:t>
            </w:r>
          </w:p>
        </w:tc>
        <w:tc>
          <w:tcPr>
            <w:tcW w:w="1112" w:type="dxa"/>
            <w:shd w:val="clear" w:color="auto" w:fill="auto"/>
          </w:tcPr>
          <w:p w14:paraId="2B80E21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A6E30D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054B9E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23</w:t>
            </w:r>
          </w:p>
        </w:tc>
        <w:tc>
          <w:tcPr>
            <w:tcW w:w="743" w:type="dxa"/>
            <w:shd w:val="clear" w:color="auto" w:fill="auto"/>
          </w:tcPr>
          <w:p w14:paraId="0D6D31F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2575</w:t>
            </w:r>
          </w:p>
        </w:tc>
        <w:tc>
          <w:tcPr>
            <w:tcW w:w="1256" w:type="dxa"/>
            <w:shd w:val="clear" w:color="auto" w:fill="auto"/>
          </w:tcPr>
          <w:p w14:paraId="31233A3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790" w:type="dxa"/>
            <w:shd w:val="clear" w:color="auto" w:fill="auto"/>
          </w:tcPr>
          <w:p w14:paraId="2F7CDCCB" w14:textId="009B261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RR = 0.79 (0.70 to 0.89), P </w:t>
            </w:r>
            <w:r w:rsidRPr="00D518FF">
              <w:rPr>
                <w:sz w:val="16"/>
                <w:szCs w:val="16"/>
              </w:rPr>
              <w:lastRenderedPageBreak/>
              <w:t>&lt; 0.0001)</w:t>
            </w:r>
          </w:p>
        </w:tc>
        <w:tc>
          <w:tcPr>
            <w:tcW w:w="1076" w:type="dxa"/>
            <w:shd w:val="clear" w:color="auto" w:fill="auto"/>
          </w:tcPr>
          <w:p w14:paraId="642F33E8" w14:textId="5C15A3E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xml:space="preserve">Significant heterogeneity was observed (Ph </w:t>
            </w:r>
            <w:r w:rsidRPr="00D518FF">
              <w:rPr>
                <w:sz w:val="16"/>
                <w:szCs w:val="16"/>
              </w:rPr>
              <w:lastRenderedPageBreak/>
              <w:t xml:space="preserve">&lt; 0.00001 and </w:t>
            </w:r>
            <w:r>
              <w:rPr>
                <w:sz w:val="16"/>
                <w:szCs w:val="16"/>
              </w:rPr>
              <w:t>I² =</w:t>
            </w:r>
            <w:r w:rsidRPr="00D518FF">
              <w:rPr>
                <w:sz w:val="16"/>
                <w:szCs w:val="16"/>
              </w:rPr>
              <w:t xml:space="preserve"> 72</w:t>
            </w:r>
            <w:r w:rsidR="00173487">
              <w:rPr>
                <w:sz w:val="16"/>
                <w:szCs w:val="16"/>
              </w:rPr>
              <w:t>).</w:t>
            </w:r>
          </w:p>
        </w:tc>
        <w:tc>
          <w:tcPr>
            <w:tcW w:w="1011" w:type="dxa"/>
          </w:tcPr>
          <w:p w14:paraId="4AECF1E7" w14:textId="3574C9CA"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6AA7A4D6" w14:textId="4939D6A9"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0743E56E" w14:textId="7CB16024" w:rsidTr="004C6AA1">
        <w:trPr>
          <w:trHeight w:val="156"/>
        </w:trPr>
        <w:tc>
          <w:tcPr>
            <w:tcW w:w="1256" w:type="dxa"/>
            <w:shd w:val="clear" w:color="auto" w:fill="auto"/>
          </w:tcPr>
          <w:p w14:paraId="76B619D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Niu 2020</w:t>
            </w:r>
          </w:p>
        </w:tc>
        <w:tc>
          <w:tcPr>
            <w:tcW w:w="887" w:type="dxa"/>
            <w:shd w:val="clear" w:color="auto" w:fill="auto"/>
          </w:tcPr>
          <w:p w14:paraId="43094F9A" w14:textId="5E44E31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1 and 2 (combined </w:t>
            </w:r>
            <w:r w:rsidR="00057801" w:rsidRPr="00D518FF">
              <w:rPr>
                <w:sz w:val="16"/>
                <w:szCs w:val="16"/>
              </w:rPr>
              <w:t>reporting</w:t>
            </w:r>
            <w:r w:rsidRPr="00D518FF">
              <w:rPr>
                <w:sz w:val="16"/>
                <w:szCs w:val="16"/>
              </w:rPr>
              <w:t>)</w:t>
            </w:r>
          </w:p>
        </w:tc>
        <w:tc>
          <w:tcPr>
            <w:tcW w:w="937" w:type="dxa"/>
            <w:shd w:val="clear" w:color="auto" w:fill="auto"/>
          </w:tcPr>
          <w:p w14:paraId="573F9758" w14:textId="3A8FAC64"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D9DE0F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&gt; 16 years, patients diagnosed with IBS based on a physician's opinion or symptom-based diagnostic criteria </w:t>
            </w:r>
          </w:p>
        </w:tc>
        <w:tc>
          <w:tcPr>
            <w:tcW w:w="1300" w:type="dxa"/>
            <w:shd w:val="clear" w:color="auto" w:fill="auto"/>
          </w:tcPr>
          <w:p w14:paraId="6CCD1177" w14:textId="037DFDE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223EDF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76D714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CA07CE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25</w:t>
            </w:r>
          </w:p>
        </w:tc>
        <w:tc>
          <w:tcPr>
            <w:tcW w:w="743" w:type="dxa"/>
            <w:shd w:val="clear" w:color="auto" w:fill="auto"/>
          </w:tcPr>
          <w:p w14:paraId="03E3786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2001</w:t>
            </w:r>
          </w:p>
        </w:tc>
        <w:tc>
          <w:tcPr>
            <w:tcW w:w="1256" w:type="dxa"/>
            <w:shd w:val="clear" w:color="auto" w:fill="auto"/>
          </w:tcPr>
          <w:p w14:paraId="488F489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Global symptom score (GSS) or abdominal pain score (APS)</w:t>
            </w:r>
          </w:p>
        </w:tc>
        <w:tc>
          <w:tcPr>
            <w:tcW w:w="790" w:type="dxa"/>
            <w:shd w:val="clear" w:color="auto" w:fill="auto"/>
          </w:tcPr>
          <w:p w14:paraId="3BE0604F" w14:textId="31C542C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–0.25 (–0.36 to –0.14)</w:t>
            </w:r>
          </w:p>
        </w:tc>
        <w:tc>
          <w:tcPr>
            <w:tcW w:w="1076" w:type="dxa"/>
            <w:shd w:val="clear" w:color="auto" w:fill="auto"/>
          </w:tcPr>
          <w:p w14:paraId="29DB8AEC" w14:textId="0C5EEC2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 significantly reduced the GSS or APS</w:t>
            </w:r>
            <w:r w:rsidR="00173487">
              <w:rPr>
                <w:sz w:val="16"/>
                <w:szCs w:val="16"/>
              </w:rPr>
              <w:t>.</w:t>
            </w:r>
          </w:p>
        </w:tc>
        <w:tc>
          <w:tcPr>
            <w:tcW w:w="1011" w:type="dxa"/>
          </w:tcPr>
          <w:p w14:paraId="11D05E87" w14:textId="5C6E2ABD"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3BC2516B" w14:textId="3C9095D2"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4A1AD1BC" w14:textId="460200BF" w:rsidTr="004C6AA1">
        <w:trPr>
          <w:trHeight w:val="156"/>
        </w:trPr>
        <w:tc>
          <w:tcPr>
            <w:tcW w:w="1256" w:type="dxa"/>
            <w:shd w:val="clear" w:color="auto" w:fill="auto"/>
          </w:tcPr>
          <w:p w14:paraId="52C55F1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Ortiz-Lucas 2013</w:t>
            </w:r>
          </w:p>
        </w:tc>
        <w:tc>
          <w:tcPr>
            <w:tcW w:w="887" w:type="dxa"/>
            <w:shd w:val="clear" w:color="auto" w:fill="auto"/>
          </w:tcPr>
          <w:p w14:paraId="78DDBCA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6D9C82C7" w14:textId="34D55551"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851FA3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&gt;= 18 years, with IBS - Rome criteria I, II, or III for the diagnosis of IBS</w:t>
            </w:r>
          </w:p>
        </w:tc>
        <w:tc>
          <w:tcPr>
            <w:tcW w:w="1300" w:type="dxa"/>
            <w:shd w:val="clear" w:color="auto" w:fill="auto"/>
          </w:tcPr>
          <w:p w14:paraId="6BF8D570" w14:textId="24C5644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421122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3C1AA7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77B6A58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12</w:t>
            </w:r>
          </w:p>
        </w:tc>
        <w:tc>
          <w:tcPr>
            <w:tcW w:w="743" w:type="dxa"/>
            <w:shd w:val="clear" w:color="auto" w:fill="auto"/>
          </w:tcPr>
          <w:p w14:paraId="34F9DCC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70978DF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012D339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076" w:type="dxa"/>
            <w:shd w:val="clear" w:color="auto" w:fill="auto"/>
          </w:tcPr>
          <w:p w14:paraId="3E21D870" w14:textId="3BDDE5E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 significantly improved Q</w:t>
            </w:r>
            <w:r w:rsidR="00173487">
              <w:rPr>
                <w:sz w:val="16"/>
                <w:szCs w:val="16"/>
              </w:rPr>
              <w:t>o</w:t>
            </w:r>
            <w:r w:rsidRPr="00D518FF">
              <w:rPr>
                <w:sz w:val="16"/>
                <w:szCs w:val="16"/>
              </w:rPr>
              <w:t>L in 5 studies</w:t>
            </w:r>
            <w:r w:rsidR="00173487">
              <w:rPr>
                <w:sz w:val="16"/>
                <w:szCs w:val="16"/>
              </w:rPr>
              <w:t>.</w:t>
            </w:r>
          </w:p>
        </w:tc>
        <w:tc>
          <w:tcPr>
            <w:tcW w:w="1011" w:type="dxa"/>
          </w:tcPr>
          <w:p w14:paraId="77AD502A" w14:textId="096A8522"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5E37075" w14:textId="6E6A1B7C"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12820088" w14:textId="5B414202" w:rsidTr="004C6AA1">
        <w:trPr>
          <w:trHeight w:val="156"/>
        </w:trPr>
        <w:tc>
          <w:tcPr>
            <w:tcW w:w="1256" w:type="dxa"/>
            <w:shd w:val="clear" w:color="auto" w:fill="auto"/>
          </w:tcPr>
          <w:p w14:paraId="01ED056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Pratt 2020</w:t>
            </w:r>
          </w:p>
        </w:tc>
        <w:tc>
          <w:tcPr>
            <w:tcW w:w="887" w:type="dxa"/>
            <w:shd w:val="clear" w:color="auto" w:fill="auto"/>
          </w:tcPr>
          <w:p w14:paraId="7CF5B7D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799A37AD" w14:textId="7736C7DC"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C56DBC3" w14:textId="2079393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with IBS, Rome-diagnosed</w:t>
            </w:r>
          </w:p>
        </w:tc>
        <w:tc>
          <w:tcPr>
            <w:tcW w:w="1300" w:type="dxa"/>
            <w:shd w:val="clear" w:color="auto" w:fill="auto"/>
          </w:tcPr>
          <w:p w14:paraId="1B39A1AE" w14:textId="18C812C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0CFC61E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Bifidobacteria via malted milk beverage</w:t>
            </w:r>
          </w:p>
        </w:tc>
        <w:tc>
          <w:tcPr>
            <w:tcW w:w="938" w:type="dxa"/>
            <w:shd w:val="clear" w:color="auto" w:fill="auto"/>
          </w:tcPr>
          <w:p w14:paraId="4943F47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F0753F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w:t>
            </w:r>
          </w:p>
        </w:tc>
        <w:tc>
          <w:tcPr>
            <w:tcW w:w="743" w:type="dxa"/>
            <w:shd w:val="clear" w:color="auto" w:fill="auto"/>
          </w:tcPr>
          <w:p w14:paraId="672E4FC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1045</w:t>
            </w:r>
          </w:p>
        </w:tc>
        <w:tc>
          <w:tcPr>
            <w:tcW w:w="1256" w:type="dxa"/>
            <w:shd w:val="clear" w:color="auto" w:fill="auto"/>
          </w:tcPr>
          <w:p w14:paraId="76B66B1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Likert scales</w:t>
            </w:r>
          </w:p>
        </w:tc>
        <w:tc>
          <w:tcPr>
            <w:tcW w:w="790" w:type="dxa"/>
            <w:shd w:val="clear" w:color="auto" w:fill="auto"/>
          </w:tcPr>
          <w:p w14:paraId="4F37323D"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76" w:type="dxa"/>
            <w:shd w:val="clear" w:color="auto" w:fill="auto"/>
          </w:tcPr>
          <w:p w14:paraId="138F22C2" w14:textId="4115059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50% (n = 4) of studies found a statistically significant improvement in abdominal pain following Bifidobacteria supplementation compared to placebo, 38% (n = 3) of studies found non-significant improvements, and 12% (n = 1) </w:t>
            </w:r>
            <w:r w:rsidRPr="00D518FF">
              <w:rPr>
                <w:sz w:val="16"/>
                <w:szCs w:val="16"/>
              </w:rPr>
              <w:lastRenderedPageBreak/>
              <w:t>showed a statistically significant dose- response effect of improvement</w:t>
            </w:r>
            <w:r w:rsidR="00173487">
              <w:rPr>
                <w:sz w:val="16"/>
                <w:szCs w:val="16"/>
              </w:rPr>
              <w:t>.</w:t>
            </w:r>
          </w:p>
        </w:tc>
        <w:tc>
          <w:tcPr>
            <w:tcW w:w="1011" w:type="dxa"/>
          </w:tcPr>
          <w:p w14:paraId="416A2A27" w14:textId="56820F1D"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718E2EE0" w14:textId="3E078445"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03450ACB" w14:textId="30DADD1B" w:rsidTr="004C6AA1">
        <w:trPr>
          <w:trHeight w:val="156"/>
        </w:trPr>
        <w:tc>
          <w:tcPr>
            <w:tcW w:w="1256" w:type="dxa"/>
            <w:shd w:val="clear" w:color="auto" w:fill="auto"/>
          </w:tcPr>
          <w:p w14:paraId="205B157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Ritchie 2012</w:t>
            </w:r>
          </w:p>
        </w:tc>
        <w:tc>
          <w:tcPr>
            <w:tcW w:w="887" w:type="dxa"/>
            <w:shd w:val="clear" w:color="auto" w:fill="auto"/>
          </w:tcPr>
          <w:p w14:paraId="6153F2B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6C941B71" w14:textId="0B9E2F0C"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8EDB5A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Humans with gastrointestinal disease (AAD, CDD, HPP, IBS, ID, NE, Pouch, TD) - IBS results could be determined separately</w:t>
            </w:r>
          </w:p>
        </w:tc>
        <w:tc>
          <w:tcPr>
            <w:tcW w:w="1300" w:type="dxa"/>
            <w:shd w:val="clear" w:color="auto" w:fill="auto"/>
          </w:tcPr>
          <w:p w14:paraId="225E042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inactive control (usual care, no intervention)</w:t>
            </w:r>
          </w:p>
        </w:tc>
        <w:tc>
          <w:tcPr>
            <w:tcW w:w="1112" w:type="dxa"/>
            <w:shd w:val="clear" w:color="auto" w:fill="auto"/>
          </w:tcPr>
          <w:p w14:paraId="0BD2597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1FBFB38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No intervention</w:t>
            </w:r>
          </w:p>
        </w:tc>
        <w:tc>
          <w:tcPr>
            <w:tcW w:w="813" w:type="dxa"/>
            <w:shd w:val="clear" w:color="auto" w:fill="auto"/>
          </w:tcPr>
          <w:p w14:paraId="1858095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16 comparisons across 14 trials</w:t>
            </w:r>
          </w:p>
        </w:tc>
        <w:tc>
          <w:tcPr>
            <w:tcW w:w="743" w:type="dxa"/>
            <w:shd w:val="clear" w:color="auto" w:fill="auto"/>
          </w:tcPr>
          <w:p w14:paraId="046AC4F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1256" w:type="dxa"/>
            <w:shd w:val="clear" w:color="auto" w:fill="auto"/>
          </w:tcPr>
          <w:p w14:paraId="0F121AD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449C2995" w14:textId="1C03B5A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0.77 (0.65 to 0.92)</w:t>
            </w:r>
          </w:p>
        </w:tc>
        <w:tc>
          <w:tcPr>
            <w:tcW w:w="1076" w:type="dxa"/>
            <w:shd w:val="clear" w:color="auto" w:fill="auto"/>
          </w:tcPr>
          <w:p w14:paraId="35F4088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11" w:type="dxa"/>
          </w:tcPr>
          <w:p w14:paraId="5DD0ABEF" w14:textId="568ABA5A"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7613551" w14:textId="3C2B2253"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4E141262" w14:textId="57DEB6E3" w:rsidTr="004C6AA1">
        <w:trPr>
          <w:trHeight w:val="156"/>
        </w:trPr>
        <w:tc>
          <w:tcPr>
            <w:tcW w:w="1256" w:type="dxa"/>
            <w:shd w:val="clear" w:color="auto" w:fill="auto"/>
          </w:tcPr>
          <w:p w14:paraId="0ABBCE4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Shang 2022</w:t>
            </w:r>
          </w:p>
        </w:tc>
        <w:tc>
          <w:tcPr>
            <w:tcW w:w="887" w:type="dxa"/>
            <w:shd w:val="clear" w:color="auto" w:fill="auto"/>
          </w:tcPr>
          <w:p w14:paraId="61E4A2E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1B496799" w14:textId="4E7F9708"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A18294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IBS-C patients diagnosed with specific criteria (Rome I, II, III, IV) </w:t>
            </w:r>
          </w:p>
        </w:tc>
        <w:tc>
          <w:tcPr>
            <w:tcW w:w="1300" w:type="dxa"/>
            <w:shd w:val="clear" w:color="auto" w:fill="auto"/>
          </w:tcPr>
          <w:p w14:paraId="3BF47AAF" w14:textId="3B2BC65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D13690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5CB05EF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753849D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w:t>
            </w:r>
          </w:p>
        </w:tc>
        <w:tc>
          <w:tcPr>
            <w:tcW w:w="743" w:type="dxa"/>
            <w:shd w:val="clear" w:color="auto" w:fill="auto"/>
          </w:tcPr>
          <w:p w14:paraId="0B76106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488</w:t>
            </w:r>
          </w:p>
        </w:tc>
        <w:tc>
          <w:tcPr>
            <w:tcW w:w="1256" w:type="dxa"/>
            <w:shd w:val="clear" w:color="auto" w:fill="auto"/>
          </w:tcPr>
          <w:p w14:paraId="4B6021F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42033BA6" w14:textId="06DC6F89"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−0.28 (−0.60, 0.05) p &gt; 0.05</w:t>
            </w:r>
          </w:p>
        </w:tc>
        <w:tc>
          <w:tcPr>
            <w:tcW w:w="1076" w:type="dxa"/>
            <w:shd w:val="clear" w:color="auto" w:fill="auto"/>
          </w:tcPr>
          <w:p w14:paraId="11141704" w14:textId="3C2C3BA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When one study was excluded, the combined results and heterogeneity changed significantly. The meta-analysis results demonstrate that probiotics significantly reduced abdominal pain scores in IBS-C patients compared to placebos (SMD = −0.20, 95% CI [−0.38, −0.01], p &lt; </w:t>
            </w:r>
            <w:r w:rsidRPr="00D518FF">
              <w:rPr>
                <w:sz w:val="16"/>
                <w:szCs w:val="16"/>
              </w:rPr>
              <w:lastRenderedPageBreak/>
              <w:t xml:space="preserve">0.05, </w:t>
            </w:r>
            <w:r>
              <w:rPr>
                <w:sz w:val="16"/>
                <w:szCs w:val="16"/>
              </w:rPr>
              <w:t>I² =</w:t>
            </w:r>
            <w:r w:rsidRPr="00D518FF">
              <w:rPr>
                <w:sz w:val="16"/>
                <w:szCs w:val="16"/>
              </w:rPr>
              <w:t xml:space="preserve"> 0%).</w:t>
            </w:r>
          </w:p>
        </w:tc>
        <w:tc>
          <w:tcPr>
            <w:tcW w:w="1011" w:type="dxa"/>
          </w:tcPr>
          <w:p w14:paraId="36FE902E" w14:textId="231C0156"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161B0E11" w14:textId="1B52150F"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4ED355CB" w14:textId="03C1592F" w:rsidTr="004C6AA1">
        <w:trPr>
          <w:trHeight w:val="156"/>
        </w:trPr>
        <w:tc>
          <w:tcPr>
            <w:tcW w:w="1256" w:type="dxa"/>
            <w:shd w:val="clear" w:color="auto" w:fill="auto"/>
          </w:tcPr>
          <w:p w14:paraId="7312204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Shang 2022</w:t>
            </w:r>
          </w:p>
        </w:tc>
        <w:tc>
          <w:tcPr>
            <w:tcW w:w="887" w:type="dxa"/>
            <w:shd w:val="clear" w:color="auto" w:fill="auto"/>
          </w:tcPr>
          <w:p w14:paraId="196C319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66B7F8F9" w14:textId="0FD1E62D"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AD7575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IBS-C patients diagnosed with specific criteria (Rome I, II, III, IV) </w:t>
            </w:r>
          </w:p>
        </w:tc>
        <w:tc>
          <w:tcPr>
            <w:tcW w:w="1300" w:type="dxa"/>
            <w:shd w:val="clear" w:color="auto" w:fill="auto"/>
          </w:tcPr>
          <w:p w14:paraId="723EEAF0" w14:textId="50CB9A2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72C7F1D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7B94F00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BCA698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3F3E760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487</w:t>
            </w:r>
          </w:p>
        </w:tc>
        <w:tc>
          <w:tcPr>
            <w:tcW w:w="1256" w:type="dxa"/>
            <w:shd w:val="clear" w:color="auto" w:fill="auto"/>
          </w:tcPr>
          <w:p w14:paraId="5A4276D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42D59B20" w14:textId="2FBD4D4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−3.92 (−8.09 to 0.25), p &gt; 0.05</w:t>
            </w:r>
          </w:p>
        </w:tc>
        <w:tc>
          <w:tcPr>
            <w:tcW w:w="1076" w:type="dxa"/>
            <w:shd w:val="clear" w:color="auto" w:fill="auto"/>
          </w:tcPr>
          <w:p w14:paraId="17ACFAF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11" w:type="dxa"/>
          </w:tcPr>
          <w:p w14:paraId="45CAA9CE" w14:textId="046C16A3"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2B870EE8" w14:textId="4F608B3E"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73B1B398" w14:textId="23D258DC" w:rsidTr="004C6AA1">
        <w:trPr>
          <w:trHeight w:val="156"/>
        </w:trPr>
        <w:tc>
          <w:tcPr>
            <w:tcW w:w="1256" w:type="dxa"/>
            <w:shd w:val="clear" w:color="auto" w:fill="auto"/>
          </w:tcPr>
          <w:p w14:paraId="1C8F3B9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Shang 2022</w:t>
            </w:r>
          </w:p>
        </w:tc>
        <w:tc>
          <w:tcPr>
            <w:tcW w:w="887" w:type="dxa"/>
            <w:shd w:val="clear" w:color="auto" w:fill="auto"/>
          </w:tcPr>
          <w:p w14:paraId="3DECF5F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937" w:type="dxa"/>
            <w:shd w:val="clear" w:color="auto" w:fill="auto"/>
          </w:tcPr>
          <w:p w14:paraId="46A46808" w14:textId="0277FEC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C37E54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IBS-C patients diagnosed with specific criteria (Rome I, II, III, IV) </w:t>
            </w:r>
          </w:p>
        </w:tc>
        <w:tc>
          <w:tcPr>
            <w:tcW w:w="1300" w:type="dxa"/>
            <w:shd w:val="clear" w:color="auto" w:fill="auto"/>
          </w:tcPr>
          <w:p w14:paraId="7764B879" w14:textId="5748BDA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E0603A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77C7D82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8BBC44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6664D01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71</w:t>
            </w:r>
          </w:p>
        </w:tc>
        <w:tc>
          <w:tcPr>
            <w:tcW w:w="1256" w:type="dxa"/>
            <w:shd w:val="clear" w:color="auto" w:fill="auto"/>
          </w:tcPr>
          <w:p w14:paraId="44902AC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69C6942C" w14:textId="7FFA350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MD = 0.72 (0.18 to 1.26), p &lt; 0.05</w:t>
            </w:r>
          </w:p>
        </w:tc>
        <w:tc>
          <w:tcPr>
            <w:tcW w:w="1076" w:type="dxa"/>
            <w:shd w:val="clear" w:color="auto" w:fill="auto"/>
          </w:tcPr>
          <w:p w14:paraId="022F4171" w14:textId="731C6D4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In the subgroup analysis, an eight-week duration </w:t>
            </w:r>
            <w:r w:rsidR="00173487">
              <w:rPr>
                <w:sz w:val="16"/>
                <w:szCs w:val="16"/>
              </w:rPr>
              <w:t xml:space="preserve">- </w:t>
            </w:r>
            <w:r w:rsidRPr="00D518FF">
              <w:rPr>
                <w:sz w:val="16"/>
                <w:szCs w:val="16"/>
              </w:rPr>
              <w:t>9 of 21 showed a good effect on stool consistency (MD = 0.71, 95% CI [0.11, 1.32], p &lt; 0.05), but twelve weeks showed no effect (MD = 0.75, 95% CI [−0.53, 2.03], p &gt; 0.05</w:t>
            </w:r>
          </w:p>
        </w:tc>
        <w:tc>
          <w:tcPr>
            <w:tcW w:w="1011" w:type="dxa"/>
          </w:tcPr>
          <w:p w14:paraId="2EA6725C" w14:textId="41AD2F40"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7A7B6CE" w14:textId="200D05DB"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48CB8062" w14:textId="4F62411C" w:rsidTr="004C6AA1">
        <w:trPr>
          <w:trHeight w:val="156"/>
        </w:trPr>
        <w:tc>
          <w:tcPr>
            <w:tcW w:w="1256" w:type="dxa"/>
            <w:shd w:val="clear" w:color="auto" w:fill="auto"/>
          </w:tcPr>
          <w:p w14:paraId="0343C72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Sun 2020</w:t>
            </w:r>
          </w:p>
        </w:tc>
        <w:tc>
          <w:tcPr>
            <w:tcW w:w="887" w:type="dxa"/>
            <w:shd w:val="clear" w:color="auto" w:fill="auto"/>
          </w:tcPr>
          <w:p w14:paraId="5A3C037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4B5D3C47" w14:textId="5075D522"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2DE570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(age &gt;16 years); IBS based on either a clinician’s opinion or meeting specific diagnostic criteria (Rome I, II, III, IV)</w:t>
            </w:r>
          </w:p>
        </w:tc>
        <w:tc>
          <w:tcPr>
            <w:tcW w:w="1300" w:type="dxa"/>
            <w:shd w:val="clear" w:color="auto" w:fill="auto"/>
          </w:tcPr>
          <w:p w14:paraId="36BE2660" w14:textId="69F2A9A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37D3018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34ED500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F25310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22</w:t>
            </w:r>
          </w:p>
        </w:tc>
        <w:tc>
          <w:tcPr>
            <w:tcW w:w="743" w:type="dxa"/>
            <w:shd w:val="clear" w:color="auto" w:fill="auto"/>
          </w:tcPr>
          <w:p w14:paraId="20D5E03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3144</w:t>
            </w:r>
          </w:p>
        </w:tc>
        <w:tc>
          <w:tcPr>
            <w:tcW w:w="1256" w:type="dxa"/>
            <w:shd w:val="clear" w:color="auto" w:fill="auto"/>
          </w:tcPr>
          <w:p w14:paraId="480834B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7DDB1EED" w14:textId="4BDA198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1.50 (1.23 to 1.83)</w:t>
            </w:r>
          </w:p>
        </w:tc>
        <w:tc>
          <w:tcPr>
            <w:tcW w:w="1076" w:type="dxa"/>
            <w:shd w:val="clear" w:color="auto" w:fill="auto"/>
          </w:tcPr>
          <w:p w14:paraId="5A3E711E" w14:textId="13B2752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Statistically significant heterogeneity detected between studies (</w:t>
            </w:r>
            <w:r>
              <w:rPr>
                <w:sz w:val="16"/>
                <w:szCs w:val="16"/>
              </w:rPr>
              <w:t>I² =</w:t>
            </w:r>
            <w:r w:rsidRPr="00D518FF">
              <w:rPr>
                <w:sz w:val="16"/>
                <w:szCs w:val="16"/>
              </w:rPr>
              <w:t xml:space="preserve"> 68%, P &lt; 0.01). There was statistically significant asymmetry detected in the funnel plot (Egger test, P = </w:t>
            </w:r>
            <w:r w:rsidRPr="00D518FF">
              <w:rPr>
                <w:sz w:val="16"/>
                <w:szCs w:val="16"/>
              </w:rPr>
              <w:lastRenderedPageBreak/>
              <w:t>0.04), to suggest publication bias or other small study effects.</w:t>
            </w:r>
          </w:p>
        </w:tc>
        <w:tc>
          <w:tcPr>
            <w:tcW w:w="1011" w:type="dxa"/>
          </w:tcPr>
          <w:p w14:paraId="09DC2C88" w14:textId="2BFA8165"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0768A38B" w14:textId="66BD5E6B"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60615C76" w14:textId="3FF901DB" w:rsidTr="004C6AA1">
        <w:trPr>
          <w:trHeight w:val="156"/>
        </w:trPr>
        <w:tc>
          <w:tcPr>
            <w:tcW w:w="1256" w:type="dxa"/>
            <w:shd w:val="clear" w:color="auto" w:fill="auto"/>
          </w:tcPr>
          <w:p w14:paraId="4208F98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Sun 2020</w:t>
            </w:r>
          </w:p>
        </w:tc>
        <w:tc>
          <w:tcPr>
            <w:tcW w:w="887" w:type="dxa"/>
            <w:shd w:val="clear" w:color="auto" w:fill="auto"/>
          </w:tcPr>
          <w:p w14:paraId="6D5AA12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48E4B2C7" w14:textId="537E6613"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8AB47E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(age &gt;16 years); IBS based on either a clinician’s opinion or meeting specific diagnostic criteria (Rome I, II, III, IV)</w:t>
            </w:r>
          </w:p>
        </w:tc>
        <w:tc>
          <w:tcPr>
            <w:tcW w:w="1300" w:type="dxa"/>
            <w:shd w:val="clear" w:color="auto" w:fill="auto"/>
          </w:tcPr>
          <w:p w14:paraId="2DF20099" w14:textId="6246274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380DB05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032F3B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DBD765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w:t>
            </w:r>
          </w:p>
        </w:tc>
        <w:tc>
          <w:tcPr>
            <w:tcW w:w="743" w:type="dxa"/>
            <w:shd w:val="clear" w:color="auto" w:fill="auto"/>
          </w:tcPr>
          <w:p w14:paraId="2872024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856</w:t>
            </w:r>
          </w:p>
        </w:tc>
        <w:tc>
          <w:tcPr>
            <w:tcW w:w="1256" w:type="dxa"/>
            <w:shd w:val="clear" w:color="auto" w:fill="auto"/>
          </w:tcPr>
          <w:p w14:paraId="38CD829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3F184BFA" w14:textId="5D5FBF1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SMD = –0.07 </w:t>
            </w:r>
            <w:r w:rsidRPr="00D518FF">
              <w:rPr>
                <w:rFonts w:cs="Cambria Math"/>
                <w:sz w:val="16"/>
                <w:szCs w:val="16"/>
              </w:rPr>
              <w:t>(</w:t>
            </w:r>
            <w:r w:rsidRPr="00D518FF">
              <w:rPr>
                <w:sz w:val="16"/>
                <w:szCs w:val="16"/>
              </w:rPr>
              <w:t xml:space="preserve">–0.74 to 0.6) </w:t>
            </w:r>
          </w:p>
        </w:tc>
        <w:tc>
          <w:tcPr>
            <w:tcW w:w="1076" w:type="dxa"/>
            <w:shd w:val="clear" w:color="auto" w:fill="auto"/>
          </w:tcPr>
          <w:p w14:paraId="22277D3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11" w:type="dxa"/>
          </w:tcPr>
          <w:p w14:paraId="168AC7AB" w14:textId="4442BCA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4EC91536" w14:textId="4CC7581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48F4F6FE" w14:textId="56B5A844" w:rsidTr="004C6AA1">
        <w:trPr>
          <w:trHeight w:val="156"/>
        </w:trPr>
        <w:tc>
          <w:tcPr>
            <w:tcW w:w="1256" w:type="dxa"/>
            <w:shd w:val="clear" w:color="auto" w:fill="auto"/>
          </w:tcPr>
          <w:p w14:paraId="1225000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Sun 2020</w:t>
            </w:r>
          </w:p>
        </w:tc>
        <w:tc>
          <w:tcPr>
            <w:tcW w:w="887" w:type="dxa"/>
            <w:shd w:val="clear" w:color="auto" w:fill="auto"/>
          </w:tcPr>
          <w:p w14:paraId="307EA1E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 and 2 (combined reproting)</w:t>
            </w:r>
          </w:p>
        </w:tc>
        <w:tc>
          <w:tcPr>
            <w:tcW w:w="937" w:type="dxa"/>
            <w:shd w:val="clear" w:color="auto" w:fill="auto"/>
          </w:tcPr>
          <w:p w14:paraId="0515C57B" w14:textId="331EC6E3"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F45B9C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Adult patients (age &gt;16 years); IBS based on either a clinician’s opinion or meeting specific diagnostic criteria (Rome I, II, III, IV)</w:t>
            </w:r>
          </w:p>
        </w:tc>
        <w:tc>
          <w:tcPr>
            <w:tcW w:w="1300" w:type="dxa"/>
            <w:shd w:val="clear" w:color="auto" w:fill="auto"/>
          </w:tcPr>
          <w:p w14:paraId="20F3F230" w14:textId="28C01E5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99EE37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6F88553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C3B1AA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20 comparisons from 18 trials</w:t>
            </w:r>
          </w:p>
        </w:tc>
        <w:tc>
          <w:tcPr>
            <w:tcW w:w="743" w:type="dxa"/>
            <w:shd w:val="clear" w:color="auto" w:fill="auto"/>
          </w:tcPr>
          <w:p w14:paraId="6279EDC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2766</w:t>
            </w:r>
          </w:p>
        </w:tc>
        <w:tc>
          <w:tcPr>
            <w:tcW w:w="1256" w:type="dxa"/>
            <w:shd w:val="clear" w:color="auto" w:fill="auto"/>
          </w:tcPr>
          <w:p w14:paraId="7AA4C4B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E1B61E5" w14:textId="304071D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SMD = –0.31 (–0.45 to –0.17) </w:t>
            </w:r>
          </w:p>
        </w:tc>
        <w:tc>
          <w:tcPr>
            <w:tcW w:w="1076" w:type="dxa"/>
            <w:shd w:val="clear" w:color="auto" w:fill="auto"/>
          </w:tcPr>
          <w:p w14:paraId="1B8757B3" w14:textId="30323C6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Significant heterogeneity (</w:t>
            </w:r>
            <w:r>
              <w:rPr>
                <w:sz w:val="16"/>
                <w:szCs w:val="16"/>
              </w:rPr>
              <w:t>I² =</w:t>
            </w:r>
            <w:r w:rsidRPr="00D518FF">
              <w:rPr>
                <w:sz w:val="16"/>
                <w:szCs w:val="16"/>
              </w:rPr>
              <w:t xml:space="preserve"> 66%, P &lt; 0.01). There was no significant asymmetry detected in the funnel plot (Egger test, P = 0.84), to suggest no publication bias or other small study effects. </w:t>
            </w:r>
          </w:p>
        </w:tc>
        <w:tc>
          <w:tcPr>
            <w:tcW w:w="1011" w:type="dxa"/>
          </w:tcPr>
          <w:p w14:paraId="5780E23F" w14:textId="4F4D59DE"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2051013" w14:textId="37F1EF9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High risk</w:t>
            </w:r>
          </w:p>
        </w:tc>
      </w:tr>
      <w:tr w:rsidR="00A72AFF" w:rsidRPr="00D518FF" w14:paraId="12A4AEA1" w14:textId="067DD9A1" w:rsidTr="004C6AA1">
        <w:trPr>
          <w:trHeight w:val="156"/>
        </w:trPr>
        <w:tc>
          <w:tcPr>
            <w:tcW w:w="1256" w:type="dxa"/>
            <w:shd w:val="clear" w:color="auto" w:fill="auto"/>
          </w:tcPr>
          <w:p w14:paraId="78B4378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Wang 2022</w:t>
            </w:r>
          </w:p>
        </w:tc>
        <w:tc>
          <w:tcPr>
            <w:tcW w:w="887" w:type="dxa"/>
            <w:shd w:val="clear" w:color="auto" w:fill="auto"/>
          </w:tcPr>
          <w:p w14:paraId="34C40EC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60782AE1" w14:textId="3EC0C017"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7D11EF3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Subjects were at least 18 years old and met the diagnostic criteria for IBS-D</w:t>
            </w:r>
          </w:p>
        </w:tc>
        <w:tc>
          <w:tcPr>
            <w:tcW w:w="1300" w:type="dxa"/>
            <w:shd w:val="clear" w:color="auto" w:fill="auto"/>
          </w:tcPr>
          <w:p w14:paraId="341356B8" w14:textId="6A83BCF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4F291C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8D0782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09F6F9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w:t>
            </w:r>
          </w:p>
        </w:tc>
        <w:tc>
          <w:tcPr>
            <w:tcW w:w="743" w:type="dxa"/>
            <w:shd w:val="clear" w:color="auto" w:fill="auto"/>
          </w:tcPr>
          <w:p w14:paraId="7F8845B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846</w:t>
            </w:r>
          </w:p>
        </w:tc>
        <w:tc>
          <w:tcPr>
            <w:tcW w:w="1256" w:type="dxa"/>
            <w:shd w:val="clear" w:color="auto" w:fill="auto"/>
          </w:tcPr>
          <w:p w14:paraId="29E6C21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4AFC38C" w14:textId="68242DFF"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−0.55 (−0.83 to −0.27), P &lt; 0.05</w:t>
            </w:r>
          </w:p>
        </w:tc>
        <w:tc>
          <w:tcPr>
            <w:tcW w:w="1076" w:type="dxa"/>
            <w:shd w:val="clear" w:color="auto" w:fill="auto"/>
          </w:tcPr>
          <w:p w14:paraId="35ED7C4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11" w:type="dxa"/>
          </w:tcPr>
          <w:p w14:paraId="3570F3E1" w14:textId="657D80B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25129C01" w14:textId="78A38D4E"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7F1B2B8E" w14:textId="408E4D59" w:rsidTr="004C6AA1">
        <w:trPr>
          <w:trHeight w:val="156"/>
        </w:trPr>
        <w:tc>
          <w:tcPr>
            <w:tcW w:w="1256" w:type="dxa"/>
            <w:shd w:val="clear" w:color="auto" w:fill="auto"/>
          </w:tcPr>
          <w:p w14:paraId="52CC1DB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Wang 2022</w:t>
            </w:r>
          </w:p>
        </w:tc>
        <w:tc>
          <w:tcPr>
            <w:tcW w:w="887" w:type="dxa"/>
            <w:shd w:val="clear" w:color="auto" w:fill="auto"/>
          </w:tcPr>
          <w:p w14:paraId="7B9DF84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7649EDF1" w14:textId="03961318"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D3A1B0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Subjects were at least 18 </w:t>
            </w:r>
            <w:r w:rsidRPr="00D518FF">
              <w:rPr>
                <w:sz w:val="16"/>
                <w:szCs w:val="16"/>
              </w:rPr>
              <w:lastRenderedPageBreak/>
              <w:t>years old and met the diagnostic criteria for IBS-D</w:t>
            </w:r>
          </w:p>
        </w:tc>
        <w:tc>
          <w:tcPr>
            <w:tcW w:w="1300" w:type="dxa"/>
            <w:shd w:val="clear" w:color="auto" w:fill="auto"/>
          </w:tcPr>
          <w:p w14:paraId="092BCBB7" w14:textId="08432EF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xml:space="preserve">Eligible supplement VS </w:t>
            </w:r>
            <w:r w:rsidRPr="00D518FF">
              <w:rPr>
                <w:sz w:val="16"/>
                <w:szCs w:val="16"/>
              </w:rPr>
              <w:lastRenderedPageBreak/>
              <w:t>placebo/inactive control</w:t>
            </w:r>
          </w:p>
        </w:tc>
        <w:tc>
          <w:tcPr>
            <w:tcW w:w="1112" w:type="dxa"/>
            <w:shd w:val="clear" w:color="auto" w:fill="auto"/>
          </w:tcPr>
          <w:p w14:paraId="7032DBB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Probiotics</w:t>
            </w:r>
          </w:p>
        </w:tc>
        <w:tc>
          <w:tcPr>
            <w:tcW w:w="938" w:type="dxa"/>
            <w:shd w:val="clear" w:color="auto" w:fill="auto"/>
          </w:tcPr>
          <w:p w14:paraId="6A24943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857B30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w:t>
            </w:r>
          </w:p>
        </w:tc>
        <w:tc>
          <w:tcPr>
            <w:tcW w:w="743" w:type="dxa"/>
            <w:shd w:val="clear" w:color="auto" w:fill="auto"/>
          </w:tcPr>
          <w:p w14:paraId="777B658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829</w:t>
            </w:r>
          </w:p>
        </w:tc>
        <w:tc>
          <w:tcPr>
            <w:tcW w:w="1256" w:type="dxa"/>
            <w:shd w:val="clear" w:color="auto" w:fill="auto"/>
          </w:tcPr>
          <w:p w14:paraId="53F324B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31D55D1F" w14:textId="6E92ACD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SMD = −0.43 </w:t>
            </w:r>
            <w:r w:rsidRPr="00D518FF">
              <w:rPr>
                <w:sz w:val="16"/>
                <w:szCs w:val="16"/>
              </w:rPr>
              <w:lastRenderedPageBreak/>
              <w:t>(−0.57 to −0.29), P &lt; 0.05</w:t>
            </w:r>
          </w:p>
        </w:tc>
        <w:tc>
          <w:tcPr>
            <w:tcW w:w="1076" w:type="dxa"/>
            <w:shd w:val="clear" w:color="auto" w:fill="auto"/>
          </w:tcPr>
          <w:p w14:paraId="61624EC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lastRenderedPageBreak/>
              <w:t> </w:t>
            </w:r>
          </w:p>
        </w:tc>
        <w:tc>
          <w:tcPr>
            <w:tcW w:w="1011" w:type="dxa"/>
          </w:tcPr>
          <w:p w14:paraId="2BB9E77D" w14:textId="1AC11D32"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2E3A1684" w14:textId="41FD412B"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718A1744" w14:textId="778466F8" w:rsidTr="004C6AA1">
        <w:trPr>
          <w:trHeight w:val="156"/>
        </w:trPr>
        <w:tc>
          <w:tcPr>
            <w:tcW w:w="1256" w:type="dxa"/>
            <w:shd w:val="clear" w:color="auto" w:fill="auto"/>
          </w:tcPr>
          <w:p w14:paraId="5062D62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Wang 2022</w:t>
            </w:r>
          </w:p>
        </w:tc>
        <w:tc>
          <w:tcPr>
            <w:tcW w:w="887" w:type="dxa"/>
            <w:shd w:val="clear" w:color="auto" w:fill="auto"/>
          </w:tcPr>
          <w:p w14:paraId="7ABE81D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7987EF9E" w14:textId="2F671FF0"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6F006A6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Subjects were at least 18 years old and met the diagnostic criteria for IBS-D</w:t>
            </w:r>
          </w:p>
        </w:tc>
        <w:tc>
          <w:tcPr>
            <w:tcW w:w="1300" w:type="dxa"/>
            <w:shd w:val="clear" w:color="auto" w:fill="auto"/>
          </w:tcPr>
          <w:p w14:paraId="7DFF8BF8" w14:textId="6F1EB6F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FA9A81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3AA29C6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B57D72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743" w:type="dxa"/>
            <w:shd w:val="clear" w:color="auto" w:fill="auto"/>
          </w:tcPr>
          <w:p w14:paraId="43E650B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806</w:t>
            </w:r>
          </w:p>
        </w:tc>
        <w:tc>
          <w:tcPr>
            <w:tcW w:w="1256" w:type="dxa"/>
            <w:shd w:val="clear" w:color="auto" w:fill="auto"/>
          </w:tcPr>
          <w:p w14:paraId="75B3F40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13A6293C" w14:textId="1362FB08"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0.31 (−0.26 to 0.89), P &gt; 0.05</w:t>
            </w:r>
          </w:p>
        </w:tc>
        <w:tc>
          <w:tcPr>
            <w:tcW w:w="1076" w:type="dxa"/>
            <w:shd w:val="clear" w:color="auto" w:fill="auto"/>
          </w:tcPr>
          <w:p w14:paraId="6888912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w:t>
            </w:r>
          </w:p>
        </w:tc>
        <w:tc>
          <w:tcPr>
            <w:tcW w:w="1011" w:type="dxa"/>
          </w:tcPr>
          <w:p w14:paraId="2337A13D" w14:textId="7D89B9AA"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2D6F24BE" w14:textId="64CCE34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6995E7DF" w14:textId="372AF02A" w:rsidTr="004C6AA1">
        <w:trPr>
          <w:trHeight w:val="156"/>
        </w:trPr>
        <w:tc>
          <w:tcPr>
            <w:tcW w:w="1256" w:type="dxa"/>
            <w:shd w:val="clear" w:color="auto" w:fill="auto"/>
          </w:tcPr>
          <w:p w14:paraId="59AB8D2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Wang 2022</w:t>
            </w:r>
          </w:p>
        </w:tc>
        <w:tc>
          <w:tcPr>
            <w:tcW w:w="887" w:type="dxa"/>
            <w:shd w:val="clear" w:color="auto" w:fill="auto"/>
          </w:tcPr>
          <w:p w14:paraId="2553F2C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6</w:t>
            </w:r>
          </w:p>
        </w:tc>
        <w:tc>
          <w:tcPr>
            <w:tcW w:w="937" w:type="dxa"/>
            <w:shd w:val="clear" w:color="auto" w:fill="auto"/>
          </w:tcPr>
          <w:p w14:paraId="2094B62C" w14:textId="22411813"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41D8A9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Subjects were at least 18 years old and met the diagnostic criteria for IBS-D</w:t>
            </w:r>
          </w:p>
        </w:tc>
        <w:tc>
          <w:tcPr>
            <w:tcW w:w="1300" w:type="dxa"/>
            <w:shd w:val="clear" w:color="auto" w:fill="auto"/>
          </w:tcPr>
          <w:p w14:paraId="7C5A2C60" w14:textId="082F9E1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A654C3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B28F49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D3C9B0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743" w:type="dxa"/>
            <w:shd w:val="clear" w:color="auto" w:fill="auto"/>
          </w:tcPr>
          <w:p w14:paraId="59132DC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97</w:t>
            </w:r>
          </w:p>
        </w:tc>
        <w:tc>
          <w:tcPr>
            <w:tcW w:w="1256" w:type="dxa"/>
            <w:shd w:val="clear" w:color="auto" w:fill="auto"/>
          </w:tcPr>
          <w:p w14:paraId="4FD0493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0496A578" w14:textId="43F8999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0.06, (−0.47 to 0.59), p &gt; 0.05</w:t>
            </w:r>
          </w:p>
        </w:tc>
        <w:tc>
          <w:tcPr>
            <w:tcW w:w="1076" w:type="dxa"/>
            <w:shd w:val="clear" w:color="auto" w:fill="auto"/>
          </w:tcPr>
          <w:p w14:paraId="2256AD2F"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11" w:type="dxa"/>
          </w:tcPr>
          <w:p w14:paraId="2867DB44" w14:textId="27A498E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54C4571" w14:textId="2020E116"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Low risk</w:t>
            </w:r>
          </w:p>
        </w:tc>
      </w:tr>
      <w:tr w:rsidR="00A72AFF" w:rsidRPr="00D518FF" w14:paraId="5CEEB9F8" w14:textId="6D1638C6" w:rsidTr="004C6AA1">
        <w:trPr>
          <w:trHeight w:val="156"/>
        </w:trPr>
        <w:tc>
          <w:tcPr>
            <w:tcW w:w="1256" w:type="dxa"/>
            <w:shd w:val="clear" w:color="auto" w:fill="auto"/>
          </w:tcPr>
          <w:p w14:paraId="15E2328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Xu 2021</w:t>
            </w:r>
          </w:p>
        </w:tc>
        <w:tc>
          <w:tcPr>
            <w:tcW w:w="887" w:type="dxa"/>
            <w:shd w:val="clear" w:color="auto" w:fill="auto"/>
          </w:tcPr>
          <w:p w14:paraId="21B9E1A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73119CE0" w14:textId="364374D4"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5BC30D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4-18 years with IBS diagnosis (Rome II~IV)</w:t>
            </w:r>
          </w:p>
        </w:tc>
        <w:tc>
          <w:tcPr>
            <w:tcW w:w="1300" w:type="dxa"/>
            <w:shd w:val="clear" w:color="auto" w:fill="auto"/>
          </w:tcPr>
          <w:p w14:paraId="1FAA7E80" w14:textId="6255298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AC3B88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718B36E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4C66C0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743" w:type="dxa"/>
            <w:shd w:val="clear" w:color="auto" w:fill="auto"/>
          </w:tcPr>
          <w:p w14:paraId="4B2A104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159</w:t>
            </w:r>
          </w:p>
        </w:tc>
        <w:tc>
          <w:tcPr>
            <w:tcW w:w="1256" w:type="dxa"/>
            <w:shd w:val="clear" w:color="auto" w:fill="auto"/>
          </w:tcPr>
          <w:p w14:paraId="27BFF45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SGARC score</w:t>
            </w:r>
          </w:p>
        </w:tc>
        <w:tc>
          <w:tcPr>
            <w:tcW w:w="790" w:type="dxa"/>
            <w:shd w:val="clear" w:color="auto" w:fill="auto"/>
          </w:tcPr>
          <w:p w14:paraId="0A0DD1C7" w14:textId="559ED41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MD = –3.84, (–6.49 to –1.20), P = 0.004</w:t>
            </w:r>
          </w:p>
        </w:tc>
        <w:tc>
          <w:tcPr>
            <w:tcW w:w="1076" w:type="dxa"/>
            <w:shd w:val="clear" w:color="auto" w:fill="auto"/>
          </w:tcPr>
          <w:p w14:paraId="4F3571CB" w14:textId="674514B5"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95%</w:t>
            </w:r>
          </w:p>
        </w:tc>
        <w:tc>
          <w:tcPr>
            <w:tcW w:w="1011" w:type="dxa"/>
          </w:tcPr>
          <w:p w14:paraId="09133954" w14:textId="708BCB22"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088CF1A1" w14:textId="6DDE6D47"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7F857DBF" w14:textId="7D8D7E2D" w:rsidTr="004C6AA1">
        <w:trPr>
          <w:trHeight w:val="156"/>
        </w:trPr>
        <w:tc>
          <w:tcPr>
            <w:tcW w:w="1256" w:type="dxa"/>
            <w:shd w:val="clear" w:color="auto" w:fill="auto"/>
          </w:tcPr>
          <w:p w14:paraId="4D614ED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Xu 2021</w:t>
            </w:r>
          </w:p>
        </w:tc>
        <w:tc>
          <w:tcPr>
            <w:tcW w:w="887" w:type="dxa"/>
            <w:shd w:val="clear" w:color="auto" w:fill="auto"/>
          </w:tcPr>
          <w:p w14:paraId="291954B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4BD47B99" w14:textId="54E5BDE9"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1968B7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4-18 years with IBS diagnosis (Rome II~IV)</w:t>
            </w:r>
          </w:p>
        </w:tc>
        <w:tc>
          <w:tcPr>
            <w:tcW w:w="1300" w:type="dxa"/>
            <w:shd w:val="clear" w:color="auto" w:fill="auto"/>
          </w:tcPr>
          <w:p w14:paraId="77719A90" w14:textId="67FCAFF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5C437EF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2469F4B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0FDCD79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743" w:type="dxa"/>
            <w:shd w:val="clear" w:color="auto" w:fill="auto"/>
          </w:tcPr>
          <w:p w14:paraId="264657B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508</w:t>
            </w:r>
          </w:p>
        </w:tc>
        <w:tc>
          <w:tcPr>
            <w:tcW w:w="1256" w:type="dxa"/>
            <w:shd w:val="clear" w:color="auto" w:fill="auto"/>
          </w:tcPr>
          <w:p w14:paraId="739F443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Abdominal pain score</w:t>
            </w:r>
          </w:p>
        </w:tc>
        <w:tc>
          <w:tcPr>
            <w:tcW w:w="790" w:type="dxa"/>
            <w:shd w:val="clear" w:color="auto" w:fill="auto"/>
          </w:tcPr>
          <w:p w14:paraId="400807A8" w14:textId="4474975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–1.15, (–2.05 to –0.24), P = 0.01</w:t>
            </w:r>
          </w:p>
        </w:tc>
        <w:tc>
          <w:tcPr>
            <w:tcW w:w="1076" w:type="dxa"/>
            <w:shd w:val="clear" w:color="auto" w:fill="auto"/>
          </w:tcPr>
          <w:p w14:paraId="0F1A9B9D" w14:textId="2803E14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95%</w:t>
            </w:r>
          </w:p>
        </w:tc>
        <w:tc>
          <w:tcPr>
            <w:tcW w:w="1011" w:type="dxa"/>
          </w:tcPr>
          <w:p w14:paraId="092A7ACE" w14:textId="3DFCCE0A"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382E9051" w14:textId="23C64AA6"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6D60F996" w14:textId="78D2BCBA" w:rsidTr="004C6AA1">
        <w:trPr>
          <w:trHeight w:val="156"/>
        </w:trPr>
        <w:tc>
          <w:tcPr>
            <w:tcW w:w="1256" w:type="dxa"/>
            <w:shd w:val="clear" w:color="auto" w:fill="auto"/>
          </w:tcPr>
          <w:p w14:paraId="3F36075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Xu 2021</w:t>
            </w:r>
          </w:p>
        </w:tc>
        <w:tc>
          <w:tcPr>
            <w:tcW w:w="887" w:type="dxa"/>
            <w:shd w:val="clear" w:color="auto" w:fill="auto"/>
          </w:tcPr>
          <w:p w14:paraId="16C37CB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6494BE4A" w14:textId="0CB365C5"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9550B1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4-18 years with IBS diagnosis (Rome II~IV)</w:t>
            </w:r>
          </w:p>
        </w:tc>
        <w:tc>
          <w:tcPr>
            <w:tcW w:w="1300" w:type="dxa"/>
            <w:shd w:val="clear" w:color="auto" w:fill="auto"/>
          </w:tcPr>
          <w:p w14:paraId="0E97C5B5" w14:textId="5071415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6F885B6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5D26CC5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47AFF1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7</w:t>
            </w:r>
          </w:p>
        </w:tc>
        <w:tc>
          <w:tcPr>
            <w:tcW w:w="743" w:type="dxa"/>
            <w:shd w:val="clear" w:color="auto" w:fill="auto"/>
          </w:tcPr>
          <w:p w14:paraId="6D9950D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508</w:t>
            </w:r>
          </w:p>
        </w:tc>
        <w:tc>
          <w:tcPr>
            <w:tcW w:w="1256" w:type="dxa"/>
            <w:shd w:val="clear" w:color="auto" w:fill="auto"/>
          </w:tcPr>
          <w:p w14:paraId="2DBE9A5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Standard abdominal pain </w:t>
            </w:r>
          </w:p>
        </w:tc>
        <w:tc>
          <w:tcPr>
            <w:tcW w:w="790" w:type="dxa"/>
            <w:shd w:val="clear" w:color="auto" w:fill="auto"/>
          </w:tcPr>
          <w:p w14:paraId="04333CBF" w14:textId="6116870E"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MD = –0.15 (–0.27 to –0.04), P = 0.01</w:t>
            </w:r>
          </w:p>
        </w:tc>
        <w:tc>
          <w:tcPr>
            <w:tcW w:w="1076" w:type="dxa"/>
            <w:shd w:val="clear" w:color="auto" w:fill="auto"/>
          </w:tcPr>
          <w:p w14:paraId="3CAE0FA7" w14:textId="213E6687"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94%</w:t>
            </w:r>
          </w:p>
        </w:tc>
        <w:tc>
          <w:tcPr>
            <w:tcW w:w="1011" w:type="dxa"/>
          </w:tcPr>
          <w:p w14:paraId="4A7A4CB4" w14:textId="267924A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479F33CA" w14:textId="00D6C619"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77458D03" w14:textId="53934C2A" w:rsidTr="004C6AA1">
        <w:trPr>
          <w:trHeight w:val="156"/>
        </w:trPr>
        <w:tc>
          <w:tcPr>
            <w:tcW w:w="1256" w:type="dxa"/>
            <w:shd w:val="clear" w:color="auto" w:fill="auto"/>
          </w:tcPr>
          <w:p w14:paraId="3C53E4C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Xu 2021</w:t>
            </w:r>
          </w:p>
        </w:tc>
        <w:tc>
          <w:tcPr>
            <w:tcW w:w="887" w:type="dxa"/>
            <w:shd w:val="clear" w:color="auto" w:fill="auto"/>
          </w:tcPr>
          <w:p w14:paraId="797BA44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175AA578" w14:textId="5953ED0A"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0B8AA65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4-18 years with IBS diagnosis (Rome II~IV)</w:t>
            </w:r>
          </w:p>
        </w:tc>
        <w:tc>
          <w:tcPr>
            <w:tcW w:w="1300" w:type="dxa"/>
            <w:shd w:val="clear" w:color="auto" w:fill="auto"/>
          </w:tcPr>
          <w:p w14:paraId="611D1959" w14:textId="2DD09126"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346243D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38D0BCF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AEEE66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7A0951C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167</w:t>
            </w:r>
          </w:p>
        </w:tc>
        <w:tc>
          <w:tcPr>
            <w:tcW w:w="1256" w:type="dxa"/>
            <w:shd w:val="clear" w:color="auto" w:fill="auto"/>
          </w:tcPr>
          <w:p w14:paraId="529456F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Abdominal pain relief</w:t>
            </w:r>
          </w:p>
        </w:tc>
        <w:tc>
          <w:tcPr>
            <w:tcW w:w="790" w:type="dxa"/>
            <w:shd w:val="clear" w:color="auto" w:fill="auto"/>
          </w:tcPr>
          <w:p w14:paraId="1FD99A80" w14:textId="41A2483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1.48 (0.96 to 2.28), P = 0.08</w:t>
            </w:r>
          </w:p>
        </w:tc>
        <w:tc>
          <w:tcPr>
            <w:tcW w:w="1076" w:type="dxa"/>
            <w:shd w:val="clear" w:color="auto" w:fill="auto"/>
          </w:tcPr>
          <w:p w14:paraId="7A08E6A1" w14:textId="146E6875"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40%</w:t>
            </w:r>
          </w:p>
        </w:tc>
        <w:tc>
          <w:tcPr>
            <w:tcW w:w="1011" w:type="dxa"/>
          </w:tcPr>
          <w:p w14:paraId="780D04EE" w14:textId="10811941"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4DDB9D4" w14:textId="47969CDF"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771465F0" w14:textId="510E256B" w:rsidTr="004C6AA1">
        <w:trPr>
          <w:trHeight w:val="156"/>
        </w:trPr>
        <w:tc>
          <w:tcPr>
            <w:tcW w:w="1256" w:type="dxa"/>
            <w:shd w:val="clear" w:color="auto" w:fill="auto"/>
          </w:tcPr>
          <w:p w14:paraId="423F91D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Xu 2021</w:t>
            </w:r>
          </w:p>
        </w:tc>
        <w:tc>
          <w:tcPr>
            <w:tcW w:w="887" w:type="dxa"/>
            <w:shd w:val="clear" w:color="auto" w:fill="auto"/>
          </w:tcPr>
          <w:p w14:paraId="1BCAD89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4FE32F5B" w14:textId="03B97480"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99C997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4-18 years with IBS diagnosis (Rome II~IV)</w:t>
            </w:r>
          </w:p>
        </w:tc>
        <w:tc>
          <w:tcPr>
            <w:tcW w:w="1300" w:type="dxa"/>
            <w:shd w:val="clear" w:color="auto" w:fill="auto"/>
          </w:tcPr>
          <w:p w14:paraId="67B92BAC" w14:textId="541F25F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5CD487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6F61D50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173702B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346F890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163</w:t>
            </w:r>
          </w:p>
        </w:tc>
        <w:tc>
          <w:tcPr>
            <w:tcW w:w="1256" w:type="dxa"/>
            <w:shd w:val="clear" w:color="auto" w:fill="auto"/>
          </w:tcPr>
          <w:p w14:paraId="35E8E95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Abdominal pain treatment success </w:t>
            </w:r>
          </w:p>
        </w:tc>
        <w:tc>
          <w:tcPr>
            <w:tcW w:w="790" w:type="dxa"/>
            <w:shd w:val="clear" w:color="auto" w:fill="auto"/>
          </w:tcPr>
          <w:p w14:paraId="434CD552" w14:textId="04198ECD"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RR = 3.44, (1.73 to 6.87), </w:t>
            </w:r>
            <w:r w:rsidRPr="00D518FF">
              <w:rPr>
                <w:sz w:val="16"/>
                <w:szCs w:val="16"/>
              </w:rPr>
              <w:lastRenderedPageBreak/>
              <w:t>p=0.0005</w:t>
            </w:r>
          </w:p>
        </w:tc>
        <w:tc>
          <w:tcPr>
            <w:tcW w:w="1076" w:type="dxa"/>
            <w:shd w:val="clear" w:color="auto" w:fill="auto"/>
          </w:tcPr>
          <w:p w14:paraId="75A08A65" w14:textId="18C57F2B"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I² =</w:t>
            </w:r>
            <w:r w:rsidRPr="00D518FF">
              <w:rPr>
                <w:sz w:val="16"/>
                <w:szCs w:val="16"/>
              </w:rPr>
              <w:t xml:space="preserve"> 0%</w:t>
            </w:r>
          </w:p>
        </w:tc>
        <w:tc>
          <w:tcPr>
            <w:tcW w:w="1011" w:type="dxa"/>
          </w:tcPr>
          <w:p w14:paraId="406E1D91" w14:textId="43B2979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26BE6864" w14:textId="7A2A3632"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60A200F1" w14:textId="5E938631" w:rsidTr="004C6AA1">
        <w:trPr>
          <w:trHeight w:val="156"/>
        </w:trPr>
        <w:tc>
          <w:tcPr>
            <w:tcW w:w="1256" w:type="dxa"/>
            <w:shd w:val="clear" w:color="auto" w:fill="auto"/>
          </w:tcPr>
          <w:p w14:paraId="64979A3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Xu 2021</w:t>
            </w:r>
          </w:p>
        </w:tc>
        <w:tc>
          <w:tcPr>
            <w:tcW w:w="887" w:type="dxa"/>
            <w:shd w:val="clear" w:color="auto" w:fill="auto"/>
          </w:tcPr>
          <w:p w14:paraId="27048E72"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74D96A0D" w14:textId="7CB6FA22"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53C66F3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4-18 years with IBS diagnosis (Rome II~IV)</w:t>
            </w:r>
          </w:p>
        </w:tc>
        <w:tc>
          <w:tcPr>
            <w:tcW w:w="1300" w:type="dxa"/>
            <w:shd w:val="clear" w:color="auto" w:fill="auto"/>
          </w:tcPr>
          <w:p w14:paraId="7EA603AB" w14:textId="65E19B2C"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41E7C42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735C46B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36117F5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743" w:type="dxa"/>
            <w:shd w:val="clear" w:color="auto" w:fill="auto"/>
          </w:tcPr>
          <w:p w14:paraId="584F3AE5"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147</w:t>
            </w:r>
          </w:p>
        </w:tc>
        <w:tc>
          <w:tcPr>
            <w:tcW w:w="1256" w:type="dxa"/>
            <w:shd w:val="clear" w:color="auto" w:fill="auto"/>
          </w:tcPr>
          <w:p w14:paraId="72933A8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Frequency of abdominal pain</w:t>
            </w:r>
          </w:p>
        </w:tc>
        <w:tc>
          <w:tcPr>
            <w:tcW w:w="790" w:type="dxa"/>
            <w:shd w:val="clear" w:color="auto" w:fill="auto"/>
          </w:tcPr>
          <w:p w14:paraId="153A51D9" w14:textId="5581259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MD = –0.82 (-1.57 to –0.07), p=0.03</w:t>
            </w:r>
          </w:p>
        </w:tc>
        <w:tc>
          <w:tcPr>
            <w:tcW w:w="1076" w:type="dxa"/>
            <w:shd w:val="clear" w:color="auto" w:fill="auto"/>
          </w:tcPr>
          <w:p w14:paraId="7962B9D6" w14:textId="576F49B7"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2%</w:t>
            </w:r>
          </w:p>
        </w:tc>
        <w:tc>
          <w:tcPr>
            <w:tcW w:w="1011" w:type="dxa"/>
          </w:tcPr>
          <w:p w14:paraId="7FBD0F8B" w14:textId="356F93C4"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5C8FF1FF" w14:textId="0B02A693"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619667DE" w14:textId="37E97B7B" w:rsidTr="004C6AA1">
        <w:trPr>
          <w:trHeight w:val="156"/>
        </w:trPr>
        <w:tc>
          <w:tcPr>
            <w:tcW w:w="1256" w:type="dxa"/>
            <w:shd w:val="clear" w:color="auto" w:fill="auto"/>
          </w:tcPr>
          <w:p w14:paraId="420B05B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Yuan 2017</w:t>
            </w:r>
          </w:p>
        </w:tc>
        <w:tc>
          <w:tcPr>
            <w:tcW w:w="887" w:type="dxa"/>
            <w:shd w:val="clear" w:color="auto" w:fill="auto"/>
          </w:tcPr>
          <w:p w14:paraId="3BE6904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173A9F82" w14:textId="12A6EDEE"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F060748"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Rome criteria I, II, or III for the diagnosis of IBS; (3) age greater than 15 years old</w:t>
            </w:r>
          </w:p>
        </w:tc>
        <w:tc>
          <w:tcPr>
            <w:tcW w:w="1300" w:type="dxa"/>
            <w:shd w:val="clear" w:color="auto" w:fill="auto"/>
          </w:tcPr>
          <w:p w14:paraId="655232D1" w14:textId="0837DD7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1D7457B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 containing B. Infantis</w:t>
            </w:r>
          </w:p>
        </w:tc>
        <w:tc>
          <w:tcPr>
            <w:tcW w:w="938" w:type="dxa"/>
            <w:shd w:val="clear" w:color="auto" w:fill="auto"/>
          </w:tcPr>
          <w:p w14:paraId="1355CE8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DE058E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w:t>
            </w:r>
          </w:p>
        </w:tc>
        <w:tc>
          <w:tcPr>
            <w:tcW w:w="743" w:type="dxa"/>
            <w:shd w:val="clear" w:color="auto" w:fill="auto"/>
          </w:tcPr>
          <w:p w14:paraId="02C02DB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666</w:t>
            </w:r>
          </w:p>
        </w:tc>
        <w:tc>
          <w:tcPr>
            <w:tcW w:w="1256" w:type="dxa"/>
            <w:shd w:val="clear" w:color="auto" w:fill="auto"/>
          </w:tcPr>
          <w:p w14:paraId="21A60F4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NR</w:t>
            </w:r>
          </w:p>
        </w:tc>
        <w:tc>
          <w:tcPr>
            <w:tcW w:w="790" w:type="dxa"/>
            <w:shd w:val="clear" w:color="auto" w:fill="auto"/>
          </w:tcPr>
          <w:p w14:paraId="7AA61706" w14:textId="129283EA"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M = 0.23 (–0.03 to 0.49)</w:t>
            </w:r>
          </w:p>
        </w:tc>
        <w:tc>
          <w:tcPr>
            <w:tcW w:w="1076" w:type="dxa"/>
            <w:shd w:val="clear" w:color="auto" w:fill="auto"/>
          </w:tcPr>
          <w:p w14:paraId="50CE4368" w14:textId="77777777" w:rsidR="00A72AFF" w:rsidRPr="00D518FF" w:rsidRDefault="00A72AFF" w:rsidP="00F614C8">
            <w:pPr>
              <w:pStyle w:val="2024TABLETEXT"/>
              <w:framePr w:hSpace="0" w:wrap="auto" w:vAnchor="margin" w:yAlign="inline"/>
              <w:spacing w:line="240" w:lineRule="auto"/>
              <w:suppressOverlap w:val="0"/>
              <w:rPr>
                <w:sz w:val="16"/>
                <w:szCs w:val="16"/>
              </w:rPr>
            </w:pPr>
          </w:p>
        </w:tc>
        <w:tc>
          <w:tcPr>
            <w:tcW w:w="1011" w:type="dxa"/>
          </w:tcPr>
          <w:p w14:paraId="590C5F1F" w14:textId="14849A5A"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332FCFF" w14:textId="06CBF1EA"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56306645" w14:textId="43C1A005" w:rsidTr="004C6AA1">
        <w:trPr>
          <w:trHeight w:val="156"/>
        </w:trPr>
        <w:tc>
          <w:tcPr>
            <w:tcW w:w="1256" w:type="dxa"/>
            <w:shd w:val="clear" w:color="auto" w:fill="auto"/>
          </w:tcPr>
          <w:p w14:paraId="621B87FD" w14:textId="3DB2D005"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Zhang 2016</w:t>
            </w:r>
          </w:p>
        </w:tc>
        <w:tc>
          <w:tcPr>
            <w:tcW w:w="887" w:type="dxa"/>
            <w:shd w:val="clear" w:color="auto" w:fill="auto"/>
          </w:tcPr>
          <w:p w14:paraId="553CD4AB"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w:t>
            </w:r>
          </w:p>
        </w:tc>
        <w:tc>
          <w:tcPr>
            <w:tcW w:w="937" w:type="dxa"/>
            <w:shd w:val="clear" w:color="auto" w:fill="auto"/>
          </w:tcPr>
          <w:p w14:paraId="19B78335" w14:textId="29027571"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0314EF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 diagnosis (Rome III criteria)</w:t>
            </w:r>
          </w:p>
        </w:tc>
        <w:tc>
          <w:tcPr>
            <w:tcW w:w="1300" w:type="dxa"/>
            <w:shd w:val="clear" w:color="auto" w:fill="auto"/>
          </w:tcPr>
          <w:p w14:paraId="6EB0055E" w14:textId="77769552"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71CACF9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0C8B025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BE6854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18 comparisons from 16 trials</w:t>
            </w:r>
          </w:p>
        </w:tc>
        <w:tc>
          <w:tcPr>
            <w:tcW w:w="743" w:type="dxa"/>
            <w:shd w:val="clear" w:color="auto" w:fill="auto"/>
          </w:tcPr>
          <w:p w14:paraId="65939FF3"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1275</w:t>
            </w:r>
          </w:p>
        </w:tc>
        <w:tc>
          <w:tcPr>
            <w:tcW w:w="1256" w:type="dxa"/>
            <w:shd w:val="clear" w:color="auto" w:fill="auto"/>
          </w:tcPr>
          <w:p w14:paraId="6B6C1F1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Overall symptom response defined as a &gt;50% reduction in IBS pain and discomfort or adequate relief of IBS symptoms for &gt;50% of the time in 7 of 15 studies. Other definitions included an improvement of ≥ 50 points in the global IBS-SSS, global relief of IBS symptoms, or good and excellent overall efficacy.</w:t>
            </w:r>
          </w:p>
        </w:tc>
        <w:tc>
          <w:tcPr>
            <w:tcW w:w="790" w:type="dxa"/>
            <w:shd w:val="clear" w:color="auto" w:fill="auto"/>
          </w:tcPr>
          <w:p w14:paraId="2DF1B230" w14:textId="19DB70D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RR = 1.82 (1.27 to 2.60)</w:t>
            </w:r>
          </w:p>
        </w:tc>
        <w:tc>
          <w:tcPr>
            <w:tcW w:w="1076" w:type="dxa"/>
            <w:shd w:val="clear" w:color="auto" w:fill="auto"/>
          </w:tcPr>
          <w:p w14:paraId="2C4DA671" w14:textId="523D6B88"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 xml:space="preserve">I² </w:t>
            </w:r>
            <w:r w:rsidRPr="00D518FF">
              <w:rPr>
                <w:sz w:val="16"/>
                <w:szCs w:val="16"/>
              </w:rPr>
              <w:t>=82.2%, p&lt;0.001</w:t>
            </w:r>
          </w:p>
        </w:tc>
        <w:tc>
          <w:tcPr>
            <w:tcW w:w="1011" w:type="dxa"/>
          </w:tcPr>
          <w:p w14:paraId="0C04D618" w14:textId="3E22217F"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7624B708" w14:textId="0488B7EE" w:rsidR="00A72A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459D5B1B" w14:textId="47FC04BB" w:rsidTr="004C6AA1">
        <w:trPr>
          <w:trHeight w:val="156"/>
        </w:trPr>
        <w:tc>
          <w:tcPr>
            <w:tcW w:w="1256" w:type="dxa"/>
            <w:shd w:val="clear" w:color="auto" w:fill="auto"/>
          </w:tcPr>
          <w:p w14:paraId="19D035D7"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Zhang 2016</w:t>
            </w:r>
          </w:p>
        </w:tc>
        <w:tc>
          <w:tcPr>
            <w:tcW w:w="887" w:type="dxa"/>
            <w:shd w:val="clear" w:color="auto" w:fill="auto"/>
          </w:tcPr>
          <w:p w14:paraId="63AE4B9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2</w:t>
            </w:r>
          </w:p>
        </w:tc>
        <w:tc>
          <w:tcPr>
            <w:tcW w:w="937" w:type="dxa"/>
            <w:shd w:val="clear" w:color="auto" w:fill="auto"/>
          </w:tcPr>
          <w:p w14:paraId="30972C43" w14:textId="5E602972"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3289CD99"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 diagnosis (Rome III criteria)</w:t>
            </w:r>
          </w:p>
        </w:tc>
        <w:tc>
          <w:tcPr>
            <w:tcW w:w="1300" w:type="dxa"/>
            <w:shd w:val="clear" w:color="auto" w:fill="auto"/>
          </w:tcPr>
          <w:p w14:paraId="6BA13674" w14:textId="38A794C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22B2F21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45FEDA4A"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5D09129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13</w:t>
            </w:r>
          </w:p>
        </w:tc>
        <w:tc>
          <w:tcPr>
            <w:tcW w:w="743" w:type="dxa"/>
            <w:shd w:val="clear" w:color="auto" w:fill="auto"/>
          </w:tcPr>
          <w:p w14:paraId="401BE0AF"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889</w:t>
            </w:r>
          </w:p>
        </w:tc>
        <w:tc>
          <w:tcPr>
            <w:tcW w:w="1256" w:type="dxa"/>
            <w:shd w:val="clear" w:color="auto" w:fill="auto"/>
          </w:tcPr>
          <w:p w14:paraId="088776A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100-mm VAS, 7-point Likert scale, 5-point Likert scale, other, NR.</w:t>
            </w:r>
          </w:p>
        </w:tc>
        <w:tc>
          <w:tcPr>
            <w:tcW w:w="790" w:type="dxa"/>
            <w:shd w:val="clear" w:color="auto" w:fill="auto"/>
          </w:tcPr>
          <w:p w14:paraId="4FDF159E" w14:textId="0781D013"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−0.25 (−0.62 to 0.13)</w:t>
            </w:r>
          </w:p>
        </w:tc>
        <w:tc>
          <w:tcPr>
            <w:tcW w:w="1076" w:type="dxa"/>
            <w:shd w:val="clear" w:color="auto" w:fill="auto"/>
          </w:tcPr>
          <w:p w14:paraId="3C4D3666" w14:textId="453C3974"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 xml:space="preserve">No significant funnel plot asymmetry observed (Egger test, </w:t>
            </w:r>
            <w:r w:rsidRPr="00D518FF">
              <w:rPr>
                <w:sz w:val="16"/>
                <w:szCs w:val="16"/>
              </w:rPr>
              <w:lastRenderedPageBreak/>
              <w:t>p=0.90), suggesting no evidence of publication bias or other small-study effects</w:t>
            </w:r>
            <w:r w:rsidR="00173487">
              <w:rPr>
                <w:sz w:val="16"/>
                <w:szCs w:val="16"/>
              </w:rPr>
              <w:t>.</w:t>
            </w:r>
          </w:p>
        </w:tc>
        <w:tc>
          <w:tcPr>
            <w:tcW w:w="1011" w:type="dxa"/>
          </w:tcPr>
          <w:p w14:paraId="7DB2029C" w14:textId="3E6BE4D2" w:rsidR="00A72AFF" w:rsidRDefault="00A72AFF" w:rsidP="00F614C8">
            <w:pPr>
              <w:pStyle w:val="2024TABLETEXT"/>
              <w:framePr w:hSpace="0" w:wrap="auto" w:vAnchor="margin" w:yAlign="inline"/>
              <w:spacing w:line="240" w:lineRule="auto"/>
              <w:suppressOverlap w:val="0"/>
              <w:rPr>
                <w:sz w:val="16"/>
                <w:szCs w:val="16"/>
              </w:rPr>
            </w:pPr>
            <w:r>
              <w:rPr>
                <w:sz w:val="16"/>
                <w:szCs w:val="16"/>
              </w:rPr>
              <w:lastRenderedPageBreak/>
              <w:t>NA</w:t>
            </w:r>
          </w:p>
        </w:tc>
        <w:tc>
          <w:tcPr>
            <w:tcW w:w="1059" w:type="dxa"/>
          </w:tcPr>
          <w:p w14:paraId="2A4E50C7" w14:textId="6C3D1095"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r w:rsidR="00A72AFF" w:rsidRPr="00D518FF" w14:paraId="7F0F51BA" w14:textId="2B6D065C" w:rsidTr="004C6AA1">
        <w:trPr>
          <w:trHeight w:val="156"/>
        </w:trPr>
        <w:tc>
          <w:tcPr>
            <w:tcW w:w="1256" w:type="dxa"/>
            <w:shd w:val="clear" w:color="auto" w:fill="auto"/>
          </w:tcPr>
          <w:p w14:paraId="40BCE31D"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Zhang 2016</w:t>
            </w:r>
          </w:p>
        </w:tc>
        <w:tc>
          <w:tcPr>
            <w:tcW w:w="887" w:type="dxa"/>
            <w:shd w:val="clear" w:color="auto" w:fill="auto"/>
          </w:tcPr>
          <w:p w14:paraId="2961B43E"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3</w:t>
            </w:r>
          </w:p>
        </w:tc>
        <w:tc>
          <w:tcPr>
            <w:tcW w:w="937" w:type="dxa"/>
            <w:shd w:val="clear" w:color="auto" w:fill="auto"/>
          </w:tcPr>
          <w:p w14:paraId="244C66CC" w14:textId="2A22D980" w:rsidR="00A72AFF" w:rsidRPr="00D518FF" w:rsidRDefault="00A72AFF" w:rsidP="00F614C8">
            <w:pPr>
              <w:pStyle w:val="2024TABLETEXT"/>
              <w:framePr w:hSpace="0" w:wrap="auto" w:vAnchor="margin" w:yAlign="inline"/>
              <w:spacing w:line="240" w:lineRule="auto"/>
              <w:suppressOverlap w:val="0"/>
              <w:rPr>
                <w:sz w:val="16"/>
                <w:szCs w:val="16"/>
              </w:rPr>
            </w:pPr>
            <w:r>
              <w:rPr>
                <w:rFonts w:cs="Calibri"/>
                <w:color w:val="000000"/>
                <w:sz w:val="16"/>
                <w:szCs w:val="16"/>
              </w:rPr>
              <w:t>With condition</w:t>
            </w:r>
          </w:p>
        </w:tc>
        <w:tc>
          <w:tcPr>
            <w:tcW w:w="1220" w:type="dxa"/>
            <w:shd w:val="clear" w:color="auto" w:fill="auto"/>
          </w:tcPr>
          <w:p w14:paraId="22106366"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IBS diagnosis (Rome III criteria)</w:t>
            </w:r>
          </w:p>
        </w:tc>
        <w:tc>
          <w:tcPr>
            <w:tcW w:w="1300" w:type="dxa"/>
            <w:shd w:val="clear" w:color="auto" w:fill="auto"/>
          </w:tcPr>
          <w:p w14:paraId="69C1F7E0" w14:textId="550A2461"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Eligible supplement VS placebo/inactive control</w:t>
            </w:r>
          </w:p>
        </w:tc>
        <w:tc>
          <w:tcPr>
            <w:tcW w:w="1112" w:type="dxa"/>
            <w:shd w:val="clear" w:color="auto" w:fill="auto"/>
          </w:tcPr>
          <w:p w14:paraId="514F329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Probiotics</w:t>
            </w:r>
          </w:p>
        </w:tc>
        <w:tc>
          <w:tcPr>
            <w:tcW w:w="938" w:type="dxa"/>
            <w:shd w:val="clear" w:color="auto" w:fill="auto"/>
          </w:tcPr>
          <w:p w14:paraId="66542850"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Placebo</w:t>
            </w:r>
          </w:p>
        </w:tc>
        <w:tc>
          <w:tcPr>
            <w:tcW w:w="813" w:type="dxa"/>
            <w:shd w:val="clear" w:color="auto" w:fill="auto"/>
          </w:tcPr>
          <w:p w14:paraId="459B6904"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9</w:t>
            </w:r>
          </w:p>
        </w:tc>
        <w:tc>
          <w:tcPr>
            <w:tcW w:w="743" w:type="dxa"/>
            <w:shd w:val="clear" w:color="auto" w:fill="auto"/>
          </w:tcPr>
          <w:p w14:paraId="7618A421"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529</w:t>
            </w:r>
          </w:p>
        </w:tc>
        <w:tc>
          <w:tcPr>
            <w:tcW w:w="1256" w:type="dxa"/>
            <w:shd w:val="clear" w:color="auto" w:fill="auto"/>
          </w:tcPr>
          <w:p w14:paraId="2A5D727C" w14:textId="77777777"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SF-12, 5-point Likert scale</w:t>
            </w:r>
          </w:p>
        </w:tc>
        <w:tc>
          <w:tcPr>
            <w:tcW w:w="790" w:type="dxa"/>
            <w:shd w:val="clear" w:color="auto" w:fill="auto"/>
          </w:tcPr>
          <w:p w14:paraId="5DFDD97C" w14:textId="1A182ED0" w:rsidR="00A72AFF" w:rsidRPr="00D518FF" w:rsidRDefault="00A72AFF" w:rsidP="00F614C8">
            <w:pPr>
              <w:pStyle w:val="2024TABLETEXT"/>
              <w:framePr w:hSpace="0" w:wrap="auto" w:vAnchor="margin" w:yAlign="inline"/>
              <w:spacing w:line="240" w:lineRule="auto"/>
              <w:suppressOverlap w:val="0"/>
              <w:rPr>
                <w:sz w:val="16"/>
                <w:szCs w:val="16"/>
              </w:rPr>
            </w:pPr>
            <w:r w:rsidRPr="00D518FF">
              <w:rPr>
                <w:sz w:val="16"/>
                <w:szCs w:val="16"/>
              </w:rPr>
              <w:t>SMD = 0.29 (0.08 to 0.50)</w:t>
            </w:r>
          </w:p>
        </w:tc>
        <w:tc>
          <w:tcPr>
            <w:tcW w:w="1076" w:type="dxa"/>
            <w:shd w:val="clear" w:color="auto" w:fill="auto"/>
          </w:tcPr>
          <w:p w14:paraId="6E8D4D19" w14:textId="19270BC4"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I² =</w:t>
            </w:r>
            <w:r w:rsidRPr="00D518FF">
              <w:rPr>
                <w:sz w:val="16"/>
                <w:szCs w:val="16"/>
              </w:rPr>
              <w:t xml:space="preserve"> 36.2%</w:t>
            </w:r>
          </w:p>
        </w:tc>
        <w:tc>
          <w:tcPr>
            <w:tcW w:w="1011" w:type="dxa"/>
          </w:tcPr>
          <w:p w14:paraId="635A5123" w14:textId="4C362468" w:rsidR="00A72AFF" w:rsidRDefault="00A72AFF" w:rsidP="00F614C8">
            <w:pPr>
              <w:pStyle w:val="2024TABLETEXT"/>
              <w:framePr w:hSpace="0" w:wrap="auto" w:vAnchor="margin" w:yAlign="inline"/>
              <w:spacing w:line="240" w:lineRule="auto"/>
              <w:suppressOverlap w:val="0"/>
              <w:rPr>
                <w:sz w:val="16"/>
                <w:szCs w:val="16"/>
              </w:rPr>
            </w:pPr>
            <w:r>
              <w:rPr>
                <w:sz w:val="16"/>
                <w:szCs w:val="16"/>
              </w:rPr>
              <w:t>NA</w:t>
            </w:r>
          </w:p>
        </w:tc>
        <w:tc>
          <w:tcPr>
            <w:tcW w:w="1059" w:type="dxa"/>
          </w:tcPr>
          <w:p w14:paraId="1099B697" w14:textId="073DA7C8" w:rsidR="00A72AFF" w:rsidRPr="00D518FF" w:rsidRDefault="00A72AFF" w:rsidP="00F614C8">
            <w:pPr>
              <w:pStyle w:val="2024TABLETEXT"/>
              <w:framePr w:hSpace="0" w:wrap="auto" w:vAnchor="margin" w:yAlign="inline"/>
              <w:spacing w:line="240" w:lineRule="auto"/>
              <w:suppressOverlap w:val="0"/>
              <w:rPr>
                <w:sz w:val="16"/>
                <w:szCs w:val="16"/>
              </w:rPr>
            </w:pPr>
            <w:r>
              <w:rPr>
                <w:sz w:val="16"/>
                <w:szCs w:val="16"/>
              </w:rPr>
              <w:t>Unclear risk</w:t>
            </w:r>
          </w:p>
        </w:tc>
      </w:tr>
    </w:tbl>
    <w:p w14:paraId="09BF4FD9" w14:textId="3408BA71" w:rsidR="009E4D3F" w:rsidRPr="00D518FF" w:rsidRDefault="009E4D3F" w:rsidP="00AA72BD">
      <w:pPr>
        <w:pStyle w:val="2024TABLEFOOTER"/>
        <w:spacing w:line="240" w:lineRule="auto"/>
        <w:rPr>
          <w:szCs w:val="16"/>
        </w:rPr>
      </w:pPr>
      <w:r w:rsidRPr="00D518FF">
        <w:rPr>
          <w:szCs w:val="16"/>
        </w:rPr>
        <w:t>Abbreviations:</w:t>
      </w:r>
      <w:r w:rsidR="004A5492">
        <w:rPr>
          <w:szCs w:val="16"/>
        </w:rPr>
        <w:t xml:space="preserve"> </w:t>
      </w:r>
      <w:r w:rsidR="00173487">
        <w:rPr>
          <w:szCs w:val="16"/>
        </w:rPr>
        <w:t>APS=</w:t>
      </w:r>
      <w:r w:rsidR="00173487" w:rsidRPr="00D518FF">
        <w:rPr>
          <w:szCs w:val="16"/>
        </w:rPr>
        <w:t>abdominal pain score</w:t>
      </w:r>
      <w:r w:rsidR="00173487">
        <w:rPr>
          <w:szCs w:val="16"/>
        </w:rPr>
        <w:t>;</w:t>
      </w:r>
      <w:r w:rsidR="00173487" w:rsidRPr="00D518FF">
        <w:rPr>
          <w:szCs w:val="16"/>
        </w:rPr>
        <w:t xml:space="preserve"> </w:t>
      </w:r>
      <w:r w:rsidR="00BD03C8" w:rsidRPr="00D518FF">
        <w:rPr>
          <w:szCs w:val="16"/>
        </w:rPr>
        <w:t>BM</w:t>
      </w:r>
      <w:r w:rsidR="00BD03C8">
        <w:rPr>
          <w:szCs w:val="16"/>
        </w:rPr>
        <w:t>=bowel movement;</w:t>
      </w:r>
      <w:r w:rsidR="00BD03C8" w:rsidRPr="00D518FF">
        <w:rPr>
          <w:szCs w:val="16"/>
        </w:rPr>
        <w:t xml:space="preserve"> </w:t>
      </w:r>
      <w:r w:rsidR="00173487">
        <w:rPr>
          <w:szCs w:val="16"/>
        </w:rPr>
        <w:t>CI=confidence interval; CFU=</w:t>
      </w:r>
      <w:r w:rsidR="00173487" w:rsidRPr="00173487">
        <w:rPr>
          <w:szCs w:val="16"/>
        </w:rPr>
        <w:t>colony forming units</w:t>
      </w:r>
      <w:r w:rsidR="00173487">
        <w:rPr>
          <w:szCs w:val="16"/>
        </w:rPr>
        <w:t>; FDQoL=</w:t>
      </w:r>
      <w:r w:rsidR="00173487" w:rsidRPr="00D518FF">
        <w:rPr>
          <w:szCs w:val="16"/>
        </w:rPr>
        <w:t>Functional Digestive Disorders Quality of Life</w:t>
      </w:r>
      <w:r w:rsidR="00173487">
        <w:rPr>
          <w:szCs w:val="16"/>
        </w:rPr>
        <w:t xml:space="preserve"> ; GI=gastrointestinal; </w:t>
      </w:r>
      <w:r w:rsidR="00173487" w:rsidRPr="00D518FF">
        <w:rPr>
          <w:szCs w:val="16"/>
        </w:rPr>
        <w:t>GIQLI</w:t>
      </w:r>
      <w:r w:rsidR="00173487">
        <w:rPr>
          <w:szCs w:val="16"/>
        </w:rPr>
        <w:t>=</w:t>
      </w:r>
      <w:r w:rsidR="00173487" w:rsidRPr="00D518FF">
        <w:rPr>
          <w:szCs w:val="16"/>
        </w:rPr>
        <w:t>Gastrointestinal Quality of Life Inde</w:t>
      </w:r>
      <w:r w:rsidR="00173487">
        <w:rPr>
          <w:szCs w:val="16"/>
        </w:rPr>
        <w:t>x;</w:t>
      </w:r>
      <w:r w:rsidR="00173487" w:rsidRPr="00D518FF">
        <w:rPr>
          <w:szCs w:val="16"/>
        </w:rPr>
        <w:t xml:space="preserve"> </w:t>
      </w:r>
      <w:r w:rsidR="00BD03C8">
        <w:rPr>
          <w:szCs w:val="16"/>
        </w:rPr>
        <w:t>HAD=</w:t>
      </w:r>
      <w:r w:rsidR="00BD03C8" w:rsidRPr="00BD03C8">
        <w:rPr>
          <w:szCs w:val="16"/>
        </w:rPr>
        <w:t xml:space="preserve"> </w:t>
      </w:r>
      <w:r w:rsidR="00BD03C8" w:rsidRPr="00D518FF">
        <w:rPr>
          <w:szCs w:val="16"/>
        </w:rPr>
        <w:t>Hospital Anxiety and Depression Scale</w:t>
      </w:r>
      <w:r w:rsidR="00BD03C8">
        <w:rPr>
          <w:szCs w:val="16"/>
        </w:rPr>
        <w:t>;</w:t>
      </w:r>
      <w:r w:rsidR="00173487" w:rsidRPr="00173487">
        <w:rPr>
          <w:szCs w:val="16"/>
        </w:rPr>
        <w:t xml:space="preserve"> </w:t>
      </w:r>
      <w:r w:rsidR="00173487" w:rsidRPr="00D518FF">
        <w:rPr>
          <w:szCs w:val="16"/>
        </w:rPr>
        <w:t>HRQoL</w:t>
      </w:r>
      <w:r w:rsidR="00173487">
        <w:rPr>
          <w:szCs w:val="16"/>
        </w:rPr>
        <w:t>=health-related quality of life;</w:t>
      </w:r>
      <w:r w:rsidR="00BD03C8">
        <w:rPr>
          <w:szCs w:val="16"/>
        </w:rPr>
        <w:t xml:space="preserve"> IBS=irritable bowel syndrome; </w:t>
      </w:r>
      <w:r w:rsidR="00173487" w:rsidRPr="00D518FF">
        <w:rPr>
          <w:szCs w:val="16"/>
        </w:rPr>
        <w:t>IBS-C</w:t>
      </w:r>
      <w:r w:rsidR="00173487">
        <w:rPr>
          <w:szCs w:val="16"/>
        </w:rPr>
        <w:t xml:space="preserve">=IBS-constipation subtype; </w:t>
      </w:r>
      <w:r w:rsidR="00BD03C8">
        <w:rPr>
          <w:szCs w:val="16"/>
        </w:rPr>
        <w:t>IBS-SSS=</w:t>
      </w:r>
      <w:r w:rsidR="00BD03C8" w:rsidRPr="00BD03C8">
        <w:rPr>
          <w:szCs w:val="16"/>
        </w:rPr>
        <w:t>IBS Symptom Severity Scale</w:t>
      </w:r>
      <w:r w:rsidR="00BD03C8">
        <w:rPr>
          <w:szCs w:val="16"/>
        </w:rPr>
        <w:t xml:space="preserve">; </w:t>
      </w:r>
      <w:r w:rsidR="00BD03C8" w:rsidRPr="00D518FF">
        <w:rPr>
          <w:szCs w:val="16"/>
        </w:rPr>
        <w:t>GSS</w:t>
      </w:r>
      <w:r w:rsidR="00BD03C8">
        <w:rPr>
          <w:szCs w:val="16"/>
        </w:rPr>
        <w:t>=</w:t>
      </w:r>
      <w:r w:rsidR="00BD03C8" w:rsidRPr="00D518FF">
        <w:rPr>
          <w:szCs w:val="16"/>
        </w:rPr>
        <w:t>Global symptoms score</w:t>
      </w:r>
      <w:r w:rsidR="00BD03C8">
        <w:rPr>
          <w:szCs w:val="16"/>
        </w:rPr>
        <w:t>; GSRS=</w:t>
      </w:r>
      <w:r w:rsidR="00BD03C8" w:rsidRPr="00E80887">
        <w:rPr>
          <w:szCs w:val="16"/>
        </w:rPr>
        <w:t>Gastrointestinal Symptom Rating Scale</w:t>
      </w:r>
      <w:r w:rsidR="00BD03C8">
        <w:rPr>
          <w:szCs w:val="16"/>
        </w:rPr>
        <w:t>; LGG=</w:t>
      </w:r>
      <w:r w:rsidR="00BD03C8" w:rsidRPr="00E8132D">
        <w:t xml:space="preserve"> </w:t>
      </w:r>
      <w:r w:rsidR="00BD03C8" w:rsidRPr="00E8132D">
        <w:rPr>
          <w:szCs w:val="16"/>
        </w:rPr>
        <w:t>Lactobacillus rhamnosus GG</w:t>
      </w:r>
      <w:r w:rsidR="00BD03C8">
        <w:rPr>
          <w:szCs w:val="16"/>
        </w:rPr>
        <w:t xml:space="preserve">; MD=mean difference; NA=Not applicable; </w:t>
      </w:r>
      <w:r w:rsidR="00BD03C8" w:rsidRPr="00D518FF">
        <w:rPr>
          <w:szCs w:val="16"/>
        </w:rPr>
        <w:t xml:space="preserve">NR=Not reported; </w:t>
      </w:r>
      <w:r w:rsidR="00BD03C8">
        <w:rPr>
          <w:szCs w:val="16"/>
        </w:rPr>
        <w:t xml:space="preserve">QoL=quality of life; RCT=randomised controlled trial; RR=relative risk; </w:t>
      </w:r>
      <w:r w:rsidR="00173487" w:rsidRPr="00D518FF">
        <w:rPr>
          <w:szCs w:val="16"/>
        </w:rPr>
        <w:t>SF-36</w:t>
      </w:r>
      <w:r w:rsidR="00173487">
        <w:rPr>
          <w:szCs w:val="16"/>
        </w:rPr>
        <w:t>=</w:t>
      </w:r>
      <w:r w:rsidR="00173487" w:rsidRPr="00D518FF">
        <w:rPr>
          <w:szCs w:val="16"/>
        </w:rPr>
        <w:t>36-item Short-Form Health Survey</w:t>
      </w:r>
      <w:r w:rsidR="00173487">
        <w:rPr>
          <w:szCs w:val="16"/>
        </w:rPr>
        <w:t xml:space="preserve">; </w:t>
      </w:r>
      <w:r w:rsidR="00BD03C8">
        <w:rPr>
          <w:szCs w:val="16"/>
        </w:rPr>
        <w:t xml:space="preserve">SMD=Standard mean difference; </w:t>
      </w:r>
      <w:r w:rsidR="00BD03C8" w:rsidRPr="00050BBB">
        <w:rPr>
          <w:szCs w:val="16"/>
          <w:lang w:val="en-GB"/>
        </w:rPr>
        <w:t>VAS=visual analogue scale</w:t>
      </w:r>
      <w:r w:rsidR="00BD03C8">
        <w:rPr>
          <w:szCs w:val="16"/>
          <w:lang w:val="en-GB"/>
        </w:rPr>
        <w:t>; WMD=weighted mean difference;</w:t>
      </w:r>
    </w:p>
    <w:p w14:paraId="0B66F44D" w14:textId="77777777" w:rsidR="009E4D3F" w:rsidRPr="00D518FF" w:rsidRDefault="009E4D3F" w:rsidP="00AA72BD">
      <w:pPr>
        <w:pStyle w:val="2024TABLEFOOTER"/>
        <w:spacing w:line="240" w:lineRule="auto"/>
        <w:ind w:left="720" w:hanging="360"/>
        <w:rPr>
          <w:szCs w:val="16"/>
        </w:rPr>
      </w:pPr>
    </w:p>
    <w:p w14:paraId="07B6F7DB" w14:textId="77777777" w:rsidR="009E4D3F" w:rsidRPr="00D518FF" w:rsidRDefault="009E4D3F" w:rsidP="00AA72BD">
      <w:pPr>
        <w:pStyle w:val="2024TABLEFOOTER"/>
        <w:spacing w:line="240" w:lineRule="auto"/>
        <w:rPr>
          <w:szCs w:val="16"/>
        </w:rPr>
      </w:pPr>
      <w:r w:rsidRPr="00D518FF">
        <w:rPr>
          <w:szCs w:val="16"/>
        </w:rPr>
        <w:t>^Outcome domains identified as part of the Outcome Prioritisation Exercise:</w:t>
      </w:r>
    </w:p>
    <w:p w14:paraId="114F43C9" w14:textId="77777777" w:rsidR="009E4D3F" w:rsidRPr="00D518FF" w:rsidRDefault="009E4D3F" w:rsidP="003F5774">
      <w:pPr>
        <w:pStyle w:val="2024TABLEFOOTER"/>
        <w:numPr>
          <w:ilvl w:val="0"/>
          <w:numId w:val="16"/>
        </w:numPr>
        <w:spacing w:line="240" w:lineRule="auto"/>
        <w:rPr>
          <w:szCs w:val="16"/>
        </w:rPr>
      </w:pPr>
      <w:r w:rsidRPr="00D518FF">
        <w:rPr>
          <w:szCs w:val="16"/>
        </w:rPr>
        <w:t>Global improvement of IBS</w:t>
      </w:r>
    </w:p>
    <w:p w14:paraId="28E8247A" w14:textId="77777777" w:rsidR="009E4D3F" w:rsidRPr="00D518FF" w:rsidRDefault="009E4D3F" w:rsidP="003F5774">
      <w:pPr>
        <w:pStyle w:val="2024TABLEFOOTER"/>
        <w:numPr>
          <w:ilvl w:val="0"/>
          <w:numId w:val="16"/>
        </w:numPr>
        <w:spacing w:line="240" w:lineRule="auto"/>
        <w:rPr>
          <w:szCs w:val="16"/>
        </w:rPr>
      </w:pPr>
      <w:r w:rsidRPr="00D518FF">
        <w:rPr>
          <w:szCs w:val="16"/>
        </w:rPr>
        <w:t>Abdominal pain burden</w:t>
      </w:r>
    </w:p>
    <w:p w14:paraId="6CCC2779" w14:textId="77777777" w:rsidR="009E4D3F" w:rsidRPr="00D518FF" w:rsidRDefault="009E4D3F" w:rsidP="003F5774">
      <w:pPr>
        <w:pStyle w:val="2024TABLEFOOTER"/>
        <w:numPr>
          <w:ilvl w:val="0"/>
          <w:numId w:val="16"/>
        </w:numPr>
        <w:spacing w:line="240" w:lineRule="auto"/>
        <w:rPr>
          <w:szCs w:val="16"/>
        </w:rPr>
      </w:pPr>
      <w:r w:rsidRPr="00D518FF">
        <w:rPr>
          <w:szCs w:val="16"/>
        </w:rPr>
        <w:t>Health-related quality of life</w:t>
      </w:r>
    </w:p>
    <w:p w14:paraId="6F132DE9" w14:textId="77777777" w:rsidR="009E4D3F" w:rsidRPr="00D518FF" w:rsidRDefault="009E4D3F" w:rsidP="003F5774">
      <w:pPr>
        <w:pStyle w:val="2024TABLEFOOTER"/>
        <w:numPr>
          <w:ilvl w:val="0"/>
          <w:numId w:val="16"/>
        </w:numPr>
        <w:spacing w:line="240" w:lineRule="auto"/>
        <w:rPr>
          <w:szCs w:val="16"/>
        </w:rPr>
      </w:pPr>
      <w:r w:rsidRPr="00D518FF">
        <w:rPr>
          <w:szCs w:val="16"/>
        </w:rPr>
        <w:t>Number of recurrent episodes</w:t>
      </w:r>
    </w:p>
    <w:p w14:paraId="4DD5457F" w14:textId="77777777" w:rsidR="009E4D3F" w:rsidRPr="00D518FF" w:rsidRDefault="009E4D3F" w:rsidP="003F5774">
      <w:pPr>
        <w:pStyle w:val="2024TABLEFOOTER"/>
        <w:numPr>
          <w:ilvl w:val="0"/>
          <w:numId w:val="16"/>
        </w:numPr>
        <w:spacing w:line="240" w:lineRule="auto"/>
        <w:rPr>
          <w:szCs w:val="16"/>
        </w:rPr>
      </w:pPr>
      <w:r w:rsidRPr="00D518FF">
        <w:rPr>
          <w:szCs w:val="16"/>
        </w:rPr>
        <w:t>Functioning</w:t>
      </w:r>
    </w:p>
    <w:p w14:paraId="09D7EABD" w14:textId="77777777" w:rsidR="009E4D3F" w:rsidRPr="00D518FF" w:rsidRDefault="009E4D3F" w:rsidP="003F5774">
      <w:pPr>
        <w:pStyle w:val="2024TABLEFOOTER"/>
        <w:numPr>
          <w:ilvl w:val="0"/>
          <w:numId w:val="16"/>
        </w:numPr>
        <w:spacing w:line="240" w:lineRule="auto"/>
        <w:rPr>
          <w:szCs w:val="16"/>
        </w:rPr>
      </w:pPr>
      <w:r w:rsidRPr="00D518FF">
        <w:rPr>
          <w:szCs w:val="16"/>
        </w:rPr>
        <w:t>Stool frequency, bowel transit time</w:t>
      </w:r>
    </w:p>
    <w:p w14:paraId="1FA60E37" w14:textId="4D8FCA0F" w:rsidR="00DC0B96" w:rsidRPr="0071540D" w:rsidRDefault="009E4D3F" w:rsidP="00E77295">
      <w:pPr>
        <w:pStyle w:val="2024TABLEFOOTER"/>
        <w:numPr>
          <w:ilvl w:val="0"/>
          <w:numId w:val="16"/>
        </w:numPr>
        <w:spacing w:line="240" w:lineRule="auto"/>
        <w:rPr>
          <w:rStyle w:val="Heading1Char"/>
          <w:rFonts w:ascii="Aptos" w:eastAsia="Calibri" w:hAnsi="Aptos"/>
          <w:sz w:val="24"/>
          <w:szCs w:val="24"/>
          <w:lang w:eastAsia="en-GB"/>
        </w:rPr>
      </w:pPr>
      <w:r w:rsidRPr="00D518FF">
        <w:rPr>
          <w:szCs w:val="16"/>
        </w:rPr>
        <w:t>Stool consistency</w:t>
      </w:r>
    </w:p>
    <w:p w14:paraId="47096531" w14:textId="7137A098" w:rsidR="009E4D3F" w:rsidRPr="00B53559" w:rsidRDefault="009E4D3F" w:rsidP="00B53559">
      <w:pPr>
        <w:pStyle w:val="heading2numbers"/>
        <w:rPr>
          <w:rStyle w:val="Heading1Char"/>
          <w:rFonts w:ascii="Aptos" w:eastAsia="Calibri" w:hAnsi="Aptos"/>
          <w:bCs w:val="0"/>
          <w:color w:val="C00000"/>
          <w:sz w:val="28"/>
          <w:szCs w:val="26"/>
        </w:rPr>
      </w:pPr>
      <w:bookmarkStart w:id="187" w:name="_Toc185254663"/>
      <w:r w:rsidRPr="00B53559">
        <w:rPr>
          <w:rStyle w:val="Heading1Char"/>
          <w:rFonts w:ascii="Aptos" w:eastAsia="Calibri" w:hAnsi="Aptos"/>
          <w:bCs w:val="0"/>
          <w:color w:val="C00000"/>
          <w:sz w:val="28"/>
          <w:szCs w:val="26"/>
        </w:rPr>
        <w:t>Insomnia/sleeping disorders, magnesium</w:t>
      </w:r>
      <w:bookmarkEnd w:id="187"/>
    </w:p>
    <w:p w14:paraId="2629D14F" w14:textId="7A661EC3" w:rsidR="007957D0" w:rsidRPr="00D518FF" w:rsidRDefault="00CC7C3B" w:rsidP="00F614C8">
      <w:pPr>
        <w:pStyle w:val="Caption"/>
        <w:spacing w:before="240"/>
        <w:rPr>
          <w:rFonts w:ascii="Aptos" w:hAnsi="Aptos"/>
          <w:sz w:val="14"/>
          <w:szCs w:val="14"/>
        </w:rPr>
      </w:pPr>
      <w:bookmarkStart w:id="188" w:name="_Toc185254576"/>
      <w:r w:rsidRPr="00F614C8">
        <w:rPr>
          <w:rFonts w:ascii="Aptos" w:hAnsi="Aptos"/>
        </w:rPr>
        <w:t xml:space="preserve">Table </w:t>
      </w:r>
      <w:r w:rsidR="00DC4767" w:rsidRPr="00F614C8">
        <w:rPr>
          <w:rFonts w:ascii="Aptos" w:hAnsi="Aptos"/>
        </w:rPr>
        <w:fldChar w:fldCharType="begin" w:fldLock="1"/>
      </w:r>
      <w:r w:rsidR="00DC4767" w:rsidRPr="00F614C8">
        <w:rPr>
          <w:rFonts w:ascii="Aptos" w:hAnsi="Aptos"/>
        </w:rPr>
        <w:instrText xml:space="preserve"> STYLEREF 1 \s </w:instrText>
      </w:r>
      <w:r w:rsidR="00DC4767" w:rsidRPr="00F614C8">
        <w:rPr>
          <w:rFonts w:ascii="Aptos" w:hAnsi="Aptos"/>
        </w:rPr>
        <w:fldChar w:fldCharType="separate"/>
      </w:r>
      <w:r w:rsidR="00DC4767" w:rsidRPr="00F614C8">
        <w:rPr>
          <w:rFonts w:ascii="Aptos" w:hAnsi="Aptos"/>
        </w:rPr>
        <w:t>E</w:t>
      </w:r>
      <w:r w:rsidR="00DC4767"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4</w:t>
      </w:r>
      <w:r w:rsidR="003B0594" w:rsidRPr="00F614C8">
        <w:rPr>
          <w:rFonts w:ascii="Aptos" w:hAnsi="Aptos"/>
        </w:rPr>
        <w:fldChar w:fldCharType="end"/>
      </w:r>
      <w:r w:rsidR="009E4D3F" w:rsidRPr="00F614C8">
        <w:rPr>
          <w:rFonts w:ascii="Aptos" w:hAnsi="Aptos"/>
        </w:rPr>
        <w:t>.</w:t>
      </w:r>
      <w:r w:rsidR="009E4D3F" w:rsidRPr="00D518FF">
        <w:rPr>
          <w:rFonts w:ascii="Aptos" w:hAnsi="Aptos"/>
        </w:rPr>
        <w:t xml:space="preserve"> Results of </w:t>
      </w:r>
      <w:r w:rsidR="007957D0">
        <w:rPr>
          <w:rFonts w:ascii="Aptos" w:hAnsi="Aptos"/>
        </w:rPr>
        <w:t>preferred</w:t>
      </w:r>
      <w:r w:rsidR="009E4D3F" w:rsidRPr="00D518FF">
        <w:rPr>
          <w:rFonts w:ascii="Aptos" w:hAnsi="Aptos"/>
        </w:rPr>
        <w:t xml:space="preserve"> reviews by outcome domain – insomnia/sleeping disorders, magnesium</w:t>
      </w:r>
      <w:bookmarkEnd w:id="188"/>
    </w:p>
    <w:tbl>
      <w:tblPr>
        <w:tblStyle w:val="TableGrid"/>
        <w:tblW w:w="5000" w:type="pct"/>
        <w:tblLayout w:type="fixed"/>
        <w:tblCellMar>
          <w:top w:w="28" w:type="dxa"/>
          <w:left w:w="57" w:type="dxa"/>
          <w:bottom w:w="28" w:type="dxa"/>
          <w:right w:w="0" w:type="dxa"/>
        </w:tblCellMar>
        <w:tblLook w:val="04A0" w:firstRow="1" w:lastRow="0" w:firstColumn="1" w:lastColumn="0" w:noHBand="0" w:noVBand="1"/>
      </w:tblPr>
      <w:tblGrid>
        <w:gridCol w:w="646"/>
        <w:gridCol w:w="798"/>
        <w:gridCol w:w="909"/>
        <w:gridCol w:w="909"/>
        <w:gridCol w:w="1154"/>
        <w:gridCol w:w="1248"/>
        <w:gridCol w:w="926"/>
        <w:gridCol w:w="789"/>
        <w:gridCol w:w="838"/>
        <w:gridCol w:w="1094"/>
        <w:gridCol w:w="650"/>
        <w:gridCol w:w="997"/>
        <w:gridCol w:w="832"/>
        <w:gridCol w:w="832"/>
        <w:gridCol w:w="840"/>
        <w:gridCol w:w="783"/>
      </w:tblGrid>
      <w:tr w:rsidR="00D00D14" w:rsidRPr="00D518FF" w14:paraId="37CE7CCA" w14:textId="77777777" w:rsidTr="003D76A3">
        <w:trPr>
          <w:trHeight w:val="153"/>
        </w:trPr>
        <w:tc>
          <w:tcPr>
            <w:tcW w:w="227" w:type="pct"/>
            <w:vMerge w:val="restart"/>
            <w:shd w:val="clear" w:color="auto" w:fill="D9D9D9" w:themeFill="background1" w:themeFillShade="D9"/>
          </w:tcPr>
          <w:p w14:paraId="2D4F90F4" w14:textId="77777777" w:rsidR="00D00D14" w:rsidRPr="00D518FF" w:rsidRDefault="00D00D14" w:rsidP="00F614C8">
            <w:pPr>
              <w:pStyle w:val="2024TABLEHEADER"/>
              <w:spacing w:before="0" w:after="0" w:line="240" w:lineRule="auto"/>
              <w:rPr>
                <w:sz w:val="16"/>
                <w:szCs w:val="16"/>
              </w:rPr>
            </w:pPr>
            <w:r w:rsidRPr="00D518FF">
              <w:rPr>
                <w:sz w:val="16"/>
                <w:szCs w:val="16"/>
              </w:rPr>
              <w:t>Review ID</w:t>
            </w:r>
          </w:p>
        </w:tc>
        <w:tc>
          <w:tcPr>
            <w:tcW w:w="280" w:type="pct"/>
            <w:vMerge w:val="restart"/>
            <w:shd w:val="clear" w:color="auto" w:fill="D9D9D9" w:themeFill="background1" w:themeFillShade="D9"/>
          </w:tcPr>
          <w:p w14:paraId="60789E88" w14:textId="77777777" w:rsidR="00D00D14" w:rsidRPr="00D518FF" w:rsidRDefault="00D00D14" w:rsidP="00F614C8">
            <w:pPr>
              <w:pStyle w:val="2024TABLEHEADER"/>
              <w:spacing w:before="0" w:after="0" w:line="240" w:lineRule="auto"/>
              <w:rPr>
                <w:sz w:val="16"/>
                <w:szCs w:val="16"/>
              </w:rPr>
            </w:pPr>
            <w:r w:rsidRPr="00D518FF">
              <w:rPr>
                <w:sz w:val="16"/>
                <w:szCs w:val="16"/>
              </w:rPr>
              <w:t>Outcome domain</w:t>
            </w:r>
          </w:p>
        </w:tc>
        <w:tc>
          <w:tcPr>
            <w:tcW w:w="319" w:type="pct"/>
            <w:vMerge w:val="restart"/>
            <w:shd w:val="clear" w:color="auto" w:fill="D9D9D9" w:themeFill="background1" w:themeFillShade="D9"/>
          </w:tcPr>
          <w:p w14:paraId="0E66A299" w14:textId="77777777" w:rsidR="00D00D14" w:rsidRPr="00D518FF" w:rsidRDefault="00D00D14" w:rsidP="00F614C8">
            <w:pPr>
              <w:pStyle w:val="2024TABLEHEADER"/>
              <w:spacing w:before="0" w:after="0" w:line="240" w:lineRule="auto"/>
              <w:rPr>
                <w:sz w:val="16"/>
                <w:szCs w:val="16"/>
              </w:rPr>
            </w:pPr>
            <w:r w:rsidRPr="00D518FF">
              <w:rPr>
                <w:sz w:val="16"/>
                <w:szCs w:val="16"/>
              </w:rPr>
              <w:t>Population group</w:t>
            </w:r>
          </w:p>
        </w:tc>
        <w:tc>
          <w:tcPr>
            <w:tcW w:w="319" w:type="pct"/>
            <w:vMerge w:val="restart"/>
            <w:shd w:val="clear" w:color="auto" w:fill="D9D9D9" w:themeFill="background1" w:themeFillShade="D9"/>
          </w:tcPr>
          <w:p w14:paraId="12787D3C" w14:textId="77777777" w:rsidR="00D00D14" w:rsidRPr="00D518FF" w:rsidRDefault="00D00D14" w:rsidP="00F614C8">
            <w:pPr>
              <w:pStyle w:val="2024TABLEHEADER"/>
              <w:spacing w:before="0" w:after="0" w:line="240" w:lineRule="auto"/>
              <w:rPr>
                <w:sz w:val="16"/>
                <w:szCs w:val="16"/>
              </w:rPr>
            </w:pPr>
            <w:r w:rsidRPr="00D518FF">
              <w:rPr>
                <w:sz w:val="16"/>
                <w:szCs w:val="16"/>
              </w:rPr>
              <w:t>Population details</w:t>
            </w:r>
          </w:p>
        </w:tc>
        <w:tc>
          <w:tcPr>
            <w:tcW w:w="405" w:type="pct"/>
            <w:vMerge w:val="restart"/>
            <w:shd w:val="clear" w:color="auto" w:fill="D9D9D9" w:themeFill="background1" w:themeFillShade="D9"/>
          </w:tcPr>
          <w:p w14:paraId="33691C5F" w14:textId="77777777" w:rsidR="00D00D14" w:rsidRPr="00D518FF" w:rsidRDefault="00D00D14" w:rsidP="00F614C8">
            <w:pPr>
              <w:pStyle w:val="2024TABLEHEADER"/>
              <w:spacing w:before="0" w:after="0" w:line="240" w:lineRule="auto"/>
              <w:rPr>
                <w:sz w:val="16"/>
                <w:szCs w:val="16"/>
              </w:rPr>
            </w:pPr>
            <w:r w:rsidRPr="00D518FF">
              <w:rPr>
                <w:sz w:val="16"/>
                <w:szCs w:val="16"/>
              </w:rPr>
              <w:t>Type of comparison</w:t>
            </w:r>
          </w:p>
        </w:tc>
        <w:tc>
          <w:tcPr>
            <w:tcW w:w="438" w:type="pct"/>
            <w:vMerge w:val="restart"/>
            <w:shd w:val="clear" w:color="auto" w:fill="D9D9D9" w:themeFill="background1" w:themeFillShade="D9"/>
          </w:tcPr>
          <w:p w14:paraId="62723D7B" w14:textId="77777777" w:rsidR="00D00D14" w:rsidRPr="00D518FF" w:rsidRDefault="00D00D14" w:rsidP="00F614C8">
            <w:pPr>
              <w:pStyle w:val="2024TABLEHEADER"/>
              <w:spacing w:before="0" w:after="0" w:line="240" w:lineRule="auto"/>
              <w:rPr>
                <w:sz w:val="16"/>
                <w:szCs w:val="16"/>
              </w:rPr>
            </w:pPr>
            <w:r w:rsidRPr="00D518FF">
              <w:rPr>
                <w:sz w:val="16"/>
                <w:szCs w:val="16"/>
              </w:rPr>
              <w:t>Intervention description</w:t>
            </w:r>
          </w:p>
        </w:tc>
        <w:tc>
          <w:tcPr>
            <w:tcW w:w="325" w:type="pct"/>
            <w:vMerge w:val="restart"/>
            <w:shd w:val="clear" w:color="auto" w:fill="D9D9D9" w:themeFill="background1" w:themeFillShade="D9"/>
          </w:tcPr>
          <w:p w14:paraId="53AD70C6" w14:textId="77777777" w:rsidR="00D00D14" w:rsidRPr="00D518FF" w:rsidRDefault="00D00D14" w:rsidP="00F614C8">
            <w:pPr>
              <w:pStyle w:val="2024TABLEHEADER"/>
              <w:spacing w:before="0" w:after="0" w:line="240" w:lineRule="auto"/>
              <w:rPr>
                <w:sz w:val="16"/>
                <w:szCs w:val="16"/>
              </w:rPr>
            </w:pPr>
            <w:r w:rsidRPr="00D518FF">
              <w:rPr>
                <w:sz w:val="16"/>
                <w:szCs w:val="16"/>
              </w:rPr>
              <w:t>Comparator description</w:t>
            </w:r>
          </w:p>
        </w:tc>
        <w:tc>
          <w:tcPr>
            <w:tcW w:w="277" w:type="pct"/>
            <w:vMerge w:val="restart"/>
            <w:shd w:val="clear" w:color="auto" w:fill="D9D9D9" w:themeFill="background1" w:themeFillShade="D9"/>
          </w:tcPr>
          <w:p w14:paraId="3FCC34A5" w14:textId="77777777" w:rsidR="00D00D14" w:rsidRPr="00D518FF" w:rsidRDefault="00D00D14" w:rsidP="00F614C8">
            <w:pPr>
              <w:pStyle w:val="2024TABLEHEADER"/>
              <w:spacing w:before="0" w:after="0" w:line="240" w:lineRule="auto"/>
              <w:rPr>
                <w:sz w:val="16"/>
                <w:szCs w:val="16"/>
              </w:rPr>
            </w:pPr>
            <w:r w:rsidRPr="00D518FF">
              <w:rPr>
                <w:sz w:val="16"/>
                <w:szCs w:val="16"/>
              </w:rPr>
              <w:t>No/types of included studies</w:t>
            </w:r>
          </w:p>
        </w:tc>
        <w:tc>
          <w:tcPr>
            <w:tcW w:w="294" w:type="pct"/>
            <w:vMerge w:val="restart"/>
            <w:shd w:val="clear" w:color="auto" w:fill="D9D9D9" w:themeFill="background1" w:themeFillShade="D9"/>
          </w:tcPr>
          <w:p w14:paraId="180C7A2E" w14:textId="77777777" w:rsidR="00D00D14" w:rsidRPr="00D518FF" w:rsidRDefault="00D00D14" w:rsidP="00F614C8">
            <w:pPr>
              <w:pStyle w:val="2024TABLEHEADER"/>
              <w:spacing w:before="0" w:after="0" w:line="240" w:lineRule="auto"/>
              <w:rPr>
                <w:sz w:val="16"/>
                <w:szCs w:val="16"/>
              </w:rPr>
            </w:pPr>
            <w:r w:rsidRPr="00D518FF">
              <w:rPr>
                <w:sz w:val="16"/>
                <w:szCs w:val="16"/>
              </w:rPr>
              <w:t>No of participants (total)</w:t>
            </w:r>
          </w:p>
        </w:tc>
        <w:tc>
          <w:tcPr>
            <w:tcW w:w="384" w:type="pct"/>
            <w:vMerge w:val="restart"/>
            <w:shd w:val="clear" w:color="auto" w:fill="D9D9D9" w:themeFill="background1" w:themeFillShade="D9"/>
          </w:tcPr>
          <w:p w14:paraId="31B80131" w14:textId="77777777" w:rsidR="00D00D14" w:rsidRPr="00D518FF" w:rsidRDefault="00D00D14" w:rsidP="00F614C8">
            <w:pPr>
              <w:pStyle w:val="2024TABLEHEADER"/>
              <w:spacing w:before="0" w:after="0" w:line="240" w:lineRule="auto"/>
              <w:rPr>
                <w:sz w:val="16"/>
                <w:szCs w:val="16"/>
              </w:rPr>
            </w:pPr>
            <w:r w:rsidRPr="00D518FF">
              <w:rPr>
                <w:sz w:val="16"/>
                <w:szCs w:val="16"/>
              </w:rPr>
              <w:t>Outcome measure(s) used</w:t>
            </w:r>
          </w:p>
        </w:tc>
        <w:tc>
          <w:tcPr>
            <w:tcW w:w="1457" w:type="pct"/>
            <w:gridSpan w:val="5"/>
            <w:shd w:val="clear" w:color="auto" w:fill="D9D9D9" w:themeFill="background1" w:themeFillShade="D9"/>
          </w:tcPr>
          <w:p w14:paraId="7B127D67" w14:textId="4B63589E" w:rsidR="00D00D14" w:rsidRPr="00D518FF" w:rsidRDefault="00D00D14" w:rsidP="00F614C8">
            <w:pPr>
              <w:pStyle w:val="2024TABLEHEADER"/>
              <w:spacing w:before="0" w:after="0" w:line="240" w:lineRule="auto"/>
              <w:rPr>
                <w:sz w:val="16"/>
                <w:szCs w:val="16"/>
              </w:rPr>
            </w:pPr>
            <w:r w:rsidRPr="00D518FF">
              <w:rPr>
                <w:sz w:val="16"/>
                <w:szCs w:val="16"/>
              </w:rPr>
              <w:t>Results</w:t>
            </w:r>
          </w:p>
        </w:tc>
        <w:tc>
          <w:tcPr>
            <w:tcW w:w="275" w:type="pct"/>
            <w:vMerge w:val="restart"/>
            <w:shd w:val="clear" w:color="auto" w:fill="D9D9D9" w:themeFill="background1" w:themeFillShade="D9"/>
          </w:tcPr>
          <w:p w14:paraId="0F61D900" w14:textId="77777777" w:rsidR="00D00D14" w:rsidRPr="00D518FF" w:rsidRDefault="00D00D14" w:rsidP="00F614C8">
            <w:pPr>
              <w:pStyle w:val="2024TABLEHEADER"/>
              <w:spacing w:before="0" w:after="0" w:line="240" w:lineRule="auto"/>
              <w:rPr>
                <w:sz w:val="16"/>
                <w:szCs w:val="16"/>
              </w:rPr>
            </w:pPr>
            <w:r>
              <w:rPr>
                <w:sz w:val="16"/>
                <w:szCs w:val="16"/>
              </w:rPr>
              <w:t>ROBIS assessment (for the review overall)</w:t>
            </w:r>
          </w:p>
        </w:tc>
      </w:tr>
      <w:tr w:rsidR="00D00D14" w:rsidRPr="00D518FF" w14:paraId="21074EBC" w14:textId="77777777" w:rsidTr="003D76A3">
        <w:trPr>
          <w:trHeight w:val="153"/>
        </w:trPr>
        <w:tc>
          <w:tcPr>
            <w:tcW w:w="227" w:type="pct"/>
            <w:vMerge/>
            <w:shd w:val="clear" w:color="auto" w:fill="D9D9D9" w:themeFill="background1" w:themeFillShade="D9"/>
          </w:tcPr>
          <w:p w14:paraId="0796162C" w14:textId="77777777" w:rsidR="00D00D14" w:rsidRPr="00D518FF" w:rsidRDefault="00D00D14" w:rsidP="00F614C8">
            <w:pPr>
              <w:pStyle w:val="2024TABLEHEADER"/>
              <w:spacing w:before="0" w:after="0" w:line="240" w:lineRule="auto"/>
              <w:rPr>
                <w:sz w:val="16"/>
                <w:szCs w:val="16"/>
              </w:rPr>
            </w:pPr>
          </w:p>
        </w:tc>
        <w:tc>
          <w:tcPr>
            <w:tcW w:w="280" w:type="pct"/>
            <w:vMerge/>
            <w:shd w:val="clear" w:color="auto" w:fill="D9D9D9" w:themeFill="background1" w:themeFillShade="D9"/>
          </w:tcPr>
          <w:p w14:paraId="23DD3FB9" w14:textId="77777777" w:rsidR="00D00D14" w:rsidRPr="00D518FF" w:rsidRDefault="00D00D14" w:rsidP="00F614C8">
            <w:pPr>
              <w:pStyle w:val="2024TABLEHEADER"/>
              <w:spacing w:before="0" w:after="0" w:line="240" w:lineRule="auto"/>
              <w:rPr>
                <w:sz w:val="16"/>
                <w:szCs w:val="16"/>
              </w:rPr>
            </w:pPr>
          </w:p>
        </w:tc>
        <w:tc>
          <w:tcPr>
            <w:tcW w:w="319" w:type="pct"/>
            <w:vMerge/>
            <w:shd w:val="clear" w:color="auto" w:fill="D9D9D9" w:themeFill="background1" w:themeFillShade="D9"/>
          </w:tcPr>
          <w:p w14:paraId="79E25659" w14:textId="77777777" w:rsidR="00D00D14" w:rsidRPr="00D518FF" w:rsidRDefault="00D00D14" w:rsidP="00F614C8">
            <w:pPr>
              <w:pStyle w:val="2024TABLEHEADER"/>
              <w:spacing w:before="0" w:after="0" w:line="240" w:lineRule="auto"/>
              <w:rPr>
                <w:sz w:val="16"/>
                <w:szCs w:val="16"/>
              </w:rPr>
            </w:pPr>
          </w:p>
        </w:tc>
        <w:tc>
          <w:tcPr>
            <w:tcW w:w="319" w:type="pct"/>
            <w:vMerge/>
            <w:shd w:val="clear" w:color="auto" w:fill="D9D9D9" w:themeFill="background1" w:themeFillShade="D9"/>
          </w:tcPr>
          <w:p w14:paraId="7B1792BC" w14:textId="77777777" w:rsidR="00D00D14" w:rsidRPr="00D518FF" w:rsidRDefault="00D00D14" w:rsidP="00F614C8">
            <w:pPr>
              <w:pStyle w:val="2024TABLEHEADER"/>
              <w:spacing w:before="0" w:after="0" w:line="240" w:lineRule="auto"/>
              <w:rPr>
                <w:sz w:val="16"/>
                <w:szCs w:val="16"/>
              </w:rPr>
            </w:pPr>
          </w:p>
        </w:tc>
        <w:tc>
          <w:tcPr>
            <w:tcW w:w="405" w:type="pct"/>
            <w:vMerge/>
            <w:shd w:val="clear" w:color="auto" w:fill="D9D9D9" w:themeFill="background1" w:themeFillShade="D9"/>
          </w:tcPr>
          <w:p w14:paraId="5265209F" w14:textId="77777777" w:rsidR="00D00D14" w:rsidRPr="00D518FF" w:rsidRDefault="00D00D14" w:rsidP="00F614C8">
            <w:pPr>
              <w:pStyle w:val="2024TABLEHEADER"/>
              <w:spacing w:before="0" w:after="0" w:line="240" w:lineRule="auto"/>
              <w:rPr>
                <w:sz w:val="16"/>
                <w:szCs w:val="16"/>
              </w:rPr>
            </w:pPr>
          </w:p>
        </w:tc>
        <w:tc>
          <w:tcPr>
            <w:tcW w:w="438" w:type="pct"/>
            <w:vMerge/>
            <w:shd w:val="clear" w:color="auto" w:fill="D9D9D9" w:themeFill="background1" w:themeFillShade="D9"/>
          </w:tcPr>
          <w:p w14:paraId="0CA14403" w14:textId="77777777" w:rsidR="00D00D14" w:rsidRPr="00D518FF" w:rsidRDefault="00D00D14" w:rsidP="00F614C8">
            <w:pPr>
              <w:pStyle w:val="2024TABLEHEADER"/>
              <w:spacing w:before="0" w:after="0" w:line="240" w:lineRule="auto"/>
              <w:rPr>
                <w:sz w:val="16"/>
                <w:szCs w:val="16"/>
              </w:rPr>
            </w:pPr>
          </w:p>
        </w:tc>
        <w:tc>
          <w:tcPr>
            <w:tcW w:w="325" w:type="pct"/>
            <w:vMerge/>
            <w:shd w:val="clear" w:color="auto" w:fill="D9D9D9" w:themeFill="background1" w:themeFillShade="D9"/>
          </w:tcPr>
          <w:p w14:paraId="21BAEF2C" w14:textId="77777777" w:rsidR="00D00D14" w:rsidRPr="00D518FF" w:rsidRDefault="00D00D14" w:rsidP="00F614C8">
            <w:pPr>
              <w:pStyle w:val="2024TABLEHEADER"/>
              <w:spacing w:before="0" w:after="0" w:line="240" w:lineRule="auto"/>
              <w:rPr>
                <w:sz w:val="16"/>
                <w:szCs w:val="16"/>
              </w:rPr>
            </w:pPr>
          </w:p>
        </w:tc>
        <w:tc>
          <w:tcPr>
            <w:tcW w:w="277" w:type="pct"/>
            <w:vMerge/>
            <w:shd w:val="clear" w:color="auto" w:fill="D9D9D9" w:themeFill="background1" w:themeFillShade="D9"/>
          </w:tcPr>
          <w:p w14:paraId="1B763AC9" w14:textId="77777777" w:rsidR="00D00D14" w:rsidRPr="00D518FF" w:rsidRDefault="00D00D14" w:rsidP="00F614C8">
            <w:pPr>
              <w:pStyle w:val="2024TABLEHEADER"/>
              <w:spacing w:before="0" w:after="0" w:line="240" w:lineRule="auto"/>
              <w:rPr>
                <w:sz w:val="16"/>
                <w:szCs w:val="16"/>
              </w:rPr>
            </w:pPr>
          </w:p>
        </w:tc>
        <w:tc>
          <w:tcPr>
            <w:tcW w:w="294" w:type="pct"/>
            <w:vMerge/>
            <w:shd w:val="clear" w:color="auto" w:fill="D9D9D9" w:themeFill="background1" w:themeFillShade="D9"/>
          </w:tcPr>
          <w:p w14:paraId="21B9F5A8" w14:textId="77777777" w:rsidR="00D00D14" w:rsidRPr="00D518FF" w:rsidRDefault="00D00D14" w:rsidP="00F614C8">
            <w:pPr>
              <w:pStyle w:val="2024TABLEHEADER"/>
              <w:spacing w:before="0" w:after="0" w:line="240" w:lineRule="auto"/>
              <w:rPr>
                <w:sz w:val="16"/>
                <w:szCs w:val="16"/>
              </w:rPr>
            </w:pPr>
          </w:p>
        </w:tc>
        <w:tc>
          <w:tcPr>
            <w:tcW w:w="384" w:type="pct"/>
            <w:vMerge/>
            <w:shd w:val="clear" w:color="auto" w:fill="D9D9D9" w:themeFill="background1" w:themeFillShade="D9"/>
          </w:tcPr>
          <w:p w14:paraId="7611F031" w14:textId="77777777" w:rsidR="00D00D14" w:rsidRPr="00D518FF" w:rsidRDefault="00D00D14" w:rsidP="00F614C8">
            <w:pPr>
              <w:pStyle w:val="2024TABLEHEADER"/>
              <w:spacing w:before="0" w:after="0" w:line="240" w:lineRule="auto"/>
              <w:rPr>
                <w:sz w:val="16"/>
                <w:szCs w:val="16"/>
              </w:rPr>
            </w:pPr>
          </w:p>
        </w:tc>
        <w:tc>
          <w:tcPr>
            <w:tcW w:w="578" w:type="pct"/>
            <w:gridSpan w:val="2"/>
            <w:shd w:val="clear" w:color="auto" w:fill="D9D9D9" w:themeFill="background1" w:themeFillShade="D9"/>
          </w:tcPr>
          <w:p w14:paraId="2938708D" w14:textId="77777777" w:rsidR="00D00D14" w:rsidRPr="00D518FF" w:rsidRDefault="00D00D14" w:rsidP="00F614C8">
            <w:pPr>
              <w:pStyle w:val="2024TABLEHEADER"/>
              <w:spacing w:before="0" w:after="0" w:line="240" w:lineRule="auto"/>
              <w:rPr>
                <w:sz w:val="16"/>
                <w:szCs w:val="16"/>
              </w:rPr>
            </w:pPr>
            <w:r w:rsidRPr="00D518FF">
              <w:rPr>
                <w:sz w:val="16"/>
                <w:szCs w:val="16"/>
              </w:rPr>
              <w:t>Results - absolute effects</w:t>
            </w:r>
          </w:p>
        </w:tc>
        <w:tc>
          <w:tcPr>
            <w:tcW w:w="292" w:type="pct"/>
            <w:vMerge w:val="restart"/>
            <w:shd w:val="clear" w:color="auto" w:fill="D9D9D9" w:themeFill="background1" w:themeFillShade="D9"/>
          </w:tcPr>
          <w:p w14:paraId="7542A8A9" w14:textId="77777777" w:rsidR="00D00D14" w:rsidRPr="00D518FF" w:rsidRDefault="00D00D14" w:rsidP="00F614C8">
            <w:pPr>
              <w:pStyle w:val="2024TABLEHEADER"/>
              <w:spacing w:before="0" w:after="0" w:line="240" w:lineRule="auto"/>
              <w:rPr>
                <w:sz w:val="16"/>
                <w:szCs w:val="16"/>
              </w:rPr>
            </w:pPr>
            <w:r w:rsidRPr="00D518FF">
              <w:rPr>
                <w:sz w:val="16"/>
                <w:szCs w:val="16"/>
              </w:rPr>
              <w:t>Relative effect (95% CI)</w:t>
            </w:r>
          </w:p>
        </w:tc>
        <w:tc>
          <w:tcPr>
            <w:tcW w:w="292" w:type="pct"/>
            <w:vMerge w:val="restart"/>
            <w:shd w:val="clear" w:color="auto" w:fill="D9D9D9" w:themeFill="background1" w:themeFillShade="D9"/>
          </w:tcPr>
          <w:p w14:paraId="194D5AA0" w14:textId="77777777" w:rsidR="00D00D14" w:rsidRPr="00D518FF" w:rsidRDefault="00D00D14" w:rsidP="00F614C8">
            <w:pPr>
              <w:pStyle w:val="2024TABLEHEADER"/>
              <w:spacing w:before="0" w:after="0" w:line="240" w:lineRule="auto"/>
              <w:rPr>
                <w:sz w:val="16"/>
                <w:szCs w:val="16"/>
              </w:rPr>
            </w:pPr>
            <w:r w:rsidRPr="00D518FF">
              <w:rPr>
                <w:sz w:val="16"/>
                <w:szCs w:val="16"/>
              </w:rPr>
              <w:t>Other reported results</w:t>
            </w:r>
          </w:p>
        </w:tc>
        <w:tc>
          <w:tcPr>
            <w:tcW w:w="295" w:type="pct"/>
            <w:vMerge w:val="restart"/>
            <w:shd w:val="clear" w:color="auto" w:fill="D9D9D9" w:themeFill="background1" w:themeFillShade="D9"/>
          </w:tcPr>
          <w:p w14:paraId="479A7016" w14:textId="77777777" w:rsidR="00D00D14" w:rsidRPr="00D518FF" w:rsidRDefault="00D00D14" w:rsidP="00F614C8">
            <w:pPr>
              <w:pStyle w:val="2024TABLEHEADER"/>
              <w:spacing w:before="0" w:after="0" w:line="240" w:lineRule="auto"/>
              <w:rPr>
                <w:sz w:val="16"/>
                <w:szCs w:val="16"/>
              </w:rPr>
            </w:pPr>
            <w:r>
              <w:rPr>
                <w:sz w:val="16"/>
                <w:szCs w:val="16"/>
              </w:rPr>
              <w:t>Risk of bias</w:t>
            </w:r>
            <w:r w:rsidRPr="00D518FF">
              <w:rPr>
                <w:sz w:val="16"/>
                <w:szCs w:val="16"/>
              </w:rPr>
              <w:t xml:space="preserve"> s</w:t>
            </w:r>
            <w:r>
              <w:rPr>
                <w:sz w:val="16"/>
                <w:szCs w:val="16"/>
              </w:rPr>
              <w:t>ummary (primary studies)</w:t>
            </w:r>
          </w:p>
        </w:tc>
        <w:tc>
          <w:tcPr>
            <w:tcW w:w="275" w:type="pct"/>
            <w:vMerge/>
            <w:shd w:val="clear" w:color="auto" w:fill="D9D9D9" w:themeFill="background1" w:themeFillShade="D9"/>
          </w:tcPr>
          <w:p w14:paraId="0ACACC2B" w14:textId="77777777" w:rsidR="00D00D14" w:rsidRPr="00D518FF" w:rsidRDefault="00D00D14" w:rsidP="00F614C8">
            <w:pPr>
              <w:pStyle w:val="2024TABLEHEADER"/>
              <w:spacing w:before="0" w:after="0" w:line="240" w:lineRule="auto"/>
              <w:rPr>
                <w:sz w:val="16"/>
                <w:szCs w:val="16"/>
              </w:rPr>
            </w:pPr>
          </w:p>
        </w:tc>
      </w:tr>
      <w:tr w:rsidR="00D00D14" w:rsidRPr="00D518FF" w14:paraId="47021F6C" w14:textId="77777777" w:rsidTr="003D76A3">
        <w:trPr>
          <w:trHeight w:val="153"/>
        </w:trPr>
        <w:tc>
          <w:tcPr>
            <w:tcW w:w="227" w:type="pct"/>
            <w:vMerge/>
            <w:shd w:val="clear" w:color="auto" w:fill="F2F2F2" w:themeFill="background1" w:themeFillShade="F2"/>
          </w:tcPr>
          <w:p w14:paraId="30645638" w14:textId="77777777" w:rsidR="00D00D14" w:rsidRPr="00D518FF" w:rsidRDefault="00D00D14" w:rsidP="00F614C8">
            <w:pPr>
              <w:pStyle w:val="2024TABLEHEADER"/>
              <w:spacing w:before="0" w:after="0" w:line="240" w:lineRule="auto"/>
              <w:rPr>
                <w:sz w:val="16"/>
                <w:szCs w:val="16"/>
              </w:rPr>
            </w:pPr>
          </w:p>
        </w:tc>
        <w:tc>
          <w:tcPr>
            <w:tcW w:w="280" w:type="pct"/>
            <w:vMerge/>
            <w:shd w:val="clear" w:color="auto" w:fill="F2F2F2" w:themeFill="background1" w:themeFillShade="F2"/>
          </w:tcPr>
          <w:p w14:paraId="144C669B" w14:textId="77777777" w:rsidR="00D00D14" w:rsidRPr="00D518FF" w:rsidRDefault="00D00D14" w:rsidP="00F614C8">
            <w:pPr>
              <w:pStyle w:val="2024TABLEHEADER"/>
              <w:spacing w:before="0" w:after="0" w:line="240" w:lineRule="auto"/>
              <w:rPr>
                <w:sz w:val="16"/>
                <w:szCs w:val="16"/>
              </w:rPr>
            </w:pPr>
          </w:p>
        </w:tc>
        <w:tc>
          <w:tcPr>
            <w:tcW w:w="319" w:type="pct"/>
            <w:vMerge/>
            <w:shd w:val="clear" w:color="auto" w:fill="F2F2F2" w:themeFill="background1" w:themeFillShade="F2"/>
          </w:tcPr>
          <w:p w14:paraId="52090DFE" w14:textId="77777777" w:rsidR="00D00D14" w:rsidRPr="00D518FF" w:rsidRDefault="00D00D14" w:rsidP="00F614C8">
            <w:pPr>
              <w:pStyle w:val="2024TABLEHEADER"/>
              <w:spacing w:before="0" w:after="0" w:line="240" w:lineRule="auto"/>
              <w:rPr>
                <w:sz w:val="16"/>
                <w:szCs w:val="16"/>
              </w:rPr>
            </w:pPr>
          </w:p>
        </w:tc>
        <w:tc>
          <w:tcPr>
            <w:tcW w:w="319" w:type="pct"/>
            <w:vMerge/>
            <w:shd w:val="clear" w:color="auto" w:fill="F2F2F2" w:themeFill="background1" w:themeFillShade="F2"/>
          </w:tcPr>
          <w:p w14:paraId="406AA044" w14:textId="77777777" w:rsidR="00D00D14" w:rsidRPr="00D518FF" w:rsidRDefault="00D00D14" w:rsidP="00F614C8">
            <w:pPr>
              <w:pStyle w:val="2024TABLEHEADER"/>
              <w:spacing w:before="0" w:after="0" w:line="240" w:lineRule="auto"/>
              <w:rPr>
                <w:sz w:val="16"/>
                <w:szCs w:val="16"/>
              </w:rPr>
            </w:pPr>
          </w:p>
        </w:tc>
        <w:tc>
          <w:tcPr>
            <w:tcW w:w="405" w:type="pct"/>
            <w:vMerge/>
            <w:shd w:val="clear" w:color="auto" w:fill="F2F2F2" w:themeFill="background1" w:themeFillShade="F2"/>
          </w:tcPr>
          <w:p w14:paraId="5593261F" w14:textId="77777777" w:rsidR="00D00D14" w:rsidRPr="00D518FF" w:rsidRDefault="00D00D14" w:rsidP="00F614C8">
            <w:pPr>
              <w:pStyle w:val="2024TABLEHEADER"/>
              <w:spacing w:before="0" w:after="0" w:line="240" w:lineRule="auto"/>
              <w:rPr>
                <w:sz w:val="16"/>
                <w:szCs w:val="16"/>
              </w:rPr>
            </w:pPr>
          </w:p>
        </w:tc>
        <w:tc>
          <w:tcPr>
            <w:tcW w:w="438" w:type="pct"/>
            <w:vMerge/>
            <w:shd w:val="clear" w:color="auto" w:fill="F2F2F2" w:themeFill="background1" w:themeFillShade="F2"/>
          </w:tcPr>
          <w:p w14:paraId="092A4FCD" w14:textId="77777777" w:rsidR="00D00D14" w:rsidRPr="00D518FF" w:rsidRDefault="00D00D14" w:rsidP="00F614C8">
            <w:pPr>
              <w:pStyle w:val="2024TABLEHEADER"/>
              <w:spacing w:before="0" w:after="0" w:line="240" w:lineRule="auto"/>
              <w:rPr>
                <w:sz w:val="16"/>
                <w:szCs w:val="16"/>
              </w:rPr>
            </w:pPr>
          </w:p>
        </w:tc>
        <w:tc>
          <w:tcPr>
            <w:tcW w:w="325" w:type="pct"/>
            <w:vMerge/>
            <w:shd w:val="clear" w:color="auto" w:fill="F2F2F2" w:themeFill="background1" w:themeFillShade="F2"/>
          </w:tcPr>
          <w:p w14:paraId="37442B76" w14:textId="77777777" w:rsidR="00D00D14" w:rsidRPr="00D518FF" w:rsidRDefault="00D00D14" w:rsidP="00F614C8">
            <w:pPr>
              <w:pStyle w:val="2024TABLEHEADER"/>
              <w:spacing w:before="0" w:after="0" w:line="240" w:lineRule="auto"/>
              <w:rPr>
                <w:sz w:val="16"/>
                <w:szCs w:val="16"/>
              </w:rPr>
            </w:pPr>
          </w:p>
        </w:tc>
        <w:tc>
          <w:tcPr>
            <w:tcW w:w="277" w:type="pct"/>
            <w:vMerge/>
            <w:shd w:val="clear" w:color="auto" w:fill="F2F2F2" w:themeFill="background1" w:themeFillShade="F2"/>
          </w:tcPr>
          <w:p w14:paraId="4D442C5A" w14:textId="77777777" w:rsidR="00D00D14" w:rsidRPr="00D518FF" w:rsidRDefault="00D00D14" w:rsidP="00F614C8">
            <w:pPr>
              <w:pStyle w:val="2024TABLEHEADER"/>
              <w:spacing w:before="0" w:after="0" w:line="240" w:lineRule="auto"/>
              <w:rPr>
                <w:sz w:val="16"/>
                <w:szCs w:val="16"/>
              </w:rPr>
            </w:pPr>
          </w:p>
        </w:tc>
        <w:tc>
          <w:tcPr>
            <w:tcW w:w="294" w:type="pct"/>
            <w:vMerge/>
            <w:shd w:val="clear" w:color="auto" w:fill="F2F2F2" w:themeFill="background1" w:themeFillShade="F2"/>
          </w:tcPr>
          <w:p w14:paraId="4B665468" w14:textId="77777777" w:rsidR="00D00D14" w:rsidRPr="00D518FF" w:rsidRDefault="00D00D14" w:rsidP="00F614C8">
            <w:pPr>
              <w:pStyle w:val="2024TABLEHEADER"/>
              <w:spacing w:before="0" w:after="0" w:line="240" w:lineRule="auto"/>
              <w:rPr>
                <w:sz w:val="16"/>
                <w:szCs w:val="16"/>
              </w:rPr>
            </w:pPr>
          </w:p>
        </w:tc>
        <w:tc>
          <w:tcPr>
            <w:tcW w:w="384" w:type="pct"/>
            <w:vMerge/>
            <w:shd w:val="clear" w:color="auto" w:fill="F2F2F2" w:themeFill="background1" w:themeFillShade="F2"/>
          </w:tcPr>
          <w:p w14:paraId="2FC10036" w14:textId="77777777" w:rsidR="00D00D14" w:rsidRPr="00D518FF" w:rsidRDefault="00D00D14" w:rsidP="00F614C8">
            <w:pPr>
              <w:pStyle w:val="2024TABLEHEADER"/>
              <w:spacing w:before="0" w:after="0" w:line="240" w:lineRule="auto"/>
              <w:rPr>
                <w:sz w:val="16"/>
                <w:szCs w:val="16"/>
              </w:rPr>
            </w:pPr>
          </w:p>
        </w:tc>
        <w:tc>
          <w:tcPr>
            <w:tcW w:w="228" w:type="pct"/>
            <w:shd w:val="clear" w:color="auto" w:fill="D9D9D9" w:themeFill="background1" w:themeFillShade="D9"/>
          </w:tcPr>
          <w:p w14:paraId="1A31D6B6" w14:textId="77777777" w:rsidR="00D00D14" w:rsidRPr="00D518FF" w:rsidRDefault="00D00D14" w:rsidP="00F614C8">
            <w:pPr>
              <w:pStyle w:val="2024TABLEHEADER"/>
              <w:spacing w:before="0" w:after="0" w:line="240" w:lineRule="auto"/>
              <w:rPr>
                <w:sz w:val="16"/>
                <w:szCs w:val="16"/>
              </w:rPr>
            </w:pPr>
            <w:r w:rsidRPr="00D518FF">
              <w:rPr>
                <w:sz w:val="16"/>
                <w:szCs w:val="16"/>
              </w:rPr>
              <w:t xml:space="preserve">Risk with control </w:t>
            </w:r>
          </w:p>
        </w:tc>
        <w:tc>
          <w:tcPr>
            <w:tcW w:w="350" w:type="pct"/>
            <w:shd w:val="clear" w:color="auto" w:fill="D9D9D9" w:themeFill="background1" w:themeFillShade="D9"/>
          </w:tcPr>
          <w:p w14:paraId="0506B559" w14:textId="77777777" w:rsidR="00D00D14" w:rsidRPr="00D518FF" w:rsidRDefault="00D00D14" w:rsidP="00F614C8">
            <w:pPr>
              <w:pStyle w:val="2024TABLEHEADER"/>
              <w:spacing w:before="0" w:after="0" w:line="240" w:lineRule="auto"/>
              <w:rPr>
                <w:sz w:val="16"/>
                <w:szCs w:val="16"/>
              </w:rPr>
            </w:pPr>
            <w:r w:rsidRPr="00D518FF">
              <w:rPr>
                <w:sz w:val="16"/>
                <w:szCs w:val="16"/>
              </w:rPr>
              <w:t>Risk with intervention</w:t>
            </w:r>
          </w:p>
        </w:tc>
        <w:tc>
          <w:tcPr>
            <w:tcW w:w="292" w:type="pct"/>
            <w:vMerge/>
            <w:shd w:val="clear" w:color="auto" w:fill="F2F2F2" w:themeFill="background1" w:themeFillShade="F2"/>
          </w:tcPr>
          <w:p w14:paraId="6D67D7C5" w14:textId="77777777" w:rsidR="00D00D14" w:rsidRPr="00D518FF" w:rsidRDefault="00D00D14" w:rsidP="00F614C8">
            <w:pPr>
              <w:pStyle w:val="2024TABLEHEADER"/>
              <w:spacing w:before="0" w:after="0" w:line="240" w:lineRule="auto"/>
              <w:rPr>
                <w:sz w:val="16"/>
                <w:szCs w:val="16"/>
              </w:rPr>
            </w:pPr>
          </w:p>
        </w:tc>
        <w:tc>
          <w:tcPr>
            <w:tcW w:w="292" w:type="pct"/>
            <w:vMerge/>
            <w:shd w:val="clear" w:color="auto" w:fill="F2F2F2" w:themeFill="background1" w:themeFillShade="F2"/>
          </w:tcPr>
          <w:p w14:paraId="43CD827F" w14:textId="77777777" w:rsidR="00D00D14" w:rsidRPr="00D518FF" w:rsidRDefault="00D00D14" w:rsidP="00F614C8">
            <w:pPr>
              <w:pStyle w:val="2024TABLEHEADER"/>
              <w:spacing w:before="0" w:after="0" w:line="240" w:lineRule="auto"/>
              <w:rPr>
                <w:sz w:val="16"/>
                <w:szCs w:val="16"/>
              </w:rPr>
            </w:pPr>
          </w:p>
        </w:tc>
        <w:tc>
          <w:tcPr>
            <w:tcW w:w="295" w:type="pct"/>
            <w:vMerge/>
            <w:shd w:val="clear" w:color="auto" w:fill="F2F2F2" w:themeFill="background1" w:themeFillShade="F2"/>
          </w:tcPr>
          <w:p w14:paraId="3E142B90" w14:textId="77777777" w:rsidR="00D00D14" w:rsidRPr="00D518FF" w:rsidRDefault="00D00D14" w:rsidP="00F614C8">
            <w:pPr>
              <w:pStyle w:val="2024TABLEHEADER"/>
              <w:spacing w:before="0" w:after="0" w:line="240" w:lineRule="auto"/>
              <w:rPr>
                <w:sz w:val="16"/>
                <w:szCs w:val="16"/>
              </w:rPr>
            </w:pPr>
          </w:p>
        </w:tc>
        <w:tc>
          <w:tcPr>
            <w:tcW w:w="275" w:type="pct"/>
            <w:vMerge/>
            <w:shd w:val="clear" w:color="auto" w:fill="F2F2F2" w:themeFill="background1" w:themeFillShade="F2"/>
          </w:tcPr>
          <w:p w14:paraId="26D7FC98" w14:textId="77777777" w:rsidR="00D00D14" w:rsidRPr="00D518FF" w:rsidRDefault="00D00D14" w:rsidP="00F614C8">
            <w:pPr>
              <w:pStyle w:val="2024TABLEHEADER"/>
              <w:spacing w:before="0" w:after="0" w:line="240" w:lineRule="auto"/>
              <w:rPr>
                <w:sz w:val="16"/>
                <w:szCs w:val="16"/>
              </w:rPr>
            </w:pPr>
          </w:p>
        </w:tc>
      </w:tr>
      <w:tr w:rsidR="007957D0" w:rsidRPr="00D518FF" w14:paraId="653CDF3C" w14:textId="77777777" w:rsidTr="003D76A3">
        <w:trPr>
          <w:trHeight w:val="323"/>
        </w:trPr>
        <w:tc>
          <w:tcPr>
            <w:tcW w:w="227" w:type="pct"/>
          </w:tcPr>
          <w:p w14:paraId="45B7E9E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lastRenderedPageBreak/>
              <w:t>Mah 2021</w:t>
            </w:r>
          </w:p>
        </w:tc>
        <w:tc>
          <w:tcPr>
            <w:tcW w:w="280" w:type="pct"/>
          </w:tcPr>
          <w:p w14:paraId="3B94E2F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4 - total sleep time</w:t>
            </w:r>
          </w:p>
        </w:tc>
        <w:tc>
          <w:tcPr>
            <w:tcW w:w="319" w:type="pct"/>
          </w:tcPr>
          <w:p w14:paraId="59D4D3DB"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54D0717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Older adults ≥55 years old with insomnia</w:t>
            </w:r>
          </w:p>
        </w:tc>
        <w:tc>
          <w:tcPr>
            <w:tcW w:w="405" w:type="pct"/>
            <w:vMerge w:val="restart"/>
          </w:tcPr>
          <w:p w14:paraId="5B9ECF0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438" w:type="pct"/>
          </w:tcPr>
          <w:p w14:paraId="767A359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Oral magnesium supplementation</w:t>
            </w:r>
          </w:p>
        </w:tc>
        <w:tc>
          <w:tcPr>
            <w:tcW w:w="325" w:type="pct"/>
          </w:tcPr>
          <w:p w14:paraId="49668BB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7E0BC02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294" w:type="pct"/>
          </w:tcPr>
          <w:p w14:paraId="23D87B7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55</w:t>
            </w:r>
          </w:p>
        </w:tc>
        <w:tc>
          <w:tcPr>
            <w:tcW w:w="384" w:type="pct"/>
          </w:tcPr>
          <w:p w14:paraId="4305DE5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Time from sleep onset to offset (min)</w:t>
            </w:r>
          </w:p>
        </w:tc>
        <w:tc>
          <w:tcPr>
            <w:tcW w:w="228" w:type="pct"/>
          </w:tcPr>
          <w:p w14:paraId="532FCCC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6BD0D7D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45F47D16"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The mean post-intervention TST in the intervention group was 16.06 min higher (95% CI: − 5.99 to 38.12; p = 0.15)</w:t>
            </w:r>
          </w:p>
        </w:tc>
        <w:tc>
          <w:tcPr>
            <w:tcW w:w="292" w:type="pct"/>
          </w:tcPr>
          <w:p w14:paraId="4F6FA11D" w14:textId="77777777" w:rsidR="007957D0" w:rsidRPr="00D518FF" w:rsidRDefault="007957D0" w:rsidP="00F614C8">
            <w:pPr>
              <w:pStyle w:val="Caption1"/>
              <w:spacing w:before="0" w:after="0"/>
              <w:rPr>
                <w:rFonts w:ascii="Aptos" w:hAnsi="Aptos"/>
                <w:b w:val="0"/>
                <w:bCs w:val="0"/>
                <w:sz w:val="16"/>
                <w:szCs w:val="16"/>
              </w:rPr>
            </w:pPr>
          </w:p>
        </w:tc>
        <w:tc>
          <w:tcPr>
            <w:tcW w:w="295" w:type="pct"/>
            <w:vMerge w:val="restart"/>
          </w:tcPr>
          <w:p w14:paraId="0884B380" w14:textId="77777777" w:rsidR="007957D0" w:rsidRPr="00D518FF" w:rsidRDefault="007957D0" w:rsidP="00F614C8">
            <w:pPr>
              <w:pStyle w:val="Caption1"/>
              <w:spacing w:before="0" w:after="0"/>
              <w:rPr>
                <w:rFonts w:ascii="Aptos" w:hAnsi="Aptos"/>
                <w:b w:val="0"/>
                <w:bCs w:val="0"/>
                <w:sz w:val="16"/>
                <w:szCs w:val="16"/>
              </w:rPr>
            </w:pPr>
            <w:r w:rsidRPr="004633F6">
              <w:rPr>
                <w:rFonts w:ascii="Aptos" w:hAnsi="Aptos"/>
                <w:b w:val="0"/>
                <w:bCs w:val="0"/>
                <w:sz w:val="16"/>
                <w:szCs w:val="16"/>
              </w:rPr>
              <w:t>Serious or concerning methodological limitations were detected in all studies, especially poor internal validity in the randomization process and bias arising from deviations from intended outcomes</w:t>
            </w:r>
          </w:p>
        </w:tc>
        <w:tc>
          <w:tcPr>
            <w:tcW w:w="275" w:type="pct"/>
          </w:tcPr>
          <w:p w14:paraId="65E6E06F"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1DC9D7BE" w14:textId="77777777" w:rsidTr="003D76A3">
        <w:trPr>
          <w:trHeight w:val="323"/>
        </w:trPr>
        <w:tc>
          <w:tcPr>
            <w:tcW w:w="227" w:type="pct"/>
          </w:tcPr>
          <w:p w14:paraId="6B4CE3A0"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Mah 2021</w:t>
            </w:r>
          </w:p>
        </w:tc>
        <w:tc>
          <w:tcPr>
            <w:tcW w:w="280" w:type="pct"/>
          </w:tcPr>
          <w:p w14:paraId="7FC5615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4 - Sleep onset latency (SOL)</w:t>
            </w:r>
          </w:p>
        </w:tc>
        <w:tc>
          <w:tcPr>
            <w:tcW w:w="319" w:type="pct"/>
          </w:tcPr>
          <w:p w14:paraId="523530E2"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5DA130E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Older adults ≥55 years old with insomnia</w:t>
            </w:r>
          </w:p>
        </w:tc>
        <w:tc>
          <w:tcPr>
            <w:tcW w:w="405" w:type="pct"/>
            <w:vMerge/>
          </w:tcPr>
          <w:p w14:paraId="0BDF0AB5" w14:textId="77777777" w:rsidR="007957D0" w:rsidRPr="00D518FF" w:rsidRDefault="007957D0" w:rsidP="00F614C8">
            <w:pPr>
              <w:pStyle w:val="Caption1"/>
              <w:spacing w:before="0" w:after="0"/>
              <w:rPr>
                <w:rFonts w:ascii="Aptos" w:hAnsi="Aptos"/>
                <w:b w:val="0"/>
                <w:bCs w:val="0"/>
                <w:sz w:val="16"/>
                <w:szCs w:val="16"/>
              </w:rPr>
            </w:pPr>
          </w:p>
        </w:tc>
        <w:tc>
          <w:tcPr>
            <w:tcW w:w="438" w:type="pct"/>
          </w:tcPr>
          <w:p w14:paraId="06AA78F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Oral magnesium supplementation</w:t>
            </w:r>
          </w:p>
        </w:tc>
        <w:tc>
          <w:tcPr>
            <w:tcW w:w="325" w:type="pct"/>
          </w:tcPr>
          <w:p w14:paraId="54EFE3A3"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11FCD5BC"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294" w:type="pct"/>
          </w:tcPr>
          <w:p w14:paraId="2BA047E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55</w:t>
            </w:r>
          </w:p>
        </w:tc>
        <w:tc>
          <w:tcPr>
            <w:tcW w:w="384" w:type="pct"/>
          </w:tcPr>
          <w:p w14:paraId="3EF2D151"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Time from wakefulness to initiation of sleep (min)</w:t>
            </w:r>
          </w:p>
        </w:tc>
        <w:tc>
          <w:tcPr>
            <w:tcW w:w="228" w:type="pct"/>
          </w:tcPr>
          <w:p w14:paraId="0454E1F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476CF2B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39A8C667"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The mean post-intervention SOL in the intervention group was − 17.36 min lower (95% CI: − 27.27 to − 7.44, p = 0.0006)</w:t>
            </w:r>
          </w:p>
        </w:tc>
        <w:tc>
          <w:tcPr>
            <w:tcW w:w="292" w:type="pct"/>
          </w:tcPr>
          <w:p w14:paraId="1AD0286C" w14:textId="77777777" w:rsidR="007957D0" w:rsidRPr="00D518FF" w:rsidRDefault="007957D0" w:rsidP="00F614C8">
            <w:pPr>
              <w:pStyle w:val="Caption1"/>
              <w:spacing w:before="0" w:after="0"/>
              <w:rPr>
                <w:rFonts w:ascii="Aptos" w:hAnsi="Aptos"/>
                <w:b w:val="0"/>
                <w:bCs w:val="0"/>
                <w:sz w:val="16"/>
                <w:szCs w:val="16"/>
              </w:rPr>
            </w:pPr>
          </w:p>
        </w:tc>
        <w:tc>
          <w:tcPr>
            <w:tcW w:w="295" w:type="pct"/>
            <w:vMerge/>
          </w:tcPr>
          <w:p w14:paraId="3EAB8A41" w14:textId="77777777" w:rsidR="007957D0" w:rsidRPr="00D518FF" w:rsidRDefault="007957D0" w:rsidP="00F614C8">
            <w:pPr>
              <w:pStyle w:val="Caption1"/>
              <w:spacing w:before="0" w:after="0"/>
              <w:rPr>
                <w:rFonts w:ascii="Aptos" w:hAnsi="Aptos"/>
                <w:b w:val="0"/>
                <w:bCs w:val="0"/>
                <w:sz w:val="16"/>
                <w:szCs w:val="16"/>
              </w:rPr>
            </w:pPr>
          </w:p>
        </w:tc>
        <w:tc>
          <w:tcPr>
            <w:tcW w:w="275" w:type="pct"/>
          </w:tcPr>
          <w:p w14:paraId="55E3C358"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77890C8A" w14:textId="77777777" w:rsidTr="003D76A3">
        <w:trPr>
          <w:trHeight w:val="323"/>
        </w:trPr>
        <w:tc>
          <w:tcPr>
            <w:tcW w:w="227" w:type="pct"/>
          </w:tcPr>
          <w:p w14:paraId="6366668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Mah 2021</w:t>
            </w:r>
          </w:p>
        </w:tc>
        <w:tc>
          <w:tcPr>
            <w:tcW w:w="280" w:type="pct"/>
          </w:tcPr>
          <w:p w14:paraId="6A77D5A1"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4 - Sleep efficiency (SE)</w:t>
            </w:r>
          </w:p>
        </w:tc>
        <w:tc>
          <w:tcPr>
            <w:tcW w:w="319" w:type="pct"/>
          </w:tcPr>
          <w:p w14:paraId="124B6F1D"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72F2550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Older adults ≥55 years old with insomnia</w:t>
            </w:r>
          </w:p>
        </w:tc>
        <w:tc>
          <w:tcPr>
            <w:tcW w:w="405" w:type="pct"/>
            <w:vMerge/>
          </w:tcPr>
          <w:p w14:paraId="55B578F6" w14:textId="77777777" w:rsidR="007957D0" w:rsidRPr="00D518FF" w:rsidRDefault="007957D0" w:rsidP="00F614C8">
            <w:pPr>
              <w:pStyle w:val="Caption1"/>
              <w:spacing w:before="0" w:after="0"/>
              <w:rPr>
                <w:rFonts w:ascii="Aptos" w:hAnsi="Aptos"/>
                <w:b w:val="0"/>
                <w:bCs w:val="0"/>
                <w:sz w:val="16"/>
                <w:szCs w:val="16"/>
              </w:rPr>
            </w:pPr>
          </w:p>
        </w:tc>
        <w:tc>
          <w:tcPr>
            <w:tcW w:w="438" w:type="pct"/>
          </w:tcPr>
          <w:p w14:paraId="2DEE59D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Oral magnesium supplementation</w:t>
            </w:r>
          </w:p>
        </w:tc>
        <w:tc>
          <w:tcPr>
            <w:tcW w:w="325" w:type="pct"/>
          </w:tcPr>
          <w:p w14:paraId="2BF9A390"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23049AF7"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02B9AC6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43</w:t>
            </w:r>
          </w:p>
        </w:tc>
        <w:tc>
          <w:tcPr>
            <w:tcW w:w="384" w:type="pct"/>
          </w:tcPr>
          <w:p w14:paraId="2818C25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Sum of REM &amp; non REM sleep / total time in bed (h)</w:t>
            </w:r>
          </w:p>
        </w:tc>
        <w:tc>
          <w:tcPr>
            <w:tcW w:w="228" w:type="pct"/>
          </w:tcPr>
          <w:p w14:paraId="58E551C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 xml:space="preserve">MD = −0.00 ± 0.05 </w:t>
            </w:r>
          </w:p>
        </w:tc>
        <w:tc>
          <w:tcPr>
            <w:tcW w:w="350" w:type="pct"/>
          </w:tcPr>
          <w:p w14:paraId="707F815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 xml:space="preserve">MD = −0.06 ± 0.01h </w:t>
            </w:r>
          </w:p>
        </w:tc>
        <w:tc>
          <w:tcPr>
            <w:tcW w:w="292" w:type="pct"/>
          </w:tcPr>
          <w:p w14:paraId="66926B21"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1A24C08F" w14:textId="77777777" w:rsidR="007957D0" w:rsidRPr="00D518FF" w:rsidRDefault="007957D0" w:rsidP="00F614C8">
            <w:pPr>
              <w:pStyle w:val="Caption1"/>
              <w:spacing w:before="0" w:after="0"/>
              <w:rPr>
                <w:rFonts w:ascii="Aptos" w:hAnsi="Aptos"/>
                <w:b w:val="0"/>
                <w:bCs w:val="0"/>
                <w:sz w:val="16"/>
                <w:szCs w:val="16"/>
              </w:rPr>
            </w:pPr>
          </w:p>
        </w:tc>
        <w:tc>
          <w:tcPr>
            <w:tcW w:w="295" w:type="pct"/>
            <w:vMerge w:val="restart"/>
          </w:tcPr>
          <w:p w14:paraId="0EFBF330" w14:textId="77777777" w:rsidR="007957D0" w:rsidRPr="00D518FF" w:rsidRDefault="007957D0" w:rsidP="00F614C8">
            <w:pPr>
              <w:pStyle w:val="Caption1"/>
              <w:spacing w:before="0" w:after="0"/>
              <w:rPr>
                <w:rFonts w:ascii="Aptos" w:hAnsi="Aptos"/>
                <w:b w:val="0"/>
                <w:bCs w:val="0"/>
                <w:sz w:val="16"/>
                <w:szCs w:val="16"/>
              </w:rPr>
            </w:pPr>
            <w:r w:rsidRPr="002253C0">
              <w:rPr>
                <w:rFonts w:ascii="Aptos" w:hAnsi="Aptos"/>
                <w:b w:val="0"/>
                <w:bCs w:val="0"/>
                <w:sz w:val="16"/>
                <w:szCs w:val="16"/>
              </w:rPr>
              <w:t xml:space="preserve">Only one study included. Some concerns for risk of bias in the randomization process </w:t>
            </w:r>
            <w:r w:rsidRPr="002253C0">
              <w:rPr>
                <w:rFonts w:ascii="Aptos" w:hAnsi="Aptos"/>
                <w:b w:val="0"/>
                <w:bCs w:val="0"/>
                <w:sz w:val="16"/>
                <w:szCs w:val="16"/>
              </w:rPr>
              <w:lastRenderedPageBreak/>
              <w:t>and bias arising from deviations from intended outcomes (same as above) mainly due to poor reporting.</w:t>
            </w:r>
          </w:p>
        </w:tc>
        <w:tc>
          <w:tcPr>
            <w:tcW w:w="275" w:type="pct"/>
          </w:tcPr>
          <w:p w14:paraId="72AD259E"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lastRenderedPageBreak/>
              <w:t>Unclear risk</w:t>
            </w:r>
          </w:p>
        </w:tc>
      </w:tr>
      <w:tr w:rsidR="007957D0" w:rsidRPr="00D518FF" w14:paraId="22C90E70" w14:textId="77777777" w:rsidTr="003D76A3">
        <w:trPr>
          <w:trHeight w:val="323"/>
        </w:trPr>
        <w:tc>
          <w:tcPr>
            <w:tcW w:w="227" w:type="pct"/>
          </w:tcPr>
          <w:p w14:paraId="5FB30AE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Mah 2021</w:t>
            </w:r>
          </w:p>
        </w:tc>
        <w:tc>
          <w:tcPr>
            <w:tcW w:w="280" w:type="pct"/>
          </w:tcPr>
          <w:p w14:paraId="72B755F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4 - Early morning awakening (EMA)</w:t>
            </w:r>
          </w:p>
        </w:tc>
        <w:tc>
          <w:tcPr>
            <w:tcW w:w="319" w:type="pct"/>
          </w:tcPr>
          <w:p w14:paraId="7E695764"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2A4A8AF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Older adults ≥55 years old with insomnia</w:t>
            </w:r>
          </w:p>
        </w:tc>
        <w:tc>
          <w:tcPr>
            <w:tcW w:w="405" w:type="pct"/>
            <w:vMerge/>
          </w:tcPr>
          <w:p w14:paraId="08C123E2" w14:textId="77777777" w:rsidR="007957D0" w:rsidRPr="00D518FF" w:rsidRDefault="007957D0" w:rsidP="00F614C8">
            <w:pPr>
              <w:pStyle w:val="Caption1"/>
              <w:spacing w:before="0" w:after="0"/>
              <w:rPr>
                <w:rFonts w:ascii="Aptos" w:hAnsi="Aptos"/>
                <w:b w:val="0"/>
                <w:bCs w:val="0"/>
                <w:sz w:val="16"/>
                <w:szCs w:val="16"/>
              </w:rPr>
            </w:pPr>
          </w:p>
        </w:tc>
        <w:tc>
          <w:tcPr>
            <w:tcW w:w="438" w:type="pct"/>
          </w:tcPr>
          <w:p w14:paraId="748A50E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Oral magnesium supplementation</w:t>
            </w:r>
          </w:p>
        </w:tc>
        <w:tc>
          <w:tcPr>
            <w:tcW w:w="325" w:type="pct"/>
          </w:tcPr>
          <w:p w14:paraId="794E391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48F0B70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55A9ECF1"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43</w:t>
            </w:r>
          </w:p>
        </w:tc>
        <w:tc>
          <w:tcPr>
            <w:tcW w:w="384" w:type="pct"/>
          </w:tcPr>
          <w:p w14:paraId="72F3C73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Premature termination of sleep (h)</w:t>
            </w:r>
          </w:p>
        </w:tc>
        <w:tc>
          <w:tcPr>
            <w:tcW w:w="228" w:type="pct"/>
          </w:tcPr>
          <w:p w14:paraId="0D2F92B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 = 1.03 ± 0.02</w:t>
            </w:r>
          </w:p>
        </w:tc>
        <w:tc>
          <w:tcPr>
            <w:tcW w:w="350" w:type="pct"/>
          </w:tcPr>
          <w:p w14:paraId="751CD77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 = 1.01 ± 0.05</w:t>
            </w:r>
          </w:p>
        </w:tc>
        <w:tc>
          <w:tcPr>
            <w:tcW w:w="292" w:type="pct"/>
          </w:tcPr>
          <w:p w14:paraId="6E83C228"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4FBC5A2A" w14:textId="77777777" w:rsidR="007957D0" w:rsidRPr="00D518FF" w:rsidRDefault="007957D0" w:rsidP="00F614C8">
            <w:pPr>
              <w:pStyle w:val="Caption1"/>
              <w:spacing w:before="0" w:after="0"/>
              <w:rPr>
                <w:rFonts w:ascii="Aptos" w:hAnsi="Aptos"/>
                <w:b w:val="0"/>
                <w:bCs w:val="0"/>
                <w:sz w:val="16"/>
                <w:szCs w:val="16"/>
              </w:rPr>
            </w:pPr>
          </w:p>
        </w:tc>
        <w:tc>
          <w:tcPr>
            <w:tcW w:w="295" w:type="pct"/>
            <w:vMerge/>
          </w:tcPr>
          <w:p w14:paraId="07DBCAD0" w14:textId="77777777" w:rsidR="007957D0" w:rsidRPr="00D518FF" w:rsidRDefault="007957D0" w:rsidP="00F614C8">
            <w:pPr>
              <w:pStyle w:val="Caption1"/>
              <w:spacing w:before="0" w:after="0"/>
              <w:rPr>
                <w:rFonts w:ascii="Aptos" w:hAnsi="Aptos"/>
                <w:b w:val="0"/>
                <w:bCs w:val="0"/>
                <w:sz w:val="16"/>
                <w:szCs w:val="16"/>
              </w:rPr>
            </w:pPr>
          </w:p>
        </w:tc>
        <w:tc>
          <w:tcPr>
            <w:tcW w:w="275" w:type="pct"/>
          </w:tcPr>
          <w:p w14:paraId="160040F7"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0EA757F7" w14:textId="77777777" w:rsidTr="003D76A3">
        <w:trPr>
          <w:trHeight w:val="323"/>
        </w:trPr>
        <w:tc>
          <w:tcPr>
            <w:tcW w:w="227" w:type="pct"/>
          </w:tcPr>
          <w:p w14:paraId="163B95D6"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lastRenderedPageBreak/>
              <w:t>Mah 2021</w:t>
            </w:r>
          </w:p>
        </w:tc>
        <w:tc>
          <w:tcPr>
            <w:tcW w:w="280" w:type="pct"/>
          </w:tcPr>
          <w:p w14:paraId="06F0009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319" w:type="pct"/>
          </w:tcPr>
          <w:p w14:paraId="4053967E"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61C1405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Older adults ≥55 years old with insomnia</w:t>
            </w:r>
          </w:p>
        </w:tc>
        <w:tc>
          <w:tcPr>
            <w:tcW w:w="405" w:type="pct"/>
            <w:vMerge/>
          </w:tcPr>
          <w:p w14:paraId="4DCEC211" w14:textId="77777777" w:rsidR="007957D0" w:rsidRPr="00D518FF" w:rsidRDefault="007957D0" w:rsidP="00F614C8">
            <w:pPr>
              <w:pStyle w:val="Caption1"/>
              <w:spacing w:before="0" w:after="0"/>
              <w:rPr>
                <w:rFonts w:ascii="Aptos" w:hAnsi="Aptos"/>
                <w:b w:val="0"/>
                <w:bCs w:val="0"/>
                <w:sz w:val="16"/>
                <w:szCs w:val="16"/>
              </w:rPr>
            </w:pPr>
          </w:p>
        </w:tc>
        <w:tc>
          <w:tcPr>
            <w:tcW w:w="438" w:type="pct"/>
          </w:tcPr>
          <w:p w14:paraId="0FF7EC4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Oral magnesium supplementation</w:t>
            </w:r>
          </w:p>
        </w:tc>
        <w:tc>
          <w:tcPr>
            <w:tcW w:w="325" w:type="pct"/>
          </w:tcPr>
          <w:p w14:paraId="353135E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3BEE3A1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3D371CE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43</w:t>
            </w:r>
          </w:p>
        </w:tc>
        <w:tc>
          <w:tcPr>
            <w:tcW w:w="384" w:type="pct"/>
          </w:tcPr>
          <w:p w14:paraId="065DC67C" w14:textId="4C95FCB6" w:rsidR="007957D0" w:rsidRPr="00D518FF" w:rsidRDefault="00D51C06" w:rsidP="00F614C8">
            <w:pPr>
              <w:pStyle w:val="Caption1"/>
              <w:spacing w:before="0" w:after="0"/>
              <w:rPr>
                <w:rFonts w:ascii="Aptos" w:hAnsi="Aptos"/>
                <w:b w:val="0"/>
                <w:bCs w:val="0"/>
                <w:sz w:val="16"/>
                <w:szCs w:val="16"/>
              </w:rPr>
            </w:pPr>
            <w:r>
              <w:rPr>
                <w:rFonts w:ascii="Aptos" w:hAnsi="Aptos"/>
                <w:b w:val="0"/>
                <w:bCs w:val="0"/>
                <w:sz w:val="16"/>
                <w:szCs w:val="16"/>
              </w:rPr>
              <w:t>ISI</w:t>
            </w:r>
            <w:r w:rsidR="007957D0" w:rsidRPr="00D518FF">
              <w:rPr>
                <w:rFonts w:ascii="Aptos" w:hAnsi="Aptos"/>
                <w:b w:val="0"/>
                <w:bCs w:val="0"/>
                <w:sz w:val="16"/>
                <w:szCs w:val="16"/>
              </w:rPr>
              <w:t>,</w:t>
            </w:r>
            <w:r>
              <w:rPr>
                <w:rFonts w:ascii="Aptos" w:hAnsi="Aptos"/>
                <w:b w:val="0"/>
                <w:bCs w:val="0"/>
                <w:sz w:val="16"/>
                <w:szCs w:val="16"/>
              </w:rPr>
              <w:t xml:space="preserve"> s</w:t>
            </w:r>
            <w:r w:rsidR="007957D0" w:rsidRPr="00D518FF">
              <w:rPr>
                <w:rFonts w:ascii="Aptos" w:hAnsi="Aptos"/>
                <w:b w:val="0"/>
                <w:bCs w:val="0"/>
                <w:sz w:val="16"/>
                <w:szCs w:val="16"/>
              </w:rPr>
              <w:t>core from 0 to 28; ≥ 15 = clinical insomnia, Lower scores indicate better sleep quality.</w:t>
            </w:r>
          </w:p>
        </w:tc>
        <w:tc>
          <w:tcPr>
            <w:tcW w:w="228" w:type="pct"/>
          </w:tcPr>
          <w:p w14:paraId="5694255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 = − 0.5 ± 1.71</w:t>
            </w:r>
          </w:p>
        </w:tc>
        <w:tc>
          <w:tcPr>
            <w:tcW w:w="350" w:type="pct"/>
          </w:tcPr>
          <w:p w14:paraId="0C6A41F8"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 = −2.38 ± 2.24</w:t>
            </w:r>
          </w:p>
        </w:tc>
        <w:tc>
          <w:tcPr>
            <w:tcW w:w="292" w:type="pct"/>
          </w:tcPr>
          <w:p w14:paraId="6371911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16D93DC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 xml:space="preserve"> </w:t>
            </w:r>
          </w:p>
        </w:tc>
        <w:tc>
          <w:tcPr>
            <w:tcW w:w="295" w:type="pct"/>
            <w:vMerge/>
          </w:tcPr>
          <w:p w14:paraId="27241499" w14:textId="77777777" w:rsidR="007957D0" w:rsidRPr="00D518FF" w:rsidRDefault="007957D0" w:rsidP="00F614C8">
            <w:pPr>
              <w:pStyle w:val="Caption1"/>
              <w:spacing w:before="0" w:after="0"/>
              <w:rPr>
                <w:rFonts w:ascii="Aptos" w:hAnsi="Aptos"/>
                <w:b w:val="0"/>
                <w:bCs w:val="0"/>
                <w:sz w:val="16"/>
                <w:szCs w:val="16"/>
              </w:rPr>
            </w:pPr>
          </w:p>
        </w:tc>
        <w:tc>
          <w:tcPr>
            <w:tcW w:w="275" w:type="pct"/>
          </w:tcPr>
          <w:p w14:paraId="2E36FD7C"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7C3AE054" w14:textId="77777777" w:rsidTr="003D76A3">
        <w:trPr>
          <w:trHeight w:val="323"/>
        </w:trPr>
        <w:tc>
          <w:tcPr>
            <w:tcW w:w="227" w:type="pct"/>
          </w:tcPr>
          <w:p w14:paraId="44E6510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Mah 2021</w:t>
            </w:r>
          </w:p>
        </w:tc>
        <w:tc>
          <w:tcPr>
            <w:tcW w:w="280" w:type="pct"/>
          </w:tcPr>
          <w:p w14:paraId="52BE8EF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319" w:type="pct"/>
          </w:tcPr>
          <w:p w14:paraId="73809B3C"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27D03B6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Older adults ≥55 years old with insomnia</w:t>
            </w:r>
          </w:p>
        </w:tc>
        <w:tc>
          <w:tcPr>
            <w:tcW w:w="405" w:type="pct"/>
            <w:vMerge/>
          </w:tcPr>
          <w:p w14:paraId="7A83490F" w14:textId="77777777" w:rsidR="007957D0" w:rsidRPr="00D518FF" w:rsidRDefault="007957D0" w:rsidP="00F614C8">
            <w:pPr>
              <w:pStyle w:val="Caption1"/>
              <w:spacing w:before="0" w:after="0"/>
              <w:rPr>
                <w:rFonts w:ascii="Aptos" w:hAnsi="Aptos"/>
                <w:b w:val="0"/>
                <w:bCs w:val="0"/>
                <w:sz w:val="16"/>
                <w:szCs w:val="16"/>
              </w:rPr>
            </w:pPr>
          </w:p>
        </w:tc>
        <w:tc>
          <w:tcPr>
            <w:tcW w:w="438" w:type="pct"/>
          </w:tcPr>
          <w:p w14:paraId="1996CD9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Oral magnesium supplementation</w:t>
            </w:r>
          </w:p>
        </w:tc>
        <w:tc>
          <w:tcPr>
            <w:tcW w:w="325" w:type="pct"/>
          </w:tcPr>
          <w:p w14:paraId="49591D1A"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7ABE37B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6E6CA6C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96</w:t>
            </w:r>
          </w:p>
        </w:tc>
        <w:tc>
          <w:tcPr>
            <w:tcW w:w="384" w:type="pct"/>
          </w:tcPr>
          <w:p w14:paraId="5946C96D" w14:textId="1A259BC6"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PSQI, Score from 0 (1) to 21; ≥ 5 = poor sleeper</w:t>
            </w:r>
            <w:r w:rsidRPr="00D518FF">
              <w:rPr>
                <w:rFonts w:ascii="Aptos" w:hAnsi="Aptos"/>
                <w:b w:val="0"/>
                <w:bCs w:val="0"/>
                <w:sz w:val="16"/>
                <w:szCs w:val="16"/>
              </w:rPr>
              <w:br/>
              <w:t>(8 weeks)</w:t>
            </w:r>
          </w:p>
        </w:tc>
        <w:tc>
          <w:tcPr>
            <w:tcW w:w="228" w:type="pct"/>
          </w:tcPr>
          <w:p w14:paraId="0BAA502A"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 = −4.1</w:t>
            </w:r>
          </w:p>
        </w:tc>
        <w:tc>
          <w:tcPr>
            <w:tcW w:w="350" w:type="pct"/>
          </w:tcPr>
          <w:p w14:paraId="1FD20E83"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 = −3.4</w:t>
            </w:r>
          </w:p>
        </w:tc>
        <w:tc>
          <w:tcPr>
            <w:tcW w:w="292" w:type="pct"/>
          </w:tcPr>
          <w:p w14:paraId="5883745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4613ACD0" w14:textId="77777777" w:rsidR="007957D0" w:rsidRPr="00D518FF" w:rsidRDefault="007957D0" w:rsidP="00F614C8">
            <w:pPr>
              <w:pStyle w:val="Caption1"/>
              <w:spacing w:before="0" w:after="0"/>
              <w:rPr>
                <w:rFonts w:ascii="Aptos" w:hAnsi="Aptos"/>
                <w:b w:val="0"/>
                <w:bCs w:val="0"/>
                <w:sz w:val="16"/>
                <w:szCs w:val="16"/>
              </w:rPr>
            </w:pPr>
          </w:p>
        </w:tc>
        <w:tc>
          <w:tcPr>
            <w:tcW w:w="295" w:type="pct"/>
          </w:tcPr>
          <w:p w14:paraId="7BD974A9"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O</w:t>
            </w:r>
            <w:r w:rsidRPr="008645B5">
              <w:rPr>
                <w:rFonts w:ascii="Aptos" w:hAnsi="Aptos"/>
                <w:b w:val="0"/>
                <w:bCs w:val="0"/>
                <w:sz w:val="16"/>
                <w:szCs w:val="16"/>
              </w:rPr>
              <w:t>nly one study included. High risk of bias from selective reporting.</w:t>
            </w:r>
          </w:p>
        </w:tc>
        <w:tc>
          <w:tcPr>
            <w:tcW w:w="275" w:type="pct"/>
          </w:tcPr>
          <w:p w14:paraId="605D7413"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63BF020D" w14:textId="77777777" w:rsidTr="003D76A3">
        <w:trPr>
          <w:trHeight w:val="323"/>
        </w:trPr>
        <w:tc>
          <w:tcPr>
            <w:tcW w:w="227" w:type="pct"/>
          </w:tcPr>
          <w:p w14:paraId="79BCF823"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Samara 2020</w:t>
            </w:r>
          </w:p>
        </w:tc>
        <w:tc>
          <w:tcPr>
            <w:tcW w:w="280" w:type="pct"/>
          </w:tcPr>
          <w:p w14:paraId="6188603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319" w:type="pct"/>
          </w:tcPr>
          <w:p w14:paraId="47DFB715"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6C7F74B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Insomnia in elderly patients (&gt;65 years)</w:t>
            </w:r>
          </w:p>
        </w:tc>
        <w:tc>
          <w:tcPr>
            <w:tcW w:w="405" w:type="pct"/>
            <w:vMerge w:val="restart"/>
          </w:tcPr>
          <w:p w14:paraId="70ACC93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Eligible supplement + naturopathy co-intervention VS placebo</w:t>
            </w:r>
          </w:p>
        </w:tc>
        <w:tc>
          <w:tcPr>
            <w:tcW w:w="438" w:type="pct"/>
          </w:tcPr>
          <w:p w14:paraId="2FB07396"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Melatonin 5mg + magnesium 225mg + zinc 11.5mg/day</w:t>
            </w:r>
          </w:p>
        </w:tc>
        <w:tc>
          <w:tcPr>
            <w:tcW w:w="325" w:type="pct"/>
          </w:tcPr>
          <w:p w14:paraId="1F4F2047"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3996150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4DB1106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43</w:t>
            </w:r>
          </w:p>
        </w:tc>
        <w:tc>
          <w:tcPr>
            <w:tcW w:w="384" w:type="pct"/>
          </w:tcPr>
          <w:p w14:paraId="1CCED9A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28" w:type="pct"/>
          </w:tcPr>
          <w:p w14:paraId="4680587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44CDEE8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2B444DB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 xml:space="preserve">0.61 </w:t>
            </w:r>
            <w:r w:rsidRPr="00D518FF">
              <w:rPr>
                <w:rFonts w:ascii="Aptos" w:hAnsi="Aptos"/>
                <w:b w:val="0"/>
                <w:bCs w:val="0"/>
                <w:sz w:val="16"/>
                <w:szCs w:val="16"/>
              </w:rPr>
              <w:br/>
              <w:t>(0.00 to 1.22)</w:t>
            </w:r>
          </w:p>
        </w:tc>
        <w:tc>
          <w:tcPr>
            <w:tcW w:w="292" w:type="pct"/>
          </w:tcPr>
          <w:p w14:paraId="76673B4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5" w:type="pct"/>
          </w:tcPr>
          <w:p w14:paraId="715AEB8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75" w:type="pct"/>
          </w:tcPr>
          <w:p w14:paraId="480ADCA2"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1DA7E25C" w14:textId="77777777" w:rsidTr="003D76A3">
        <w:trPr>
          <w:trHeight w:val="323"/>
        </w:trPr>
        <w:tc>
          <w:tcPr>
            <w:tcW w:w="227" w:type="pct"/>
          </w:tcPr>
          <w:p w14:paraId="31BE8657"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Samara 2020</w:t>
            </w:r>
          </w:p>
        </w:tc>
        <w:tc>
          <w:tcPr>
            <w:tcW w:w="280" w:type="pct"/>
          </w:tcPr>
          <w:p w14:paraId="7534745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319" w:type="pct"/>
          </w:tcPr>
          <w:p w14:paraId="78614643"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46D16BF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Insomnia in elderly patients (&gt;65 years)</w:t>
            </w:r>
          </w:p>
        </w:tc>
        <w:tc>
          <w:tcPr>
            <w:tcW w:w="405" w:type="pct"/>
            <w:vMerge/>
          </w:tcPr>
          <w:p w14:paraId="6B2753F8" w14:textId="77777777" w:rsidR="007957D0" w:rsidRPr="00D518FF" w:rsidRDefault="007957D0" w:rsidP="00F614C8">
            <w:pPr>
              <w:pStyle w:val="Caption1"/>
              <w:spacing w:before="0" w:after="0"/>
              <w:rPr>
                <w:rFonts w:ascii="Aptos" w:hAnsi="Aptos"/>
                <w:b w:val="0"/>
                <w:bCs w:val="0"/>
                <w:sz w:val="16"/>
                <w:szCs w:val="16"/>
              </w:rPr>
            </w:pPr>
          </w:p>
        </w:tc>
        <w:tc>
          <w:tcPr>
            <w:tcW w:w="438" w:type="pct"/>
          </w:tcPr>
          <w:p w14:paraId="5ECD3340"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Melatonin 5mg + magnesium 225mg + zinc 11.5mg/day</w:t>
            </w:r>
          </w:p>
        </w:tc>
        <w:tc>
          <w:tcPr>
            <w:tcW w:w="325" w:type="pct"/>
          </w:tcPr>
          <w:p w14:paraId="0133F64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417C5F2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5B5A648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43</w:t>
            </w:r>
          </w:p>
        </w:tc>
        <w:tc>
          <w:tcPr>
            <w:tcW w:w="384" w:type="pct"/>
          </w:tcPr>
          <w:p w14:paraId="35D092A6"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28" w:type="pct"/>
          </w:tcPr>
          <w:p w14:paraId="1D96B5D6"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39CA89D1"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2A15DDC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 = 62.27 (28.80 to</w:t>
            </w:r>
            <w:r w:rsidRPr="00D518FF">
              <w:rPr>
                <w:rFonts w:ascii="Aptos" w:hAnsi="Aptos"/>
                <w:b w:val="0"/>
                <w:bCs w:val="0"/>
                <w:sz w:val="16"/>
                <w:szCs w:val="16"/>
              </w:rPr>
              <w:br/>
              <w:t>95.74</w:t>
            </w:r>
          </w:p>
        </w:tc>
        <w:tc>
          <w:tcPr>
            <w:tcW w:w="292" w:type="pct"/>
          </w:tcPr>
          <w:p w14:paraId="23EB219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5" w:type="pct"/>
            <w:vMerge w:val="restart"/>
          </w:tcPr>
          <w:p w14:paraId="0E74A46E"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r>
              <w:rPr>
                <w:rFonts w:ascii="Aptos" w:hAnsi="Aptos"/>
                <w:b w:val="0"/>
                <w:bCs w:val="0"/>
                <w:sz w:val="16"/>
                <w:szCs w:val="16"/>
              </w:rPr>
              <w:t xml:space="preserve"> - </w:t>
            </w:r>
            <w:r w:rsidRPr="001F7367">
              <w:rPr>
                <w:rFonts w:ascii="Aptos" w:hAnsi="Aptos"/>
                <w:b w:val="0"/>
                <w:bCs w:val="0"/>
                <w:sz w:val="16"/>
                <w:szCs w:val="16"/>
              </w:rPr>
              <w:t>Stud- ies that demonstrated a high risk of bias for sequence generation or allocation concealment were excluded</w:t>
            </w:r>
          </w:p>
        </w:tc>
        <w:tc>
          <w:tcPr>
            <w:tcW w:w="275" w:type="pct"/>
          </w:tcPr>
          <w:p w14:paraId="2BD4CC21"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0D2AFD42" w14:textId="77777777" w:rsidTr="003D76A3">
        <w:trPr>
          <w:trHeight w:val="323"/>
        </w:trPr>
        <w:tc>
          <w:tcPr>
            <w:tcW w:w="227" w:type="pct"/>
          </w:tcPr>
          <w:p w14:paraId="4CA3AB21"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Samara 2020</w:t>
            </w:r>
          </w:p>
        </w:tc>
        <w:tc>
          <w:tcPr>
            <w:tcW w:w="280" w:type="pct"/>
          </w:tcPr>
          <w:p w14:paraId="3DE8E44F"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319" w:type="pct"/>
          </w:tcPr>
          <w:p w14:paraId="2A8B83F1"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455174D7"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Insomnia in elderly patients (&gt;65 years)</w:t>
            </w:r>
          </w:p>
        </w:tc>
        <w:tc>
          <w:tcPr>
            <w:tcW w:w="405" w:type="pct"/>
            <w:vMerge/>
          </w:tcPr>
          <w:p w14:paraId="60FC3019" w14:textId="77777777" w:rsidR="007957D0" w:rsidRPr="00D518FF" w:rsidRDefault="007957D0" w:rsidP="00F614C8">
            <w:pPr>
              <w:pStyle w:val="Caption1"/>
              <w:spacing w:before="0" w:after="0"/>
              <w:rPr>
                <w:rFonts w:ascii="Aptos" w:hAnsi="Aptos"/>
                <w:b w:val="0"/>
                <w:bCs w:val="0"/>
                <w:sz w:val="16"/>
                <w:szCs w:val="16"/>
              </w:rPr>
            </w:pPr>
          </w:p>
        </w:tc>
        <w:tc>
          <w:tcPr>
            <w:tcW w:w="438" w:type="pct"/>
          </w:tcPr>
          <w:p w14:paraId="45CE20AC"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Melatonin 5mg + magnesium 225mg + zinc 11.5mg/day</w:t>
            </w:r>
          </w:p>
        </w:tc>
        <w:tc>
          <w:tcPr>
            <w:tcW w:w="325" w:type="pct"/>
          </w:tcPr>
          <w:p w14:paraId="0FC84E6A"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1274E98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2A2F187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43</w:t>
            </w:r>
          </w:p>
        </w:tc>
        <w:tc>
          <w:tcPr>
            <w:tcW w:w="384" w:type="pct"/>
          </w:tcPr>
          <w:p w14:paraId="6BCB3B57"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28" w:type="pct"/>
          </w:tcPr>
          <w:p w14:paraId="6EB060D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7F7F985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5D03BD55"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SMD = -1.9 (-2.63, -1.17)</w:t>
            </w:r>
          </w:p>
        </w:tc>
        <w:tc>
          <w:tcPr>
            <w:tcW w:w="292" w:type="pct"/>
          </w:tcPr>
          <w:p w14:paraId="73835897"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5" w:type="pct"/>
            <w:vMerge/>
          </w:tcPr>
          <w:p w14:paraId="10EA9C95" w14:textId="77777777" w:rsidR="007957D0" w:rsidRPr="00D518FF" w:rsidRDefault="007957D0" w:rsidP="00F614C8">
            <w:pPr>
              <w:pStyle w:val="Caption1"/>
              <w:spacing w:before="0" w:after="0"/>
              <w:rPr>
                <w:rFonts w:ascii="Aptos" w:hAnsi="Aptos"/>
                <w:b w:val="0"/>
                <w:bCs w:val="0"/>
                <w:sz w:val="16"/>
                <w:szCs w:val="16"/>
              </w:rPr>
            </w:pPr>
          </w:p>
        </w:tc>
        <w:tc>
          <w:tcPr>
            <w:tcW w:w="275" w:type="pct"/>
          </w:tcPr>
          <w:p w14:paraId="1385C032"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r w:rsidR="007957D0" w:rsidRPr="00D518FF" w14:paraId="6135495A" w14:textId="77777777" w:rsidTr="003D76A3">
        <w:trPr>
          <w:trHeight w:val="323"/>
        </w:trPr>
        <w:tc>
          <w:tcPr>
            <w:tcW w:w="227" w:type="pct"/>
          </w:tcPr>
          <w:p w14:paraId="45427E34"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Zhan 2023</w:t>
            </w:r>
          </w:p>
        </w:tc>
        <w:tc>
          <w:tcPr>
            <w:tcW w:w="280" w:type="pct"/>
          </w:tcPr>
          <w:p w14:paraId="22F077B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6</w:t>
            </w:r>
          </w:p>
        </w:tc>
        <w:tc>
          <w:tcPr>
            <w:tcW w:w="319" w:type="pct"/>
          </w:tcPr>
          <w:p w14:paraId="7E2CA33B"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117EF7C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Aged ≥18 years, diagnosed with narcolepsy</w:t>
            </w:r>
          </w:p>
        </w:tc>
        <w:tc>
          <w:tcPr>
            <w:tcW w:w="405" w:type="pct"/>
          </w:tcPr>
          <w:p w14:paraId="4EF49C7B"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Eligible supplement + naturopathy co-intervention VS placebo</w:t>
            </w:r>
          </w:p>
        </w:tc>
        <w:tc>
          <w:tcPr>
            <w:tcW w:w="438" w:type="pct"/>
          </w:tcPr>
          <w:p w14:paraId="1923F8F2"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LXB - Calcium, Magnesium, Potassium, and Sodium</w:t>
            </w:r>
          </w:p>
        </w:tc>
        <w:tc>
          <w:tcPr>
            <w:tcW w:w="325" w:type="pct"/>
          </w:tcPr>
          <w:p w14:paraId="141222B9"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16CADFA3"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7FF22E2D"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136</w:t>
            </w:r>
          </w:p>
        </w:tc>
        <w:tc>
          <w:tcPr>
            <w:tcW w:w="384" w:type="pct"/>
          </w:tcPr>
          <w:p w14:paraId="08E27CDF" w14:textId="080AAD51" w:rsidR="007957D0" w:rsidRPr="00D518FF" w:rsidRDefault="00D51C06" w:rsidP="00F614C8">
            <w:pPr>
              <w:pStyle w:val="Caption1"/>
              <w:spacing w:before="0" w:after="0"/>
              <w:rPr>
                <w:rFonts w:ascii="Aptos" w:hAnsi="Aptos"/>
                <w:b w:val="0"/>
                <w:bCs w:val="0"/>
                <w:sz w:val="16"/>
                <w:szCs w:val="16"/>
              </w:rPr>
            </w:pPr>
            <w:r>
              <w:rPr>
                <w:rFonts w:ascii="Aptos" w:hAnsi="Aptos"/>
                <w:b w:val="0"/>
                <w:bCs w:val="0"/>
                <w:sz w:val="16"/>
                <w:szCs w:val="16"/>
              </w:rPr>
              <w:t>ESS</w:t>
            </w:r>
          </w:p>
        </w:tc>
        <w:tc>
          <w:tcPr>
            <w:tcW w:w="228" w:type="pct"/>
          </w:tcPr>
          <w:p w14:paraId="73DD28B0"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066ED231"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648244CA"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MD=−3.00; 95% CI=−5.88 to −0.12</w:t>
            </w:r>
          </w:p>
        </w:tc>
        <w:tc>
          <w:tcPr>
            <w:tcW w:w="292" w:type="pct"/>
          </w:tcPr>
          <w:p w14:paraId="7495F2EA" w14:textId="77777777" w:rsidR="007957D0" w:rsidRPr="00D518FF" w:rsidRDefault="007957D0"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5" w:type="pct"/>
          </w:tcPr>
          <w:p w14:paraId="3794ECAD" w14:textId="58DFF186" w:rsidR="007957D0" w:rsidRPr="00D518FF" w:rsidRDefault="00AC5901" w:rsidP="00F614C8">
            <w:pPr>
              <w:pStyle w:val="Caption1"/>
              <w:spacing w:before="0" w:after="0"/>
              <w:rPr>
                <w:rFonts w:ascii="Aptos" w:hAnsi="Aptos"/>
                <w:b w:val="0"/>
                <w:bCs w:val="0"/>
                <w:sz w:val="16"/>
                <w:szCs w:val="16"/>
              </w:rPr>
            </w:pPr>
            <w:r>
              <w:rPr>
                <w:rFonts w:ascii="Aptos" w:hAnsi="Aptos"/>
                <w:b w:val="0"/>
                <w:bCs w:val="0"/>
                <w:sz w:val="16"/>
                <w:szCs w:val="16"/>
              </w:rPr>
              <w:t>Low risk of bias for primary study across all assessed domains</w:t>
            </w:r>
            <w:r w:rsidR="007957D0">
              <w:rPr>
                <w:rFonts w:ascii="Aptos" w:hAnsi="Aptos"/>
                <w:b w:val="0"/>
                <w:bCs w:val="0"/>
                <w:sz w:val="16"/>
                <w:szCs w:val="16"/>
              </w:rPr>
              <w:t>.</w:t>
            </w:r>
          </w:p>
        </w:tc>
        <w:tc>
          <w:tcPr>
            <w:tcW w:w="275" w:type="pct"/>
          </w:tcPr>
          <w:p w14:paraId="67487173" w14:textId="77777777" w:rsidR="007957D0" w:rsidRPr="00D518FF" w:rsidRDefault="007957D0" w:rsidP="00F614C8">
            <w:pPr>
              <w:pStyle w:val="Caption1"/>
              <w:spacing w:before="0" w:after="0"/>
              <w:rPr>
                <w:rFonts w:ascii="Aptos" w:hAnsi="Aptos"/>
                <w:b w:val="0"/>
                <w:bCs w:val="0"/>
                <w:sz w:val="16"/>
                <w:szCs w:val="16"/>
              </w:rPr>
            </w:pPr>
            <w:r>
              <w:rPr>
                <w:rFonts w:ascii="Aptos" w:hAnsi="Aptos"/>
                <w:b w:val="0"/>
                <w:bCs w:val="0"/>
                <w:sz w:val="16"/>
                <w:szCs w:val="16"/>
              </w:rPr>
              <w:t>Unclear risk</w:t>
            </w:r>
          </w:p>
        </w:tc>
      </w:tr>
    </w:tbl>
    <w:p w14:paraId="22F0E00F" w14:textId="5B909BF4" w:rsidR="004A5492" w:rsidRPr="00D518FF" w:rsidRDefault="004A5492" w:rsidP="004A5492">
      <w:pPr>
        <w:pStyle w:val="2024TABLEFOOTER"/>
        <w:spacing w:line="240" w:lineRule="auto"/>
        <w:rPr>
          <w:szCs w:val="16"/>
        </w:rPr>
      </w:pPr>
      <w:r w:rsidRPr="00D518FF">
        <w:rPr>
          <w:szCs w:val="16"/>
        </w:rPr>
        <w:t>Abbreviations:</w:t>
      </w:r>
      <w:r>
        <w:rPr>
          <w:szCs w:val="16"/>
        </w:rPr>
        <w:t xml:space="preserve"> </w:t>
      </w:r>
      <w:r w:rsidR="003D76A3" w:rsidRPr="00D518FF">
        <w:rPr>
          <w:szCs w:val="16"/>
        </w:rPr>
        <w:t>EMA</w:t>
      </w:r>
      <w:r w:rsidR="003D76A3">
        <w:rPr>
          <w:szCs w:val="16"/>
        </w:rPr>
        <w:t xml:space="preserve">=early morning awakening; </w:t>
      </w:r>
      <w:r w:rsidR="00D51C06" w:rsidRPr="00D518FF">
        <w:rPr>
          <w:szCs w:val="16"/>
        </w:rPr>
        <w:t>ESS</w:t>
      </w:r>
      <w:r w:rsidR="00D51C06">
        <w:rPr>
          <w:szCs w:val="16"/>
        </w:rPr>
        <w:t>=Epworth Sleepiness Scale; ISI=</w:t>
      </w:r>
      <w:r w:rsidR="00D51C06" w:rsidRPr="00D518FF">
        <w:rPr>
          <w:szCs w:val="16"/>
        </w:rPr>
        <w:t>Insomnia Severity Index</w:t>
      </w:r>
      <w:r w:rsidR="00D51C06">
        <w:rPr>
          <w:szCs w:val="16"/>
        </w:rPr>
        <w:t xml:space="preserve">; </w:t>
      </w:r>
      <w:r>
        <w:rPr>
          <w:szCs w:val="16"/>
        </w:rPr>
        <w:t xml:space="preserve">M=mean; MD=mean difference; NA=not applicable; </w:t>
      </w:r>
      <w:r w:rsidRPr="00D518FF">
        <w:rPr>
          <w:szCs w:val="16"/>
        </w:rPr>
        <w:t>NR=Not reporte</w:t>
      </w:r>
      <w:r>
        <w:rPr>
          <w:szCs w:val="16"/>
        </w:rPr>
        <w:t xml:space="preserve">d; </w:t>
      </w:r>
      <w:r w:rsidRPr="00D518FF">
        <w:rPr>
          <w:szCs w:val="16"/>
        </w:rPr>
        <w:t>PSQI</w:t>
      </w:r>
      <w:r>
        <w:rPr>
          <w:szCs w:val="16"/>
        </w:rPr>
        <w:t>=</w:t>
      </w:r>
      <w:r w:rsidR="00D51C06" w:rsidRPr="00D51C06">
        <w:rPr>
          <w:szCs w:val="16"/>
        </w:rPr>
        <w:t>Pittsburgh Sleep Quality Index</w:t>
      </w:r>
      <w:r w:rsidR="00D51C06">
        <w:rPr>
          <w:szCs w:val="16"/>
        </w:rPr>
        <w:t xml:space="preserve">; </w:t>
      </w:r>
      <w:r>
        <w:rPr>
          <w:szCs w:val="16"/>
        </w:rPr>
        <w:t xml:space="preserve">RR=relative risk; SMD=Standard mean difference; </w:t>
      </w:r>
      <w:r w:rsidR="003D76A3">
        <w:rPr>
          <w:szCs w:val="16"/>
        </w:rPr>
        <w:t>SOL=sleep onset latency;</w:t>
      </w:r>
    </w:p>
    <w:p w14:paraId="01313A68" w14:textId="77777777" w:rsidR="007957D0" w:rsidRPr="00D518FF" w:rsidRDefault="007957D0" w:rsidP="007957D0">
      <w:pPr>
        <w:pStyle w:val="2024TABLEFOOTER"/>
        <w:spacing w:line="240" w:lineRule="auto"/>
        <w:rPr>
          <w:szCs w:val="16"/>
        </w:rPr>
      </w:pPr>
    </w:p>
    <w:p w14:paraId="589A5184" w14:textId="77777777" w:rsidR="007957D0" w:rsidRPr="00D518FF" w:rsidRDefault="007957D0" w:rsidP="007957D0">
      <w:pPr>
        <w:pStyle w:val="2024TABLEFOOTER"/>
        <w:spacing w:line="240" w:lineRule="auto"/>
        <w:rPr>
          <w:szCs w:val="16"/>
        </w:rPr>
      </w:pPr>
      <w:r w:rsidRPr="00D518FF">
        <w:rPr>
          <w:szCs w:val="16"/>
        </w:rPr>
        <w:t>^Outcome domains identified as part of the Outcome Prioritisation Exercise:</w:t>
      </w:r>
    </w:p>
    <w:p w14:paraId="33361577" w14:textId="77777777" w:rsidR="007957D0" w:rsidRPr="00D518FF" w:rsidRDefault="007957D0" w:rsidP="007957D0">
      <w:pPr>
        <w:pStyle w:val="2024TABLEFOOTER"/>
        <w:numPr>
          <w:ilvl w:val="0"/>
          <w:numId w:val="14"/>
        </w:numPr>
        <w:spacing w:line="240" w:lineRule="auto"/>
        <w:rPr>
          <w:szCs w:val="16"/>
        </w:rPr>
      </w:pPr>
      <w:r w:rsidRPr="00D518FF">
        <w:rPr>
          <w:szCs w:val="16"/>
        </w:rPr>
        <w:t>Improvement in clinical levels of insomnia</w:t>
      </w:r>
    </w:p>
    <w:p w14:paraId="3CE2335F" w14:textId="77777777" w:rsidR="007957D0" w:rsidRPr="00D518FF" w:rsidRDefault="007957D0" w:rsidP="007957D0">
      <w:pPr>
        <w:pStyle w:val="2024TABLEFOOTER"/>
        <w:numPr>
          <w:ilvl w:val="0"/>
          <w:numId w:val="14"/>
        </w:numPr>
        <w:spacing w:line="240" w:lineRule="auto"/>
        <w:rPr>
          <w:szCs w:val="16"/>
        </w:rPr>
      </w:pPr>
      <w:r w:rsidRPr="00D518FF">
        <w:rPr>
          <w:szCs w:val="16"/>
        </w:rPr>
        <w:t>Global improvement in sleep quality or quantity (subjective)</w:t>
      </w:r>
    </w:p>
    <w:p w14:paraId="4CD9A5BE" w14:textId="77777777" w:rsidR="007957D0" w:rsidRPr="00D518FF" w:rsidRDefault="007957D0" w:rsidP="007957D0">
      <w:pPr>
        <w:pStyle w:val="2024TABLEFOOTER"/>
        <w:numPr>
          <w:ilvl w:val="0"/>
          <w:numId w:val="14"/>
        </w:numPr>
        <w:spacing w:line="240" w:lineRule="auto"/>
        <w:rPr>
          <w:szCs w:val="16"/>
        </w:rPr>
      </w:pPr>
      <w:r w:rsidRPr="00D518FF">
        <w:rPr>
          <w:szCs w:val="16"/>
        </w:rPr>
        <w:t>Global improvement in sleep quality or quantity (objective)</w:t>
      </w:r>
    </w:p>
    <w:p w14:paraId="54B848E2" w14:textId="77777777" w:rsidR="007957D0" w:rsidRPr="00D518FF" w:rsidRDefault="007957D0" w:rsidP="007957D0">
      <w:pPr>
        <w:pStyle w:val="2024TABLEFOOTER"/>
        <w:numPr>
          <w:ilvl w:val="0"/>
          <w:numId w:val="14"/>
        </w:numPr>
        <w:spacing w:line="240" w:lineRule="auto"/>
        <w:rPr>
          <w:szCs w:val="16"/>
        </w:rPr>
      </w:pPr>
      <w:r w:rsidRPr="00D518FF">
        <w:rPr>
          <w:szCs w:val="16"/>
        </w:rPr>
        <w:t>Improvement in individual sleep parameters (Sleep onset latency, Total sleep duration, Total wake</w:t>
      </w:r>
      <w:r w:rsidRPr="00D518FF">
        <w:rPr>
          <w:rFonts w:ascii="Cambria Math" w:hAnsi="Cambria Math" w:cs="Cambria Math"/>
          <w:szCs w:val="16"/>
        </w:rPr>
        <w:t>‐</w:t>
      </w:r>
      <w:r w:rsidRPr="00D518FF">
        <w:rPr>
          <w:szCs w:val="16"/>
        </w:rPr>
        <w:t>time, Wake after sleep onset (WASO), Nocturnal and early morning wakening, Sleep efficiency (ratio of time asleep to time in bed), parasomnias)</w:t>
      </w:r>
    </w:p>
    <w:p w14:paraId="3CD0DE4B" w14:textId="77777777" w:rsidR="007957D0" w:rsidRPr="00D518FF" w:rsidRDefault="007957D0" w:rsidP="007957D0">
      <w:pPr>
        <w:pStyle w:val="2024TABLEFOOTER"/>
        <w:numPr>
          <w:ilvl w:val="0"/>
          <w:numId w:val="14"/>
        </w:numPr>
        <w:spacing w:line="240" w:lineRule="auto"/>
        <w:rPr>
          <w:szCs w:val="16"/>
        </w:rPr>
      </w:pPr>
      <w:r w:rsidRPr="00D518FF">
        <w:rPr>
          <w:szCs w:val="16"/>
        </w:rPr>
        <w:t>Quality of life</w:t>
      </w:r>
    </w:p>
    <w:p w14:paraId="33ECB512" w14:textId="77777777" w:rsidR="007957D0" w:rsidRPr="00D518FF" w:rsidRDefault="007957D0" w:rsidP="007957D0">
      <w:pPr>
        <w:pStyle w:val="2024TABLEFOOTER"/>
        <w:numPr>
          <w:ilvl w:val="0"/>
          <w:numId w:val="14"/>
        </w:numPr>
        <w:spacing w:line="240" w:lineRule="auto"/>
        <w:rPr>
          <w:szCs w:val="16"/>
        </w:rPr>
      </w:pPr>
      <w:r w:rsidRPr="00D518FF">
        <w:rPr>
          <w:szCs w:val="16"/>
        </w:rPr>
        <w:t>Daytime functioning</w:t>
      </w:r>
    </w:p>
    <w:p w14:paraId="1AEB3481" w14:textId="77777777" w:rsidR="007957D0" w:rsidRPr="00D518FF" w:rsidRDefault="007957D0" w:rsidP="007957D0">
      <w:pPr>
        <w:pStyle w:val="2024TABLEFOOTER"/>
        <w:numPr>
          <w:ilvl w:val="0"/>
          <w:numId w:val="14"/>
        </w:numPr>
        <w:spacing w:line="240" w:lineRule="auto"/>
        <w:rPr>
          <w:szCs w:val="16"/>
        </w:rPr>
      </w:pPr>
      <w:r w:rsidRPr="00D518FF">
        <w:rPr>
          <w:szCs w:val="16"/>
        </w:rPr>
        <w:t>Fatigue</w:t>
      </w:r>
    </w:p>
    <w:p w14:paraId="4C49FED9" w14:textId="77777777" w:rsidR="007957D0" w:rsidRPr="00D518FF" w:rsidRDefault="007957D0" w:rsidP="007957D0">
      <w:pPr>
        <w:pStyle w:val="2024TABLEFOOTER"/>
        <w:spacing w:line="240" w:lineRule="auto"/>
        <w:ind w:left="720"/>
        <w:rPr>
          <w:rStyle w:val="Heading1Char"/>
          <w:rFonts w:ascii="Aptos" w:eastAsia="Calibri" w:hAnsi="Aptos" w:cs="Times New Roman"/>
          <w:b/>
          <w:bCs w:val="0"/>
          <w:color w:val="auto"/>
          <w:sz w:val="16"/>
          <w:szCs w:val="16"/>
        </w:rPr>
      </w:pPr>
    </w:p>
    <w:p w14:paraId="4E7BD42E" w14:textId="02D67A21" w:rsidR="009E4D3F" w:rsidRPr="00D518FF" w:rsidRDefault="00CC7C3B" w:rsidP="00CC7C3B">
      <w:pPr>
        <w:pStyle w:val="Caption"/>
        <w:rPr>
          <w:rFonts w:ascii="Aptos" w:hAnsi="Aptos"/>
          <w:sz w:val="14"/>
          <w:szCs w:val="14"/>
        </w:rPr>
      </w:pPr>
      <w:bookmarkStart w:id="189" w:name="_Toc185254577"/>
      <w:r w:rsidRPr="00F614C8">
        <w:rPr>
          <w:rFonts w:ascii="Aptos" w:hAnsi="Aptos"/>
        </w:rPr>
        <w:t xml:space="preserve">Table </w:t>
      </w:r>
      <w:r w:rsidR="003B0594" w:rsidRPr="00F614C8">
        <w:rPr>
          <w:rFonts w:ascii="Aptos" w:hAnsi="Aptos"/>
        </w:rPr>
        <w:fldChar w:fldCharType="begin" w:fldLock="1"/>
      </w:r>
      <w:r w:rsidR="003B0594" w:rsidRPr="00F614C8">
        <w:rPr>
          <w:rFonts w:ascii="Aptos" w:hAnsi="Aptos"/>
        </w:rPr>
        <w:instrText xml:space="preserve"> STYLEREF 1 \s </w:instrText>
      </w:r>
      <w:r w:rsidR="003B0594" w:rsidRPr="00F614C8">
        <w:rPr>
          <w:rFonts w:ascii="Aptos" w:hAnsi="Aptos"/>
        </w:rPr>
        <w:fldChar w:fldCharType="separate"/>
      </w:r>
      <w:r w:rsidR="003B0594" w:rsidRPr="00F614C8">
        <w:rPr>
          <w:rFonts w:ascii="Aptos" w:hAnsi="Aptos"/>
        </w:rPr>
        <w:t>E</w:t>
      </w:r>
      <w:r w:rsidR="003B0594"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5</w:t>
      </w:r>
      <w:r w:rsidR="003B0594" w:rsidRPr="00F614C8">
        <w:rPr>
          <w:rFonts w:ascii="Aptos" w:hAnsi="Aptos"/>
        </w:rPr>
        <w:fldChar w:fldCharType="end"/>
      </w:r>
      <w:r w:rsidR="009E4D3F" w:rsidRPr="00D518FF">
        <w:rPr>
          <w:rFonts w:ascii="Aptos" w:hAnsi="Aptos"/>
        </w:rPr>
        <w:t>. Results of included</w:t>
      </w:r>
      <w:r w:rsidR="00A95FDE">
        <w:rPr>
          <w:rFonts w:ascii="Aptos" w:hAnsi="Aptos"/>
        </w:rPr>
        <w:t xml:space="preserve"> (non-preferred)</w:t>
      </w:r>
      <w:r w:rsidR="009E4D3F" w:rsidRPr="00D518FF">
        <w:rPr>
          <w:rFonts w:ascii="Aptos" w:hAnsi="Aptos"/>
        </w:rPr>
        <w:t xml:space="preserve"> reviews by outcome domain – insomnia/sleeping disorders, magnesium</w:t>
      </w:r>
      <w:bookmarkEnd w:id="189"/>
    </w:p>
    <w:tbl>
      <w:tblPr>
        <w:tblStyle w:val="TableGrid"/>
        <w:tblW w:w="5000" w:type="pct"/>
        <w:tblLayout w:type="fixed"/>
        <w:tblCellMar>
          <w:top w:w="28" w:type="dxa"/>
          <w:left w:w="57" w:type="dxa"/>
          <w:bottom w:w="28" w:type="dxa"/>
          <w:right w:w="0" w:type="dxa"/>
        </w:tblCellMar>
        <w:tblLook w:val="04A0" w:firstRow="1" w:lastRow="0" w:firstColumn="1" w:lastColumn="0" w:noHBand="0" w:noVBand="1"/>
      </w:tblPr>
      <w:tblGrid>
        <w:gridCol w:w="646"/>
        <w:gridCol w:w="798"/>
        <w:gridCol w:w="909"/>
        <w:gridCol w:w="909"/>
        <w:gridCol w:w="1154"/>
        <w:gridCol w:w="1177"/>
        <w:gridCol w:w="997"/>
        <w:gridCol w:w="789"/>
        <w:gridCol w:w="838"/>
        <w:gridCol w:w="1094"/>
        <w:gridCol w:w="650"/>
        <w:gridCol w:w="997"/>
        <w:gridCol w:w="832"/>
        <w:gridCol w:w="832"/>
        <w:gridCol w:w="840"/>
        <w:gridCol w:w="783"/>
      </w:tblGrid>
      <w:tr w:rsidR="00945ED5" w:rsidRPr="00D518FF" w14:paraId="69FB42F2" w14:textId="41222CDE" w:rsidTr="004C6AA1">
        <w:trPr>
          <w:trHeight w:val="153"/>
        </w:trPr>
        <w:tc>
          <w:tcPr>
            <w:tcW w:w="227" w:type="pct"/>
            <w:vMerge w:val="restart"/>
            <w:shd w:val="clear" w:color="auto" w:fill="D9D9D9" w:themeFill="background1" w:themeFillShade="D9"/>
          </w:tcPr>
          <w:p w14:paraId="7F87B835" w14:textId="77777777" w:rsidR="00945ED5" w:rsidRPr="00D518FF" w:rsidRDefault="00945ED5" w:rsidP="00F614C8">
            <w:pPr>
              <w:pStyle w:val="2024TABLEHEADER"/>
              <w:spacing w:before="0" w:after="0" w:line="240" w:lineRule="auto"/>
              <w:rPr>
                <w:sz w:val="16"/>
                <w:szCs w:val="16"/>
              </w:rPr>
            </w:pPr>
            <w:r w:rsidRPr="00D518FF">
              <w:rPr>
                <w:sz w:val="16"/>
                <w:szCs w:val="16"/>
              </w:rPr>
              <w:t>Review ID</w:t>
            </w:r>
          </w:p>
        </w:tc>
        <w:tc>
          <w:tcPr>
            <w:tcW w:w="280" w:type="pct"/>
            <w:vMerge w:val="restart"/>
            <w:shd w:val="clear" w:color="auto" w:fill="D9D9D9" w:themeFill="background1" w:themeFillShade="D9"/>
          </w:tcPr>
          <w:p w14:paraId="14B2BEBF" w14:textId="77777777" w:rsidR="00945ED5" w:rsidRPr="00D518FF" w:rsidRDefault="00945ED5" w:rsidP="00F614C8">
            <w:pPr>
              <w:pStyle w:val="2024TABLEHEADER"/>
              <w:spacing w:before="0" w:after="0" w:line="240" w:lineRule="auto"/>
              <w:rPr>
                <w:sz w:val="16"/>
                <w:szCs w:val="16"/>
              </w:rPr>
            </w:pPr>
            <w:r w:rsidRPr="00D518FF">
              <w:rPr>
                <w:sz w:val="16"/>
                <w:szCs w:val="16"/>
              </w:rPr>
              <w:t>Outcome domain</w:t>
            </w:r>
          </w:p>
        </w:tc>
        <w:tc>
          <w:tcPr>
            <w:tcW w:w="319" w:type="pct"/>
            <w:vMerge w:val="restart"/>
            <w:shd w:val="clear" w:color="auto" w:fill="D9D9D9" w:themeFill="background1" w:themeFillShade="D9"/>
          </w:tcPr>
          <w:p w14:paraId="284C51AC" w14:textId="77777777" w:rsidR="00945ED5" w:rsidRPr="00D518FF" w:rsidRDefault="00945ED5" w:rsidP="00F614C8">
            <w:pPr>
              <w:pStyle w:val="2024TABLEHEADER"/>
              <w:spacing w:before="0" w:after="0" w:line="240" w:lineRule="auto"/>
              <w:rPr>
                <w:sz w:val="16"/>
                <w:szCs w:val="16"/>
              </w:rPr>
            </w:pPr>
            <w:r w:rsidRPr="00D518FF">
              <w:rPr>
                <w:sz w:val="16"/>
                <w:szCs w:val="16"/>
              </w:rPr>
              <w:t>Population group</w:t>
            </w:r>
          </w:p>
        </w:tc>
        <w:tc>
          <w:tcPr>
            <w:tcW w:w="319" w:type="pct"/>
            <w:vMerge w:val="restart"/>
            <w:shd w:val="clear" w:color="auto" w:fill="D9D9D9" w:themeFill="background1" w:themeFillShade="D9"/>
          </w:tcPr>
          <w:p w14:paraId="12E5F460" w14:textId="77777777" w:rsidR="00945ED5" w:rsidRPr="00D518FF" w:rsidRDefault="00945ED5" w:rsidP="00F614C8">
            <w:pPr>
              <w:pStyle w:val="2024TABLEHEADER"/>
              <w:spacing w:before="0" w:after="0" w:line="240" w:lineRule="auto"/>
              <w:rPr>
                <w:sz w:val="16"/>
                <w:szCs w:val="16"/>
              </w:rPr>
            </w:pPr>
            <w:r w:rsidRPr="00D518FF">
              <w:rPr>
                <w:sz w:val="16"/>
                <w:szCs w:val="16"/>
              </w:rPr>
              <w:t>Population details</w:t>
            </w:r>
          </w:p>
        </w:tc>
        <w:tc>
          <w:tcPr>
            <w:tcW w:w="405" w:type="pct"/>
            <w:vMerge w:val="restart"/>
            <w:shd w:val="clear" w:color="auto" w:fill="D9D9D9" w:themeFill="background1" w:themeFillShade="D9"/>
          </w:tcPr>
          <w:p w14:paraId="1ADCC5E4" w14:textId="77777777" w:rsidR="00945ED5" w:rsidRPr="00D518FF" w:rsidRDefault="00945ED5" w:rsidP="00F614C8">
            <w:pPr>
              <w:pStyle w:val="2024TABLEHEADER"/>
              <w:spacing w:before="0" w:after="0" w:line="240" w:lineRule="auto"/>
              <w:rPr>
                <w:sz w:val="16"/>
                <w:szCs w:val="16"/>
              </w:rPr>
            </w:pPr>
            <w:r w:rsidRPr="00D518FF">
              <w:rPr>
                <w:sz w:val="16"/>
                <w:szCs w:val="16"/>
              </w:rPr>
              <w:t>Type of comparison</w:t>
            </w:r>
          </w:p>
        </w:tc>
        <w:tc>
          <w:tcPr>
            <w:tcW w:w="413" w:type="pct"/>
            <w:vMerge w:val="restart"/>
            <w:shd w:val="clear" w:color="auto" w:fill="D9D9D9" w:themeFill="background1" w:themeFillShade="D9"/>
          </w:tcPr>
          <w:p w14:paraId="22A08C74" w14:textId="77777777" w:rsidR="00945ED5" w:rsidRPr="00D518FF" w:rsidRDefault="00945ED5" w:rsidP="00F614C8">
            <w:pPr>
              <w:pStyle w:val="2024TABLEHEADER"/>
              <w:spacing w:before="0" w:after="0" w:line="240" w:lineRule="auto"/>
              <w:rPr>
                <w:sz w:val="16"/>
                <w:szCs w:val="16"/>
              </w:rPr>
            </w:pPr>
            <w:r w:rsidRPr="00D518FF">
              <w:rPr>
                <w:sz w:val="16"/>
                <w:szCs w:val="16"/>
              </w:rPr>
              <w:t>Intervention description</w:t>
            </w:r>
          </w:p>
        </w:tc>
        <w:tc>
          <w:tcPr>
            <w:tcW w:w="350" w:type="pct"/>
            <w:vMerge w:val="restart"/>
            <w:shd w:val="clear" w:color="auto" w:fill="D9D9D9" w:themeFill="background1" w:themeFillShade="D9"/>
          </w:tcPr>
          <w:p w14:paraId="043902B4" w14:textId="77777777" w:rsidR="00945ED5" w:rsidRPr="00D518FF" w:rsidRDefault="00945ED5" w:rsidP="00F614C8">
            <w:pPr>
              <w:pStyle w:val="2024TABLEHEADER"/>
              <w:spacing w:before="0" w:after="0" w:line="240" w:lineRule="auto"/>
              <w:rPr>
                <w:sz w:val="16"/>
                <w:szCs w:val="16"/>
              </w:rPr>
            </w:pPr>
            <w:r w:rsidRPr="00D518FF">
              <w:rPr>
                <w:sz w:val="16"/>
                <w:szCs w:val="16"/>
              </w:rPr>
              <w:t>Comparator description</w:t>
            </w:r>
          </w:p>
        </w:tc>
        <w:tc>
          <w:tcPr>
            <w:tcW w:w="277" w:type="pct"/>
            <w:vMerge w:val="restart"/>
            <w:shd w:val="clear" w:color="auto" w:fill="D9D9D9" w:themeFill="background1" w:themeFillShade="D9"/>
          </w:tcPr>
          <w:p w14:paraId="1A296E96" w14:textId="77777777" w:rsidR="00945ED5" w:rsidRPr="00D518FF" w:rsidRDefault="00945ED5" w:rsidP="00F614C8">
            <w:pPr>
              <w:pStyle w:val="2024TABLEHEADER"/>
              <w:spacing w:before="0" w:after="0" w:line="240" w:lineRule="auto"/>
              <w:rPr>
                <w:sz w:val="16"/>
                <w:szCs w:val="16"/>
              </w:rPr>
            </w:pPr>
            <w:r w:rsidRPr="00D518FF">
              <w:rPr>
                <w:sz w:val="16"/>
                <w:szCs w:val="16"/>
              </w:rPr>
              <w:t>No/types of included studies</w:t>
            </w:r>
          </w:p>
        </w:tc>
        <w:tc>
          <w:tcPr>
            <w:tcW w:w="294" w:type="pct"/>
            <w:vMerge w:val="restart"/>
            <w:shd w:val="clear" w:color="auto" w:fill="D9D9D9" w:themeFill="background1" w:themeFillShade="D9"/>
          </w:tcPr>
          <w:p w14:paraId="42843700" w14:textId="77777777" w:rsidR="00945ED5" w:rsidRPr="00D518FF" w:rsidRDefault="00945ED5" w:rsidP="00F614C8">
            <w:pPr>
              <w:pStyle w:val="2024TABLEHEADER"/>
              <w:spacing w:before="0" w:after="0" w:line="240" w:lineRule="auto"/>
              <w:rPr>
                <w:sz w:val="16"/>
                <w:szCs w:val="16"/>
              </w:rPr>
            </w:pPr>
            <w:r w:rsidRPr="00D518FF">
              <w:rPr>
                <w:sz w:val="16"/>
                <w:szCs w:val="16"/>
              </w:rPr>
              <w:t>No of participants (total)</w:t>
            </w:r>
          </w:p>
        </w:tc>
        <w:tc>
          <w:tcPr>
            <w:tcW w:w="384" w:type="pct"/>
            <w:vMerge w:val="restart"/>
            <w:shd w:val="clear" w:color="auto" w:fill="D9D9D9" w:themeFill="background1" w:themeFillShade="D9"/>
          </w:tcPr>
          <w:p w14:paraId="653ED1EA" w14:textId="77777777" w:rsidR="00945ED5" w:rsidRPr="00D518FF" w:rsidRDefault="00945ED5" w:rsidP="00F614C8">
            <w:pPr>
              <w:pStyle w:val="2024TABLEHEADER"/>
              <w:spacing w:before="0" w:after="0" w:line="240" w:lineRule="auto"/>
              <w:rPr>
                <w:sz w:val="16"/>
                <w:szCs w:val="16"/>
              </w:rPr>
            </w:pPr>
            <w:r w:rsidRPr="00D518FF">
              <w:rPr>
                <w:sz w:val="16"/>
                <w:szCs w:val="16"/>
              </w:rPr>
              <w:t>Outcome measure(s) used</w:t>
            </w:r>
          </w:p>
        </w:tc>
        <w:tc>
          <w:tcPr>
            <w:tcW w:w="1457" w:type="pct"/>
            <w:gridSpan w:val="5"/>
            <w:shd w:val="clear" w:color="auto" w:fill="D9D9D9" w:themeFill="background1" w:themeFillShade="D9"/>
          </w:tcPr>
          <w:p w14:paraId="3607F2D2" w14:textId="6229D37E" w:rsidR="00945ED5" w:rsidRPr="00D518FF" w:rsidRDefault="00945ED5" w:rsidP="00F614C8">
            <w:pPr>
              <w:pStyle w:val="2024TABLEHEADER"/>
              <w:spacing w:before="0" w:after="0" w:line="240" w:lineRule="auto"/>
              <w:rPr>
                <w:sz w:val="16"/>
                <w:szCs w:val="16"/>
              </w:rPr>
            </w:pPr>
            <w:r w:rsidRPr="00D518FF">
              <w:rPr>
                <w:sz w:val="16"/>
                <w:szCs w:val="16"/>
              </w:rPr>
              <w:t>Results</w:t>
            </w:r>
          </w:p>
        </w:tc>
        <w:tc>
          <w:tcPr>
            <w:tcW w:w="275" w:type="pct"/>
            <w:vMerge w:val="restart"/>
            <w:shd w:val="clear" w:color="auto" w:fill="D9D9D9" w:themeFill="background1" w:themeFillShade="D9"/>
          </w:tcPr>
          <w:p w14:paraId="57200AFA" w14:textId="4FB751B1" w:rsidR="00945ED5" w:rsidRPr="00D518FF" w:rsidRDefault="00945ED5" w:rsidP="00F614C8">
            <w:pPr>
              <w:pStyle w:val="2024TABLEHEADER"/>
              <w:spacing w:before="0" w:after="0" w:line="240" w:lineRule="auto"/>
              <w:rPr>
                <w:sz w:val="16"/>
                <w:szCs w:val="16"/>
              </w:rPr>
            </w:pPr>
            <w:r>
              <w:rPr>
                <w:sz w:val="16"/>
                <w:szCs w:val="16"/>
              </w:rPr>
              <w:t>ROBIS assessment (for the review overall)</w:t>
            </w:r>
          </w:p>
        </w:tc>
      </w:tr>
      <w:tr w:rsidR="00945ED5" w:rsidRPr="00D518FF" w14:paraId="537F3249" w14:textId="24D18E13" w:rsidTr="004C6AA1">
        <w:trPr>
          <w:trHeight w:val="153"/>
        </w:trPr>
        <w:tc>
          <w:tcPr>
            <w:tcW w:w="227" w:type="pct"/>
            <w:vMerge/>
            <w:shd w:val="clear" w:color="auto" w:fill="D9D9D9" w:themeFill="background1" w:themeFillShade="D9"/>
          </w:tcPr>
          <w:p w14:paraId="674423E4" w14:textId="77777777" w:rsidR="00945ED5" w:rsidRPr="00D518FF" w:rsidRDefault="00945ED5" w:rsidP="00F614C8">
            <w:pPr>
              <w:pStyle w:val="2024TABLEHEADER"/>
              <w:spacing w:before="0" w:after="0" w:line="240" w:lineRule="auto"/>
              <w:rPr>
                <w:sz w:val="16"/>
                <w:szCs w:val="16"/>
              </w:rPr>
            </w:pPr>
          </w:p>
        </w:tc>
        <w:tc>
          <w:tcPr>
            <w:tcW w:w="280" w:type="pct"/>
            <w:vMerge/>
            <w:shd w:val="clear" w:color="auto" w:fill="D9D9D9" w:themeFill="background1" w:themeFillShade="D9"/>
          </w:tcPr>
          <w:p w14:paraId="3C21C3D6" w14:textId="77777777" w:rsidR="00945ED5" w:rsidRPr="00D518FF" w:rsidRDefault="00945ED5" w:rsidP="00F614C8">
            <w:pPr>
              <w:pStyle w:val="2024TABLEHEADER"/>
              <w:spacing w:before="0" w:after="0" w:line="240" w:lineRule="auto"/>
              <w:rPr>
                <w:sz w:val="16"/>
                <w:szCs w:val="16"/>
              </w:rPr>
            </w:pPr>
          </w:p>
        </w:tc>
        <w:tc>
          <w:tcPr>
            <w:tcW w:w="319" w:type="pct"/>
            <w:vMerge/>
            <w:shd w:val="clear" w:color="auto" w:fill="D9D9D9" w:themeFill="background1" w:themeFillShade="D9"/>
          </w:tcPr>
          <w:p w14:paraId="7662B2B2" w14:textId="77777777" w:rsidR="00945ED5" w:rsidRPr="00D518FF" w:rsidRDefault="00945ED5" w:rsidP="00F614C8">
            <w:pPr>
              <w:pStyle w:val="2024TABLEHEADER"/>
              <w:spacing w:before="0" w:after="0" w:line="240" w:lineRule="auto"/>
              <w:rPr>
                <w:sz w:val="16"/>
                <w:szCs w:val="16"/>
              </w:rPr>
            </w:pPr>
          </w:p>
        </w:tc>
        <w:tc>
          <w:tcPr>
            <w:tcW w:w="319" w:type="pct"/>
            <w:vMerge/>
            <w:shd w:val="clear" w:color="auto" w:fill="D9D9D9" w:themeFill="background1" w:themeFillShade="D9"/>
          </w:tcPr>
          <w:p w14:paraId="436E3B38" w14:textId="77777777" w:rsidR="00945ED5" w:rsidRPr="00D518FF" w:rsidRDefault="00945ED5" w:rsidP="00F614C8">
            <w:pPr>
              <w:pStyle w:val="2024TABLEHEADER"/>
              <w:spacing w:before="0" w:after="0" w:line="240" w:lineRule="auto"/>
              <w:rPr>
                <w:sz w:val="16"/>
                <w:szCs w:val="16"/>
              </w:rPr>
            </w:pPr>
          </w:p>
        </w:tc>
        <w:tc>
          <w:tcPr>
            <w:tcW w:w="405" w:type="pct"/>
            <w:vMerge/>
            <w:shd w:val="clear" w:color="auto" w:fill="D9D9D9" w:themeFill="background1" w:themeFillShade="D9"/>
          </w:tcPr>
          <w:p w14:paraId="76E2A40A" w14:textId="77777777" w:rsidR="00945ED5" w:rsidRPr="00D518FF" w:rsidRDefault="00945ED5" w:rsidP="00F614C8">
            <w:pPr>
              <w:pStyle w:val="2024TABLEHEADER"/>
              <w:spacing w:before="0" w:after="0" w:line="240" w:lineRule="auto"/>
              <w:rPr>
                <w:sz w:val="16"/>
                <w:szCs w:val="16"/>
              </w:rPr>
            </w:pPr>
          </w:p>
        </w:tc>
        <w:tc>
          <w:tcPr>
            <w:tcW w:w="413" w:type="pct"/>
            <w:vMerge/>
            <w:shd w:val="clear" w:color="auto" w:fill="D9D9D9" w:themeFill="background1" w:themeFillShade="D9"/>
          </w:tcPr>
          <w:p w14:paraId="6FBC0585" w14:textId="77777777" w:rsidR="00945ED5" w:rsidRPr="00D518FF" w:rsidRDefault="00945ED5" w:rsidP="00F614C8">
            <w:pPr>
              <w:pStyle w:val="2024TABLEHEADER"/>
              <w:spacing w:before="0" w:after="0" w:line="240" w:lineRule="auto"/>
              <w:rPr>
                <w:sz w:val="16"/>
                <w:szCs w:val="16"/>
              </w:rPr>
            </w:pPr>
          </w:p>
        </w:tc>
        <w:tc>
          <w:tcPr>
            <w:tcW w:w="350" w:type="pct"/>
            <w:vMerge/>
            <w:shd w:val="clear" w:color="auto" w:fill="D9D9D9" w:themeFill="background1" w:themeFillShade="D9"/>
          </w:tcPr>
          <w:p w14:paraId="1B2CC31E" w14:textId="77777777" w:rsidR="00945ED5" w:rsidRPr="00D518FF" w:rsidRDefault="00945ED5" w:rsidP="00F614C8">
            <w:pPr>
              <w:pStyle w:val="2024TABLEHEADER"/>
              <w:spacing w:before="0" w:after="0" w:line="240" w:lineRule="auto"/>
              <w:rPr>
                <w:sz w:val="16"/>
                <w:szCs w:val="16"/>
              </w:rPr>
            </w:pPr>
          </w:p>
        </w:tc>
        <w:tc>
          <w:tcPr>
            <w:tcW w:w="277" w:type="pct"/>
            <w:vMerge/>
            <w:shd w:val="clear" w:color="auto" w:fill="D9D9D9" w:themeFill="background1" w:themeFillShade="D9"/>
          </w:tcPr>
          <w:p w14:paraId="1F461CDC" w14:textId="77777777" w:rsidR="00945ED5" w:rsidRPr="00D518FF" w:rsidRDefault="00945ED5" w:rsidP="00F614C8">
            <w:pPr>
              <w:pStyle w:val="2024TABLEHEADER"/>
              <w:spacing w:before="0" w:after="0" w:line="240" w:lineRule="auto"/>
              <w:rPr>
                <w:sz w:val="16"/>
                <w:szCs w:val="16"/>
              </w:rPr>
            </w:pPr>
          </w:p>
        </w:tc>
        <w:tc>
          <w:tcPr>
            <w:tcW w:w="294" w:type="pct"/>
            <w:vMerge/>
            <w:shd w:val="clear" w:color="auto" w:fill="D9D9D9" w:themeFill="background1" w:themeFillShade="D9"/>
          </w:tcPr>
          <w:p w14:paraId="5FCDD7EC" w14:textId="77777777" w:rsidR="00945ED5" w:rsidRPr="00D518FF" w:rsidRDefault="00945ED5" w:rsidP="00F614C8">
            <w:pPr>
              <w:pStyle w:val="2024TABLEHEADER"/>
              <w:spacing w:before="0" w:after="0" w:line="240" w:lineRule="auto"/>
              <w:rPr>
                <w:sz w:val="16"/>
                <w:szCs w:val="16"/>
              </w:rPr>
            </w:pPr>
          </w:p>
        </w:tc>
        <w:tc>
          <w:tcPr>
            <w:tcW w:w="384" w:type="pct"/>
            <w:vMerge/>
            <w:shd w:val="clear" w:color="auto" w:fill="D9D9D9" w:themeFill="background1" w:themeFillShade="D9"/>
          </w:tcPr>
          <w:p w14:paraId="76E154D1" w14:textId="77777777" w:rsidR="00945ED5" w:rsidRPr="00D518FF" w:rsidRDefault="00945ED5" w:rsidP="00F614C8">
            <w:pPr>
              <w:pStyle w:val="2024TABLEHEADER"/>
              <w:spacing w:before="0" w:after="0" w:line="240" w:lineRule="auto"/>
              <w:rPr>
                <w:sz w:val="16"/>
                <w:szCs w:val="16"/>
              </w:rPr>
            </w:pPr>
          </w:p>
        </w:tc>
        <w:tc>
          <w:tcPr>
            <w:tcW w:w="578" w:type="pct"/>
            <w:gridSpan w:val="2"/>
            <w:shd w:val="clear" w:color="auto" w:fill="D9D9D9" w:themeFill="background1" w:themeFillShade="D9"/>
          </w:tcPr>
          <w:p w14:paraId="3D7FDF32" w14:textId="463E5021" w:rsidR="00945ED5" w:rsidRPr="00D518FF" w:rsidRDefault="00945ED5" w:rsidP="00F614C8">
            <w:pPr>
              <w:pStyle w:val="2024TABLEHEADER"/>
              <w:spacing w:before="0" w:after="0" w:line="240" w:lineRule="auto"/>
              <w:rPr>
                <w:sz w:val="16"/>
                <w:szCs w:val="16"/>
              </w:rPr>
            </w:pPr>
            <w:r w:rsidRPr="00D518FF">
              <w:rPr>
                <w:sz w:val="16"/>
                <w:szCs w:val="16"/>
              </w:rPr>
              <w:t>Results - absolute effects</w:t>
            </w:r>
          </w:p>
        </w:tc>
        <w:tc>
          <w:tcPr>
            <w:tcW w:w="292" w:type="pct"/>
            <w:vMerge w:val="restart"/>
            <w:shd w:val="clear" w:color="auto" w:fill="D9D9D9" w:themeFill="background1" w:themeFillShade="D9"/>
          </w:tcPr>
          <w:p w14:paraId="6DA25202" w14:textId="6E857161" w:rsidR="00945ED5" w:rsidRPr="00D518FF" w:rsidRDefault="00945ED5" w:rsidP="00F614C8">
            <w:pPr>
              <w:pStyle w:val="2024TABLEHEADER"/>
              <w:spacing w:before="0" w:after="0" w:line="240" w:lineRule="auto"/>
              <w:rPr>
                <w:sz w:val="16"/>
                <w:szCs w:val="16"/>
              </w:rPr>
            </w:pPr>
            <w:r w:rsidRPr="00D518FF">
              <w:rPr>
                <w:sz w:val="16"/>
                <w:szCs w:val="16"/>
              </w:rPr>
              <w:t>Relative effect (95% CI)</w:t>
            </w:r>
          </w:p>
        </w:tc>
        <w:tc>
          <w:tcPr>
            <w:tcW w:w="292" w:type="pct"/>
            <w:vMerge w:val="restart"/>
            <w:shd w:val="clear" w:color="auto" w:fill="D9D9D9" w:themeFill="background1" w:themeFillShade="D9"/>
          </w:tcPr>
          <w:p w14:paraId="0731168F" w14:textId="255C5694" w:rsidR="00945ED5" w:rsidRPr="00D518FF" w:rsidRDefault="00945ED5" w:rsidP="00F614C8">
            <w:pPr>
              <w:pStyle w:val="2024TABLEHEADER"/>
              <w:spacing w:before="0" w:after="0" w:line="240" w:lineRule="auto"/>
              <w:rPr>
                <w:sz w:val="16"/>
                <w:szCs w:val="16"/>
              </w:rPr>
            </w:pPr>
            <w:r w:rsidRPr="00D518FF">
              <w:rPr>
                <w:sz w:val="16"/>
                <w:szCs w:val="16"/>
              </w:rPr>
              <w:t>Other reported results</w:t>
            </w:r>
          </w:p>
        </w:tc>
        <w:tc>
          <w:tcPr>
            <w:tcW w:w="295" w:type="pct"/>
            <w:vMerge w:val="restart"/>
            <w:shd w:val="clear" w:color="auto" w:fill="D9D9D9" w:themeFill="background1" w:themeFillShade="D9"/>
          </w:tcPr>
          <w:p w14:paraId="013B1AC9" w14:textId="154C9F4D" w:rsidR="00945ED5" w:rsidRPr="00D518FF" w:rsidRDefault="00945ED5" w:rsidP="00F614C8">
            <w:pPr>
              <w:pStyle w:val="2024TABLEHEADER"/>
              <w:spacing w:before="0" w:after="0" w:line="240" w:lineRule="auto"/>
              <w:rPr>
                <w:sz w:val="16"/>
                <w:szCs w:val="16"/>
              </w:rPr>
            </w:pPr>
            <w:r>
              <w:rPr>
                <w:sz w:val="16"/>
                <w:szCs w:val="16"/>
              </w:rPr>
              <w:t>Risk of bias</w:t>
            </w:r>
            <w:r w:rsidRPr="00D518FF">
              <w:rPr>
                <w:sz w:val="16"/>
                <w:szCs w:val="16"/>
              </w:rPr>
              <w:t xml:space="preserve"> s</w:t>
            </w:r>
            <w:r>
              <w:rPr>
                <w:sz w:val="16"/>
                <w:szCs w:val="16"/>
              </w:rPr>
              <w:t>ummary (primary studies)</w:t>
            </w:r>
          </w:p>
        </w:tc>
        <w:tc>
          <w:tcPr>
            <w:tcW w:w="275" w:type="pct"/>
            <w:vMerge/>
            <w:shd w:val="clear" w:color="auto" w:fill="D9D9D9" w:themeFill="background1" w:themeFillShade="D9"/>
          </w:tcPr>
          <w:p w14:paraId="16442B5F" w14:textId="77777777" w:rsidR="00945ED5" w:rsidRPr="00D518FF" w:rsidRDefault="00945ED5" w:rsidP="00F614C8">
            <w:pPr>
              <w:pStyle w:val="2024TABLEHEADER"/>
              <w:spacing w:before="0" w:after="0" w:line="240" w:lineRule="auto"/>
              <w:rPr>
                <w:sz w:val="16"/>
                <w:szCs w:val="16"/>
              </w:rPr>
            </w:pPr>
          </w:p>
        </w:tc>
      </w:tr>
      <w:tr w:rsidR="00945ED5" w:rsidRPr="00D518FF" w14:paraId="6C86E237" w14:textId="6E1647D3" w:rsidTr="004C6AA1">
        <w:trPr>
          <w:trHeight w:val="153"/>
        </w:trPr>
        <w:tc>
          <w:tcPr>
            <w:tcW w:w="227" w:type="pct"/>
            <w:vMerge/>
            <w:shd w:val="clear" w:color="auto" w:fill="F2F2F2" w:themeFill="background1" w:themeFillShade="F2"/>
          </w:tcPr>
          <w:p w14:paraId="51B90D3C" w14:textId="77777777" w:rsidR="00945ED5" w:rsidRPr="00D518FF" w:rsidRDefault="00945ED5" w:rsidP="00F614C8">
            <w:pPr>
              <w:pStyle w:val="2024TABLEHEADER"/>
              <w:spacing w:before="0" w:after="0" w:line="240" w:lineRule="auto"/>
              <w:rPr>
                <w:sz w:val="16"/>
                <w:szCs w:val="16"/>
              </w:rPr>
            </w:pPr>
          </w:p>
        </w:tc>
        <w:tc>
          <w:tcPr>
            <w:tcW w:w="280" w:type="pct"/>
            <w:vMerge/>
            <w:shd w:val="clear" w:color="auto" w:fill="F2F2F2" w:themeFill="background1" w:themeFillShade="F2"/>
          </w:tcPr>
          <w:p w14:paraId="433D9F9F" w14:textId="77777777" w:rsidR="00945ED5" w:rsidRPr="00D518FF" w:rsidRDefault="00945ED5" w:rsidP="00F614C8">
            <w:pPr>
              <w:pStyle w:val="2024TABLEHEADER"/>
              <w:spacing w:before="0" w:after="0" w:line="240" w:lineRule="auto"/>
              <w:rPr>
                <w:sz w:val="16"/>
                <w:szCs w:val="16"/>
              </w:rPr>
            </w:pPr>
          </w:p>
        </w:tc>
        <w:tc>
          <w:tcPr>
            <w:tcW w:w="319" w:type="pct"/>
            <w:vMerge/>
            <w:shd w:val="clear" w:color="auto" w:fill="F2F2F2" w:themeFill="background1" w:themeFillShade="F2"/>
          </w:tcPr>
          <w:p w14:paraId="2E217506" w14:textId="77777777" w:rsidR="00945ED5" w:rsidRPr="00D518FF" w:rsidRDefault="00945ED5" w:rsidP="00F614C8">
            <w:pPr>
              <w:pStyle w:val="2024TABLEHEADER"/>
              <w:spacing w:before="0" w:after="0" w:line="240" w:lineRule="auto"/>
              <w:rPr>
                <w:sz w:val="16"/>
                <w:szCs w:val="16"/>
              </w:rPr>
            </w:pPr>
          </w:p>
        </w:tc>
        <w:tc>
          <w:tcPr>
            <w:tcW w:w="319" w:type="pct"/>
            <w:vMerge/>
            <w:shd w:val="clear" w:color="auto" w:fill="F2F2F2" w:themeFill="background1" w:themeFillShade="F2"/>
          </w:tcPr>
          <w:p w14:paraId="54932DFC" w14:textId="77777777" w:rsidR="00945ED5" w:rsidRPr="00D518FF" w:rsidRDefault="00945ED5" w:rsidP="00F614C8">
            <w:pPr>
              <w:pStyle w:val="2024TABLEHEADER"/>
              <w:spacing w:before="0" w:after="0" w:line="240" w:lineRule="auto"/>
              <w:rPr>
                <w:sz w:val="16"/>
                <w:szCs w:val="16"/>
              </w:rPr>
            </w:pPr>
          </w:p>
        </w:tc>
        <w:tc>
          <w:tcPr>
            <w:tcW w:w="405" w:type="pct"/>
            <w:vMerge/>
            <w:shd w:val="clear" w:color="auto" w:fill="F2F2F2" w:themeFill="background1" w:themeFillShade="F2"/>
          </w:tcPr>
          <w:p w14:paraId="2D580F57" w14:textId="77777777" w:rsidR="00945ED5" w:rsidRPr="00D518FF" w:rsidRDefault="00945ED5" w:rsidP="00F614C8">
            <w:pPr>
              <w:pStyle w:val="2024TABLEHEADER"/>
              <w:spacing w:before="0" w:after="0" w:line="240" w:lineRule="auto"/>
              <w:rPr>
                <w:sz w:val="16"/>
                <w:szCs w:val="16"/>
              </w:rPr>
            </w:pPr>
          </w:p>
        </w:tc>
        <w:tc>
          <w:tcPr>
            <w:tcW w:w="413" w:type="pct"/>
            <w:vMerge/>
            <w:shd w:val="clear" w:color="auto" w:fill="F2F2F2" w:themeFill="background1" w:themeFillShade="F2"/>
          </w:tcPr>
          <w:p w14:paraId="26513A93" w14:textId="77777777" w:rsidR="00945ED5" w:rsidRPr="00D518FF" w:rsidRDefault="00945ED5" w:rsidP="00F614C8">
            <w:pPr>
              <w:pStyle w:val="2024TABLEHEADER"/>
              <w:spacing w:before="0" w:after="0" w:line="240" w:lineRule="auto"/>
              <w:rPr>
                <w:sz w:val="16"/>
                <w:szCs w:val="16"/>
              </w:rPr>
            </w:pPr>
          </w:p>
        </w:tc>
        <w:tc>
          <w:tcPr>
            <w:tcW w:w="350" w:type="pct"/>
            <w:vMerge/>
            <w:shd w:val="clear" w:color="auto" w:fill="F2F2F2" w:themeFill="background1" w:themeFillShade="F2"/>
          </w:tcPr>
          <w:p w14:paraId="1540D533" w14:textId="77777777" w:rsidR="00945ED5" w:rsidRPr="00D518FF" w:rsidRDefault="00945ED5" w:rsidP="00F614C8">
            <w:pPr>
              <w:pStyle w:val="2024TABLEHEADER"/>
              <w:spacing w:before="0" w:after="0" w:line="240" w:lineRule="auto"/>
              <w:rPr>
                <w:sz w:val="16"/>
                <w:szCs w:val="16"/>
              </w:rPr>
            </w:pPr>
          </w:p>
        </w:tc>
        <w:tc>
          <w:tcPr>
            <w:tcW w:w="277" w:type="pct"/>
            <w:vMerge/>
            <w:shd w:val="clear" w:color="auto" w:fill="F2F2F2" w:themeFill="background1" w:themeFillShade="F2"/>
          </w:tcPr>
          <w:p w14:paraId="733FB70D" w14:textId="77777777" w:rsidR="00945ED5" w:rsidRPr="00D518FF" w:rsidRDefault="00945ED5" w:rsidP="00F614C8">
            <w:pPr>
              <w:pStyle w:val="2024TABLEHEADER"/>
              <w:spacing w:before="0" w:after="0" w:line="240" w:lineRule="auto"/>
              <w:rPr>
                <w:sz w:val="16"/>
                <w:szCs w:val="16"/>
              </w:rPr>
            </w:pPr>
          </w:p>
        </w:tc>
        <w:tc>
          <w:tcPr>
            <w:tcW w:w="294" w:type="pct"/>
            <w:vMerge/>
            <w:shd w:val="clear" w:color="auto" w:fill="F2F2F2" w:themeFill="background1" w:themeFillShade="F2"/>
          </w:tcPr>
          <w:p w14:paraId="6E5E7065" w14:textId="77777777" w:rsidR="00945ED5" w:rsidRPr="00D518FF" w:rsidRDefault="00945ED5" w:rsidP="00F614C8">
            <w:pPr>
              <w:pStyle w:val="2024TABLEHEADER"/>
              <w:spacing w:before="0" w:after="0" w:line="240" w:lineRule="auto"/>
              <w:rPr>
                <w:sz w:val="16"/>
                <w:szCs w:val="16"/>
              </w:rPr>
            </w:pPr>
          </w:p>
        </w:tc>
        <w:tc>
          <w:tcPr>
            <w:tcW w:w="384" w:type="pct"/>
            <w:vMerge/>
            <w:shd w:val="clear" w:color="auto" w:fill="F2F2F2" w:themeFill="background1" w:themeFillShade="F2"/>
          </w:tcPr>
          <w:p w14:paraId="380ACA81" w14:textId="77777777" w:rsidR="00945ED5" w:rsidRPr="00D518FF" w:rsidRDefault="00945ED5" w:rsidP="00F614C8">
            <w:pPr>
              <w:pStyle w:val="2024TABLEHEADER"/>
              <w:spacing w:before="0" w:after="0" w:line="240" w:lineRule="auto"/>
              <w:rPr>
                <w:sz w:val="16"/>
                <w:szCs w:val="16"/>
              </w:rPr>
            </w:pPr>
          </w:p>
        </w:tc>
        <w:tc>
          <w:tcPr>
            <w:tcW w:w="228" w:type="pct"/>
            <w:shd w:val="clear" w:color="auto" w:fill="D9D9D9" w:themeFill="background1" w:themeFillShade="D9"/>
          </w:tcPr>
          <w:p w14:paraId="11077B6D" w14:textId="77777777" w:rsidR="00945ED5" w:rsidRPr="00D518FF" w:rsidRDefault="00945ED5" w:rsidP="00F614C8">
            <w:pPr>
              <w:pStyle w:val="2024TABLEHEADER"/>
              <w:spacing w:before="0" w:after="0" w:line="240" w:lineRule="auto"/>
              <w:rPr>
                <w:sz w:val="16"/>
                <w:szCs w:val="16"/>
              </w:rPr>
            </w:pPr>
            <w:r w:rsidRPr="00D518FF">
              <w:rPr>
                <w:sz w:val="16"/>
                <w:szCs w:val="16"/>
              </w:rPr>
              <w:t xml:space="preserve">Risk with control </w:t>
            </w:r>
          </w:p>
        </w:tc>
        <w:tc>
          <w:tcPr>
            <w:tcW w:w="350" w:type="pct"/>
            <w:shd w:val="clear" w:color="auto" w:fill="D9D9D9" w:themeFill="background1" w:themeFillShade="D9"/>
          </w:tcPr>
          <w:p w14:paraId="6716BFCA" w14:textId="77777777" w:rsidR="00945ED5" w:rsidRPr="00D518FF" w:rsidRDefault="00945ED5" w:rsidP="00F614C8">
            <w:pPr>
              <w:pStyle w:val="2024TABLEHEADER"/>
              <w:spacing w:before="0" w:after="0" w:line="240" w:lineRule="auto"/>
              <w:rPr>
                <w:sz w:val="16"/>
                <w:szCs w:val="16"/>
              </w:rPr>
            </w:pPr>
            <w:r w:rsidRPr="00D518FF">
              <w:rPr>
                <w:sz w:val="16"/>
                <w:szCs w:val="16"/>
              </w:rPr>
              <w:t>Risk with intervention</w:t>
            </w:r>
          </w:p>
        </w:tc>
        <w:tc>
          <w:tcPr>
            <w:tcW w:w="292" w:type="pct"/>
            <w:vMerge/>
            <w:shd w:val="clear" w:color="auto" w:fill="F2F2F2" w:themeFill="background1" w:themeFillShade="F2"/>
          </w:tcPr>
          <w:p w14:paraId="6EC89540" w14:textId="77777777" w:rsidR="00945ED5" w:rsidRPr="00D518FF" w:rsidRDefault="00945ED5" w:rsidP="00F614C8">
            <w:pPr>
              <w:pStyle w:val="2024TABLEHEADER"/>
              <w:spacing w:before="0" w:after="0" w:line="240" w:lineRule="auto"/>
              <w:rPr>
                <w:sz w:val="16"/>
                <w:szCs w:val="16"/>
              </w:rPr>
            </w:pPr>
          </w:p>
        </w:tc>
        <w:tc>
          <w:tcPr>
            <w:tcW w:w="292" w:type="pct"/>
            <w:vMerge/>
            <w:shd w:val="clear" w:color="auto" w:fill="F2F2F2" w:themeFill="background1" w:themeFillShade="F2"/>
          </w:tcPr>
          <w:p w14:paraId="2012B588" w14:textId="77777777" w:rsidR="00945ED5" w:rsidRPr="00D518FF" w:rsidRDefault="00945ED5" w:rsidP="00F614C8">
            <w:pPr>
              <w:pStyle w:val="2024TABLEHEADER"/>
              <w:spacing w:before="0" w:after="0" w:line="240" w:lineRule="auto"/>
              <w:rPr>
                <w:sz w:val="16"/>
                <w:szCs w:val="16"/>
              </w:rPr>
            </w:pPr>
          </w:p>
        </w:tc>
        <w:tc>
          <w:tcPr>
            <w:tcW w:w="295" w:type="pct"/>
            <w:vMerge/>
            <w:shd w:val="clear" w:color="auto" w:fill="F2F2F2" w:themeFill="background1" w:themeFillShade="F2"/>
          </w:tcPr>
          <w:p w14:paraId="08CAF0DC" w14:textId="77777777" w:rsidR="00945ED5" w:rsidRPr="00D518FF" w:rsidRDefault="00945ED5" w:rsidP="00F614C8">
            <w:pPr>
              <w:pStyle w:val="2024TABLEHEADER"/>
              <w:spacing w:before="0" w:after="0" w:line="240" w:lineRule="auto"/>
              <w:rPr>
                <w:sz w:val="16"/>
                <w:szCs w:val="16"/>
              </w:rPr>
            </w:pPr>
          </w:p>
        </w:tc>
        <w:tc>
          <w:tcPr>
            <w:tcW w:w="275" w:type="pct"/>
            <w:vMerge/>
            <w:shd w:val="clear" w:color="auto" w:fill="F2F2F2" w:themeFill="background1" w:themeFillShade="F2"/>
          </w:tcPr>
          <w:p w14:paraId="67CE5B2B" w14:textId="77777777" w:rsidR="00945ED5" w:rsidRPr="00D518FF" w:rsidRDefault="00945ED5" w:rsidP="00F614C8">
            <w:pPr>
              <w:pStyle w:val="2024TABLEHEADER"/>
              <w:spacing w:before="0" w:after="0" w:line="240" w:lineRule="auto"/>
              <w:rPr>
                <w:sz w:val="16"/>
                <w:szCs w:val="16"/>
              </w:rPr>
            </w:pPr>
          </w:p>
        </w:tc>
      </w:tr>
      <w:tr w:rsidR="003E164C" w:rsidRPr="00D518FF" w14:paraId="3CC36017" w14:textId="0B426708" w:rsidTr="004C6AA1">
        <w:trPr>
          <w:trHeight w:val="323"/>
        </w:trPr>
        <w:tc>
          <w:tcPr>
            <w:tcW w:w="227" w:type="pct"/>
          </w:tcPr>
          <w:p w14:paraId="0DA13DF6"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lastRenderedPageBreak/>
              <w:t>Chan 2021</w:t>
            </w:r>
          </w:p>
        </w:tc>
        <w:tc>
          <w:tcPr>
            <w:tcW w:w="280" w:type="pct"/>
          </w:tcPr>
          <w:p w14:paraId="7DD2C215"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319" w:type="pct"/>
          </w:tcPr>
          <w:p w14:paraId="196C96EB" w14:textId="15FECA3C" w:rsidR="00DE7978" w:rsidRPr="00D518FF" w:rsidRDefault="00DE7978" w:rsidP="00F614C8">
            <w:pPr>
              <w:pStyle w:val="Caption1"/>
              <w:spacing w:before="0" w:after="0"/>
              <w:rPr>
                <w:rFonts w:ascii="Aptos" w:hAnsi="Aptos"/>
                <w:b w:val="0"/>
                <w:bCs w:val="0"/>
                <w:sz w:val="16"/>
                <w:szCs w:val="16"/>
              </w:rPr>
            </w:pPr>
            <w:r>
              <w:rPr>
                <w:rFonts w:ascii="Aptos" w:hAnsi="Aptos"/>
                <w:b w:val="0"/>
                <w:bCs w:val="0"/>
                <w:sz w:val="16"/>
                <w:szCs w:val="16"/>
              </w:rPr>
              <w:t>At-risk of condition</w:t>
            </w:r>
          </w:p>
        </w:tc>
        <w:tc>
          <w:tcPr>
            <w:tcW w:w="319" w:type="pct"/>
          </w:tcPr>
          <w:p w14:paraId="75E66F70"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 xml:space="preserve">Adults with poor sleep quality </w:t>
            </w:r>
          </w:p>
        </w:tc>
        <w:tc>
          <w:tcPr>
            <w:tcW w:w="405" w:type="pct"/>
          </w:tcPr>
          <w:p w14:paraId="244E1320"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Eligible supplement VS inactive control</w:t>
            </w:r>
          </w:p>
        </w:tc>
        <w:tc>
          <w:tcPr>
            <w:tcW w:w="413" w:type="pct"/>
          </w:tcPr>
          <w:p w14:paraId="62407AA1"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 xml:space="preserve">320 mg/day magnesium citrate </w:t>
            </w:r>
          </w:p>
        </w:tc>
        <w:tc>
          <w:tcPr>
            <w:tcW w:w="350" w:type="pct"/>
          </w:tcPr>
          <w:p w14:paraId="5EAD61AE"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 xml:space="preserve">Sodium citrate </w:t>
            </w:r>
          </w:p>
        </w:tc>
        <w:tc>
          <w:tcPr>
            <w:tcW w:w="277" w:type="pct"/>
          </w:tcPr>
          <w:p w14:paraId="3C893F55"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784F61AA"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100</w:t>
            </w:r>
          </w:p>
        </w:tc>
        <w:tc>
          <w:tcPr>
            <w:tcW w:w="384" w:type="pct"/>
          </w:tcPr>
          <w:p w14:paraId="1862A308"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PSQI</w:t>
            </w:r>
          </w:p>
        </w:tc>
        <w:tc>
          <w:tcPr>
            <w:tcW w:w="228" w:type="pct"/>
          </w:tcPr>
          <w:p w14:paraId="1B152F84"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16CCAAFB"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44C8125C" w14:textId="77777777" w:rsidR="00DE7978" w:rsidRPr="00D518FF" w:rsidRDefault="00DE7978"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4A752F95" w14:textId="5EC11142" w:rsidR="00DE7978" w:rsidRPr="00D518FF" w:rsidRDefault="00DE7978" w:rsidP="00F614C8">
            <w:pPr>
              <w:pStyle w:val="Caption1"/>
              <w:spacing w:before="0" w:after="0"/>
              <w:rPr>
                <w:rFonts w:ascii="Aptos" w:hAnsi="Aptos"/>
                <w:b w:val="0"/>
                <w:bCs w:val="0"/>
                <w:sz w:val="16"/>
                <w:szCs w:val="16"/>
              </w:rPr>
            </w:pPr>
            <w:r>
              <w:rPr>
                <w:rFonts w:ascii="Aptos" w:hAnsi="Aptos"/>
                <w:b w:val="0"/>
                <w:bCs w:val="0"/>
                <w:sz w:val="16"/>
                <w:szCs w:val="16"/>
              </w:rPr>
              <w:t>S</w:t>
            </w:r>
            <w:r w:rsidRPr="00D518FF">
              <w:rPr>
                <w:rFonts w:ascii="Aptos" w:hAnsi="Aptos"/>
                <w:b w:val="0"/>
                <w:bCs w:val="0"/>
                <w:sz w:val="16"/>
                <w:szCs w:val="16"/>
              </w:rPr>
              <w:t>ignificant reduction in PSQI values in both groups and there was no significant difference between two groups</w:t>
            </w:r>
          </w:p>
        </w:tc>
        <w:tc>
          <w:tcPr>
            <w:tcW w:w="295" w:type="pct"/>
          </w:tcPr>
          <w:p w14:paraId="0CAF5102" w14:textId="42B7CF25" w:rsidR="00DE7978" w:rsidRPr="00D518FF" w:rsidRDefault="00945ED5" w:rsidP="00F614C8">
            <w:pPr>
              <w:pStyle w:val="Caption1"/>
              <w:spacing w:before="0" w:after="0"/>
              <w:rPr>
                <w:rFonts w:ascii="Aptos" w:hAnsi="Aptos"/>
                <w:b w:val="0"/>
                <w:bCs w:val="0"/>
                <w:sz w:val="16"/>
                <w:szCs w:val="16"/>
              </w:rPr>
            </w:pPr>
            <w:r>
              <w:rPr>
                <w:rFonts w:ascii="Aptos" w:hAnsi="Aptos"/>
                <w:b w:val="0"/>
                <w:bCs w:val="0"/>
                <w:sz w:val="16"/>
                <w:szCs w:val="16"/>
              </w:rPr>
              <w:t>NA</w:t>
            </w:r>
          </w:p>
        </w:tc>
        <w:tc>
          <w:tcPr>
            <w:tcW w:w="275" w:type="pct"/>
          </w:tcPr>
          <w:p w14:paraId="0D774360" w14:textId="5D3817B0" w:rsidR="00DE7978" w:rsidRPr="00D518FF" w:rsidRDefault="00DE7978" w:rsidP="00F614C8">
            <w:pPr>
              <w:pStyle w:val="Caption1"/>
              <w:spacing w:before="0" w:after="0"/>
              <w:rPr>
                <w:rFonts w:ascii="Aptos" w:hAnsi="Aptos"/>
                <w:b w:val="0"/>
                <w:bCs w:val="0"/>
                <w:sz w:val="16"/>
                <w:szCs w:val="16"/>
              </w:rPr>
            </w:pPr>
            <w:r>
              <w:rPr>
                <w:rFonts w:ascii="Aptos" w:hAnsi="Aptos"/>
                <w:b w:val="0"/>
                <w:bCs w:val="0"/>
                <w:sz w:val="16"/>
                <w:szCs w:val="16"/>
              </w:rPr>
              <w:t>High risk</w:t>
            </w:r>
          </w:p>
        </w:tc>
      </w:tr>
      <w:tr w:rsidR="00945ED5" w:rsidRPr="00D518FF" w14:paraId="5F2F86FF" w14:textId="141DCC9A" w:rsidTr="004C6AA1">
        <w:trPr>
          <w:trHeight w:val="323"/>
        </w:trPr>
        <w:tc>
          <w:tcPr>
            <w:tcW w:w="227" w:type="pct"/>
          </w:tcPr>
          <w:p w14:paraId="2E4A2C32"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Chan 2021</w:t>
            </w:r>
          </w:p>
        </w:tc>
        <w:tc>
          <w:tcPr>
            <w:tcW w:w="280" w:type="pct"/>
          </w:tcPr>
          <w:p w14:paraId="6E8E4BD5"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319" w:type="pct"/>
          </w:tcPr>
          <w:p w14:paraId="64002A21" w14:textId="6AA12541" w:rsidR="00945ED5" w:rsidRPr="00D518FF" w:rsidRDefault="00945ED5"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755D28A6"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Participants with NLC, nocturnal leg cramps</w:t>
            </w:r>
          </w:p>
        </w:tc>
        <w:tc>
          <w:tcPr>
            <w:tcW w:w="405" w:type="pct"/>
          </w:tcPr>
          <w:p w14:paraId="11ED6164" w14:textId="2128387C"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413" w:type="pct"/>
          </w:tcPr>
          <w:p w14:paraId="5ABE012F"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Magnesium oxide and magnesium oxide monohydrate 865 mg</w:t>
            </w:r>
          </w:p>
        </w:tc>
        <w:tc>
          <w:tcPr>
            <w:tcW w:w="350" w:type="pct"/>
          </w:tcPr>
          <w:p w14:paraId="46404955"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277" w:type="pct"/>
          </w:tcPr>
          <w:p w14:paraId="2B4A12E1"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53C302C6"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94</w:t>
            </w:r>
          </w:p>
        </w:tc>
        <w:tc>
          <w:tcPr>
            <w:tcW w:w="384" w:type="pct"/>
          </w:tcPr>
          <w:p w14:paraId="7B4E593E"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PSQI</w:t>
            </w:r>
          </w:p>
        </w:tc>
        <w:tc>
          <w:tcPr>
            <w:tcW w:w="228" w:type="pct"/>
          </w:tcPr>
          <w:p w14:paraId="07C28E45"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4DD8B260"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0D3FE764"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679CAAFC"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There was no statistically significant difference between two groups.</w:t>
            </w:r>
          </w:p>
        </w:tc>
        <w:tc>
          <w:tcPr>
            <w:tcW w:w="295" w:type="pct"/>
          </w:tcPr>
          <w:p w14:paraId="00588694" w14:textId="2143EE9E" w:rsidR="00945ED5" w:rsidRPr="00D518FF" w:rsidRDefault="00945ED5" w:rsidP="00F614C8">
            <w:pPr>
              <w:pStyle w:val="Caption1"/>
              <w:spacing w:before="0" w:after="0"/>
              <w:rPr>
                <w:rFonts w:ascii="Aptos" w:hAnsi="Aptos"/>
                <w:b w:val="0"/>
                <w:bCs w:val="0"/>
                <w:sz w:val="16"/>
                <w:szCs w:val="16"/>
              </w:rPr>
            </w:pPr>
            <w:r w:rsidRPr="00F472D8">
              <w:rPr>
                <w:rFonts w:ascii="Aptos" w:hAnsi="Aptos"/>
                <w:b w:val="0"/>
                <w:bCs w:val="0"/>
                <w:sz w:val="16"/>
                <w:szCs w:val="16"/>
              </w:rPr>
              <w:t>NA</w:t>
            </w:r>
          </w:p>
        </w:tc>
        <w:tc>
          <w:tcPr>
            <w:tcW w:w="275" w:type="pct"/>
          </w:tcPr>
          <w:p w14:paraId="563EDBB4" w14:textId="64445FF4" w:rsidR="00945ED5" w:rsidRPr="00D518FF" w:rsidRDefault="00945ED5" w:rsidP="00F614C8">
            <w:pPr>
              <w:pStyle w:val="Caption1"/>
              <w:spacing w:before="0" w:after="0"/>
              <w:rPr>
                <w:rFonts w:ascii="Aptos" w:hAnsi="Aptos"/>
                <w:b w:val="0"/>
                <w:bCs w:val="0"/>
                <w:sz w:val="16"/>
                <w:szCs w:val="16"/>
              </w:rPr>
            </w:pPr>
            <w:r>
              <w:rPr>
                <w:rFonts w:ascii="Aptos" w:hAnsi="Aptos"/>
                <w:b w:val="0"/>
                <w:bCs w:val="0"/>
                <w:sz w:val="16"/>
                <w:szCs w:val="16"/>
              </w:rPr>
              <w:t>High risk</w:t>
            </w:r>
          </w:p>
        </w:tc>
      </w:tr>
      <w:tr w:rsidR="00945ED5" w:rsidRPr="00D518FF" w14:paraId="71113DA8" w14:textId="5563C7D3" w:rsidTr="004C6AA1">
        <w:trPr>
          <w:trHeight w:val="323"/>
        </w:trPr>
        <w:tc>
          <w:tcPr>
            <w:tcW w:w="227" w:type="pct"/>
          </w:tcPr>
          <w:p w14:paraId="3D5ADD6C"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Chan 2021</w:t>
            </w:r>
          </w:p>
        </w:tc>
        <w:tc>
          <w:tcPr>
            <w:tcW w:w="280" w:type="pct"/>
          </w:tcPr>
          <w:p w14:paraId="61ED58F7"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319" w:type="pct"/>
          </w:tcPr>
          <w:p w14:paraId="697AE8AD" w14:textId="431F1710" w:rsidR="00945ED5" w:rsidRPr="00D518FF" w:rsidRDefault="00945ED5" w:rsidP="00F614C8">
            <w:pPr>
              <w:pStyle w:val="Caption1"/>
              <w:spacing w:before="0" w:after="0"/>
              <w:rPr>
                <w:rFonts w:ascii="Aptos" w:hAnsi="Aptos"/>
                <w:b w:val="0"/>
                <w:bCs w:val="0"/>
                <w:sz w:val="16"/>
                <w:szCs w:val="16"/>
              </w:rPr>
            </w:pPr>
            <w:r>
              <w:rPr>
                <w:rFonts w:ascii="Aptos" w:hAnsi="Aptos"/>
                <w:b w:val="0"/>
                <w:bCs w:val="0"/>
                <w:sz w:val="16"/>
                <w:szCs w:val="16"/>
              </w:rPr>
              <w:t>With condition</w:t>
            </w:r>
          </w:p>
        </w:tc>
        <w:tc>
          <w:tcPr>
            <w:tcW w:w="319" w:type="pct"/>
          </w:tcPr>
          <w:p w14:paraId="2B3D12BC"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Participants with primary insomnia</w:t>
            </w:r>
          </w:p>
        </w:tc>
        <w:tc>
          <w:tcPr>
            <w:tcW w:w="405" w:type="pct"/>
          </w:tcPr>
          <w:p w14:paraId="610480A0"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Eligible supplement + naturopathy co-intervention VS inactive control</w:t>
            </w:r>
          </w:p>
        </w:tc>
        <w:tc>
          <w:tcPr>
            <w:tcW w:w="413" w:type="pct"/>
          </w:tcPr>
          <w:p w14:paraId="04C75B29"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5mg of melatonin, 225mg of magnesium, 11.25mg of zinc</w:t>
            </w:r>
          </w:p>
        </w:tc>
        <w:tc>
          <w:tcPr>
            <w:tcW w:w="350" w:type="pct"/>
          </w:tcPr>
          <w:p w14:paraId="6F00EFFC"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100 g pear pulp</w:t>
            </w:r>
          </w:p>
        </w:tc>
        <w:tc>
          <w:tcPr>
            <w:tcW w:w="277" w:type="pct"/>
          </w:tcPr>
          <w:p w14:paraId="12038A50"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294" w:type="pct"/>
          </w:tcPr>
          <w:p w14:paraId="2CDDEAF7"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43</w:t>
            </w:r>
          </w:p>
        </w:tc>
        <w:tc>
          <w:tcPr>
            <w:tcW w:w="384" w:type="pct"/>
          </w:tcPr>
          <w:p w14:paraId="588BDFA5"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PSQI</w:t>
            </w:r>
          </w:p>
        </w:tc>
        <w:tc>
          <w:tcPr>
            <w:tcW w:w="228" w:type="pct"/>
          </w:tcPr>
          <w:p w14:paraId="090F9596"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350" w:type="pct"/>
          </w:tcPr>
          <w:p w14:paraId="35EA4A66"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7834F9A7"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92" w:type="pct"/>
          </w:tcPr>
          <w:p w14:paraId="235A6A44" w14:textId="77777777" w:rsidR="00945ED5" w:rsidRPr="00D518FF" w:rsidRDefault="00945ED5" w:rsidP="00F614C8">
            <w:pPr>
              <w:pStyle w:val="Caption1"/>
              <w:spacing w:before="0" w:after="0"/>
              <w:rPr>
                <w:rFonts w:ascii="Aptos" w:hAnsi="Aptos"/>
                <w:b w:val="0"/>
                <w:bCs w:val="0"/>
                <w:sz w:val="16"/>
                <w:szCs w:val="16"/>
              </w:rPr>
            </w:pPr>
            <w:r w:rsidRPr="00D518FF">
              <w:rPr>
                <w:rFonts w:ascii="Aptos" w:hAnsi="Aptos"/>
                <w:b w:val="0"/>
                <w:bCs w:val="0"/>
                <w:sz w:val="16"/>
                <w:szCs w:val="16"/>
              </w:rPr>
              <w:t>There was a significantly improved overall PSQI score in the intervention group but not in the placebo group.</w:t>
            </w:r>
          </w:p>
        </w:tc>
        <w:tc>
          <w:tcPr>
            <w:tcW w:w="295" w:type="pct"/>
          </w:tcPr>
          <w:p w14:paraId="5EAB6A13" w14:textId="4625EF27" w:rsidR="00945ED5" w:rsidRPr="00D518FF" w:rsidRDefault="00945ED5" w:rsidP="00F614C8">
            <w:pPr>
              <w:pStyle w:val="Caption1"/>
              <w:spacing w:before="0" w:after="0"/>
              <w:rPr>
                <w:rFonts w:ascii="Aptos" w:hAnsi="Aptos"/>
                <w:b w:val="0"/>
                <w:bCs w:val="0"/>
                <w:sz w:val="16"/>
                <w:szCs w:val="16"/>
              </w:rPr>
            </w:pPr>
            <w:r w:rsidRPr="00F472D8">
              <w:rPr>
                <w:rFonts w:ascii="Aptos" w:hAnsi="Aptos"/>
                <w:b w:val="0"/>
                <w:bCs w:val="0"/>
                <w:sz w:val="16"/>
                <w:szCs w:val="16"/>
              </w:rPr>
              <w:t>NA</w:t>
            </w:r>
          </w:p>
        </w:tc>
        <w:tc>
          <w:tcPr>
            <w:tcW w:w="275" w:type="pct"/>
          </w:tcPr>
          <w:p w14:paraId="6FF5C6DC" w14:textId="2E21EFE1" w:rsidR="00945ED5" w:rsidRPr="00D518FF" w:rsidRDefault="00945ED5" w:rsidP="00F614C8">
            <w:pPr>
              <w:pStyle w:val="Caption1"/>
              <w:spacing w:before="0" w:after="0"/>
              <w:rPr>
                <w:rFonts w:ascii="Aptos" w:hAnsi="Aptos"/>
                <w:b w:val="0"/>
                <w:bCs w:val="0"/>
                <w:sz w:val="16"/>
                <w:szCs w:val="16"/>
              </w:rPr>
            </w:pPr>
            <w:r>
              <w:rPr>
                <w:rFonts w:ascii="Aptos" w:hAnsi="Aptos"/>
                <w:b w:val="0"/>
                <w:bCs w:val="0"/>
                <w:sz w:val="16"/>
                <w:szCs w:val="16"/>
              </w:rPr>
              <w:t>High risk</w:t>
            </w:r>
          </w:p>
        </w:tc>
      </w:tr>
    </w:tbl>
    <w:p w14:paraId="4558929A" w14:textId="7DAB08B0" w:rsidR="00D51C06" w:rsidRPr="00D518FF" w:rsidRDefault="00D51C06" w:rsidP="00D51C06">
      <w:pPr>
        <w:pStyle w:val="2024TABLEFOOTER"/>
        <w:spacing w:line="240" w:lineRule="auto"/>
        <w:rPr>
          <w:szCs w:val="16"/>
        </w:rPr>
      </w:pPr>
      <w:r w:rsidRPr="00D518FF">
        <w:rPr>
          <w:szCs w:val="16"/>
        </w:rPr>
        <w:t>Abbreviations:</w:t>
      </w:r>
      <w:r>
        <w:rPr>
          <w:szCs w:val="16"/>
        </w:rPr>
        <w:t xml:space="preserve"> NA=not applicable; </w:t>
      </w:r>
      <w:r w:rsidRPr="00D518FF">
        <w:rPr>
          <w:szCs w:val="16"/>
        </w:rPr>
        <w:t>NR=Not reporte</w:t>
      </w:r>
      <w:r>
        <w:rPr>
          <w:szCs w:val="16"/>
        </w:rPr>
        <w:t xml:space="preserve">d; </w:t>
      </w:r>
      <w:r w:rsidRPr="00D518FF">
        <w:rPr>
          <w:szCs w:val="16"/>
        </w:rPr>
        <w:t>PSQI</w:t>
      </w:r>
      <w:r>
        <w:rPr>
          <w:szCs w:val="16"/>
        </w:rPr>
        <w:t>=</w:t>
      </w:r>
      <w:r w:rsidRPr="00D51C06">
        <w:rPr>
          <w:szCs w:val="16"/>
        </w:rPr>
        <w:t>Pittsburgh Sleep Quality Index</w:t>
      </w:r>
    </w:p>
    <w:p w14:paraId="606481D9" w14:textId="77777777" w:rsidR="009E4D3F" w:rsidRPr="00D518FF" w:rsidRDefault="009E4D3F" w:rsidP="00AA72BD">
      <w:pPr>
        <w:pStyle w:val="2024TABLEFOOTER"/>
        <w:spacing w:line="240" w:lineRule="auto"/>
        <w:rPr>
          <w:szCs w:val="16"/>
        </w:rPr>
      </w:pPr>
    </w:p>
    <w:p w14:paraId="0AD6462A" w14:textId="77777777" w:rsidR="009E4D3F" w:rsidRPr="00D518FF" w:rsidRDefault="009E4D3F" w:rsidP="00AA72BD">
      <w:pPr>
        <w:pStyle w:val="2024TABLEFOOTER"/>
        <w:spacing w:line="240" w:lineRule="auto"/>
        <w:rPr>
          <w:szCs w:val="16"/>
        </w:rPr>
      </w:pPr>
      <w:r w:rsidRPr="00D518FF">
        <w:rPr>
          <w:szCs w:val="16"/>
        </w:rPr>
        <w:t>^Outcome domains identified as part of the Outcome Prioritisation Exercise:</w:t>
      </w:r>
    </w:p>
    <w:p w14:paraId="594E750D" w14:textId="77777777" w:rsidR="009E4D3F" w:rsidRPr="00D518FF" w:rsidRDefault="009E4D3F" w:rsidP="003F5774">
      <w:pPr>
        <w:pStyle w:val="2024TABLEFOOTER"/>
        <w:numPr>
          <w:ilvl w:val="0"/>
          <w:numId w:val="14"/>
        </w:numPr>
        <w:spacing w:line="240" w:lineRule="auto"/>
        <w:rPr>
          <w:szCs w:val="16"/>
        </w:rPr>
      </w:pPr>
      <w:r w:rsidRPr="00D518FF">
        <w:rPr>
          <w:szCs w:val="16"/>
        </w:rPr>
        <w:t>Improvement in clinical levels of insomnia</w:t>
      </w:r>
    </w:p>
    <w:p w14:paraId="31ED4B9D" w14:textId="77777777" w:rsidR="009E4D3F" w:rsidRPr="00D518FF" w:rsidRDefault="009E4D3F" w:rsidP="003F5774">
      <w:pPr>
        <w:pStyle w:val="2024TABLEFOOTER"/>
        <w:numPr>
          <w:ilvl w:val="0"/>
          <w:numId w:val="14"/>
        </w:numPr>
        <w:spacing w:line="240" w:lineRule="auto"/>
        <w:rPr>
          <w:szCs w:val="16"/>
        </w:rPr>
      </w:pPr>
      <w:r w:rsidRPr="00D518FF">
        <w:rPr>
          <w:szCs w:val="16"/>
        </w:rPr>
        <w:t>Global improvement in sleep quality or quantity (subjective)</w:t>
      </w:r>
    </w:p>
    <w:p w14:paraId="777AA258" w14:textId="77777777" w:rsidR="009E4D3F" w:rsidRPr="00D518FF" w:rsidRDefault="009E4D3F" w:rsidP="003F5774">
      <w:pPr>
        <w:pStyle w:val="2024TABLEFOOTER"/>
        <w:numPr>
          <w:ilvl w:val="0"/>
          <w:numId w:val="14"/>
        </w:numPr>
        <w:spacing w:line="240" w:lineRule="auto"/>
        <w:rPr>
          <w:szCs w:val="16"/>
        </w:rPr>
      </w:pPr>
      <w:r w:rsidRPr="00D518FF">
        <w:rPr>
          <w:szCs w:val="16"/>
        </w:rPr>
        <w:t>Global improvement in sleep quality or quantity (objective)</w:t>
      </w:r>
    </w:p>
    <w:p w14:paraId="36B301C8" w14:textId="77777777" w:rsidR="009E4D3F" w:rsidRPr="00D518FF" w:rsidRDefault="009E4D3F" w:rsidP="003F5774">
      <w:pPr>
        <w:pStyle w:val="2024TABLEFOOTER"/>
        <w:numPr>
          <w:ilvl w:val="0"/>
          <w:numId w:val="14"/>
        </w:numPr>
        <w:spacing w:line="240" w:lineRule="auto"/>
        <w:rPr>
          <w:szCs w:val="16"/>
        </w:rPr>
      </w:pPr>
      <w:r w:rsidRPr="00D518FF">
        <w:rPr>
          <w:szCs w:val="16"/>
        </w:rPr>
        <w:t>Improvement in individual sleep parameters (Sleep onset latency, Total sleep duration, Total wake</w:t>
      </w:r>
      <w:r w:rsidRPr="00D518FF">
        <w:rPr>
          <w:rFonts w:ascii="Cambria Math" w:hAnsi="Cambria Math" w:cs="Cambria Math"/>
          <w:szCs w:val="16"/>
        </w:rPr>
        <w:t>‐</w:t>
      </w:r>
      <w:r w:rsidRPr="00D518FF">
        <w:rPr>
          <w:szCs w:val="16"/>
        </w:rPr>
        <w:t>time, Wake after sleep onset (WASO), Nocturnal and early morning wakening, Sleep efficiency (ratio of time asleep to time in bed), parasomnias)</w:t>
      </w:r>
    </w:p>
    <w:p w14:paraId="0C581A38" w14:textId="77777777" w:rsidR="009E4D3F" w:rsidRPr="00D518FF" w:rsidRDefault="009E4D3F" w:rsidP="003F5774">
      <w:pPr>
        <w:pStyle w:val="2024TABLEFOOTER"/>
        <w:numPr>
          <w:ilvl w:val="0"/>
          <w:numId w:val="14"/>
        </w:numPr>
        <w:spacing w:line="240" w:lineRule="auto"/>
        <w:rPr>
          <w:szCs w:val="16"/>
        </w:rPr>
      </w:pPr>
      <w:r w:rsidRPr="00D518FF">
        <w:rPr>
          <w:szCs w:val="16"/>
        </w:rPr>
        <w:t>Quality of life</w:t>
      </w:r>
    </w:p>
    <w:p w14:paraId="2AF2918A" w14:textId="77777777" w:rsidR="009E4D3F" w:rsidRPr="00D518FF" w:rsidRDefault="009E4D3F" w:rsidP="003F5774">
      <w:pPr>
        <w:pStyle w:val="2024TABLEFOOTER"/>
        <w:numPr>
          <w:ilvl w:val="0"/>
          <w:numId w:val="14"/>
        </w:numPr>
        <w:spacing w:line="240" w:lineRule="auto"/>
        <w:rPr>
          <w:szCs w:val="16"/>
        </w:rPr>
      </w:pPr>
      <w:r w:rsidRPr="00D518FF">
        <w:rPr>
          <w:szCs w:val="16"/>
        </w:rPr>
        <w:t>Daytime functioning</w:t>
      </w:r>
    </w:p>
    <w:p w14:paraId="71C0DEF7" w14:textId="07558975" w:rsidR="00DC0B96" w:rsidRPr="00D518FF" w:rsidRDefault="009E4D3F" w:rsidP="003F5774">
      <w:pPr>
        <w:pStyle w:val="2024TABLEFOOTER"/>
        <w:numPr>
          <w:ilvl w:val="0"/>
          <w:numId w:val="14"/>
        </w:numPr>
        <w:spacing w:line="240" w:lineRule="auto"/>
        <w:rPr>
          <w:szCs w:val="16"/>
        </w:rPr>
      </w:pPr>
      <w:r w:rsidRPr="00D518FF">
        <w:rPr>
          <w:szCs w:val="16"/>
        </w:rPr>
        <w:t>Fatigue</w:t>
      </w:r>
    </w:p>
    <w:p w14:paraId="11A20A55" w14:textId="77777777" w:rsidR="00754FF0" w:rsidRPr="00D518FF" w:rsidRDefault="00754FF0" w:rsidP="00AA72BD">
      <w:pPr>
        <w:pStyle w:val="2024TABLEFOOTER"/>
        <w:spacing w:line="240" w:lineRule="auto"/>
        <w:ind w:left="720"/>
        <w:rPr>
          <w:rStyle w:val="Heading1Char"/>
          <w:rFonts w:ascii="Aptos" w:eastAsia="Calibri" w:hAnsi="Aptos" w:cs="Times New Roman"/>
          <w:b/>
          <w:bCs w:val="0"/>
          <w:color w:val="auto"/>
          <w:sz w:val="16"/>
          <w:szCs w:val="16"/>
        </w:rPr>
      </w:pPr>
    </w:p>
    <w:p w14:paraId="6A05677E" w14:textId="4CD951B6" w:rsidR="009E4D3F" w:rsidRPr="00B53559" w:rsidRDefault="009E4D3F" w:rsidP="00B53559">
      <w:pPr>
        <w:pStyle w:val="heading2numbers"/>
        <w:rPr>
          <w:rStyle w:val="Heading1Char"/>
          <w:rFonts w:ascii="Aptos" w:eastAsia="Calibri" w:hAnsi="Aptos"/>
          <w:bCs w:val="0"/>
          <w:color w:val="C00000"/>
          <w:sz w:val="28"/>
          <w:szCs w:val="26"/>
        </w:rPr>
      </w:pPr>
      <w:bookmarkStart w:id="190" w:name="_Toc185254664"/>
      <w:r w:rsidRPr="00B53559">
        <w:rPr>
          <w:rStyle w:val="Heading1Char"/>
          <w:rFonts w:ascii="Aptos" w:eastAsia="Calibri" w:hAnsi="Aptos"/>
          <w:bCs w:val="0"/>
          <w:color w:val="C00000"/>
          <w:sz w:val="28"/>
          <w:szCs w:val="26"/>
        </w:rPr>
        <w:lastRenderedPageBreak/>
        <w:t>Depression (including post-natal), omega-3</w:t>
      </w:r>
      <w:r w:rsidR="0021231C">
        <w:rPr>
          <w:rStyle w:val="Heading1Char"/>
          <w:rFonts w:ascii="Aptos" w:eastAsia="Calibri" w:hAnsi="Aptos"/>
          <w:bCs w:val="0"/>
          <w:color w:val="C00000"/>
          <w:sz w:val="28"/>
          <w:szCs w:val="26"/>
        </w:rPr>
        <w:t xml:space="preserve"> </w:t>
      </w:r>
      <w:r w:rsidR="0021231C">
        <w:t>fatty acids</w:t>
      </w:r>
      <w:bookmarkEnd w:id="190"/>
    </w:p>
    <w:p w14:paraId="50EBFB94" w14:textId="6F70FE2B" w:rsidR="00E4549F" w:rsidRPr="004E716E" w:rsidRDefault="00CC7C3B" w:rsidP="00F614C8">
      <w:pPr>
        <w:pStyle w:val="Caption"/>
        <w:spacing w:before="240"/>
        <w:rPr>
          <w:rFonts w:ascii="Aptos" w:hAnsi="Aptos"/>
        </w:rPr>
      </w:pPr>
      <w:bookmarkStart w:id="191" w:name="_Toc185254578"/>
      <w:r w:rsidRPr="00F614C8">
        <w:rPr>
          <w:rFonts w:ascii="Aptos" w:hAnsi="Aptos"/>
        </w:rPr>
        <w:t xml:space="preserve">Table </w:t>
      </w:r>
      <w:r w:rsidR="00DC4767" w:rsidRPr="00F614C8">
        <w:rPr>
          <w:rFonts w:ascii="Aptos" w:hAnsi="Aptos"/>
        </w:rPr>
        <w:fldChar w:fldCharType="begin" w:fldLock="1"/>
      </w:r>
      <w:r w:rsidR="00DC4767" w:rsidRPr="00F614C8">
        <w:rPr>
          <w:rFonts w:ascii="Aptos" w:hAnsi="Aptos"/>
        </w:rPr>
        <w:instrText xml:space="preserve"> STYLEREF 1 \s </w:instrText>
      </w:r>
      <w:r w:rsidR="00DC4767" w:rsidRPr="00F614C8">
        <w:rPr>
          <w:rFonts w:ascii="Aptos" w:hAnsi="Aptos"/>
        </w:rPr>
        <w:fldChar w:fldCharType="separate"/>
      </w:r>
      <w:r w:rsidR="00DC4767" w:rsidRPr="00F614C8">
        <w:rPr>
          <w:rFonts w:ascii="Aptos" w:hAnsi="Aptos"/>
        </w:rPr>
        <w:t>E</w:t>
      </w:r>
      <w:r w:rsidR="00DC4767"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6</w:t>
      </w:r>
      <w:r w:rsidR="003B0594" w:rsidRPr="00F614C8">
        <w:rPr>
          <w:rFonts w:ascii="Aptos" w:hAnsi="Aptos"/>
        </w:rPr>
        <w:fldChar w:fldCharType="end"/>
      </w:r>
      <w:r w:rsidR="009E4D3F" w:rsidRPr="00D518FF">
        <w:rPr>
          <w:rFonts w:ascii="Aptos" w:hAnsi="Aptos"/>
        </w:rPr>
        <w:t xml:space="preserve">. Results of </w:t>
      </w:r>
      <w:r w:rsidR="006A1065">
        <w:rPr>
          <w:rFonts w:ascii="Aptos" w:hAnsi="Aptos"/>
        </w:rPr>
        <w:t>preferred</w:t>
      </w:r>
      <w:r w:rsidR="006A1065" w:rsidRPr="00D518FF">
        <w:rPr>
          <w:rFonts w:ascii="Aptos" w:hAnsi="Aptos"/>
        </w:rPr>
        <w:t xml:space="preserve"> </w:t>
      </w:r>
      <w:r w:rsidR="00E4549F" w:rsidRPr="00D518FF">
        <w:rPr>
          <w:rFonts w:ascii="Aptos" w:hAnsi="Aptos"/>
        </w:rPr>
        <w:t>reviews by outcome domain – depression (including post-natal), omega-3</w:t>
      </w:r>
      <w:r w:rsidR="0021231C">
        <w:rPr>
          <w:rFonts w:ascii="Aptos" w:hAnsi="Aptos"/>
        </w:rPr>
        <w:t xml:space="preserve"> </w:t>
      </w:r>
      <w:r w:rsidR="0021231C">
        <w:t>fatty acids</w:t>
      </w:r>
      <w:bookmarkEnd w:id="19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0" w:type="dxa"/>
        </w:tblCellMar>
        <w:tblLook w:val="04A0" w:firstRow="1" w:lastRow="0" w:firstColumn="1" w:lastColumn="0" w:noHBand="0" w:noVBand="1"/>
      </w:tblPr>
      <w:tblGrid>
        <w:gridCol w:w="704"/>
        <w:gridCol w:w="709"/>
        <w:gridCol w:w="1134"/>
        <w:gridCol w:w="1276"/>
        <w:gridCol w:w="992"/>
        <w:gridCol w:w="1042"/>
        <w:gridCol w:w="801"/>
        <w:gridCol w:w="567"/>
        <w:gridCol w:w="708"/>
        <w:gridCol w:w="709"/>
        <w:gridCol w:w="709"/>
        <w:gridCol w:w="992"/>
        <w:gridCol w:w="1276"/>
        <w:gridCol w:w="850"/>
        <w:gridCol w:w="993"/>
        <w:gridCol w:w="783"/>
      </w:tblGrid>
      <w:tr w:rsidR="00E4549F" w:rsidRPr="00D518FF" w14:paraId="426F3946" w14:textId="77777777" w:rsidTr="004C6AA1">
        <w:trPr>
          <w:trHeight w:val="320"/>
        </w:trPr>
        <w:tc>
          <w:tcPr>
            <w:tcW w:w="704" w:type="dxa"/>
            <w:vMerge w:val="restart"/>
            <w:shd w:val="clear" w:color="auto" w:fill="D9D9D9" w:themeFill="background1" w:themeFillShade="D9"/>
            <w:noWrap/>
          </w:tcPr>
          <w:p w14:paraId="081F4E83" w14:textId="77777777" w:rsidR="00E4549F" w:rsidRPr="00D518FF" w:rsidRDefault="00E4549F" w:rsidP="00F614C8">
            <w:pPr>
              <w:pStyle w:val="2024TABLEHEADER"/>
              <w:spacing w:before="0" w:after="0" w:line="240" w:lineRule="auto"/>
              <w:rPr>
                <w:sz w:val="16"/>
                <w:szCs w:val="16"/>
              </w:rPr>
            </w:pPr>
            <w:r w:rsidRPr="00D518FF">
              <w:rPr>
                <w:sz w:val="16"/>
                <w:szCs w:val="16"/>
              </w:rPr>
              <w:t>Review ID</w:t>
            </w:r>
          </w:p>
        </w:tc>
        <w:tc>
          <w:tcPr>
            <w:tcW w:w="709" w:type="dxa"/>
            <w:vMerge w:val="restart"/>
            <w:shd w:val="clear" w:color="auto" w:fill="D9D9D9" w:themeFill="background1" w:themeFillShade="D9"/>
            <w:noWrap/>
          </w:tcPr>
          <w:p w14:paraId="3413A0BA" w14:textId="77777777" w:rsidR="00E4549F" w:rsidRPr="00D518FF" w:rsidRDefault="00E4549F" w:rsidP="00F614C8">
            <w:pPr>
              <w:pStyle w:val="2024TABLEHEADER"/>
              <w:spacing w:before="0" w:after="0" w:line="240" w:lineRule="auto"/>
              <w:rPr>
                <w:sz w:val="16"/>
                <w:szCs w:val="16"/>
              </w:rPr>
            </w:pPr>
            <w:r w:rsidRPr="00D518FF">
              <w:rPr>
                <w:sz w:val="16"/>
                <w:szCs w:val="16"/>
              </w:rPr>
              <w:t>Outcome domain</w:t>
            </w:r>
          </w:p>
        </w:tc>
        <w:tc>
          <w:tcPr>
            <w:tcW w:w="1134" w:type="dxa"/>
            <w:vMerge w:val="restart"/>
            <w:shd w:val="clear" w:color="auto" w:fill="D9D9D9" w:themeFill="background1" w:themeFillShade="D9"/>
            <w:noWrap/>
          </w:tcPr>
          <w:p w14:paraId="7009CEB1" w14:textId="77777777" w:rsidR="00E4549F" w:rsidRPr="00D518FF" w:rsidRDefault="00E4549F" w:rsidP="00F614C8">
            <w:pPr>
              <w:pStyle w:val="2024TABLEHEADER"/>
              <w:spacing w:before="0" w:after="0" w:line="240" w:lineRule="auto"/>
              <w:rPr>
                <w:sz w:val="16"/>
                <w:szCs w:val="16"/>
              </w:rPr>
            </w:pPr>
            <w:r w:rsidRPr="00D518FF">
              <w:rPr>
                <w:sz w:val="16"/>
                <w:szCs w:val="16"/>
              </w:rPr>
              <w:t>Population group</w:t>
            </w:r>
          </w:p>
        </w:tc>
        <w:tc>
          <w:tcPr>
            <w:tcW w:w="1276" w:type="dxa"/>
            <w:vMerge w:val="restart"/>
            <w:shd w:val="clear" w:color="auto" w:fill="D9D9D9" w:themeFill="background1" w:themeFillShade="D9"/>
            <w:noWrap/>
          </w:tcPr>
          <w:p w14:paraId="434B554F" w14:textId="77777777" w:rsidR="00E4549F" w:rsidRPr="00D518FF" w:rsidRDefault="00E4549F" w:rsidP="00F614C8">
            <w:pPr>
              <w:pStyle w:val="2024TABLEHEADER"/>
              <w:spacing w:before="0" w:after="0" w:line="240" w:lineRule="auto"/>
              <w:rPr>
                <w:sz w:val="16"/>
                <w:szCs w:val="16"/>
              </w:rPr>
            </w:pPr>
            <w:r w:rsidRPr="00D518FF">
              <w:rPr>
                <w:sz w:val="16"/>
                <w:szCs w:val="16"/>
              </w:rPr>
              <w:t>Population details</w:t>
            </w:r>
          </w:p>
        </w:tc>
        <w:tc>
          <w:tcPr>
            <w:tcW w:w="992" w:type="dxa"/>
            <w:vMerge w:val="restart"/>
            <w:shd w:val="clear" w:color="auto" w:fill="D9D9D9" w:themeFill="background1" w:themeFillShade="D9"/>
            <w:noWrap/>
          </w:tcPr>
          <w:p w14:paraId="3C149F07" w14:textId="77777777" w:rsidR="00E4549F" w:rsidRPr="00D518FF" w:rsidRDefault="00E4549F" w:rsidP="00F614C8">
            <w:pPr>
              <w:pStyle w:val="2024TABLEHEADER"/>
              <w:spacing w:before="0" w:after="0" w:line="240" w:lineRule="auto"/>
              <w:rPr>
                <w:sz w:val="16"/>
                <w:szCs w:val="16"/>
              </w:rPr>
            </w:pPr>
            <w:r w:rsidRPr="00D518FF">
              <w:rPr>
                <w:sz w:val="16"/>
                <w:szCs w:val="16"/>
              </w:rPr>
              <w:t>Type of comparison</w:t>
            </w:r>
          </w:p>
        </w:tc>
        <w:tc>
          <w:tcPr>
            <w:tcW w:w="1042" w:type="dxa"/>
            <w:vMerge w:val="restart"/>
            <w:shd w:val="clear" w:color="auto" w:fill="D9D9D9" w:themeFill="background1" w:themeFillShade="D9"/>
            <w:noWrap/>
          </w:tcPr>
          <w:p w14:paraId="7E259586" w14:textId="77777777" w:rsidR="00E4549F" w:rsidRPr="00D518FF" w:rsidRDefault="00E4549F" w:rsidP="00F614C8">
            <w:pPr>
              <w:pStyle w:val="2024TABLEHEADER"/>
              <w:spacing w:before="0" w:after="0" w:line="240" w:lineRule="auto"/>
              <w:rPr>
                <w:sz w:val="16"/>
                <w:szCs w:val="16"/>
              </w:rPr>
            </w:pPr>
            <w:r w:rsidRPr="00D518FF">
              <w:rPr>
                <w:sz w:val="16"/>
                <w:szCs w:val="16"/>
              </w:rPr>
              <w:t>Intervention description</w:t>
            </w:r>
          </w:p>
        </w:tc>
        <w:tc>
          <w:tcPr>
            <w:tcW w:w="801" w:type="dxa"/>
            <w:vMerge w:val="restart"/>
            <w:shd w:val="clear" w:color="auto" w:fill="D9D9D9" w:themeFill="background1" w:themeFillShade="D9"/>
            <w:noWrap/>
          </w:tcPr>
          <w:p w14:paraId="02E6288C" w14:textId="77777777" w:rsidR="00E4549F" w:rsidRPr="00D518FF" w:rsidRDefault="00E4549F" w:rsidP="00F614C8">
            <w:pPr>
              <w:pStyle w:val="2024TABLEHEADER"/>
              <w:spacing w:before="0" w:after="0" w:line="240" w:lineRule="auto"/>
              <w:rPr>
                <w:sz w:val="16"/>
                <w:szCs w:val="16"/>
              </w:rPr>
            </w:pPr>
            <w:r w:rsidRPr="00D518FF">
              <w:rPr>
                <w:sz w:val="16"/>
                <w:szCs w:val="16"/>
              </w:rPr>
              <w:t>Comparator description</w:t>
            </w:r>
          </w:p>
        </w:tc>
        <w:tc>
          <w:tcPr>
            <w:tcW w:w="567" w:type="dxa"/>
            <w:vMerge w:val="restart"/>
            <w:shd w:val="clear" w:color="auto" w:fill="D9D9D9" w:themeFill="background1" w:themeFillShade="D9"/>
            <w:noWrap/>
          </w:tcPr>
          <w:p w14:paraId="52AE47DE" w14:textId="77777777" w:rsidR="00E4549F" w:rsidRPr="00D518FF" w:rsidRDefault="00E4549F" w:rsidP="00F614C8">
            <w:pPr>
              <w:pStyle w:val="2024TABLEHEADER"/>
              <w:spacing w:before="0" w:after="0" w:line="240" w:lineRule="auto"/>
              <w:rPr>
                <w:sz w:val="16"/>
                <w:szCs w:val="16"/>
              </w:rPr>
            </w:pPr>
            <w:r w:rsidRPr="00D518FF">
              <w:rPr>
                <w:sz w:val="16"/>
                <w:szCs w:val="16"/>
              </w:rPr>
              <w:t>No/types of included studies</w:t>
            </w:r>
          </w:p>
        </w:tc>
        <w:tc>
          <w:tcPr>
            <w:tcW w:w="708" w:type="dxa"/>
            <w:vMerge w:val="restart"/>
            <w:shd w:val="clear" w:color="auto" w:fill="D9D9D9" w:themeFill="background1" w:themeFillShade="D9"/>
            <w:noWrap/>
          </w:tcPr>
          <w:p w14:paraId="0307F4A8" w14:textId="77777777" w:rsidR="00E4549F" w:rsidRPr="00D518FF" w:rsidRDefault="00E4549F" w:rsidP="00F614C8">
            <w:pPr>
              <w:pStyle w:val="2024TABLEHEADER"/>
              <w:spacing w:before="0" w:after="0" w:line="240" w:lineRule="auto"/>
              <w:rPr>
                <w:sz w:val="16"/>
                <w:szCs w:val="16"/>
              </w:rPr>
            </w:pPr>
            <w:r w:rsidRPr="00D518FF">
              <w:rPr>
                <w:sz w:val="16"/>
                <w:szCs w:val="16"/>
              </w:rPr>
              <w:t>No of participants (total)</w:t>
            </w:r>
          </w:p>
        </w:tc>
        <w:tc>
          <w:tcPr>
            <w:tcW w:w="709" w:type="dxa"/>
            <w:vMerge w:val="restart"/>
            <w:shd w:val="clear" w:color="auto" w:fill="D9D9D9" w:themeFill="background1" w:themeFillShade="D9"/>
            <w:noWrap/>
          </w:tcPr>
          <w:p w14:paraId="634195D0" w14:textId="77777777" w:rsidR="00E4549F" w:rsidRPr="00D518FF" w:rsidRDefault="00E4549F" w:rsidP="00F614C8">
            <w:pPr>
              <w:pStyle w:val="2024TABLEHEADER"/>
              <w:spacing w:before="0" w:after="0" w:line="240" w:lineRule="auto"/>
              <w:rPr>
                <w:sz w:val="16"/>
                <w:szCs w:val="16"/>
              </w:rPr>
            </w:pPr>
            <w:r w:rsidRPr="00D518FF">
              <w:rPr>
                <w:sz w:val="16"/>
                <w:szCs w:val="16"/>
              </w:rPr>
              <w:t>Outcome measure(s) used</w:t>
            </w:r>
          </w:p>
        </w:tc>
        <w:tc>
          <w:tcPr>
            <w:tcW w:w="4820" w:type="dxa"/>
            <w:gridSpan w:val="5"/>
            <w:shd w:val="clear" w:color="auto" w:fill="D9D9D9" w:themeFill="background1" w:themeFillShade="D9"/>
            <w:noWrap/>
          </w:tcPr>
          <w:p w14:paraId="661D4306" w14:textId="450EB6F1" w:rsidR="00E4549F" w:rsidRPr="00D518FF" w:rsidRDefault="00E4549F" w:rsidP="00F614C8">
            <w:pPr>
              <w:pStyle w:val="2024TABLEHEADER"/>
              <w:spacing w:before="0" w:after="0" w:line="240" w:lineRule="auto"/>
              <w:rPr>
                <w:sz w:val="16"/>
                <w:szCs w:val="16"/>
              </w:rPr>
            </w:pPr>
            <w:r w:rsidRPr="00D518FF">
              <w:rPr>
                <w:sz w:val="16"/>
                <w:szCs w:val="16"/>
              </w:rPr>
              <w:t>Results</w:t>
            </w:r>
          </w:p>
        </w:tc>
        <w:tc>
          <w:tcPr>
            <w:tcW w:w="783" w:type="dxa"/>
            <w:vMerge w:val="restart"/>
            <w:shd w:val="clear" w:color="auto" w:fill="D9D9D9" w:themeFill="background1" w:themeFillShade="D9"/>
          </w:tcPr>
          <w:p w14:paraId="0BA134B2" w14:textId="77777777" w:rsidR="00E4549F" w:rsidRPr="00D518FF" w:rsidRDefault="00E4549F" w:rsidP="00F614C8">
            <w:pPr>
              <w:pStyle w:val="2024TABLEHEADER"/>
              <w:spacing w:before="0" w:after="0" w:line="240" w:lineRule="auto"/>
              <w:rPr>
                <w:sz w:val="16"/>
                <w:szCs w:val="16"/>
              </w:rPr>
            </w:pPr>
            <w:r>
              <w:rPr>
                <w:sz w:val="16"/>
                <w:szCs w:val="16"/>
              </w:rPr>
              <w:t>ROBIS assessment (for the review overall)</w:t>
            </w:r>
          </w:p>
        </w:tc>
      </w:tr>
      <w:tr w:rsidR="00E4549F" w:rsidRPr="00D518FF" w14:paraId="53D4D645" w14:textId="77777777" w:rsidTr="004C6AA1">
        <w:trPr>
          <w:trHeight w:val="320"/>
        </w:trPr>
        <w:tc>
          <w:tcPr>
            <w:tcW w:w="704" w:type="dxa"/>
            <w:vMerge/>
            <w:shd w:val="clear" w:color="auto" w:fill="D9D9D9" w:themeFill="background1" w:themeFillShade="D9"/>
            <w:noWrap/>
          </w:tcPr>
          <w:p w14:paraId="3FF51D81" w14:textId="77777777" w:rsidR="00E4549F" w:rsidRPr="00D518FF" w:rsidRDefault="00E4549F" w:rsidP="00F614C8">
            <w:pPr>
              <w:pStyle w:val="2024TABLEHEADER"/>
              <w:spacing w:before="0" w:after="0" w:line="240" w:lineRule="auto"/>
              <w:rPr>
                <w:sz w:val="16"/>
                <w:szCs w:val="16"/>
              </w:rPr>
            </w:pPr>
          </w:p>
        </w:tc>
        <w:tc>
          <w:tcPr>
            <w:tcW w:w="709" w:type="dxa"/>
            <w:vMerge/>
            <w:shd w:val="clear" w:color="auto" w:fill="D9D9D9" w:themeFill="background1" w:themeFillShade="D9"/>
            <w:noWrap/>
          </w:tcPr>
          <w:p w14:paraId="3979A6FE" w14:textId="77777777" w:rsidR="00E4549F" w:rsidRPr="00D518FF" w:rsidRDefault="00E4549F" w:rsidP="00F614C8">
            <w:pPr>
              <w:pStyle w:val="2024TABLEHEADER"/>
              <w:spacing w:before="0" w:after="0" w:line="240" w:lineRule="auto"/>
              <w:rPr>
                <w:sz w:val="16"/>
                <w:szCs w:val="16"/>
              </w:rPr>
            </w:pPr>
          </w:p>
        </w:tc>
        <w:tc>
          <w:tcPr>
            <w:tcW w:w="1134" w:type="dxa"/>
            <w:vMerge/>
            <w:shd w:val="clear" w:color="auto" w:fill="D9D9D9" w:themeFill="background1" w:themeFillShade="D9"/>
            <w:noWrap/>
          </w:tcPr>
          <w:p w14:paraId="0B0842E8" w14:textId="77777777" w:rsidR="00E4549F" w:rsidRPr="00D518FF" w:rsidRDefault="00E4549F" w:rsidP="00F614C8">
            <w:pPr>
              <w:pStyle w:val="2024TABLEHEADER"/>
              <w:spacing w:before="0" w:after="0" w:line="240" w:lineRule="auto"/>
              <w:rPr>
                <w:sz w:val="16"/>
                <w:szCs w:val="16"/>
              </w:rPr>
            </w:pPr>
          </w:p>
        </w:tc>
        <w:tc>
          <w:tcPr>
            <w:tcW w:w="1276" w:type="dxa"/>
            <w:vMerge/>
            <w:shd w:val="clear" w:color="auto" w:fill="D9D9D9" w:themeFill="background1" w:themeFillShade="D9"/>
            <w:noWrap/>
          </w:tcPr>
          <w:p w14:paraId="56FB6F95" w14:textId="77777777" w:rsidR="00E4549F" w:rsidRPr="00D518FF" w:rsidRDefault="00E4549F" w:rsidP="00F614C8">
            <w:pPr>
              <w:pStyle w:val="2024TABLEHEADER"/>
              <w:spacing w:before="0" w:after="0" w:line="240" w:lineRule="auto"/>
              <w:rPr>
                <w:sz w:val="16"/>
                <w:szCs w:val="16"/>
              </w:rPr>
            </w:pPr>
          </w:p>
        </w:tc>
        <w:tc>
          <w:tcPr>
            <w:tcW w:w="992" w:type="dxa"/>
            <w:vMerge/>
            <w:shd w:val="clear" w:color="auto" w:fill="D9D9D9" w:themeFill="background1" w:themeFillShade="D9"/>
            <w:noWrap/>
          </w:tcPr>
          <w:p w14:paraId="06F494E7" w14:textId="77777777" w:rsidR="00E4549F" w:rsidRPr="00D518FF" w:rsidRDefault="00E4549F" w:rsidP="00F614C8">
            <w:pPr>
              <w:pStyle w:val="2024TABLEHEADER"/>
              <w:spacing w:before="0" w:after="0" w:line="240" w:lineRule="auto"/>
              <w:rPr>
                <w:sz w:val="16"/>
                <w:szCs w:val="16"/>
              </w:rPr>
            </w:pPr>
          </w:p>
        </w:tc>
        <w:tc>
          <w:tcPr>
            <w:tcW w:w="1042" w:type="dxa"/>
            <w:vMerge/>
            <w:shd w:val="clear" w:color="auto" w:fill="D9D9D9" w:themeFill="background1" w:themeFillShade="D9"/>
            <w:noWrap/>
          </w:tcPr>
          <w:p w14:paraId="7001195D" w14:textId="77777777" w:rsidR="00E4549F" w:rsidRPr="00D518FF" w:rsidRDefault="00E4549F" w:rsidP="00F614C8">
            <w:pPr>
              <w:pStyle w:val="2024TABLEHEADER"/>
              <w:spacing w:before="0" w:after="0" w:line="240" w:lineRule="auto"/>
              <w:rPr>
                <w:sz w:val="16"/>
                <w:szCs w:val="16"/>
              </w:rPr>
            </w:pPr>
          </w:p>
        </w:tc>
        <w:tc>
          <w:tcPr>
            <w:tcW w:w="801" w:type="dxa"/>
            <w:vMerge/>
            <w:shd w:val="clear" w:color="auto" w:fill="D9D9D9" w:themeFill="background1" w:themeFillShade="D9"/>
            <w:noWrap/>
          </w:tcPr>
          <w:p w14:paraId="7536EE82" w14:textId="77777777" w:rsidR="00E4549F" w:rsidRPr="00D518FF" w:rsidRDefault="00E4549F" w:rsidP="00F614C8">
            <w:pPr>
              <w:pStyle w:val="2024TABLEHEADER"/>
              <w:spacing w:before="0" w:after="0" w:line="240" w:lineRule="auto"/>
              <w:rPr>
                <w:sz w:val="16"/>
                <w:szCs w:val="16"/>
              </w:rPr>
            </w:pPr>
          </w:p>
        </w:tc>
        <w:tc>
          <w:tcPr>
            <w:tcW w:w="567" w:type="dxa"/>
            <w:vMerge/>
            <w:shd w:val="clear" w:color="auto" w:fill="D9D9D9" w:themeFill="background1" w:themeFillShade="D9"/>
            <w:noWrap/>
          </w:tcPr>
          <w:p w14:paraId="5768D674" w14:textId="77777777" w:rsidR="00E4549F" w:rsidRPr="00D518FF" w:rsidRDefault="00E4549F" w:rsidP="00F614C8">
            <w:pPr>
              <w:pStyle w:val="2024TABLEHEADER"/>
              <w:spacing w:before="0" w:after="0" w:line="240" w:lineRule="auto"/>
              <w:rPr>
                <w:sz w:val="16"/>
                <w:szCs w:val="16"/>
              </w:rPr>
            </w:pPr>
          </w:p>
        </w:tc>
        <w:tc>
          <w:tcPr>
            <w:tcW w:w="708" w:type="dxa"/>
            <w:vMerge/>
            <w:shd w:val="clear" w:color="auto" w:fill="D9D9D9" w:themeFill="background1" w:themeFillShade="D9"/>
            <w:noWrap/>
          </w:tcPr>
          <w:p w14:paraId="6BF80943" w14:textId="77777777" w:rsidR="00E4549F" w:rsidRPr="00D518FF" w:rsidRDefault="00E4549F" w:rsidP="00F614C8">
            <w:pPr>
              <w:pStyle w:val="2024TABLEHEADER"/>
              <w:spacing w:before="0" w:after="0" w:line="240" w:lineRule="auto"/>
              <w:rPr>
                <w:sz w:val="16"/>
                <w:szCs w:val="16"/>
              </w:rPr>
            </w:pPr>
          </w:p>
        </w:tc>
        <w:tc>
          <w:tcPr>
            <w:tcW w:w="709" w:type="dxa"/>
            <w:vMerge/>
            <w:shd w:val="clear" w:color="auto" w:fill="D9D9D9" w:themeFill="background1" w:themeFillShade="D9"/>
            <w:noWrap/>
          </w:tcPr>
          <w:p w14:paraId="2588497A" w14:textId="77777777" w:rsidR="00E4549F" w:rsidRPr="00D518FF" w:rsidRDefault="00E4549F" w:rsidP="00F614C8">
            <w:pPr>
              <w:pStyle w:val="2024TABLEHEADER"/>
              <w:spacing w:before="0" w:after="0" w:line="240" w:lineRule="auto"/>
              <w:rPr>
                <w:sz w:val="16"/>
                <w:szCs w:val="16"/>
              </w:rPr>
            </w:pPr>
          </w:p>
        </w:tc>
        <w:tc>
          <w:tcPr>
            <w:tcW w:w="1701" w:type="dxa"/>
            <w:gridSpan w:val="2"/>
            <w:shd w:val="clear" w:color="auto" w:fill="D9D9D9" w:themeFill="background1" w:themeFillShade="D9"/>
            <w:noWrap/>
          </w:tcPr>
          <w:p w14:paraId="787783CA" w14:textId="77777777" w:rsidR="00E4549F" w:rsidRPr="00D518FF" w:rsidRDefault="00E4549F" w:rsidP="00F614C8">
            <w:pPr>
              <w:pStyle w:val="2024TABLEHEADER"/>
              <w:spacing w:before="0" w:after="0" w:line="240" w:lineRule="auto"/>
              <w:rPr>
                <w:sz w:val="16"/>
                <w:szCs w:val="16"/>
              </w:rPr>
            </w:pPr>
            <w:r w:rsidRPr="00D518FF">
              <w:rPr>
                <w:sz w:val="16"/>
                <w:szCs w:val="16"/>
              </w:rPr>
              <w:t>Results - absolute effects</w:t>
            </w:r>
          </w:p>
        </w:tc>
        <w:tc>
          <w:tcPr>
            <w:tcW w:w="1276" w:type="dxa"/>
            <w:vMerge w:val="restart"/>
            <w:shd w:val="clear" w:color="auto" w:fill="D9D9D9" w:themeFill="background1" w:themeFillShade="D9"/>
            <w:noWrap/>
          </w:tcPr>
          <w:p w14:paraId="1C07DE9C" w14:textId="77777777" w:rsidR="00E4549F" w:rsidRPr="00D518FF" w:rsidRDefault="00E4549F" w:rsidP="00F614C8">
            <w:pPr>
              <w:pStyle w:val="2024TABLEHEADER"/>
              <w:spacing w:before="0" w:after="0" w:line="240" w:lineRule="auto"/>
              <w:rPr>
                <w:sz w:val="16"/>
                <w:szCs w:val="16"/>
              </w:rPr>
            </w:pPr>
            <w:r w:rsidRPr="00D518FF">
              <w:rPr>
                <w:sz w:val="16"/>
                <w:szCs w:val="16"/>
              </w:rPr>
              <w:t>Relative effect (95% CI)</w:t>
            </w:r>
          </w:p>
        </w:tc>
        <w:tc>
          <w:tcPr>
            <w:tcW w:w="850" w:type="dxa"/>
            <w:vMerge w:val="restart"/>
            <w:shd w:val="clear" w:color="auto" w:fill="D9D9D9" w:themeFill="background1" w:themeFillShade="D9"/>
            <w:noWrap/>
          </w:tcPr>
          <w:p w14:paraId="74F3D4D2" w14:textId="77777777" w:rsidR="00E4549F" w:rsidRPr="00D518FF" w:rsidRDefault="00E4549F" w:rsidP="00F614C8">
            <w:pPr>
              <w:pStyle w:val="2024TABLEHEADER"/>
              <w:spacing w:before="0" w:after="0" w:line="240" w:lineRule="auto"/>
              <w:rPr>
                <w:sz w:val="16"/>
                <w:szCs w:val="16"/>
              </w:rPr>
            </w:pPr>
            <w:r w:rsidRPr="00D518FF">
              <w:rPr>
                <w:sz w:val="16"/>
                <w:szCs w:val="16"/>
              </w:rPr>
              <w:t>Other reported results</w:t>
            </w:r>
          </w:p>
        </w:tc>
        <w:tc>
          <w:tcPr>
            <w:tcW w:w="993" w:type="dxa"/>
            <w:vMerge w:val="restart"/>
            <w:shd w:val="clear" w:color="auto" w:fill="D9D9D9" w:themeFill="background1" w:themeFillShade="D9"/>
            <w:noWrap/>
          </w:tcPr>
          <w:p w14:paraId="49386770" w14:textId="77777777" w:rsidR="00E4549F" w:rsidRPr="00D518FF" w:rsidRDefault="00E4549F" w:rsidP="00F614C8">
            <w:pPr>
              <w:pStyle w:val="2024TABLEHEADER"/>
              <w:spacing w:before="0" w:after="0" w:line="240" w:lineRule="auto"/>
              <w:rPr>
                <w:sz w:val="16"/>
                <w:szCs w:val="16"/>
              </w:rPr>
            </w:pPr>
            <w:r>
              <w:rPr>
                <w:sz w:val="16"/>
                <w:szCs w:val="16"/>
              </w:rPr>
              <w:t>Risk of bias</w:t>
            </w:r>
            <w:r w:rsidRPr="00D518FF">
              <w:rPr>
                <w:sz w:val="16"/>
                <w:szCs w:val="16"/>
              </w:rPr>
              <w:t xml:space="preserve"> s</w:t>
            </w:r>
            <w:r>
              <w:rPr>
                <w:sz w:val="16"/>
                <w:szCs w:val="16"/>
              </w:rPr>
              <w:t>ummary (primary studies)</w:t>
            </w:r>
          </w:p>
        </w:tc>
        <w:tc>
          <w:tcPr>
            <w:tcW w:w="783" w:type="dxa"/>
            <w:vMerge/>
            <w:shd w:val="clear" w:color="auto" w:fill="D9D9D9" w:themeFill="background1" w:themeFillShade="D9"/>
          </w:tcPr>
          <w:p w14:paraId="13E503F0" w14:textId="77777777" w:rsidR="00E4549F" w:rsidRPr="00D518FF" w:rsidRDefault="00E4549F" w:rsidP="00F614C8">
            <w:pPr>
              <w:pStyle w:val="2024TABLEHEADER"/>
              <w:spacing w:before="0" w:after="0" w:line="240" w:lineRule="auto"/>
              <w:rPr>
                <w:sz w:val="16"/>
                <w:szCs w:val="16"/>
              </w:rPr>
            </w:pPr>
          </w:p>
        </w:tc>
      </w:tr>
      <w:tr w:rsidR="00E4549F" w:rsidRPr="00D518FF" w14:paraId="15ABAC7C" w14:textId="77777777" w:rsidTr="004C6AA1">
        <w:trPr>
          <w:trHeight w:val="320"/>
        </w:trPr>
        <w:tc>
          <w:tcPr>
            <w:tcW w:w="704" w:type="dxa"/>
            <w:vMerge/>
            <w:shd w:val="clear" w:color="auto" w:fill="F2F2F2" w:themeFill="background1" w:themeFillShade="F2"/>
            <w:noWrap/>
          </w:tcPr>
          <w:p w14:paraId="272CE4DE" w14:textId="77777777" w:rsidR="00E4549F" w:rsidRPr="00D518FF" w:rsidRDefault="00E4549F" w:rsidP="00F614C8">
            <w:pPr>
              <w:pStyle w:val="2024TABLEHEADER"/>
              <w:spacing w:before="0" w:after="0" w:line="240" w:lineRule="auto"/>
              <w:rPr>
                <w:sz w:val="16"/>
                <w:szCs w:val="16"/>
              </w:rPr>
            </w:pPr>
          </w:p>
        </w:tc>
        <w:tc>
          <w:tcPr>
            <w:tcW w:w="709" w:type="dxa"/>
            <w:vMerge/>
            <w:shd w:val="clear" w:color="auto" w:fill="F2F2F2" w:themeFill="background1" w:themeFillShade="F2"/>
            <w:noWrap/>
          </w:tcPr>
          <w:p w14:paraId="0054DD49" w14:textId="77777777" w:rsidR="00E4549F" w:rsidRPr="00D518FF" w:rsidRDefault="00E4549F" w:rsidP="00F614C8">
            <w:pPr>
              <w:pStyle w:val="2024TABLEHEADER"/>
              <w:spacing w:before="0" w:after="0" w:line="240" w:lineRule="auto"/>
              <w:rPr>
                <w:sz w:val="16"/>
                <w:szCs w:val="16"/>
              </w:rPr>
            </w:pPr>
          </w:p>
        </w:tc>
        <w:tc>
          <w:tcPr>
            <w:tcW w:w="1134" w:type="dxa"/>
            <w:vMerge/>
            <w:shd w:val="clear" w:color="auto" w:fill="F2F2F2" w:themeFill="background1" w:themeFillShade="F2"/>
            <w:noWrap/>
          </w:tcPr>
          <w:p w14:paraId="52B9FBAE" w14:textId="77777777" w:rsidR="00E4549F" w:rsidRPr="00D518FF" w:rsidRDefault="00E4549F" w:rsidP="00F614C8">
            <w:pPr>
              <w:pStyle w:val="2024TABLEHEADER"/>
              <w:spacing w:before="0" w:after="0" w:line="240" w:lineRule="auto"/>
              <w:rPr>
                <w:sz w:val="16"/>
                <w:szCs w:val="16"/>
              </w:rPr>
            </w:pPr>
          </w:p>
        </w:tc>
        <w:tc>
          <w:tcPr>
            <w:tcW w:w="1276" w:type="dxa"/>
            <w:vMerge/>
            <w:shd w:val="clear" w:color="auto" w:fill="F2F2F2" w:themeFill="background1" w:themeFillShade="F2"/>
            <w:noWrap/>
          </w:tcPr>
          <w:p w14:paraId="43F92AF6" w14:textId="77777777" w:rsidR="00E4549F" w:rsidRPr="00D518FF" w:rsidRDefault="00E4549F" w:rsidP="00F614C8">
            <w:pPr>
              <w:pStyle w:val="2024TABLEHEADER"/>
              <w:spacing w:before="0" w:after="0" w:line="240" w:lineRule="auto"/>
              <w:rPr>
                <w:sz w:val="16"/>
                <w:szCs w:val="16"/>
              </w:rPr>
            </w:pPr>
          </w:p>
        </w:tc>
        <w:tc>
          <w:tcPr>
            <w:tcW w:w="992" w:type="dxa"/>
            <w:vMerge/>
            <w:shd w:val="clear" w:color="auto" w:fill="F2F2F2" w:themeFill="background1" w:themeFillShade="F2"/>
            <w:noWrap/>
          </w:tcPr>
          <w:p w14:paraId="48F2050B" w14:textId="77777777" w:rsidR="00E4549F" w:rsidRPr="00D518FF" w:rsidRDefault="00E4549F" w:rsidP="00F614C8">
            <w:pPr>
              <w:pStyle w:val="2024TABLEHEADER"/>
              <w:spacing w:before="0" w:after="0" w:line="240" w:lineRule="auto"/>
              <w:rPr>
                <w:sz w:val="16"/>
                <w:szCs w:val="16"/>
              </w:rPr>
            </w:pPr>
          </w:p>
        </w:tc>
        <w:tc>
          <w:tcPr>
            <w:tcW w:w="1042" w:type="dxa"/>
            <w:vMerge/>
            <w:shd w:val="clear" w:color="auto" w:fill="F2F2F2" w:themeFill="background1" w:themeFillShade="F2"/>
            <w:noWrap/>
          </w:tcPr>
          <w:p w14:paraId="07B8637F" w14:textId="77777777" w:rsidR="00E4549F" w:rsidRPr="00D518FF" w:rsidRDefault="00E4549F" w:rsidP="00F614C8">
            <w:pPr>
              <w:pStyle w:val="2024TABLEHEADER"/>
              <w:spacing w:before="0" w:after="0" w:line="240" w:lineRule="auto"/>
              <w:rPr>
                <w:sz w:val="16"/>
                <w:szCs w:val="16"/>
              </w:rPr>
            </w:pPr>
          </w:p>
        </w:tc>
        <w:tc>
          <w:tcPr>
            <w:tcW w:w="801" w:type="dxa"/>
            <w:vMerge/>
            <w:shd w:val="clear" w:color="auto" w:fill="F2F2F2" w:themeFill="background1" w:themeFillShade="F2"/>
            <w:noWrap/>
          </w:tcPr>
          <w:p w14:paraId="47CDB336" w14:textId="77777777" w:rsidR="00E4549F" w:rsidRPr="00D518FF" w:rsidRDefault="00E4549F" w:rsidP="00F614C8">
            <w:pPr>
              <w:pStyle w:val="2024TABLEHEADER"/>
              <w:spacing w:before="0" w:after="0" w:line="240" w:lineRule="auto"/>
              <w:rPr>
                <w:sz w:val="16"/>
                <w:szCs w:val="16"/>
              </w:rPr>
            </w:pPr>
          </w:p>
        </w:tc>
        <w:tc>
          <w:tcPr>
            <w:tcW w:w="567" w:type="dxa"/>
            <w:vMerge/>
            <w:shd w:val="clear" w:color="auto" w:fill="F2F2F2" w:themeFill="background1" w:themeFillShade="F2"/>
            <w:noWrap/>
          </w:tcPr>
          <w:p w14:paraId="396101AC" w14:textId="77777777" w:rsidR="00E4549F" w:rsidRPr="00D518FF" w:rsidRDefault="00E4549F" w:rsidP="00F614C8">
            <w:pPr>
              <w:pStyle w:val="2024TABLEHEADER"/>
              <w:spacing w:before="0" w:after="0" w:line="240" w:lineRule="auto"/>
              <w:rPr>
                <w:sz w:val="16"/>
                <w:szCs w:val="16"/>
              </w:rPr>
            </w:pPr>
          </w:p>
        </w:tc>
        <w:tc>
          <w:tcPr>
            <w:tcW w:w="708" w:type="dxa"/>
            <w:vMerge/>
            <w:shd w:val="clear" w:color="auto" w:fill="F2F2F2" w:themeFill="background1" w:themeFillShade="F2"/>
            <w:noWrap/>
          </w:tcPr>
          <w:p w14:paraId="598A0244" w14:textId="77777777" w:rsidR="00E4549F" w:rsidRPr="00D518FF" w:rsidRDefault="00E4549F" w:rsidP="00F614C8">
            <w:pPr>
              <w:pStyle w:val="2024TABLEHEADER"/>
              <w:spacing w:before="0" w:after="0" w:line="240" w:lineRule="auto"/>
              <w:rPr>
                <w:sz w:val="16"/>
                <w:szCs w:val="16"/>
              </w:rPr>
            </w:pPr>
          </w:p>
        </w:tc>
        <w:tc>
          <w:tcPr>
            <w:tcW w:w="709" w:type="dxa"/>
            <w:vMerge/>
            <w:shd w:val="clear" w:color="auto" w:fill="F2F2F2" w:themeFill="background1" w:themeFillShade="F2"/>
            <w:noWrap/>
          </w:tcPr>
          <w:p w14:paraId="1E85E24B" w14:textId="77777777" w:rsidR="00E4549F" w:rsidRPr="00D518FF" w:rsidRDefault="00E4549F" w:rsidP="00F614C8">
            <w:pPr>
              <w:pStyle w:val="2024TABLEHEADER"/>
              <w:spacing w:before="0" w:after="0" w:line="240" w:lineRule="auto"/>
              <w:rPr>
                <w:sz w:val="16"/>
                <w:szCs w:val="16"/>
              </w:rPr>
            </w:pPr>
          </w:p>
        </w:tc>
        <w:tc>
          <w:tcPr>
            <w:tcW w:w="709" w:type="dxa"/>
            <w:shd w:val="clear" w:color="auto" w:fill="D9D9D9" w:themeFill="background1" w:themeFillShade="D9"/>
            <w:noWrap/>
          </w:tcPr>
          <w:p w14:paraId="114706D4" w14:textId="77777777" w:rsidR="00E4549F" w:rsidRPr="00D518FF" w:rsidRDefault="00E4549F" w:rsidP="00F614C8">
            <w:pPr>
              <w:pStyle w:val="2024TABLEHEADER"/>
              <w:spacing w:before="0" w:after="0" w:line="240" w:lineRule="auto"/>
              <w:rPr>
                <w:sz w:val="16"/>
                <w:szCs w:val="16"/>
              </w:rPr>
            </w:pPr>
            <w:r w:rsidRPr="00D518FF">
              <w:rPr>
                <w:sz w:val="16"/>
                <w:szCs w:val="16"/>
              </w:rPr>
              <w:t xml:space="preserve">Risk with control </w:t>
            </w:r>
          </w:p>
        </w:tc>
        <w:tc>
          <w:tcPr>
            <w:tcW w:w="992" w:type="dxa"/>
            <w:shd w:val="clear" w:color="auto" w:fill="D9D9D9" w:themeFill="background1" w:themeFillShade="D9"/>
            <w:noWrap/>
          </w:tcPr>
          <w:p w14:paraId="6CDDB39A" w14:textId="77777777" w:rsidR="00E4549F" w:rsidRPr="00D518FF" w:rsidRDefault="00E4549F" w:rsidP="00F614C8">
            <w:pPr>
              <w:pStyle w:val="2024TABLEHEADER"/>
              <w:spacing w:before="0" w:after="0" w:line="240" w:lineRule="auto"/>
              <w:rPr>
                <w:sz w:val="16"/>
                <w:szCs w:val="16"/>
              </w:rPr>
            </w:pPr>
            <w:r w:rsidRPr="00D518FF">
              <w:rPr>
                <w:sz w:val="16"/>
                <w:szCs w:val="16"/>
              </w:rPr>
              <w:t>Risk with intervention</w:t>
            </w:r>
          </w:p>
        </w:tc>
        <w:tc>
          <w:tcPr>
            <w:tcW w:w="1276" w:type="dxa"/>
            <w:vMerge/>
            <w:shd w:val="clear" w:color="auto" w:fill="F2F2F2" w:themeFill="background1" w:themeFillShade="F2"/>
            <w:noWrap/>
          </w:tcPr>
          <w:p w14:paraId="10400AD1" w14:textId="77777777" w:rsidR="00E4549F" w:rsidRPr="00D518FF" w:rsidRDefault="00E4549F" w:rsidP="00F614C8">
            <w:pPr>
              <w:pStyle w:val="2024TABLEHEADER"/>
              <w:spacing w:before="0" w:after="0" w:line="240" w:lineRule="auto"/>
              <w:rPr>
                <w:sz w:val="16"/>
                <w:szCs w:val="16"/>
              </w:rPr>
            </w:pPr>
          </w:p>
        </w:tc>
        <w:tc>
          <w:tcPr>
            <w:tcW w:w="850" w:type="dxa"/>
            <w:vMerge/>
            <w:shd w:val="clear" w:color="auto" w:fill="F2F2F2" w:themeFill="background1" w:themeFillShade="F2"/>
            <w:noWrap/>
          </w:tcPr>
          <w:p w14:paraId="03EBAEC0" w14:textId="77777777" w:rsidR="00E4549F" w:rsidRPr="00D518FF" w:rsidRDefault="00E4549F" w:rsidP="00F614C8">
            <w:pPr>
              <w:pStyle w:val="2024TABLEHEADER"/>
              <w:spacing w:before="0" w:after="0" w:line="240" w:lineRule="auto"/>
              <w:rPr>
                <w:sz w:val="16"/>
                <w:szCs w:val="16"/>
              </w:rPr>
            </w:pPr>
          </w:p>
        </w:tc>
        <w:tc>
          <w:tcPr>
            <w:tcW w:w="993" w:type="dxa"/>
            <w:vMerge/>
            <w:shd w:val="clear" w:color="auto" w:fill="F2F2F2" w:themeFill="background1" w:themeFillShade="F2"/>
            <w:noWrap/>
          </w:tcPr>
          <w:p w14:paraId="039B9F6B" w14:textId="77777777" w:rsidR="00E4549F" w:rsidRPr="00D518FF" w:rsidRDefault="00E4549F" w:rsidP="00F614C8">
            <w:pPr>
              <w:pStyle w:val="2024TABLEHEADER"/>
              <w:spacing w:before="0" w:after="0" w:line="240" w:lineRule="auto"/>
              <w:rPr>
                <w:sz w:val="16"/>
                <w:szCs w:val="16"/>
              </w:rPr>
            </w:pPr>
          </w:p>
        </w:tc>
        <w:tc>
          <w:tcPr>
            <w:tcW w:w="783" w:type="dxa"/>
            <w:vMerge/>
            <w:shd w:val="clear" w:color="auto" w:fill="D9D9D9" w:themeFill="background1" w:themeFillShade="D9"/>
          </w:tcPr>
          <w:p w14:paraId="043F9109" w14:textId="77777777" w:rsidR="00E4549F" w:rsidRPr="00D518FF" w:rsidRDefault="00E4549F" w:rsidP="00F614C8">
            <w:pPr>
              <w:pStyle w:val="2024TABLEHEADER"/>
              <w:spacing w:before="0" w:after="0" w:line="240" w:lineRule="auto"/>
              <w:rPr>
                <w:sz w:val="16"/>
                <w:szCs w:val="16"/>
              </w:rPr>
            </w:pPr>
          </w:p>
        </w:tc>
      </w:tr>
      <w:tr w:rsidR="00E4549F" w:rsidRPr="00D518FF" w14:paraId="5572279F" w14:textId="77777777" w:rsidTr="004C6AA1">
        <w:trPr>
          <w:trHeight w:val="320"/>
        </w:trPr>
        <w:tc>
          <w:tcPr>
            <w:tcW w:w="704" w:type="dxa"/>
            <w:shd w:val="clear" w:color="auto" w:fill="auto"/>
            <w:noWrap/>
            <w:hideMark/>
          </w:tcPr>
          <w:p w14:paraId="5D9A70F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Appleton 2021</w:t>
            </w:r>
          </w:p>
        </w:tc>
        <w:tc>
          <w:tcPr>
            <w:tcW w:w="709" w:type="dxa"/>
            <w:shd w:val="clear" w:color="auto" w:fill="auto"/>
            <w:noWrap/>
            <w:hideMark/>
          </w:tcPr>
          <w:p w14:paraId="08ED1E8F"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w:t>
            </w:r>
          </w:p>
        </w:tc>
        <w:tc>
          <w:tcPr>
            <w:tcW w:w="1134" w:type="dxa"/>
            <w:vMerge w:val="restart"/>
            <w:shd w:val="clear" w:color="auto" w:fill="auto"/>
            <w:noWrap/>
          </w:tcPr>
          <w:p w14:paraId="0BBA1178"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With condition</w:t>
            </w:r>
          </w:p>
        </w:tc>
        <w:tc>
          <w:tcPr>
            <w:tcW w:w="1276" w:type="dxa"/>
            <w:vMerge w:val="restart"/>
            <w:shd w:val="clear" w:color="auto" w:fill="auto"/>
            <w:noWrap/>
          </w:tcPr>
          <w:p w14:paraId="7C3CE0F0"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Adults with a diagnosis of "depression" or "depressive disorder", given by a trained professional meeting a recognised diagnostic schedule</w:t>
            </w:r>
          </w:p>
        </w:tc>
        <w:tc>
          <w:tcPr>
            <w:tcW w:w="992" w:type="dxa"/>
            <w:vMerge w:val="restart"/>
            <w:shd w:val="clear" w:color="auto" w:fill="auto"/>
            <w:noWrap/>
          </w:tcPr>
          <w:p w14:paraId="468E47CE"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Eligible supplement Vs placebo/ inactive control</w:t>
            </w:r>
          </w:p>
        </w:tc>
        <w:tc>
          <w:tcPr>
            <w:tcW w:w="1042" w:type="dxa"/>
            <w:vMerge w:val="restart"/>
            <w:shd w:val="clear" w:color="auto" w:fill="auto"/>
            <w:noWrap/>
          </w:tcPr>
          <w:p w14:paraId="5B6583F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n3 PUFAs</w:t>
            </w:r>
          </w:p>
        </w:tc>
        <w:tc>
          <w:tcPr>
            <w:tcW w:w="801" w:type="dxa"/>
            <w:vMerge w:val="restart"/>
            <w:shd w:val="clear" w:color="auto" w:fill="auto"/>
            <w:noWrap/>
          </w:tcPr>
          <w:p w14:paraId="6084D500"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Placebo/ inactive control</w:t>
            </w:r>
          </w:p>
        </w:tc>
        <w:tc>
          <w:tcPr>
            <w:tcW w:w="567" w:type="dxa"/>
            <w:shd w:val="clear" w:color="auto" w:fill="auto"/>
            <w:noWrap/>
            <w:hideMark/>
          </w:tcPr>
          <w:p w14:paraId="62EC504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33</w:t>
            </w:r>
          </w:p>
        </w:tc>
        <w:tc>
          <w:tcPr>
            <w:tcW w:w="708" w:type="dxa"/>
            <w:shd w:val="clear" w:color="auto" w:fill="auto"/>
            <w:noWrap/>
            <w:hideMark/>
          </w:tcPr>
          <w:p w14:paraId="1ED036C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1848</w:t>
            </w:r>
          </w:p>
        </w:tc>
        <w:tc>
          <w:tcPr>
            <w:tcW w:w="709" w:type="dxa"/>
            <w:shd w:val="clear" w:color="auto" w:fill="auto"/>
            <w:noWrap/>
            <w:hideMark/>
          </w:tcPr>
          <w:p w14:paraId="34D2C76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Depressive symptomology (continuous)</w:t>
            </w:r>
          </w:p>
        </w:tc>
        <w:tc>
          <w:tcPr>
            <w:tcW w:w="709" w:type="dxa"/>
            <w:shd w:val="clear" w:color="auto" w:fill="auto"/>
            <w:noWrap/>
            <w:hideMark/>
          </w:tcPr>
          <w:p w14:paraId="1538F3C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NR</w:t>
            </w:r>
          </w:p>
        </w:tc>
        <w:tc>
          <w:tcPr>
            <w:tcW w:w="992" w:type="dxa"/>
            <w:shd w:val="clear" w:color="auto" w:fill="auto"/>
            <w:noWrap/>
            <w:hideMark/>
          </w:tcPr>
          <w:p w14:paraId="44ED74C2"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NR</w:t>
            </w:r>
          </w:p>
        </w:tc>
        <w:tc>
          <w:tcPr>
            <w:tcW w:w="1276" w:type="dxa"/>
            <w:shd w:val="clear" w:color="auto" w:fill="auto"/>
            <w:noWrap/>
            <w:hideMark/>
          </w:tcPr>
          <w:p w14:paraId="64A5114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SMD = </w:t>
            </w:r>
            <w:r w:rsidRPr="00D518FF">
              <w:rPr>
                <w:rFonts w:ascii="Aptos" w:hAnsi="Aptos"/>
                <w:sz w:val="16"/>
                <w:szCs w:val="16"/>
              </w:rPr>
              <w:t>–</w:t>
            </w:r>
            <w:r w:rsidRPr="00D518FF">
              <w:rPr>
                <w:rFonts w:ascii="Aptos" w:hAnsi="Aptos" w:cs="Calibri"/>
                <w:color w:val="000000"/>
                <w:sz w:val="16"/>
                <w:szCs w:val="16"/>
              </w:rPr>
              <w:t>0.40 (</w:t>
            </w:r>
            <w:r w:rsidRPr="00D518FF">
              <w:rPr>
                <w:rFonts w:ascii="Aptos" w:hAnsi="Aptos"/>
                <w:sz w:val="16"/>
                <w:szCs w:val="16"/>
              </w:rPr>
              <w:t>–</w:t>
            </w:r>
            <w:r w:rsidRPr="00D518FF">
              <w:rPr>
                <w:rFonts w:ascii="Aptos" w:hAnsi="Aptos" w:cs="Calibri"/>
                <w:color w:val="000000"/>
                <w:sz w:val="16"/>
                <w:szCs w:val="16"/>
              </w:rPr>
              <w:t>0.64 to 0.16)</w:t>
            </w:r>
          </w:p>
        </w:tc>
        <w:tc>
          <w:tcPr>
            <w:tcW w:w="850" w:type="dxa"/>
            <w:shd w:val="clear" w:color="auto" w:fill="auto"/>
            <w:noWrap/>
            <w:hideMark/>
          </w:tcPr>
          <w:p w14:paraId="2B95236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3" w:type="dxa"/>
            <w:shd w:val="clear" w:color="auto" w:fill="auto"/>
            <w:noWrap/>
            <w:hideMark/>
          </w:tcPr>
          <w:p w14:paraId="137C8A0E"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H</w:t>
            </w:r>
            <w:r w:rsidRPr="0037542F">
              <w:rPr>
                <w:rFonts w:ascii="Aptos" w:hAnsi="Aptos" w:cs="Calibri"/>
                <w:color w:val="000000"/>
                <w:sz w:val="16"/>
                <w:szCs w:val="16"/>
              </w:rPr>
              <w:t>igh risk of bias in all studies, and different effects when comparing analyses including only those studies with judgements of low risk of selection bias (allocation concealment), performance bias (blinding of participants and personnel), or attrition bias (incomplete outcome data), and analyses including all studies.</w:t>
            </w:r>
          </w:p>
        </w:tc>
        <w:tc>
          <w:tcPr>
            <w:tcW w:w="783" w:type="dxa"/>
          </w:tcPr>
          <w:p w14:paraId="2BC8E7D2"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Low risk</w:t>
            </w:r>
          </w:p>
        </w:tc>
      </w:tr>
      <w:tr w:rsidR="00E4549F" w:rsidRPr="00D518FF" w14:paraId="590E47DB" w14:textId="77777777" w:rsidTr="004C6AA1">
        <w:trPr>
          <w:trHeight w:val="320"/>
        </w:trPr>
        <w:tc>
          <w:tcPr>
            <w:tcW w:w="704" w:type="dxa"/>
            <w:shd w:val="clear" w:color="auto" w:fill="auto"/>
            <w:noWrap/>
            <w:hideMark/>
          </w:tcPr>
          <w:p w14:paraId="1766F1C8"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Appleton 2021</w:t>
            </w:r>
          </w:p>
        </w:tc>
        <w:tc>
          <w:tcPr>
            <w:tcW w:w="709" w:type="dxa"/>
            <w:shd w:val="clear" w:color="auto" w:fill="auto"/>
            <w:noWrap/>
            <w:hideMark/>
          </w:tcPr>
          <w:p w14:paraId="6356322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2</w:t>
            </w:r>
          </w:p>
        </w:tc>
        <w:tc>
          <w:tcPr>
            <w:tcW w:w="1134" w:type="dxa"/>
            <w:vMerge/>
            <w:shd w:val="clear" w:color="auto" w:fill="auto"/>
            <w:noWrap/>
            <w:hideMark/>
          </w:tcPr>
          <w:p w14:paraId="7CCF4B0C" w14:textId="77777777" w:rsidR="00E4549F" w:rsidRPr="00D518FF" w:rsidRDefault="00E4549F" w:rsidP="00F614C8">
            <w:pPr>
              <w:rPr>
                <w:rFonts w:ascii="Aptos" w:hAnsi="Aptos" w:cs="Calibri"/>
                <w:color w:val="000000"/>
                <w:sz w:val="16"/>
                <w:szCs w:val="16"/>
              </w:rPr>
            </w:pPr>
          </w:p>
        </w:tc>
        <w:tc>
          <w:tcPr>
            <w:tcW w:w="1276" w:type="dxa"/>
            <w:vMerge/>
            <w:shd w:val="clear" w:color="auto" w:fill="auto"/>
            <w:noWrap/>
            <w:hideMark/>
          </w:tcPr>
          <w:p w14:paraId="377F0ABD" w14:textId="77777777" w:rsidR="00E4549F" w:rsidRPr="00D518FF" w:rsidRDefault="00E4549F" w:rsidP="00F614C8">
            <w:pPr>
              <w:rPr>
                <w:rFonts w:ascii="Aptos" w:hAnsi="Aptos" w:cs="Calibri"/>
                <w:color w:val="000000"/>
                <w:sz w:val="16"/>
                <w:szCs w:val="16"/>
              </w:rPr>
            </w:pPr>
          </w:p>
        </w:tc>
        <w:tc>
          <w:tcPr>
            <w:tcW w:w="992" w:type="dxa"/>
            <w:vMerge/>
            <w:shd w:val="clear" w:color="auto" w:fill="auto"/>
            <w:noWrap/>
            <w:hideMark/>
          </w:tcPr>
          <w:p w14:paraId="1FCBC669" w14:textId="77777777" w:rsidR="00E4549F" w:rsidRPr="00D518FF" w:rsidRDefault="00E4549F" w:rsidP="00F614C8">
            <w:pPr>
              <w:rPr>
                <w:rFonts w:ascii="Aptos" w:hAnsi="Aptos" w:cs="Calibri"/>
                <w:color w:val="000000"/>
                <w:sz w:val="16"/>
                <w:szCs w:val="16"/>
              </w:rPr>
            </w:pPr>
          </w:p>
        </w:tc>
        <w:tc>
          <w:tcPr>
            <w:tcW w:w="1042" w:type="dxa"/>
            <w:vMerge/>
            <w:shd w:val="clear" w:color="auto" w:fill="auto"/>
            <w:noWrap/>
            <w:hideMark/>
          </w:tcPr>
          <w:p w14:paraId="67876423" w14:textId="77777777" w:rsidR="00E4549F" w:rsidRPr="00D518FF" w:rsidRDefault="00E4549F" w:rsidP="00F614C8">
            <w:pPr>
              <w:rPr>
                <w:rFonts w:ascii="Aptos" w:hAnsi="Aptos" w:cs="Calibri"/>
                <w:color w:val="000000"/>
                <w:sz w:val="16"/>
                <w:szCs w:val="16"/>
              </w:rPr>
            </w:pPr>
          </w:p>
        </w:tc>
        <w:tc>
          <w:tcPr>
            <w:tcW w:w="801" w:type="dxa"/>
            <w:vMerge/>
            <w:shd w:val="clear" w:color="auto" w:fill="auto"/>
            <w:noWrap/>
            <w:hideMark/>
          </w:tcPr>
          <w:p w14:paraId="5019832E" w14:textId="77777777" w:rsidR="00E4549F" w:rsidRPr="00D518FF" w:rsidRDefault="00E4549F" w:rsidP="00F614C8">
            <w:pPr>
              <w:rPr>
                <w:rFonts w:ascii="Aptos" w:hAnsi="Aptos" w:cs="Calibri"/>
                <w:color w:val="000000"/>
                <w:sz w:val="16"/>
                <w:szCs w:val="16"/>
              </w:rPr>
            </w:pPr>
          </w:p>
        </w:tc>
        <w:tc>
          <w:tcPr>
            <w:tcW w:w="567" w:type="dxa"/>
            <w:shd w:val="clear" w:color="auto" w:fill="auto"/>
            <w:noWrap/>
            <w:hideMark/>
          </w:tcPr>
          <w:p w14:paraId="7DCA6E33"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8</w:t>
            </w:r>
          </w:p>
        </w:tc>
        <w:tc>
          <w:tcPr>
            <w:tcW w:w="708" w:type="dxa"/>
            <w:shd w:val="clear" w:color="auto" w:fill="auto"/>
            <w:noWrap/>
            <w:hideMark/>
          </w:tcPr>
          <w:p w14:paraId="59F28958"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609</w:t>
            </w:r>
          </w:p>
        </w:tc>
        <w:tc>
          <w:tcPr>
            <w:tcW w:w="709" w:type="dxa"/>
            <w:shd w:val="clear" w:color="auto" w:fill="auto"/>
            <w:noWrap/>
            <w:hideMark/>
          </w:tcPr>
          <w:p w14:paraId="488BE7AF"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Depressive </w:t>
            </w:r>
            <w:r w:rsidRPr="00D518FF">
              <w:rPr>
                <w:rFonts w:ascii="Aptos" w:hAnsi="Aptos" w:cs="Calibri"/>
                <w:color w:val="000000"/>
                <w:sz w:val="16"/>
                <w:szCs w:val="16"/>
              </w:rPr>
              <w:lastRenderedPageBreak/>
              <w:t>symptomology (dichotomous - remission)</w:t>
            </w:r>
          </w:p>
        </w:tc>
        <w:tc>
          <w:tcPr>
            <w:tcW w:w="709" w:type="dxa"/>
            <w:shd w:val="clear" w:color="auto" w:fill="auto"/>
            <w:noWrap/>
            <w:hideMark/>
          </w:tcPr>
          <w:p w14:paraId="3A4401EF"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lastRenderedPageBreak/>
              <w:t>329 per 1000</w:t>
            </w:r>
          </w:p>
        </w:tc>
        <w:tc>
          <w:tcPr>
            <w:tcW w:w="992" w:type="dxa"/>
            <w:shd w:val="clear" w:color="auto" w:fill="auto"/>
            <w:noWrap/>
            <w:hideMark/>
          </w:tcPr>
          <w:p w14:paraId="5E0B141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356 per 1000</w:t>
            </w:r>
          </w:p>
        </w:tc>
        <w:tc>
          <w:tcPr>
            <w:tcW w:w="1276" w:type="dxa"/>
            <w:shd w:val="clear" w:color="auto" w:fill="auto"/>
            <w:noWrap/>
            <w:hideMark/>
          </w:tcPr>
          <w:p w14:paraId="6A0F00F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OR = 1.13</w:t>
            </w:r>
            <w:r w:rsidRPr="00D518FF">
              <w:rPr>
                <w:rFonts w:ascii="Aptos" w:hAnsi="Aptos" w:cs="Calibri"/>
                <w:color w:val="000000"/>
                <w:sz w:val="16"/>
                <w:szCs w:val="16"/>
              </w:rPr>
              <w:br/>
              <w:t>(0.74 to 1.72)</w:t>
            </w:r>
          </w:p>
        </w:tc>
        <w:tc>
          <w:tcPr>
            <w:tcW w:w="850" w:type="dxa"/>
            <w:shd w:val="clear" w:color="auto" w:fill="auto"/>
            <w:noWrap/>
            <w:hideMark/>
          </w:tcPr>
          <w:p w14:paraId="5CA4BD33"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3" w:type="dxa"/>
            <w:vMerge w:val="restart"/>
            <w:shd w:val="clear" w:color="auto" w:fill="auto"/>
            <w:noWrap/>
            <w:hideMark/>
          </w:tcPr>
          <w:p w14:paraId="36FB3395" w14:textId="77777777" w:rsidR="00E4549F" w:rsidRPr="00F214E7" w:rsidRDefault="00E4549F" w:rsidP="00F614C8">
            <w:pPr>
              <w:rPr>
                <w:rFonts w:ascii="Aptos" w:hAnsi="Aptos" w:cs="Calibri"/>
                <w:color w:val="000000"/>
                <w:sz w:val="16"/>
                <w:szCs w:val="16"/>
              </w:rPr>
            </w:pPr>
            <w:r w:rsidRPr="00F214E7">
              <w:rPr>
                <w:rFonts w:ascii="Aptos" w:hAnsi="Aptos" w:cs="Calibri"/>
                <w:color w:val="000000"/>
                <w:sz w:val="16"/>
                <w:szCs w:val="16"/>
              </w:rPr>
              <w:t xml:space="preserve">Judgements of high risk of </w:t>
            </w:r>
            <w:r w:rsidRPr="00F214E7">
              <w:rPr>
                <w:rFonts w:ascii="Aptos" w:hAnsi="Aptos" w:cs="Calibri"/>
                <w:color w:val="000000"/>
                <w:sz w:val="16"/>
                <w:szCs w:val="16"/>
              </w:rPr>
              <w:lastRenderedPageBreak/>
              <w:t>bias in all studies included in this analysis</w:t>
            </w:r>
            <w:r>
              <w:rPr>
                <w:rFonts w:ascii="Aptos" w:hAnsi="Aptos" w:cs="Calibri"/>
                <w:color w:val="000000"/>
                <w:sz w:val="16"/>
                <w:szCs w:val="16"/>
              </w:rPr>
              <w:t>.</w:t>
            </w:r>
          </w:p>
        </w:tc>
        <w:tc>
          <w:tcPr>
            <w:tcW w:w="783" w:type="dxa"/>
          </w:tcPr>
          <w:p w14:paraId="5DF69DBD"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lastRenderedPageBreak/>
              <w:t>Low risk</w:t>
            </w:r>
          </w:p>
        </w:tc>
      </w:tr>
      <w:tr w:rsidR="00E4549F" w:rsidRPr="00D518FF" w14:paraId="09468430" w14:textId="77777777" w:rsidTr="004C6AA1">
        <w:trPr>
          <w:trHeight w:val="320"/>
        </w:trPr>
        <w:tc>
          <w:tcPr>
            <w:tcW w:w="704" w:type="dxa"/>
            <w:shd w:val="clear" w:color="auto" w:fill="auto"/>
            <w:noWrap/>
            <w:hideMark/>
          </w:tcPr>
          <w:p w14:paraId="13E7817D"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Appleton 2021</w:t>
            </w:r>
          </w:p>
        </w:tc>
        <w:tc>
          <w:tcPr>
            <w:tcW w:w="709" w:type="dxa"/>
            <w:shd w:val="clear" w:color="auto" w:fill="auto"/>
            <w:noWrap/>
            <w:hideMark/>
          </w:tcPr>
          <w:p w14:paraId="335F659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2</w:t>
            </w:r>
          </w:p>
        </w:tc>
        <w:tc>
          <w:tcPr>
            <w:tcW w:w="1134" w:type="dxa"/>
            <w:vMerge/>
            <w:shd w:val="clear" w:color="auto" w:fill="auto"/>
            <w:noWrap/>
          </w:tcPr>
          <w:p w14:paraId="6DC908C7" w14:textId="77777777" w:rsidR="00E4549F" w:rsidRPr="00D518FF" w:rsidRDefault="00E4549F" w:rsidP="00F614C8">
            <w:pPr>
              <w:rPr>
                <w:rFonts w:ascii="Aptos" w:hAnsi="Aptos" w:cs="Calibri"/>
                <w:color w:val="000000"/>
                <w:sz w:val="16"/>
                <w:szCs w:val="16"/>
              </w:rPr>
            </w:pPr>
          </w:p>
        </w:tc>
        <w:tc>
          <w:tcPr>
            <w:tcW w:w="1276" w:type="dxa"/>
            <w:vMerge/>
            <w:shd w:val="clear" w:color="auto" w:fill="auto"/>
            <w:noWrap/>
          </w:tcPr>
          <w:p w14:paraId="5462999A" w14:textId="77777777" w:rsidR="00E4549F" w:rsidRPr="00D518FF" w:rsidRDefault="00E4549F" w:rsidP="00F614C8">
            <w:pPr>
              <w:rPr>
                <w:rFonts w:ascii="Aptos" w:hAnsi="Aptos" w:cs="Calibri"/>
                <w:color w:val="000000"/>
                <w:sz w:val="16"/>
                <w:szCs w:val="16"/>
              </w:rPr>
            </w:pPr>
          </w:p>
        </w:tc>
        <w:tc>
          <w:tcPr>
            <w:tcW w:w="992" w:type="dxa"/>
            <w:vMerge/>
            <w:shd w:val="clear" w:color="auto" w:fill="auto"/>
            <w:noWrap/>
          </w:tcPr>
          <w:p w14:paraId="65AB8495" w14:textId="77777777" w:rsidR="00E4549F" w:rsidRPr="00D518FF" w:rsidRDefault="00E4549F" w:rsidP="00F614C8">
            <w:pPr>
              <w:rPr>
                <w:rFonts w:ascii="Aptos" w:hAnsi="Aptos" w:cs="Calibri"/>
                <w:color w:val="000000"/>
                <w:sz w:val="16"/>
                <w:szCs w:val="16"/>
              </w:rPr>
            </w:pPr>
          </w:p>
        </w:tc>
        <w:tc>
          <w:tcPr>
            <w:tcW w:w="1042" w:type="dxa"/>
            <w:vMerge/>
            <w:shd w:val="clear" w:color="auto" w:fill="auto"/>
            <w:noWrap/>
          </w:tcPr>
          <w:p w14:paraId="000A2797" w14:textId="77777777" w:rsidR="00E4549F" w:rsidRPr="00D518FF" w:rsidRDefault="00E4549F" w:rsidP="00F614C8">
            <w:pPr>
              <w:rPr>
                <w:rFonts w:ascii="Aptos" w:hAnsi="Aptos" w:cs="Calibri"/>
                <w:color w:val="000000"/>
                <w:sz w:val="16"/>
                <w:szCs w:val="16"/>
              </w:rPr>
            </w:pPr>
          </w:p>
        </w:tc>
        <w:tc>
          <w:tcPr>
            <w:tcW w:w="801" w:type="dxa"/>
            <w:vMerge/>
            <w:shd w:val="clear" w:color="auto" w:fill="auto"/>
            <w:noWrap/>
            <w:hideMark/>
          </w:tcPr>
          <w:p w14:paraId="209D8F12" w14:textId="77777777" w:rsidR="00E4549F" w:rsidRPr="00D518FF" w:rsidRDefault="00E4549F" w:rsidP="00F614C8">
            <w:pPr>
              <w:rPr>
                <w:rFonts w:ascii="Aptos" w:hAnsi="Aptos" w:cs="Calibri"/>
                <w:color w:val="000000"/>
                <w:sz w:val="16"/>
                <w:szCs w:val="16"/>
              </w:rPr>
            </w:pPr>
          </w:p>
        </w:tc>
        <w:tc>
          <w:tcPr>
            <w:tcW w:w="567" w:type="dxa"/>
            <w:shd w:val="clear" w:color="auto" w:fill="auto"/>
            <w:noWrap/>
            <w:hideMark/>
          </w:tcPr>
          <w:p w14:paraId="5786566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17</w:t>
            </w:r>
          </w:p>
        </w:tc>
        <w:tc>
          <w:tcPr>
            <w:tcW w:w="708" w:type="dxa"/>
            <w:shd w:val="clear" w:color="auto" w:fill="auto"/>
            <w:noWrap/>
            <w:hideMark/>
          </w:tcPr>
          <w:p w14:paraId="57AD324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794</w:t>
            </w:r>
          </w:p>
        </w:tc>
        <w:tc>
          <w:tcPr>
            <w:tcW w:w="709" w:type="dxa"/>
            <w:shd w:val="clear" w:color="auto" w:fill="auto"/>
            <w:noWrap/>
            <w:hideMark/>
          </w:tcPr>
          <w:p w14:paraId="2A6F134E"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Depressive symptomology (dichotomous - response)</w:t>
            </w:r>
          </w:p>
        </w:tc>
        <w:tc>
          <w:tcPr>
            <w:tcW w:w="709" w:type="dxa"/>
            <w:shd w:val="clear" w:color="auto" w:fill="auto"/>
            <w:noWrap/>
            <w:hideMark/>
          </w:tcPr>
          <w:p w14:paraId="024469B0"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445 per 1000</w:t>
            </w:r>
          </w:p>
        </w:tc>
        <w:tc>
          <w:tcPr>
            <w:tcW w:w="992" w:type="dxa"/>
            <w:shd w:val="clear" w:color="auto" w:fill="auto"/>
            <w:noWrap/>
            <w:hideMark/>
          </w:tcPr>
          <w:p w14:paraId="159729F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490 per 1000</w:t>
            </w:r>
          </w:p>
        </w:tc>
        <w:tc>
          <w:tcPr>
            <w:tcW w:w="1276" w:type="dxa"/>
            <w:shd w:val="clear" w:color="auto" w:fill="auto"/>
            <w:noWrap/>
            <w:hideMark/>
          </w:tcPr>
          <w:p w14:paraId="6331452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OR = 1.20</w:t>
            </w:r>
            <w:r w:rsidRPr="00D518FF">
              <w:rPr>
                <w:rFonts w:ascii="Aptos" w:hAnsi="Aptos" w:cs="Calibri"/>
                <w:color w:val="000000"/>
                <w:sz w:val="16"/>
                <w:szCs w:val="16"/>
              </w:rPr>
              <w:br/>
              <w:t>(0.80 to 1.79)</w:t>
            </w:r>
          </w:p>
        </w:tc>
        <w:tc>
          <w:tcPr>
            <w:tcW w:w="850" w:type="dxa"/>
            <w:shd w:val="clear" w:color="auto" w:fill="auto"/>
            <w:noWrap/>
            <w:hideMark/>
          </w:tcPr>
          <w:p w14:paraId="74365C3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3" w:type="dxa"/>
            <w:vMerge/>
            <w:shd w:val="clear" w:color="auto" w:fill="auto"/>
            <w:noWrap/>
            <w:hideMark/>
          </w:tcPr>
          <w:p w14:paraId="647C26D5" w14:textId="77777777" w:rsidR="00E4549F" w:rsidRPr="00D518FF" w:rsidRDefault="00E4549F" w:rsidP="00F614C8">
            <w:pPr>
              <w:rPr>
                <w:rFonts w:ascii="Aptos" w:hAnsi="Aptos" w:cs="Calibri"/>
                <w:color w:val="000000"/>
                <w:sz w:val="16"/>
                <w:szCs w:val="16"/>
              </w:rPr>
            </w:pPr>
          </w:p>
        </w:tc>
        <w:tc>
          <w:tcPr>
            <w:tcW w:w="783" w:type="dxa"/>
          </w:tcPr>
          <w:p w14:paraId="09EAA19C"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Low risk</w:t>
            </w:r>
          </w:p>
        </w:tc>
      </w:tr>
      <w:tr w:rsidR="00E4549F" w:rsidRPr="00D518FF" w14:paraId="409EA74E" w14:textId="77777777" w:rsidTr="004C6AA1">
        <w:trPr>
          <w:trHeight w:val="320"/>
        </w:trPr>
        <w:tc>
          <w:tcPr>
            <w:tcW w:w="704" w:type="dxa"/>
            <w:shd w:val="clear" w:color="auto" w:fill="auto"/>
            <w:noWrap/>
            <w:hideMark/>
          </w:tcPr>
          <w:p w14:paraId="7149E6D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Appleton 2021</w:t>
            </w:r>
          </w:p>
        </w:tc>
        <w:tc>
          <w:tcPr>
            <w:tcW w:w="709" w:type="dxa"/>
            <w:shd w:val="clear" w:color="auto" w:fill="auto"/>
            <w:noWrap/>
            <w:hideMark/>
          </w:tcPr>
          <w:p w14:paraId="3B2A02A0"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6</w:t>
            </w:r>
          </w:p>
        </w:tc>
        <w:tc>
          <w:tcPr>
            <w:tcW w:w="1134" w:type="dxa"/>
            <w:vMerge/>
            <w:shd w:val="clear" w:color="auto" w:fill="auto"/>
            <w:noWrap/>
          </w:tcPr>
          <w:p w14:paraId="55B38E43" w14:textId="77777777" w:rsidR="00E4549F" w:rsidRPr="00D518FF" w:rsidRDefault="00E4549F" w:rsidP="00F614C8">
            <w:pPr>
              <w:rPr>
                <w:rFonts w:ascii="Aptos" w:hAnsi="Aptos" w:cs="Calibri"/>
                <w:color w:val="000000"/>
                <w:sz w:val="16"/>
                <w:szCs w:val="16"/>
              </w:rPr>
            </w:pPr>
          </w:p>
        </w:tc>
        <w:tc>
          <w:tcPr>
            <w:tcW w:w="1276" w:type="dxa"/>
            <w:vMerge/>
            <w:shd w:val="clear" w:color="auto" w:fill="auto"/>
            <w:noWrap/>
          </w:tcPr>
          <w:p w14:paraId="64658DE2" w14:textId="77777777" w:rsidR="00E4549F" w:rsidRPr="00D518FF" w:rsidRDefault="00E4549F" w:rsidP="00F614C8">
            <w:pPr>
              <w:rPr>
                <w:rFonts w:ascii="Aptos" w:hAnsi="Aptos" w:cs="Calibri"/>
                <w:color w:val="000000"/>
                <w:sz w:val="16"/>
                <w:szCs w:val="16"/>
              </w:rPr>
            </w:pPr>
          </w:p>
        </w:tc>
        <w:tc>
          <w:tcPr>
            <w:tcW w:w="992" w:type="dxa"/>
            <w:vMerge/>
            <w:shd w:val="clear" w:color="auto" w:fill="auto"/>
            <w:noWrap/>
          </w:tcPr>
          <w:p w14:paraId="2701065F" w14:textId="77777777" w:rsidR="00E4549F" w:rsidRPr="00D518FF" w:rsidRDefault="00E4549F" w:rsidP="00F614C8">
            <w:pPr>
              <w:rPr>
                <w:rFonts w:ascii="Aptos" w:hAnsi="Aptos" w:cs="Calibri"/>
                <w:color w:val="000000"/>
                <w:sz w:val="16"/>
                <w:szCs w:val="16"/>
              </w:rPr>
            </w:pPr>
          </w:p>
        </w:tc>
        <w:tc>
          <w:tcPr>
            <w:tcW w:w="1042" w:type="dxa"/>
            <w:vMerge/>
            <w:shd w:val="clear" w:color="auto" w:fill="auto"/>
            <w:noWrap/>
          </w:tcPr>
          <w:p w14:paraId="6D5E3A3C" w14:textId="77777777" w:rsidR="00E4549F" w:rsidRPr="00D518FF" w:rsidRDefault="00E4549F" w:rsidP="00F614C8">
            <w:pPr>
              <w:rPr>
                <w:rFonts w:ascii="Aptos" w:hAnsi="Aptos" w:cs="Calibri"/>
                <w:color w:val="000000"/>
                <w:sz w:val="16"/>
                <w:szCs w:val="16"/>
              </w:rPr>
            </w:pPr>
          </w:p>
        </w:tc>
        <w:tc>
          <w:tcPr>
            <w:tcW w:w="801" w:type="dxa"/>
            <w:vMerge/>
            <w:shd w:val="clear" w:color="auto" w:fill="auto"/>
            <w:noWrap/>
            <w:hideMark/>
          </w:tcPr>
          <w:p w14:paraId="52ECF3D3" w14:textId="77777777" w:rsidR="00E4549F" w:rsidRPr="00D518FF" w:rsidRDefault="00E4549F" w:rsidP="00F614C8">
            <w:pPr>
              <w:rPr>
                <w:rFonts w:ascii="Aptos" w:hAnsi="Aptos" w:cs="Calibri"/>
                <w:color w:val="000000"/>
                <w:sz w:val="16"/>
                <w:szCs w:val="16"/>
              </w:rPr>
            </w:pPr>
          </w:p>
        </w:tc>
        <w:tc>
          <w:tcPr>
            <w:tcW w:w="567" w:type="dxa"/>
            <w:shd w:val="clear" w:color="auto" w:fill="auto"/>
            <w:noWrap/>
            <w:hideMark/>
          </w:tcPr>
          <w:p w14:paraId="6752D25F"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12</w:t>
            </w:r>
          </w:p>
        </w:tc>
        <w:tc>
          <w:tcPr>
            <w:tcW w:w="708" w:type="dxa"/>
            <w:shd w:val="clear" w:color="auto" w:fill="auto"/>
            <w:noWrap/>
            <w:hideMark/>
          </w:tcPr>
          <w:p w14:paraId="6F5D75D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476</w:t>
            </w:r>
          </w:p>
        </w:tc>
        <w:tc>
          <w:tcPr>
            <w:tcW w:w="709" w:type="dxa"/>
            <w:shd w:val="clear" w:color="auto" w:fill="auto"/>
            <w:noWrap/>
            <w:hideMark/>
          </w:tcPr>
          <w:p w14:paraId="6F7F2940"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709" w:type="dxa"/>
            <w:shd w:val="clear" w:color="auto" w:fill="auto"/>
            <w:noWrap/>
            <w:hideMark/>
          </w:tcPr>
          <w:p w14:paraId="7C5E5C3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2" w:type="dxa"/>
            <w:shd w:val="clear" w:color="auto" w:fill="auto"/>
            <w:noWrap/>
            <w:hideMark/>
          </w:tcPr>
          <w:p w14:paraId="4B05377F"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M</w:t>
            </w:r>
            <w:r w:rsidRPr="00D518FF">
              <w:rPr>
                <w:rFonts w:ascii="Aptos" w:hAnsi="Aptos" w:cs="Calibri"/>
                <w:color w:val="000000"/>
                <w:sz w:val="16"/>
                <w:szCs w:val="16"/>
              </w:rPr>
              <w:t>ean QoL in the intervention groups was</w:t>
            </w:r>
            <w:r w:rsidRPr="00D518FF">
              <w:rPr>
                <w:rFonts w:ascii="Aptos" w:hAnsi="Aptos" w:cs="Calibri"/>
                <w:color w:val="000000"/>
                <w:sz w:val="16"/>
                <w:szCs w:val="16"/>
              </w:rPr>
              <w:br/>
              <w:t>0.38 standard deviations lower (0.82 lower to 0.06 higher). This rep- resents a small to modest difference between groups, equivalent to a CGI score of 0.38 (95% CI 0.06 to 0.82)</w:t>
            </w:r>
          </w:p>
        </w:tc>
        <w:tc>
          <w:tcPr>
            <w:tcW w:w="1276" w:type="dxa"/>
            <w:shd w:val="clear" w:color="auto" w:fill="auto"/>
            <w:noWrap/>
            <w:hideMark/>
          </w:tcPr>
          <w:p w14:paraId="222EEAE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SMD = </w:t>
            </w:r>
            <w:r w:rsidRPr="00D518FF">
              <w:rPr>
                <w:rFonts w:ascii="Aptos" w:hAnsi="Aptos"/>
                <w:sz w:val="16"/>
                <w:szCs w:val="16"/>
              </w:rPr>
              <w:t>–</w:t>
            </w:r>
            <w:r w:rsidRPr="00D518FF">
              <w:rPr>
                <w:rFonts w:ascii="Aptos" w:hAnsi="Aptos" w:cs="Calibri"/>
                <w:color w:val="000000"/>
                <w:sz w:val="16"/>
                <w:szCs w:val="16"/>
              </w:rPr>
              <w:t>0.38 (</w:t>
            </w:r>
            <w:r w:rsidRPr="00D518FF">
              <w:rPr>
                <w:rFonts w:ascii="Aptos" w:hAnsi="Aptos"/>
                <w:sz w:val="16"/>
                <w:szCs w:val="16"/>
              </w:rPr>
              <w:t>–</w:t>
            </w:r>
            <w:r w:rsidRPr="00D518FF">
              <w:rPr>
                <w:rFonts w:ascii="Aptos" w:hAnsi="Aptos" w:cs="Calibri"/>
                <w:color w:val="000000"/>
                <w:sz w:val="16"/>
                <w:szCs w:val="16"/>
              </w:rPr>
              <w:t>0.82 to 0.06)</w:t>
            </w:r>
          </w:p>
        </w:tc>
        <w:tc>
          <w:tcPr>
            <w:tcW w:w="850" w:type="dxa"/>
            <w:shd w:val="clear" w:color="auto" w:fill="auto"/>
            <w:noWrap/>
            <w:hideMark/>
          </w:tcPr>
          <w:p w14:paraId="7CF6DC6F"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3" w:type="dxa"/>
            <w:vMerge/>
            <w:shd w:val="clear" w:color="auto" w:fill="auto"/>
            <w:noWrap/>
            <w:hideMark/>
          </w:tcPr>
          <w:p w14:paraId="25738ED4" w14:textId="77777777" w:rsidR="00E4549F" w:rsidRPr="00D518FF" w:rsidRDefault="00E4549F" w:rsidP="00F614C8">
            <w:pPr>
              <w:rPr>
                <w:rFonts w:ascii="Aptos" w:hAnsi="Aptos" w:cs="Calibri"/>
                <w:color w:val="000000"/>
                <w:sz w:val="16"/>
                <w:szCs w:val="16"/>
              </w:rPr>
            </w:pPr>
          </w:p>
        </w:tc>
        <w:tc>
          <w:tcPr>
            <w:tcW w:w="783" w:type="dxa"/>
          </w:tcPr>
          <w:p w14:paraId="5D3B2245"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Low risk</w:t>
            </w:r>
          </w:p>
        </w:tc>
      </w:tr>
      <w:tr w:rsidR="00E4549F" w:rsidRPr="00D518FF" w14:paraId="71015B54" w14:textId="77777777" w:rsidTr="004C6AA1">
        <w:trPr>
          <w:trHeight w:val="320"/>
        </w:trPr>
        <w:tc>
          <w:tcPr>
            <w:tcW w:w="704" w:type="dxa"/>
            <w:shd w:val="clear" w:color="auto" w:fill="auto"/>
            <w:noWrap/>
            <w:hideMark/>
          </w:tcPr>
          <w:p w14:paraId="503F5DC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Suradom 2021</w:t>
            </w:r>
          </w:p>
        </w:tc>
        <w:tc>
          <w:tcPr>
            <w:tcW w:w="709" w:type="dxa"/>
            <w:shd w:val="clear" w:color="auto" w:fill="auto"/>
            <w:noWrap/>
            <w:hideMark/>
          </w:tcPr>
          <w:p w14:paraId="29FD639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w:t>
            </w:r>
          </w:p>
        </w:tc>
        <w:tc>
          <w:tcPr>
            <w:tcW w:w="1134" w:type="dxa"/>
            <w:shd w:val="clear" w:color="auto" w:fill="auto"/>
            <w:noWrap/>
            <w:hideMark/>
          </w:tcPr>
          <w:p w14:paraId="78E2C948"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At-risk of condition</w:t>
            </w:r>
          </w:p>
        </w:tc>
        <w:tc>
          <w:tcPr>
            <w:tcW w:w="1276" w:type="dxa"/>
            <w:shd w:val="clear" w:color="auto" w:fill="auto"/>
            <w:noWrap/>
            <w:hideMark/>
          </w:tcPr>
          <w:p w14:paraId="2F50D428"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At-risk of perinatal depression</w:t>
            </w:r>
          </w:p>
        </w:tc>
        <w:tc>
          <w:tcPr>
            <w:tcW w:w="992" w:type="dxa"/>
            <w:shd w:val="clear" w:color="auto" w:fill="auto"/>
            <w:noWrap/>
            <w:hideMark/>
          </w:tcPr>
          <w:p w14:paraId="4AE7C5E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389FA0F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Range of combinations of DHA alone, or DHA + EPA, 6-16 weeks</w:t>
            </w:r>
          </w:p>
        </w:tc>
        <w:tc>
          <w:tcPr>
            <w:tcW w:w="801" w:type="dxa"/>
            <w:shd w:val="clear" w:color="auto" w:fill="auto"/>
            <w:noWrap/>
            <w:hideMark/>
          </w:tcPr>
          <w:p w14:paraId="5EEF9F43"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567" w:type="dxa"/>
            <w:shd w:val="clear" w:color="auto" w:fill="auto"/>
            <w:noWrap/>
            <w:hideMark/>
          </w:tcPr>
          <w:p w14:paraId="29BDC4A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10 comparisons in 9 trials</w:t>
            </w:r>
          </w:p>
        </w:tc>
        <w:tc>
          <w:tcPr>
            <w:tcW w:w="708" w:type="dxa"/>
            <w:shd w:val="clear" w:color="auto" w:fill="auto"/>
            <w:noWrap/>
            <w:hideMark/>
          </w:tcPr>
          <w:p w14:paraId="702D0E8E"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779</w:t>
            </w:r>
          </w:p>
        </w:tc>
        <w:tc>
          <w:tcPr>
            <w:tcW w:w="709" w:type="dxa"/>
            <w:shd w:val="clear" w:color="auto" w:fill="auto"/>
            <w:noWrap/>
            <w:hideMark/>
          </w:tcPr>
          <w:p w14:paraId="0B94550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BDI, EPDS, PDSS, CES-D, BDI-II, HAMD, MINI</w:t>
            </w:r>
          </w:p>
        </w:tc>
        <w:tc>
          <w:tcPr>
            <w:tcW w:w="709" w:type="dxa"/>
            <w:shd w:val="clear" w:color="auto" w:fill="auto"/>
            <w:noWrap/>
            <w:hideMark/>
          </w:tcPr>
          <w:p w14:paraId="548E8F5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2" w:type="dxa"/>
            <w:shd w:val="clear" w:color="auto" w:fill="auto"/>
            <w:noWrap/>
            <w:hideMark/>
          </w:tcPr>
          <w:p w14:paraId="7C1DAD0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276" w:type="dxa"/>
            <w:shd w:val="clear" w:color="auto" w:fill="auto"/>
            <w:noWrap/>
            <w:hideMark/>
          </w:tcPr>
          <w:p w14:paraId="19830C9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SMD = </w:t>
            </w:r>
            <w:r w:rsidRPr="00D518FF">
              <w:rPr>
                <w:rFonts w:ascii="Aptos" w:hAnsi="Aptos"/>
                <w:sz w:val="16"/>
                <w:szCs w:val="16"/>
              </w:rPr>
              <w:t>–</w:t>
            </w:r>
            <w:r w:rsidRPr="00D518FF">
              <w:rPr>
                <w:rFonts w:ascii="Aptos" w:hAnsi="Aptos" w:cs="Calibri"/>
                <w:color w:val="000000"/>
                <w:sz w:val="16"/>
                <w:szCs w:val="16"/>
              </w:rPr>
              <w:t>0.03 (</w:t>
            </w:r>
            <w:r w:rsidRPr="00D518FF">
              <w:rPr>
                <w:rFonts w:ascii="Aptos" w:hAnsi="Aptos"/>
                <w:sz w:val="16"/>
                <w:szCs w:val="16"/>
              </w:rPr>
              <w:t>–</w:t>
            </w:r>
            <w:r w:rsidRPr="00D518FF">
              <w:rPr>
                <w:rFonts w:ascii="Aptos" w:hAnsi="Aptos" w:cs="Calibri"/>
                <w:color w:val="000000"/>
                <w:sz w:val="16"/>
                <w:szCs w:val="16"/>
              </w:rPr>
              <w:t>0.20 to 0.13)</w:t>
            </w:r>
          </w:p>
        </w:tc>
        <w:tc>
          <w:tcPr>
            <w:tcW w:w="850" w:type="dxa"/>
            <w:shd w:val="clear" w:color="auto" w:fill="auto"/>
            <w:noWrap/>
            <w:hideMark/>
          </w:tcPr>
          <w:p w14:paraId="538758EB"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I² =</w:t>
            </w:r>
            <w:r w:rsidRPr="00D518FF">
              <w:rPr>
                <w:rFonts w:ascii="Aptos" w:hAnsi="Aptos" w:cs="Calibri"/>
                <w:color w:val="000000"/>
                <w:sz w:val="16"/>
                <w:szCs w:val="16"/>
              </w:rPr>
              <w:t xml:space="preserve"> 24%, ns</w:t>
            </w:r>
          </w:p>
        </w:tc>
        <w:tc>
          <w:tcPr>
            <w:tcW w:w="993" w:type="dxa"/>
            <w:vMerge w:val="restart"/>
            <w:shd w:val="clear" w:color="auto" w:fill="auto"/>
            <w:noWrap/>
          </w:tcPr>
          <w:p w14:paraId="0A6B1B92"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One</w:t>
            </w:r>
            <w:r w:rsidRPr="0091729E">
              <w:rPr>
                <w:rFonts w:ascii="Aptos" w:hAnsi="Aptos" w:cs="Calibri"/>
                <w:color w:val="000000"/>
                <w:sz w:val="16"/>
                <w:szCs w:val="16"/>
              </w:rPr>
              <w:t xml:space="preserve"> trial possessed high-risk bias due to its high attrition rate and imbalanced reasons for dropouts, the others had </w:t>
            </w:r>
            <w:r w:rsidRPr="0091729E">
              <w:rPr>
                <w:rFonts w:ascii="Aptos" w:hAnsi="Aptos" w:cs="Calibri"/>
                <w:color w:val="000000"/>
                <w:sz w:val="16"/>
                <w:szCs w:val="16"/>
              </w:rPr>
              <w:lastRenderedPageBreak/>
              <w:t>low- risk of bias across the domains</w:t>
            </w:r>
          </w:p>
          <w:p w14:paraId="4A0D6E9B" w14:textId="77777777" w:rsidR="00E4549F" w:rsidRPr="00D518FF" w:rsidRDefault="00E4549F" w:rsidP="00F614C8">
            <w:pPr>
              <w:rPr>
                <w:rFonts w:ascii="Aptos" w:hAnsi="Aptos" w:cs="Calibri"/>
                <w:color w:val="000000"/>
                <w:sz w:val="16"/>
                <w:szCs w:val="16"/>
              </w:rPr>
            </w:pPr>
          </w:p>
        </w:tc>
        <w:tc>
          <w:tcPr>
            <w:tcW w:w="783" w:type="dxa"/>
          </w:tcPr>
          <w:p w14:paraId="0058FD7D" w14:textId="77777777" w:rsidR="00E4549F" w:rsidDel="006B5D0D" w:rsidRDefault="00E4549F" w:rsidP="00F614C8">
            <w:pPr>
              <w:rPr>
                <w:rFonts w:ascii="Aptos" w:hAnsi="Aptos" w:cs="Calibri"/>
                <w:color w:val="000000"/>
                <w:sz w:val="16"/>
                <w:szCs w:val="16"/>
              </w:rPr>
            </w:pPr>
            <w:r>
              <w:rPr>
                <w:rFonts w:ascii="Aptos" w:hAnsi="Aptos" w:cs="Calibri"/>
                <w:color w:val="000000"/>
                <w:sz w:val="16"/>
                <w:szCs w:val="16"/>
              </w:rPr>
              <w:lastRenderedPageBreak/>
              <w:t>Low risk</w:t>
            </w:r>
          </w:p>
        </w:tc>
      </w:tr>
      <w:tr w:rsidR="00E4549F" w:rsidRPr="00D518FF" w14:paraId="75D7749E" w14:textId="77777777" w:rsidTr="004C6AA1">
        <w:trPr>
          <w:trHeight w:val="320"/>
        </w:trPr>
        <w:tc>
          <w:tcPr>
            <w:tcW w:w="704" w:type="dxa"/>
            <w:shd w:val="clear" w:color="auto" w:fill="auto"/>
            <w:noWrap/>
            <w:hideMark/>
          </w:tcPr>
          <w:p w14:paraId="5C19AB30"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Suradom 2021</w:t>
            </w:r>
          </w:p>
        </w:tc>
        <w:tc>
          <w:tcPr>
            <w:tcW w:w="709" w:type="dxa"/>
            <w:shd w:val="clear" w:color="auto" w:fill="auto"/>
            <w:noWrap/>
            <w:hideMark/>
          </w:tcPr>
          <w:p w14:paraId="5FC93A7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w:t>
            </w:r>
          </w:p>
        </w:tc>
        <w:tc>
          <w:tcPr>
            <w:tcW w:w="1134" w:type="dxa"/>
            <w:shd w:val="clear" w:color="auto" w:fill="auto"/>
            <w:noWrap/>
            <w:hideMark/>
          </w:tcPr>
          <w:p w14:paraId="45D49B88" w14:textId="77777777" w:rsidR="00E4549F" w:rsidRPr="00D518FF" w:rsidRDefault="00E4549F" w:rsidP="00F614C8">
            <w:pPr>
              <w:rPr>
                <w:rFonts w:ascii="Aptos" w:hAnsi="Aptos" w:cs="Calibri"/>
                <w:color w:val="000000"/>
                <w:sz w:val="16"/>
                <w:szCs w:val="16"/>
              </w:rPr>
            </w:pPr>
            <w:r w:rsidRPr="00D518FF">
              <w:rPr>
                <w:rFonts w:ascii="Aptos" w:hAnsi="Aptos"/>
                <w:sz w:val="16"/>
                <w:szCs w:val="16"/>
              </w:rPr>
              <w:t>With condition</w:t>
            </w:r>
          </w:p>
        </w:tc>
        <w:tc>
          <w:tcPr>
            <w:tcW w:w="1276" w:type="dxa"/>
            <w:shd w:val="clear" w:color="auto" w:fill="auto"/>
            <w:noWrap/>
            <w:hideMark/>
          </w:tcPr>
          <w:p w14:paraId="085F8202"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Perinatal depression</w:t>
            </w:r>
          </w:p>
        </w:tc>
        <w:tc>
          <w:tcPr>
            <w:tcW w:w="992" w:type="dxa"/>
            <w:shd w:val="clear" w:color="auto" w:fill="auto"/>
            <w:noWrap/>
            <w:hideMark/>
          </w:tcPr>
          <w:p w14:paraId="530B32C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Eligible supplement Vs </w:t>
            </w:r>
            <w:r w:rsidRPr="00D518FF">
              <w:rPr>
                <w:rFonts w:ascii="Aptos" w:hAnsi="Aptos" w:cs="Calibri"/>
                <w:color w:val="000000"/>
                <w:sz w:val="16"/>
                <w:szCs w:val="16"/>
              </w:rPr>
              <w:lastRenderedPageBreak/>
              <w:t>placebo/inactive control</w:t>
            </w:r>
          </w:p>
        </w:tc>
        <w:tc>
          <w:tcPr>
            <w:tcW w:w="1042" w:type="dxa"/>
            <w:shd w:val="clear" w:color="auto" w:fill="auto"/>
            <w:noWrap/>
            <w:hideMark/>
          </w:tcPr>
          <w:p w14:paraId="6FA81B5D"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lastRenderedPageBreak/>
              <w:t xml:space="preserve">Combination DHA + EPA (609-1638mg </w:t>
            </w:r>
            <w:r w:rsidRPr="00D518FF">
              <w:rPr>
                <w:rFonts w:ascii="Aptos" w:hAnsi="Aptos" w:cs="Calibri"/>
                <w:color w:val="000000"/>
                <w:sz w:val="16"/>
                <w:szCs w:val="16"/>
              </w:rPr>
              <w:lastRenderedPageBreak/>
              <w:t>DHA, 414-2200mg EPA), 6-12 weeks</w:t>
            </w:r>
          </w:p>
        </w:tc>
        <w:tc>
          <w:tcPr>
            <w:tcW w:w="801" w:type="dxa"/>
            <w:shd w:val="clear" w:color="auto" w:fill="auto"/>
            <w:noWrap/>
            <w:hideMark/>
          </w:tcPr>
          <w:p w14:paraId="1F2EB087"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lastRenderedPageBreak/>
              <w:t>Placebo/inactive control</w:t>
            </w:r>
          </w:p>
        </w:tc>
        <w:tc>
          <w:tcPr>
            <w:tcW w:w="567" w:type="dxa"/>
            <w:shd w:val="clear" w:color="auto" w:fill="auto"/>
            <w:noWrap/>
            <w:hideMark/>
          </w:tcPr>
          <w:p w14:paraId="5D36FAB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w:t>
            </w:r>
          </w:p>
        </w:tc>
        <w:tc>
          <w:tcPr>
            <w:tcW w:w="708" w:type="dxa"/>
            <w:shd w:val="clear" w:color="auto" w:fill="auto"/>
            <w:noWrap/>
            <w:hideMark/>
          </w:tcPr>
          <w:p w14:paraId="213C355D"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141</w:t>
            </w:r>
          </w:p>
        </w:tc>
        <w:tc>
          <w:tcPr>
            <w:tcW w:w="709" w:type="dxa"/>
            <w:shd w:val="clear" w:color="auto" w:fill="auto"/>
            <w:noWrap/>
            <w:hideMark/>
          </w:tcPr>
          <w:p w14:paraId="1DD7FB3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EPDS HAMD</w:t>
            </w:r>
            <w:r w:rsidRPr="00D518FF">
              <w:rPr>
                <w:rFonts w:ascii="Aptos" w:hAnsi="Aptos" w:cs="Calibri"/>
                <w:color w:val="000000"/>
                <w:sz w:val="16"/>
                <w:szCs w:val="16"/>
              </w:rPr>
              <w:br/>
              <w:t xml:space="preserve">CGI </w:t>
            </w:r>
            <w:r w:rsidRPr="00D518FF">
              <w:rPr>
                <w:rFonts w:ascii="Aptos" w:hAnsi="Aptos" w:cs="Calibri"/>
                <w:color w:val="000000"/>
                <w:sz w:val="16"/>
                <w:szCs w:val="16"/>
              </w:rPr>
              <w:lastRenderedPageBreak/>
              <w:t>MADRS, BDI, BDI-II, MINI</w:t>
            </w:r>
          </w:p>
        </w:tc>
        <w:tc>
          <w:tcPr>
            <w:tcW w:w="709" w:type="dxa"/>
            <w:shd w:val="clear" w:color="auto" w:fill="auto"/>
            <w:noWrap/>
            <w:hideMark/>
          </w:tcPr>
          <w:p w14:paraId="01CC487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lastRenderedPageBreak/>
              <w:t xml:space="preserve"> - </w:t>
            </w:r>
          </w:p>
        </w:tc>
        <w:tc>
          <w:tcPr>
            <w:tcW w:w="992" w:type="dxa"/>
            <w:shd w:val="clear" w:color="auto" w:fill="auto"/>
            <w:noWrap/>
            <w:hideMark/>
          </w:tcPr>
          <w:p w14:paraId="1503CF0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276" w:type="dxa"/>
            <w:shd w:val="clear" w:color="auto" w:fill="auto"/>
            <w:noWrap/>
            <w:hideMark/>
          </w:tcPr>
          <w:p w14:paraId="4E29E6F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SMD = </w:t>
            </w:r>
            <w:r w:rsidRPr="00D518FF">
              <w:rPr>
                <w:rFonts w:ascii="Aptos" w:hAnsi="Aptos"/>
                <w:sz w:val="16"/>
                <w:szCs w:val="16"/>
              </w:rPr>
              <w:t>–</w:t>
            </w:r>
            <w:r w:rsidRPr="00D518FF">
              <w:rPr>
                <w:rFonts w:ascii="Aptos" w:hAnsi="Aptos" w:cs="Calibri"/>
                <w:color w:val="000000"/>
                <w:sz w:val="16"/>
                <w:szCs w:val="16"/>
              </w:rPr>
              <w:t>0.14 (</w:t>
            </w:r>
            <w:r w:rsidRPr="00D518FF">
              <w:rPr>
                <w:rFonts w:ascii="Aptos" w:hAnsi="Aptos"/>
                <w:sz w:val="16"/>
                <w:szCs w:val="16"/>
              </w:rPr>
              <w:t>–</w:t>
            </w:r>
            <w:r w:rsidRPr="00D518FF">
              <w:rPr>
                <w:rFonts w:ascii="Aptos" w:hAnsi="Aptos" w:cs="Calibri"/>
                <w:color w:val="000000"/>
                <w:sz w:val="16"/>
                <w:szCs w:val="16"/>
              </w:rPr>
              <w:t>0.55 to 0.27)</w:t>
            </w:r>
          </w:p>
        </w:tc>
        <w:tc>
          <w:tcPr>
            <w:tcW w:w="850" w:type="dxa"/>
            <w:shd w:val="clear" w:color="auto" w:fill="auto"/>
            <w:noWrap/>
            <w:hideMark/>
          </w:tcPr>
          <w:p w14:paraId="388E2450"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I² =</w:t>
            </w:r>
            <w:r w:rsidRPr="00D518FF">
              <w:rPr>
                <w:rFonts w:ascii="Aptos" w:hAnsi="Aptos" w:cs="Calibri"/>
                <w:color w:val="000000"/>
                <w:sz w:val="16"/>
                <w:szCs w:val="16"/>
              </w:rPr>
              <w:t xml:space="preserve"> 31%, ns</w:t>
            </w:r>
          </w:p>
        </w:tc>
        <w:tc>
          <w:tcPr>
            <w:tcW w:w="993" w:type="dxa"/>
            <w:vMerge/>
            <w:shd w:val="clear" w:color="auto" w:fill="auto"/>
            <w:noWrap/>
          </w:tcPr>
          <w:p w14:paraId="4013ECB3" w14:textId="77777777" w:rsidR="00E4549F" w:rsidRPr="00D518FF" w:rsidRDefault="00E4549F" w:rsidP="00F614C8">
            <w:pPr>
              <w:rPr>
                <w:rFonts w:ascii="Aptos" w:hAnsi="Aptos" w:cs="Calibri"/>
                <w:color w:val="000000"/>
                <w:sz w:val="16"/>
                <w:szCs w:val="16"/>
              </w:rPr>
            </w:pPr>
          </w:p>
        </w:tc>
        <w:tc>
          <w:tcPr>
            <w:tcW w:w="783" w:type="dxa"/>
          </w:tcPr>
          <w:p w14:paraId="576C6E7C" w14:textId="77777777" w:rsidR="00E4549F" w:rsidDel="006B5D0D" w:rsidRDefault="00E4549F" w:rsidP="00F614C8">
            <w:pPr>
              <w:rPr>
                <w:rFonts w:ascii="Aptos" w:hAnsi="Aptos" w:cs="Calibri"/>
                <w:color w:val="000000"/>
                <w:sz w:val="16"/>
                <w:szCs w:val="16"/>
              </w:rPr>
            </w:pPr>
          </w:p>
        </w:tc>
      </w:tr>
      <w:tr w:rsidR="00E4549F" w:rsidRPr="00D518FF" w14:paraId="3F7E0F98" w14:textId="77777777" w:rsidTr="004C6AA1">
        <w:trPr>
          <w:trHeight w:val="320"/>
        </w:trPr>
        <w:tc>
          <w:tcPr>
            <w:tcW w:w="704" w:type="dxa"/>
            <w:shd w:val="clear" w:color="auto" w:fill="auto"/>
            <w:noWrap/>
            <w:hideMark/>
          </w:tcPr>
          <w:p w14:paraId="7FC39A9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Zhang 2019</w:t>
            </w:r>
          </w:p>
        </w:tc>
        <w:tc>
          <w:tcPr>
            <w:tcW w:w="709" w:type="dxa"/>
            <w:shd w:val="clear" w:color="auto" w:fill="auto"/>
            <w:noWrap/>
            <w:hideMark/>
          </w:tcPr>
          <w:p w14:paraId="56A9C5A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w:t>
            </w:r>
          </w:p>
        </w:tc>
        <w:tc>
          <w:tcPr>
            <w:tcW w:w="1134" w:type="dxa"/>
            <w:shd w:val="clear" w:color="auto" w:fill="auto"/>
            <w:noWrap/>
            <w:hideMark/>
          </w:tcPr>
          <w:p w14:paraId="4A10BD42" w14:textId="77777777" w:rsidR="00E4549F" w:rsidRPr="00D518FF" w:rsidRDefault="00E4549F" w:rsidP="00F614C8">
            <w:pPr>
              <w:rPr>
                <w:rFonts w:ascii="Aptos" w:hAnsi="Aptos" w:cs="Calibri"/>
                <w:color w:val="000000"/>
                <w:sz w:val="16"/>
                <w:szCs w:val="16"/>
              </w:rPr>
            </w:pPr>
            <w:r w:rsidRPr="00D518FF">
              <w:rPr>
                <w:rFonts w:ascii="Aptos" w:hAnsi="Aptos"/>
                <w:sz w:val="16"/>
                <w:szCs w:val="16"/>
              </w:rPr>
              <w:t>With condition</w:t>
            </w:r>
          </w:p>
        </w:tc>
        <w:tc>
          <w:tcPr>
            <w:tcW w:w="1276" w:type="dxa"/>
            <w:shd w:val="clear" w:color="auto" w:fill="auto"/>
            <w:noWrap/>
            <w:hideMark/>
          </w:tcPr>
          <w:p w14:paraId="7F39772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Children or adolescents with depression</w:t>
            </w:r>
          </w:p>
        </w:tc>
        <w:tc>
          <w:tcPr>
            <w:tcW w:w="992" w:type="dxa"/>
            <w:shd w:val="clear" w:color="auto" w:fill="auto"/>
            <w:noWrap/>
            <w:hideMark/>
          </w:tcPr>
          <w:p w14:paraId="5A9CD567"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4DB3C023"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Omega-3, 1-3.4g daily, 10-16 weeks</w:t>
            </w:r>
          </w:p>
        </w:tc>
        <w:tc>
          <w:tcPr>
            <w:tcW w:w="801" w:type="dxa"/>
            <w:shd w:val="clear" w:color="auto" w:fill="auto"/>
            <w:noWrap/>
            <w:hideMark/>
          </w:tcPr>
          <w:p w14:paraId="03DED1E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567" w:type="dxa"/>
            <w:shd w:val="clear" w:color="auto" w:fill="auto"/>
            <w:noWrap/>
            <w:hideMark/>
          </w:tcPr>
          <w:p w14:paraId="1626BCC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w:t>
            </w:r>
          </w:p>
        </w:tc>
        <w:tc>
          <w:tcPr>
            <w:tcW w:w="708" w:type="dxa"/>
            <w:shd w:val="clear" w:color="auto" w:fill="auto"/>
            <w:noWrap/>
            <w:hideMark/>
          </w:tcPr>
          <w:p w14:paraId="67249A18"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153</w:t>
            </w:r>
          </w:p>
        </w:tc>
        <w:tc>
          <w:tcPr>
            <w:tcW w:w="709" w:type="dxa"/>
            <w:shd w:val="clear" w:color="auto" w:fill="auto"/>
            <w:noWrap/>
            <w:hideMark/>
          </w:tcPr>
          <w:p w14:paraId="0238845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End-point score of depressive scale </w:t>
            </w:r>
          </w:p>
        </w:tc>
        <w:tc>
          <w:tcPr>
            <w:tcW w:w="709" w:type="dxa"/>
            <w:shd w:val="clear" w:color="auto" w:fill="auto"/>
            <w:noWrap/>
            <w:hideMark/>
          </w:tcPr>
          <w:p w14:paraId="4D395CC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2" w:type="dxa"/>
            <w:shd w:val="clear" w:color="auto" w:fill="auto"/>
            <w:noWrap/>
            <w:hideMark/>
          </w:tcPr>
          <w:p w14:paraId="2CA975CC"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276" w:type="dxa"/>
            <w:shd w:val="clear" w:color="auto" w:fill="auto"/>
            <w:noWrap/>
            <w:hideMark/>
          </w:tcPr>
          <w:p w14:paraId="7C18D75E"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SMD = −0.12 (−0.53 to 0.30), P=0.58; </w:t>
            </w:r>
          </w:p>
        </w:tc>
        <w:tc>
          <w:tcPr>
            <w:tcW w:w="850" w:type="dxa"/>
            <w:shd w:val="clear" w:color="auto" w:fill="auto"/>
            <w:noWrap/>
            <w:hideMark/>
          </w:tcPr>
          <w:p w14:paraId="600B1D32"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 xml:space="preserve">I² </w:t>
            </w:r>
            <w:r w:rsidRPr="00D518FF">
              <w:rPr>
                <w:rFonts w:ascii="Aptos" w:hAnsi="Aptos" w:cs="Calibri"/>
                <w:color w:val="000000"/>
                <w:sz w:val="16"/>
                <w:szCs w:val="16"/>
              </w:rPr>
              <w:t>=30%, P=0.23</w:t>
            </w:r>
          </w:p>
        </w:tc>
        <w:tc>
          <w:tcPr>
            <w:tcW w:w="993" w:type="dxa"/>
            <w:vMerge w:val="restart"/>
            <w:shd w:val="clear" w:color="auto" w:fill="auto"/>
            <w:noWrap/>
          </w:tcPr>
          <w:p w14:paraId="256BDE4F"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Low quality assessed for all studies.</w:t>
            </w:r>
            <w:r w:rsidRPr="00FA6ADC">
              <w:rPr>
                <w:rFonts w:ascii="Aptos" w:hAnsi="Aptos" w:cs="Calibri"/>
                <w:color w:val="000000"/>
                <w:sz w:val="16"/>
                <w:szCs w:val="16"/>
              </w:rPr>
              <w:t xml:space="preserve"> </w:t>
            </w:r>
            <w:r>
              <w:rPr>
                <w:rFonts w:ascii="Aptos" w:hAnsi="Aptos" w:cs="Calibri"/>
                <w:color w:val="000000"/>
                <w:sz w:val="16"/>
                <w:szCs w:val="16"/>
              </w:rPr>
              <w:t xml:space="preserve">In one primary study </w:t>
            </w:r>
            <w:r w:rsidRPr="00FA6ADC">
              <w:rPr>
                <w:rFonts w:ascii="Aptos" w:hAnsi="Aptos" w:cs="Calibri"/>
                <w:color w:val="000000"/>
                <w:sz w:val="16"/>
                <w:szCs w:val="16"/>
              </w:rPr>
              <w:t xml:space="preserve"> the capsule used in the O3FA group was different from the one used in the placebo group in tone of internal colour. This could result in failure in blinding of intervention.</w:t>
            </w:r>
          </w:p>
        </w:tc>
        <w:tc>
          <w:tcPr>
            <w:tcW w:w="783" w:type="dxa"/>
          </w:tcPr>
          <w:p w14:paraId="363C39B1" w14:textId="77777777" w:rsidR="00E4549F" w:rsidDel="006B5D0D" w:rsidRDefault="00E4549F" w:rsidP="00F614C8">
            <w:pPr>
              <w:rPr>
                <w:rFonts w:ascii="Aptos" w:hAnsi="Aptos" w:cs="Calibri"/>
                <w:color w:val="000000"/>
                <w:sz w:val="16"/>
                <w:szCs w:val="16"/>
              </w:rPr>
            </w:pPr>
            <w:r>
              <w:rPr>
                <w:rFonts w:ascii="Aptos" w:hAnsi="Aptos" w:cs="Calibri"/>
                <w:color w:val="000000"/>
                <w:sz w:val="16"/>
                <w:szCs w:val="16"/>
              </w:rPr>
              <w:t>Low risk</w:t>
            </w:r>
          </w:p>
        </w:tc>
      </w:tr>
      <w:tr w:rsidR="00E4549F" w:rsidRPr="00D518FF" w14:paraId="44C913DC" w14:textId="77777777" w:rsidTr="004C6AA1">
        <w:trPr>
          <w:trHeight w:val="320"/>
        </w:trPr>
        <w:tc>
          <w:tcPr>
            <w:tcW w:w="704" w:type="dxa"/>
            <w:shd w:val="clear" w:color="auto" w:fill="auto"/>
            <w:noWrap/>
            <w:hideMark/>
          </w:tcPr>
          <w:p w14:paraId="6229215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Zhang 2019</w:t>
            </w:r>
          </w:p>
        </w:tc>
        <w:tc>
          <w:tcPr>
            <w:tcW w:w="709" w:type="dxa"/>
            <w:shd w:val="clear" w:color="auto" w:fill="auto"/>
            <w:noWrap/>
            <w:hideMark/>
          </w:tcPr>
          <w:p w14:paraId="5EF01E3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2</w:t>
            </w:r>
          </w:p>
        </w:tc>
        <w:tc>
          <w:tcPr>
            <w:tcW w:w="1134" w:type="dxa"/>
            <w:shd w:val="clear" w:color="auto" w:fill="auto"/>
            <w:noWrap/>
            <w:hideMark/>
          </w:tcPr>
          <w:p w14:paraId="3CC4964D" w14:textId="77777777" w:rsidR="00E4549F" w:rsidRPr="00D518FF" w:rsidRDefault="00E4549F" w:rsidP="00F614C8">
            <w:pPr>
              <w:rPr>
                <w:rFonts w:ascii="Aptos" w:hAnsi="Aptos" w:cs="Calibri"/>
                <w:color w:val="000000"/>
                <w:sz w:val="16"/>
                <w:szCs w:val="16"/>
              </w:rPr>
            </w:pPr>
            <w:r w:rsidRPr="00D518FF">
              <w:rPr>
                <w:rFonts w:ascii="Aptos" w:hAnsi="Aptos"/>
                <w:sz w:val="16"/>
                <w:szCs w:val="16"/>
              </w:rPr>
              <w:t>With condition</w:t>
            </w:r>
          </w:p>
        </w:tc>
        <w:tc>
          <w:tcPr>
            <w:tcW w:w="1276" w:type="dxa"/>
            <w:shd w:val="clear" w:color="auto" w:fill="auto"/>
            <w:noWrap/>
            <w:hideMark/>
          </w:tcPr>
          <w:p w14:paraId="5CC6CBC8"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Children or adolescents with depression</w:t>
            </w:r>
          </w:p>
        </w:tc>
        <w:tc>
          <w:tcPr>
            <w:tcW w:w="992" w:type="dxa"/>
            <w:shd w:val="clear" w:color="auto" w:fill="auto"/>
            <w:noWrap/>
            <w:hideMark/>
          </w:tcPr>
          <w:p w14:paraId="5184A04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6804CD5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Omega-3, 1-3.4g daily, 10-16 weeks</w:t>
            </w:r>
          </w:p>
        </w:tc>
        <w:tc>
          <w:tcPr>
            <w:tcW w:w="801" w:type="dxa"/>
            <w:shd w:val="clear" w:color="auto" w:fill="auto"/>
            <w:noWrap/>
            <w:hideMark/>
          </w:tcPr>
          <w:p w14:paraId="1B46090D"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567" w:type="dxa"/>
            <w:shd w:val="clear" w:color="auto" w:fill="auto"/>
            <w:noWrap/>
            <w:hideMark/>
          </w:tcPr>
          <w:p w14:paraId="68D6030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w:t>
            </w:r>
          </w:p>
        </w:tc>
        <w:tc>
          <w:tcPr>
            <w:tcW w:w="708" w:type="dxa"/>
            <w:shd w:val="clear" w:color="auto" w:fill="auto"/>
            <w:noWrap/>
            <w:hideMark/>
          </w:tcPr>
          <w:p w14:paraId="753EEC12"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153</w:t>
            </w:r>
          </w:p>
        </w:tc>
        <w:tc>
          <w:tcPr>
            <w:tcW w:w="709" w:type="dxa"/>
            <w:shd w:val="clear" w:color="auto" w:fill="auto"/>
            <w:noWrap/>
            <w:hideMark/>
          </w:tcPr>
          <w:p w14:paraId="09F36827"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Response rate was defined as ≥ 50% change from baseline on depression score or a score of ≤ 28 at the endpoint of a trial on the CDRS-R</w:t>
            </w:r>
          </w:p>
        </w:tc>
        <w:tc>
          <w:tcPr>
            <w:tcW w:w="709" w:type="dxa"/>
            <w:shd w:val="clear" w:color="auto" w:fill="auto"/>
            <w:noWrap/>
            <w:hideMark/>
          </w:tcPr>
          <w:p w14:paraId="59EF4C2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2" w:type="dxa"/>
            <w:shd w:val="clear" w:color="auto" w:fill="auto"/>
            <w:noWrap/>
            <w:hideMark/>
          </w:tcPr>
          <w:p w14:paraId="4C493F8C"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276" w:type="dxa"/>
            <w:shd w:val="clear" w:color="auto" w:fill="auto"/>
            <w:noWrap/>
            <w:hideMark/>
          </w:tcPr>
          <w:p w14:paraId="3117AD5C"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OR = 1.57 (0.26 to 9.39), P=0.62</w:t>
            </w:r>
          </w:p>
        </w:tc>
        <w:tc>
          <w:tcPr>
            <w:tcW w:w="850" w:type="dxa"/>
            <w:shd w:val="clear" w:color="auto" w:fill="auto"/>
            <w:noWrap/>
            <w:hideMark/>
          </w:tcPr>
          <w:p w14:paraId="7462718B"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 xml:space="preserve">I² </w:t>
            </w:r>
            <w:r w:rsidRPr="00D518FF">
              <w:rPr>
                <w:rFonts w:ascii="Aptos" w:hAnsi="Aptos" w:cs="Calibri"/>
                <w:color w:val="000000"/>
                <w:sz w:val="16"/>
                <w:szCs w:val="16"/>
              </w:rPr>
              <w:t>=71%, P=0.03</w:t>
            </w:r>
          </w:p>
        </w:tc>
        <w:tc>
          <w:tcPr>
            <w:tcW w:w="993" w:type="dxa"/>
            <w:vMerge/>
            <w:shd w:val="clear" w:color="auto" w:fill="auto"/>
            <w:noWrap/>
          </w:tcPr>
          <w:p w14:paraId="7FAADA80" w14:textId="77777777" w:rsidR="00E4549F" w:rsidRPr="00D518FF" w:rsidRDefault="00E4549F" w:rsidP="00F614C8">
            <w:pPr>
              <w:rPr>
                <w:rFonts w:ascii="Aptos" w:hAnsi="Aptos" w:cs="Calibri"/>
                <w:color w:val="000000"/>
                <w:sz w:val="16"/>
                <w:szCs w:val="16"/>
              </w:rPr>
            </w:pPr>
          </w:p>
        </w:tc>
        <w:tc>
          <w:tcPr>
            <w:tcW w:w="783" w:type="dxa"/>
          </w:tcPr>
          <w:p w14:paraId="588D6E30" w14:textId="77777777" w:rsidR="00E4549F" w:rsidDel="006B5D0D" w:rsidRDefault="00E4549F" w:rsidP="00F614C8">
            <w:pPr>
              <w:rPr>
                <w:rFonts w:ascii="Aptos" w:hAnsi="Aptos" w:cs="Calibri"/>
                <w:color w:val="000000"/>
                <w:sz w:val="16"/>
                <w:szCs w:val="16"/>
              </w:rPr>
            </w:pPr>
            <w:r>
              <w:rPr>
                <w:rFonts w:ascii="Aptos" w:hAnsi="Aptos" w:cs="Calibri"/>
                <w:color w:val="000000"/>
                <w:sz w:val="16"/>
                <w:szCs w:val="16"/>
              </w:rPr>
              <w:t>Low risk</w:t>
            </w:r>
          </w:p>
        </w:tc>
      </w:tr>
      <w:tr w:rsidR="00E4549F" w:rsidRPr="00D518FF" w14:paraId="68007484" w14:textId="77777777" w:rsidTr="004C6AA1">
        <w:trPr>
          <w:trHeight w:val="320"/>
        </w:trPr>
        <w:tc>
          <w:tcPr>
            <w:tcW w:w="704" w:type="dxa"/>
            <w:shd w:val="clear" w:color="auto" w:fill="auto"/>
            <w:noWrap/>
            <w:hideMark/>
          </w:tcPr>
          <w:p w14:paraId="710BB26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Zhang 2019</w:t>
            </w:r>
          </w:p>
        </w:tc>
        <w:tc>
          <w:tcPr>
            <w:tcW w:w="709" w:type="dxa"/>
            <w:shd w:val="clear" w:color="auto" w:fill="auto"/>
            <w:noWrap/>
            <w:hideMark/>
          </w:tcPr>
          <w:p w14:paraId="68C78D81"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w:t>
            </w:r>
          </w:p>
        </w:tc>
        <w:tc>
          <w:tcPr>
            <w:tcW w:w="1134" w:type="dxa"/>
            <w:shd w:val="clear" w:color="auto" w:fill="auto"/>
            <w:noWrap/>
            <w:hideMark/>
          </w:tcPr>
          <w:p w14:paraId="4A8C6C59" w14:textId="77777777" w:rsidR="00E4549F" w:rsidRPr="00D518FF" w:rsidRDefault="00E4549F" w:rsidP="00F614C8">
            <w:pPr>
              <w:rPr>
                <w:rFonts w:ascii="Aptos" w:hAnsi="Aptos" w:cs="Calibri"/>
                <w:color w:val="000000"/>
                <w:sz w:val="16"/>
                <w:szCs w:val="16"/>
              </w:rPr>
            </w:pPr>
            <w:r w:rsidRPr="00D518FF">
              <w:rPr>
                <w:rFonts w:ascii="Aptos" w:hAnsi="Aptos"/>
                <w:sz w:val="16"/>
                <w:szCs w:val="16"/>
              </w:rPr>
              <w:t>With condition</w:t>
            </w:r>
          </w:p>
        </w:tc>
        <w:tc>
          <w:tcPr>
            <w:tcW w:w="1276" w:type="dxa"/>
            <w:shd w:val="clear" w:color="auto" w:fill="auto"/>
            <w:noWrap/>
            <w:hideMark/>
          </w:tcPr>
          <w:p w14:paraId="08256E0C"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Children or adolescents with depression</w:t>
            </w:r>
          </w:p>
        </w:tc>
        <w:tc>
          <w:tcPr>
            <w:tcW w:w="992" w:type="dxa"/>
            <w:shd w:val="clear" w:color="auto" w:fill="auto"/>
            <w:noWrap/>
            <w:hideMark/>
          </w:tcPr>
          <w:p w14:paraId="1EFB826D"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31C74EB0"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Omega-3, 1-3.4g daily, 10-16 weeks</w:t>
            </w:r>
          </w:p>
        </w:tc>
        <w:tc>
          <w:tcPr>
            <w:tcW w:w="801" w:type="dxa"/>
            <w:shd w:val="clear" w:color="auto" w:fill="auto"/>
            <w:noWrap/>
            <w:hideMark/>
          </w:tcPr>
          <w:p w14:paraId="46228D87"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567" w:type="dxa"/>
            <w:shd w:val="clear" w:color="auto" w:fill="auto"/>
            <w:noWrap/>
            <w:hideMark/>
          </w:tcPr>
          <w:p w14:paraId="369C5AD8"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w:t>
            </w:r>
          </w:p>
        </w:tc>
        <w:tc>
          <w:tcPr>
            <w:tcW w:w="708" w:type="dxa"/>
            <w:shd w:val="clear" w:color="auto" w:fill="auto"/>
            <w:noWrap/>
            <w:hideMark/>
          </w:tcPr>
          <w:p w14:paraId="2755F267"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153</w:t>
            </w:r>
          </w:p>
        </w:tc>
        <w:tc>
          <w:tcPr>
            <w:tcW w:w="709" w:type="dxa"/>
            <w:shd w:val="clear" w:color="auto" w:fill="auto"/>
            <w:noWrap/>
            <w:hideMark/>
          </w:tcPr>
          <w:p w14:paraId="27411C68" w14:textId="342CF6D6" w:rsidR="00E4549F" w:rsidRPr="00D518FF" w:rsidRDefault="005742D1" w:rsidP="00F614C8">
            <w:pPr>
              <w:rPr>
                <w:rFonts w:ascii="Aptos" w:hAnsi="Aptos" w:cs="Calibri"/>
                <w:color w:val="000000"/>
                <w:sz w:val="16"/>
                <w:szCs w:val="16"/>
              </w:rPr>
            </w:pPr>
            <w:r>
              <w:rPr>
                <w:rFonts w:ascii="Aptos" w:hAnsi="Aptos" w:cs="Calibri"/>
                <w:color w:val="000000"/>
                <w:sz w:val="16"/>
                <w:szCs w:val="16"/>
              </w:rPr>
              <w:t>E</w:t>
            </w:r>
            <w:r w:rsidR="00E4549F" w:rsidRPr="00D518FF">
              <w:rPr>
                <w:rFonts w:ascii="Aptos" w:hAnsi="Aptos" w:cs="Calibri"/>
                <w:color w:val="000000"/>
                <w:sz w:val="16"/>
                <w:szCs w:val="16"/>
              </w:rPr>
              <w:t xml:space="preserve">nd-point score of depressive scale </w:t>
            </w:r>
          </w:p>
        </w:tc>
        <w:tc>
          <w:tcPr>
            <w:tcW w:w="709" w:type="dxa"/>
            <w:shd w:val="clear" w:color="auto" w:fill="auto"/>
            <w:noWrap/>
            <w:hideMark/>
          </w:tcPr>
          <w:p w14:paraId="07EB841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992" w:type="dxa"/>
            <w:shd w:val="clear" w:color="auto" w:fill="auto"/>
            <w:noWrap/>
            <w:hideMark/>
          </w:tcPr>
          <w:p w14:paraId="71375D0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276" w:type="dxa"/>
            <w:shd w:val="clear" w:color="auto" w:fill="auto"/>
            <w:noWrap/>
            <w:hideMark/>
          </w:tcPr>
          <w:p w14:paraId="73F93E0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SMD = −0.12 (−0.53 to 0.30), P=0.58</w:t>
            </w:r>
          </w:p>
        </w:tc>
        <w:tc>
          <w:tcPr>
            <w:tcW w:w="850" w:type="dxa"/>
            <w:shd w:val="clear" w:color="auto" w:fill="auto"/>
            <w:noWrap/>
            <w:hideMark/>
          </w:tcPr>
          <w:p w14:paraId="3BCE1E1D"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 xml:space="preserve">I² </w:t>
            </w:r>
            <w:r w:rsidRPr="00D518FF">
              <w:rPr>
                <w:rFonts w:ascii="Aptos" w:hAnsi="Aptos" w:cs="Calibri"/>
                <w:color w:val="000000"/>
                <w:sz w:val="16"/>
                <w:szCs w:val="16"/>
              </w:rPr>
              <w:t>=30%, P=0.23</w:t>
            </w:r>
          </w:p>
        </w:tc>
        <w:tc>
          <w:tcPr>
            <w:tcW w:w="993" w:type="dxa"/>
            <w:vMerge/>
            <w:shd w:val="clear" w:color="auto" w:fill="auto"/>
            <w:noWrap/>
          </w:tcPr>
          <w:p w14:paraId="6D660A96" w14:textId="77777777" w:rsidR="00E4549F" w:rsidRPr="00D518FF" w:rsidRDefault="00E4549F" w:rsidP="00F614C8">
            <w:pPr>
              <w:rPr>
                <w:rFonts w:ascii="Aptos" w:hAnsi="Aptos" w:cs="Calibri"/>
                <w:color w:val="000000"/>
                <w:sz w:val="16"/>
                <w:szCs w:val="16"/>
              </w:rPr>
            </w:pPr>
          </w:p>
        </w:tc>
        <w:tc>
          <w:tcPr>
            <w:tcW w:w="783" w:type="dxa"/>
          </w:tcPr>
          <w:p w14:paraId="7EB10457" w14:textId="77777777" w:rsidR="00E4549F" w:rsidDel="006B5D0D" w:rsidRDefault="00E4549F" w:rsidP="00F614C8">
            <w:pPr>
              <w:rPr>
                <w:rFonts w:ascii="Aptos" w:hAnsi="Aptos" w:cs="Calibri"/>
                <w:color w:val="000000"/>
                <w:sz w:val="16"/>
                <w:szCs w:val="16"/>
              </w:rPr>
            </w:pPr>
            <w:r>
              <w:rPr>
                <w:rFonts w:ascii="Aptos" w:hAnsi="Aptos" w:cs="Calibri"/>
                <w:color w:val="000000"/>
                <w:sz w:val="16"/>
                <w:szCs w:val="16"/>
              </w:rPr>
              <w:t>Low risk</w:t>
            </w:r>
          </w:p>
        </w:tc>
      </w:tr>
      <w:tr w:rsidR="00E4549F" w:rsidRPr="00D518FF" w14:paraId="7FE85D8F" w14:textId="77777777" w:rsidTr="004C6AA1">
        <w:trPr>
          <w:trHeight w:val="320"/>
        </w:trPr>
        <w:tc>
          <w:tcPr>
            <w:tcW w:w="704" w:type="dxa"/>
            <w:shd w:val="clear" w:color="auto" w:fill="auto"/>
            <w:noWrap/>
            <w:hideMark/>
          </w:tcPr>
          <w:p w14:paraId="7482CFFB"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Zhang 2019</w:t>
            </w:r>
          </w:p>
        </w:tc>
        <w:tc>
          <w:tcPr>
            <w:tcW w:w="709" w:type="dxa"/>
            <w:shd w:val="clear" w:color="auto" w:fill="auto"/>
            <w:noWrap/>
            <w:hideMark/>
          </w:tcPr>
          <w:p w14:paraId="5971BCD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2</w:t>
            </w:r>
          </w:p>
        </w:tc>
        <w:tc>
          <w:tcPr>
            <w:tcW w:w="1134" w:type="dxa"/>
            <w:shd w:val="clear" w:color="auto" w:fill="auto"/>
            <w:noWrap/>
            <w:hideMark/>
          </w:tcPr>
          <w:p w14:paraId="7B65F98A" w14:textId="77777777" w:rsidR="00E4549F" w:rsidRPr="00D518FF" w:rsidRDefault="00E4549F" w:rsidP="00F614C8">
            <w:pPr>
              <w:rPr>
                <w:rFonts w:ascii="Aptos" w:hAnsi="Aptos" w:cs="Calibri"/>
                <w:color w:val="000000"/>
                <w:sz w:val="16"/>
                <w:szCs w:val="16"/>
              </w:rPr>
            </w:pPr>
            <w:r w:rsidRPr="00D518FF">
              <w:rPr>
                <w:rFonts w:ascii="Aptos" w:hAnsi="Aptos"/>
                <w:sz w:val="16"/>
                <w:szCs w:val="16"/>
              </w:rPr>
              <w:t>With condition</w:t>
            </w:r>
          </w:p>
        </w:tc>
        <w:tc>
          <w:tcPr>
            <w:tcW w:w="1276" w:type="dxa"/>
            <w:shd w:val="clear" w:color="auto" w:fill="auto"/>
            <w:noWrap/>
            <w:hideMark/>
          </w:tcPr>
          <w:p w14:paraId="12230BE3"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Children or adolescents with depression</w:t>
            </w:r>
          </w:p>
        </w:tc>
        <w:tc>
          <w:tcPr>
            <w:tcW w:w="992" w:type="dxa"/>
            <w:shd w:val="clear" w:color="auto" w:fill="auto"/>
            <w:noWrap/>
            <w:hideMark/>
          </w:tcPr>
          <w:p w14:paraId="658BB48A"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3B9A115D"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Omega-3, 1-3.4g daily, 10-16 weeks</w:t>
            </w:r>
          </w:p>
        </w:tc>
        <w:tc>
          <w:tcPr>
            <w:tcW w:w="801" w:type="dxa"/>
            <w:shd w:val="clear" w:color="auto" w:fill="auto"/>
            <w:noWrap/>
            <w:hideMark/>
          </w:tcPr>
          <w:p w14:paraId="2098E099"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567" w:type="dxa"/>
            <w:shd w:val="clear" w:color="auto" w:fill="auto"/>
            <w:noWrap/>
            <w:hideMark/>
          </w:tcPr>
          <w:p w14:paraId="23ED0FD2"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4</w:t>
            </w:r>
          </w:p>
        </w:tc>
        <w:tc>
          <w:tcPr>
            <w:tcW w:w="708" w:type="dxa"/>
            <w:shd w:val="clear" w:color="auto" w:fill="auto"/>
            <w:noWrap/>
            <w:hideMark/>
          </w:tcPr>
          <w:p w14:paraId="5884B4A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153</w:t>
            </w:r>
          </w:p>
        </w:tc>
        <w:tc>
          <w:tcPr>
            <w:tcW w:w="709" w:type="dxa"/>
            <w:shd w:val="clear" w:color="auto" w:fill="auto"/>
            <w:noWrap/>
            <w:hideMark/>
          </w:tcPr>
          <w:p w14:paraId="7612F11C"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Response rate was defined as ≥ 50% change from baseline on depression score or a </w:t>
            </w:r>
            <w:r w:rsidRPr="00D518FF">
              <w:rPr>
                <w:rFonts w:ascii="Aptos" w:hAnsi="Aptos" w:cs="Calibri"/>
                <w:color w:val="000000"/>
                <w:sz w:val="16"/>
                <w:szCs w:val="16"/>
              </w:rPr>
              <w:lastRenderedPageBreak/>
              <w:t>score of ≤ 28 at the endpoint of a trial on the CDRS-R</w:t>
            </w:r>
          </w:p>
        </w:tc>
        <w:tc>
          <w:tcPr>
            <w:tcW w:w="709" w:type="dxa"/>
            <w:shd w:val="clear" w:color="auto" w:fill="auto"/>
            <w:noWrap/>
            <w:hideMark/>
          </w:tcPr>
          <w:p w14:paraId="4FB8B0D6"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lastRenderedPageBreak/>
              <w:t xml:space="preserve"> - </w:t>
            </w:r>
          </w:p>
        </w:tc>
        <w:tc>
          <w:tcPr>
            <w:tcW w:w="992" w:type="dxa"/>
            <w:shd w:val="clear" w:color="auto" w:fill="auto"/>
            <w:noWrap/>
            <w:hideMark/>
          </w:tcPr>
          <w:p w14:paraId="7B64F0B5"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276" w:type="dxa"/>
            <w:shd w:val="clear" w:color="auto" w:fill="auto"/>
            <w:noWrap/>
            <w:hideMark/>
          </w:tcPr>
          <w:p w14:paraId="6A735054" w14:textId="77777777" w:rsidR="00E4549F" w:rsidRPr="00D518FF" w:rsidRDefault="00E4549F" w:rsidP="00F614C8">
            <w:pPr>
              <w:rPr>
                <w:rFonts w:ascii="Aptos" w:hAnsi="Aptos" w:cs="Calibri"/>
                <w:color w:val="000000"/>
                <w:sz w:val="16"/>
                <w:szCs w:val="16"/>
              </w:rPr>
            </w:pPr>
            <w:r w:rsidRPr="00D518FF">
              <w:rPr>
                <w:rFonts w:ascii="Aptos" w:hAnsi="Aptos" w:cs="Calibri"/>
                <w:color w:val="000000"/>
                <w:sz w:val="16"/>
                <w:szCs w:val="16"/>
              </w:rPr>
              <w:t>OR = 1.57 (0.26 to 9.39), P=0.62</w:t>
            </w:r>
          </w:p>
        </w:tc>
        <w:tc>
          <w:tcPr>
            <w:tcW w:w="850" w:type="dxa"/>
            <w:shd w:val="clear" w:color="auto" w:fill="auto"/>
            <w:noWrap/>
            <w:hideMark/>
          </w:tcPr>
          <w:p w14:paraId="64DD9B07" w14:textId="77777777" w:rsidR="00E4549F" w:rsidRPr="00D518FF" w:rsidRDefault="00E4549F" w:rsidP="00F614C8">
            <w:pPr>
              <w:rPr>
                <w:rFonts w:ascii="Aptos" w:hAnsi="Aptos" w:cs="Calibri"/>
                <w:color w:val="000000"/>
                <w:sz w:val="16"/>
                <w:szCs w:val="16"/>
              </w:rPr>
            </w:pPr>
            <w:r>
              <w:rPr>
                <w:rFonts w:ascii="Aptos" w:hAnsi="Aptos" w:cs="Calibri"/>
                <w:color w:val="000000"/>
                <w:sz w:val="16"/>
                <w:szCs w:val="16"/>
              </w:rPr>
              <w:t xml:space="preserve">I² </w:t>
            </w:r>
            <w:r w:rsidRPr="00D518FF">
              <w:rPr>
                <w:rFonts w:ascii="Aptos" w:hAnsi="Aptos" w:cs="Calibri"/>
                <w:color w:val="000000"/>
                <w:sz w:val="16"/>
                <w:szCs w:val="16"/>
              </w:rPr>
              <w:t>=71%, P=0.03</w:t>
            </w:r>
          </w:p>
        </w:tc>
        <w:tc>
          <w:tcPr>
            <w:tcW w:w="993" w:type="dxa"/>
            <w:vMerge/>
            <w:shd w:val="clear" w:color="auto" w:fill="auto"/>
            <w:noWrap/>
          </w:tcPr>
          <w:p w14:paraId="249146B1" w14:textId="77777777" w:rsidR="00E4549F" w:rsidRPr="00D518FF" w:rsidRDefault="00E4549F" w:rsidP="00F614C8">
            <w:pPr>
              <w:rPr>
                <w:rFonts w:ascii="Aptos" w:hAnsi="Aptos" w:cs="Calibri"/>
                <w:color w:val="000000"/>
                <w:sz w:val="16"/>
                <w:szCs w:val="16"/>
              </w:rPr>
            </w:pPr>
          </w:p>
        </w:tc>
        <w:tc>
          <w:tcPr>
            <w:tcW w:w="783" w:type="dxa"/>
          </w:tcPr>
          <w:p w14:paraId="7451C465" w14:textId="77777777" w:rsidR="00E4549F" w:rsidDel="006B5D0D" w:rsidRDefault="00E4549F" w:rsidP="00F614C8">
            <w:pPr>
              <w:rPr>
                <w:rFonts w:ascii="Aptos" w:hAnsi="Aptos" w:cs="Calibri"/>
                <w:color w:val="000000"/>
                <w:sz w:val="16"/>
                <w:szCs w:val="16"/>
              </w:rPr>
            </w:pPr>
            <w:r>
              <w:rPr>
                <w:rFonts w:ascii="Aptos" w:hAnsi="Aptos" w:cs="Calibri"/>
                <w:color w:val="000000"/>
                <w:sz w:val="16"/>
                <w:szCs w:val="16"/>
              </w:rPr>
              <w:t>Low risk</w:t>
            </w:r>
          </w:p>
        </w:tc>
      </w:tr>
    </w:tbl>
    <w:p w14:paraId="010D30AD" w14:textId="5499EA8F" w:rsidR="00E4549F" w:rsidRPr="00D518FF" w:rsidRDefault="00E4549F" w:rsidP="00E4549F">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sidR="003D76A3">
        <w:rPr>
          <w:rFonts w:ascii="Aptos" w:hAnsi="Aptos"/>
          <w:b w:val="0"/>
          <w:bCs w:val="0"/>
          <w:sz w:val="16"/>
          <w:szCs w:val="16"/>
        </w:rPr>
        <w:t>BDI=Beck Depression Index;</w:t>
      </w:r>
      <w:r w:rsidR="00720332">
        <w:rPr>
          <w:rFonts w:ascii="Aptos" w:hAnsi="Aptos"/>
          <w:b w:val="0"/>
          <w:bCs w:val="0"/>
          <w:sz w:val="16"/>
          <w:szCs w:val="16"/>
        </w:rPr>
        <w:t xml:space="preserve"> CES-D=</w:t>
      </w:r>
      <w:r w:rsidR="00720332" w:rsidRPr="00720332">
        <w:rPr>
          <w:rFonts w:ascii="Aptos" w:hAnsi="Aptos"/>
          <w:b w:val="0"/>
          <w:bCs w:val="0"/>
          <w:sz w:val="16"/>
          <w:szCs w:val="16"/>
        </w:rPr>
        <w:t xml:space="preserve">Center for Epidemiological Studies Depression </w:t>
      </w:r>
      <w:r w:rsidR="00720332">
        <w:rPr>
          <w:rFonts w:ascii="Aptos" w:hAnsi="Aptos"/>
          <w:b w:val="0"/>
          <w:bCs w:val="0"/>
          <w:sz w:val="16"/>
          <w:szCs w:val="16"/>
        </w:rPr>
        <w:t xml:space="preserve">Scale; </w:t>
      </w:r>
      <w:r w:rsidR="00E9766B">
        <w:rPr>
          <w:rFonts w:ascii="Aptos" w:hAnsi="Aptos"/>
          <w:b w:val="0"/>
          <w:bCs w:val="0"/>
          <w:sz w:val="16"/>
          <w:szCs w:val="16"/>
        </w:rPr>
        <w:t>CGI=</w:t>
      </w:r>
      <w:r w:rsidR="00E9766B" w:rsidRPr="00E9766B">
        <w:rPr>
          <w:rFonts w:ascii="Aptos" w:hAnsi="Aptos"/>
          <w:b w:val="0"/>
          <w:bCs w:val="0"/>
          <w:sz w:val="16"/>
          <w:szCs w:val="16"/>
        </w:rPr>
        <w:t>Clinical Global Impressions Scale</w:t>
      </w:r>
      <w:r w:rsidR="00E9766B">
        <w:rPr>
          <w:rFonts w:ascii="Aptos" w:hAnsi="Aptos"/>
          <w:b w:val="0"/>
          <w:bCs w:val="0"/>
          <w:sz w:val="16"/>
          <w:szCs w:val="16"/>
        </w:rPr>
        <w:t xml:space="preserve">; </w:t>
      </w:r>
      <w:r w:rsidR="00A33D93">
        <w:rPr>
          <w:rFonts w:ascii="Aptos" w:hAnsi="Aptos"/>
          <w:b w:val="0"/>
          <w:bCs w:val="0"/>
          <w:sz w:val="16"/>
          <w:szCs w:val="16"/>
        </w:rPr>
        <w:t>DHA=</w:t>
      </w:r>
      <w:r w:rsidR="00A33D93" w:rsidRPr="00A33D93">
        <w:rPr>
          <w:rFonts w:ascii="Aptos" w:hAnsi="Aptos"/>
          <w:b w:val="0"/>
          <w:bCs w:val="0"/>
          <w:sz w:val="16"/>
          <w:szCs w:val="16"/>
        </w:rPr>
        <w:t>Docosahexaenoic acid</w:t>
      </w:r>
      <w:r w:rsidR="00A33D93">
        <w:rPr>
          <w:rFonts w:ascii="Aptos" w:hAnsi="Aptos"/>
          <w:b w:val="0"/>
          <w:bCs w:val="0"/>
          <w:sz w:val="16"/>
          <w:szCs w:val="16"/>
        </w:rPr>
        <w:t>; EPA=</w:t>
      </w:r>
      <w:r w:rsidR="00A33D93" w:rsidRPr="00A33D93">
        <w:rPr>
          <w:rFonts w:ascii="Aptos" w:hAnsi="Aptos"/>
          <w:b w:val="0"/>
          <w:bCs w:val="0"/>
          <w:sz w:val="16"/>
          <w:szCs w:val="16"/>
        </w:rPr>
        <w:t>eicosapentaenoic acid</w:t>
      </w:r>
      <w:r w:rsidR="00A33D93">
        <w:rPr>
          <w:rFonts w:ascii="Aptos" w:hAnsi="Aptos"/>
          <w:b w:val="0"/>
          <w:bCs w:val="0"/>
          <w:sz w:val="16"/>
          <w:szCs w:val="16"/>
        </w:rPr>
        <w:t xml:space="preserve">; </w:t>
      </w:r>
      <w:r w:rsidR="00720332">
        <w:rPr>
          <w:rFonts w:ascii="Aptos" w:hAnsi="Aptos"/>
          <w:b w:val="0"/>
          <w:bCs w:val="0"/>
          <w:sz w:val="16"/>
          <w:szCs w:val="16"/>
        </w:rPr>
        <w:t>EPDS=</w:t>
      </w:r>
      <w:r w:rsidR="00720332" w:rsidRPr="00720332">
        <w:rPr>
          <w:rFonts w:ascii="Aptos" w:hAnsi="Aptos"/>
          <w:b w:val="0"/>
          <w:bCs w:val="0"/>
          <w:sz w:val="16"/>
          <w:szCs w:val="16"/>
        </w:rPr>
        <w:t>Edinburgh Postnatal Depression Scale</w:t>
      </w:r>
      <w:r w:rsidR="00720332">
        <w:rPr>
          <w:rFonts w:ascii="Aptos" w:hAnsi="Aptos"/>
          <w:b w:val="0"/>
          <w:bCs w:val="0"/>
          <w:sz w:val="16"/>
          <w:szCs w:val="16"/>
        </w:rPr>
        <w:t xml:space="preserve">; </w:t>
      </w:r>
      <w:r w:rsidR="004C2999">
        <w:rPr>
          <w:rFonts w:ascii="Aptos" w:hAnsi="Aptos"/>
          <w:b w:val="0"/>
          <w:bCs w:val="0"/>
          <w:sz w:val="16"/>
          <w:szCs w:val="16"/>
        </w:rPr>
        <w:t>CDRS-R=</w:t>
      </w:r>
      <w:r w:rsidR="004C2999" w:rsidRPr="004C2999">
        <w:t xml:space="preserve"> </w:t>
      </w:r>
      <w:r w:rsidR="004C2999" w:rsidRPr="004C2999">
        <w:rPr>
          <w:rFonts w:ascii="Aptos" w:hAnsi="Aptos"/>
          <w:b w:val="0"/>
          <w:bCs w:val="0"/>
          <w:sz w:val="16"/>
          <w:szCs w:val="16"/>
        </w:rPr>
        <w:t>Children's Depression Rating Scale</w:t>
      </w:r>
      <w:r w:rsidR="004C2999">
        <w:rPr>
          <w:rFonts w:ascii="Aptos" w:hAnsi="Aptos"/>
          <w:b w:val="0"/>
          <w:bCs w:val="0"/>
          <w:sz w:val="16"/>
          <w:szCs w:val="16"/>
        </w:rPr>
        <w:t>—</w:t>
      </w:r>
      <w:r w:rsidR="004C2999" w:rsidRPr="004C2999">
        <w:rPr>
          <w:rFonts w:ascii="Aptos" w:hAnsi="Aptos"/>
          <w:b w:val="0"/>
          <w:bCs w:val="0"/>
          <w:sz w:val="16"/>
          <w:szCs w:val="16"/>
        </w:rPr>
        <w:t>Revised</w:t>
      </w:r>
      <w:r w:rsidR="004C2999">
        <w:rPr>
          <w:rFonts w:ascii="Aptos" w:hAnsi="Aptos"/>
          <w:b w:val="0"/>
          <w:bCs w:val="0"/>
          <w:sz w:val="16"/>
          <w:szCs w:val="16"/>
        </w:rPr>
        <w:t xml:space="preserve">; </w:t>
      </w:r>
      <w:r w:rsidR="00B3133C">
        <w:rPr>
          <w:rFonts w:ascii="Aptos" w:hAnsi="Aptos"/>
          <w:b w:val="0"/>
          <w:bCs w:val="0"/>
          <w:sz w:val="16"/>
          <w:szCs w:val="16"/>
        </w:rPr>
        <w:t>HAMD, HDRS=</w:t>
      </w:r>
      <w:r w:rsidR="00B3133C" w:rsidRPr="00B3133C">
        <w:rPr>
          <w:rFonts w:ascii="Aptos" w:hAnsi="Aptos"/>
          <w:b w:val="0"/>
          <w:bCs w:val="0"/>
          <w:sz w:val="16"/>
          <w:szCs w:val="16"/>
        </w:rPr>
        <w:t>Hamilton Depression Rating Scale</w:t>
      </w:r>
      <w:r w:rsidR="00B3133C">
        <w:rPr>
          <w:rFonts w:ascii="Aptos" w:hAnsi="Aptos"/>
          <w:b w:val="0"/>
          <w:bCs w:val="0"/>
          <w:sz w:val="16"/>
          <w:szCs w:val="16"/>
        </w:rPr>
        <w:t>;</w:t>
      </w:r>
      <w:r w:rsidR="00B3133C" w:rsidRPr="00B3133C">
        <w:rPr>
          <w:rFonts w:ascii="Aptos" w:hAnsi="Aptos"/>
          <w:b w:val="0"/>
          <w:bCs w:val="0"/>
          <w:sz w:val="16"/>
          <w:szCs w:val="16"/>
        </w:rPr>
        <w:t xml:space="preserve"> </w:t>
      </w:r>
      <w:r w:rsidRPr="00D518FF">
        <w:rPr>
          <w:rFonts w:ascii="Aptos" w:hAnsi="Aptos"/>
          <w:b w:val="0"/>
          <w:bCs w:val="0"/>
          <w:sz w:val="16"/>
          <w:szCs w:val="16"/>
        </w:rPr>
        <w:t>DSM=Diagnostic and Statistical Manual of Mental Disorders;</w:t>
      </w:r>
      <w:r w:rsidR="005742D1">
        <w:rPr>
          <w:rFonts w:ascii="Aptos" w:hAnsi="Aptos"/>
          <w:b w:val="0"/>
          <w:bCs w:val="0"/>
          <w:sz w:val="16"/>
          <w:szCs w:val="16"/>
        </w:rPr>
        <w:t xml:space="preserve"> MADRS=</w:t>
      </w:r>
      <w:r w:rsidR="005742D1" w:rsidRPr="005742D1">
        <w:t xml:space="preserve"> </w:t>
      </w:r>
      <w:r w:rsidR="005742D1" w:rsidRPr="005742D1">
        <w:rPr>
          <w:rFonts w:ascii="Aptos" w:hAnsi="Aptos"/>
          <w:b w:val="0"/>
          <w:bCs w:val="0"/>
          <w:sz w:val="16"/>
          <w:szCs w:val="16"/>
        </w:rPr>
        <w:t>Montgomery–Åsberg Depression Rating Scale</w:t>
      </w:r>
      <w:r w:rsidR="005742D1">
        <w:rPr>
          <w:rFonts w:ascii="Aptos" w:hAnsi="Aptos"/>
          <w:b w:val="0"/>
          <w:bCs w:val="0"/>
          <w:sz w:val="16"/>
          <w:szCs w:val="16"/>
        </w:rPr>
        <w:t>;</w:t>
      </w:r>
      <w:r w:rsidRPr="00D518FF">
        <w:rPr>
          <w:rFonts w:ascii="Aptos" w:hAnsi="Aptos"/>
          <w:b w:val="0"/>
          <w:bCs w:val="0"/>
          <w:sz w:val="16"/>
          <w:szCs w:val="16"/>
        </w:rPr>
        <w:t xml:space="preserve"> </w:t>
      </w:r>
      <w:r w:rsidR="00B3133C">
        <w:rPr>
          <w:rFonts w:ascii="Aptos" w:hAnsi="Aptos"/>
          <w:b w:val="0"/>
          <w:bCs w:val="0"/>
          <w:sz w:val="16"/>
          <w:szCs w:val="16"/>
        </w:rPr>
        <w:t>MINI=</w:t>
      </w:r>
      <w:r w:rsidR="00B3133C" w:rsidRPr="00B3133C">
        <w:rPr>
          <w:rFonts w:ascii="Aptos" w:hAnsi="Aptos"/>
          <w:b w:val="0"/>
          <w:bCs w:val="0"/>
          <w:sz w:val="16"/>
          <w:szCs w:val="16"/>
        </w:rPr>
        <w:t>Mini-International Neuropsychiatric Interview</w:t>
      </w:r>
      <w:r w:rsidR="00B3133C">
        <w:rPr>
          <w:rFonts w:ascii="Aptos" w:hAnsi="Aptos"/>
          <w:b w:val="0"/>
          <w:bCs w:val="0"/>
          <w:sz w:val="16"/>
          <w:szCs w:val="16"/>
        </w:rPr>
        <w:t xml:space="preserve">; </w:t>
      </w:r>
      <w:r w:rsidR="00E9766B">
        <w:rPr>
          <w:rFonts w:ascii="Aptos" w:hAnsi="Aptos"/>
          <w:b w:val="0"/>
          <w:bCs w:val="0"/>
          <w:sz w:val="16"/>
          <w:szCs w:val="16"/>
        </w:rPr>
        <w:t>PDSS=</w:t>
      </w:r>
      <w:r w:rsidR="00E9766B" w:rsidRPr="00E9766B">
        <w:rPr>
          <w:rFonts w:ascii="Aptos" w:hAnsi="Aptos"/>
          <w:b w:val="0"/>
          <w:bCs w:val="0"/>
          <w:sz w:val="16"/>
          <w:szCs w:val="16"/>
        </w:rPr>
        <w:t>Postpartum Depression Screening Scale</w:t>
      </w:r>
      <w:r w:rsidR="00E9766B">
        <w:rPr>
          <w:rFonts w:ascii="Aptos" w:hAnsi="Aptos"/>
          <w:b w:val="0"/>
          <w:bCs w:val="0"/>
          <w:sz w:val="16"/>
          <w:szCs w:val="16"/>
        </w:rPr>
        <w:t xml:space="preserve">; </w:t>
      </w:r>
      <w:r w:rsidR="00EB664B">
        <w:rPr>
          <w:rFonts w:ascii="Aptos" w:hAnsi="Aptos"/>
          <w:b w:val="0"/>
          <w:bCs w:val="0"/>
          <w:sz w:val="16"/>
          <w:szCs w:val="16"/>
        </w:rPr>
        <w:t xml:space="preserve">OR=Odds ratio; </w:t>
      </w:r>
      <w:r w:rsidR="00E17FE0">
        <w:rPr>
          <w:rFonts w:ascii="Aptos" w:hAnsi="Aptos"/>
          <w:b w:val="0"/>
          <w:bCs w:val="0"/>
          <w:sz w:val="16"/>
          <w:szCs w:val="16"/>
        </w:rPr>
        <w:t>QoL=Quality of life</w:t>
      </w:r>
      <w:r w:rsidR="003D76A3">
        <w:rPr>
          <w:rFonts w:ascii="Aptos" w:hAnsi="Aptos"/>
          <w:b w:val="0"/>
          <w:bCs w:val="0"/>
          <w:sz w:val="16"/>
          <w:szCs w:val="16"/>
        </w:rPr>
        <w:t>; SMD=standardised mean difference</w:t>
      </w:r>
    </w:p>
    <w:p w14:paraId="7210FF63" w14:textId="77777777" w:rsidR="00E4549F" w:rsidRPr="00D518FF" w:rsidRDefault="00E4549F" w:rsidP="00E4549F">
      <w:pPr>
        <w:pStyle w:val="Caption1"/>
        <w:spacing w:before="0" w:after="0"/>
        <w:rPr>
          <w:rFonts w:ascii="Aptos" w:hAnsi="Aptos"/>
          <w:b w:val="0"/>
          <w:bCs w:val="0"/>
          <w:sz w:val="16"/>
          <w:szCs w:val="16"/>
        </w:rPr>
      </w:pPr>
    </w:p>
    <w:p w14:paraId="11226F0E" w14:textId="77777777" w:rsidR="00E4549F" w:rsidRPr="00D518FF" w:rsidRDefault="00E4549F" w:rsidP="00E4549F">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710B354A" w14:textId="77777777" w:rsidR="00E4549F" w:rsidRPr="00D518FF" w:rsidRDefault="00E4549F" w:rsidP="00A4650A">
      <w:pPr>
        <w:pStyle w:val="ListParagraph"/>
        <w:numPr>
          <w:ilvl w:val="0"/>
          <w:numId w:val="3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Depression-related emotional functioning/mental health burden</w:t>
      </w:r>
    </w:p>
    <w:p w14:paraId="5608437B" w14:textId="77777777" w:rsidR="00E4549F" w:rsidRPr="00D518FF" w:rsidRDefault="00E4549F" w:rsidP="00A4650A">
      <w:pPr>
        <w:pStyle w:val="ListParagraph"/>
        <w:numPr>
          <w:ilvl w:val="0"/>
          <w:numId w:val="3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Improvement in clinical levels of depression (including post-natal depression)</w:t>
      </w:r>
    </w:p>
    <w:p w14:paraId="1611993B" w14:textId="77777777" w:rsidR="00E4549F" w:rsidRPr="00D518FF" w:rsidRDefault="00E4549F" w:rsidP="00A4650A">
      <w:pPr>
        <w:pStyle w:val="ListParagraph"/>
        <w:numPr>
          <w:ilvl w:val="0"/>
          <w:numId w:val="3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Specific depression dimensions (Anhedonia, Distress, Dysfunctional thoughts, Internalizing problems, Rumination, Self-esteem, Anger, Fatigue, Hopelessness, Irritability, Negative mood, Tension)</w:t>
      </w:r>
    </w:p>
    <w:p w14:paraId="3C303437" w14:textId="77777777" w:rsidR="00E4549F" w:rsidRPr="00D518FF" w:rsidRDefault="00E4549F" w:rsidP="00A4650A">
      <w:pPr>
        <w:pStyle w:val="ListParagraph"/>
        <w:numPr>
          <w:ilvl w:val="0"/>
          <w:numId w:val="3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Physiological symptoms of depression (respiration rate and capacity, heart rate, blood pressure, heart rhythm, vital signs, brain beta-nucleoside triphosphate levels, brain phosphodiester levels, brain phosphomonoester levels, serum norepinephrine levels, serum serotonin levels, frontal lobe phosphocreatine levels, body fat, metabolic measures, lactate levels, urinalysis results, lab panel results, weight, height, physical examination, temperature)</w:t>
      </w:r>
    </w:p>
    <w:p w14:paraId="204FFC45" w14:textId="77777777" w:rsidR="00E4549F" w:rsidRPr="00D518FF" w:rsidRDefault="00E4549F" w:rsidP="00A4650A">
      <w:pPr>
        <w:pStyle w:val="ListParagraph"/>
        <w:numPr>
          <w:ilvl w:val="0"/>
          <w:numId w:val="3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Parent to infant bonding</w:t>
      </w:r>
    </w:p>
    <w:p w14:paraId="378DB830" w14:textId="77777777" w:rsidR="00E4549F" w:rsidRPr="00D518FF" w:rsidRDefault="00E4549F" w:rsidP="00A4650A">
      <w:pPr>
        <w:pStyle w:val="ListParagraph"/>
        <w:numPr>
          <w:ilvl w:val="0"/>
          <w:numId w:val="3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52DFCA1A" w14:textId="77777777" w:rsidR="00E4549F" w:rsidRPr="00D518FF" w:rsidRDefault="00E4549F" w:rsidP="00A4650A">
      <w:pPr>
        <w:pStyle w:val="ListParagraph"/>
        <w:numPr>
          <w:ilvl w:val="0"/>
          <w:numId w:val="39"/>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Anxiety-related emotional functioning/mental health burden</w:t>
      </w:r>
    </w:p>
    <w:p w14:paraId="233E4B3D" w14:textId="77777777" w:rsidR="00F023F9" w:rsidRDefault="00F023F9" w:rsidP="00CC7C3B">
      <w:pPr>
        <w:pStyle w:val="Caption"/>
      </w:pPr>
    </w:p>
    <w:p w14:paraId="63DC8183" w14:textId="069522F6" w:rsidR="00FC6DCC" w:rsidRPr="00967C85" w:rsidRDefault="00CC7C3B" w:rsidP="00967C85">
      <w:pPr>
        <w:pStyle w:val="Caption"/>
        <w:rPr>
          <w:rFonts w:ascii="Aptos" w:hAnsi="Aptos"/>
        </w:rPr>
      </w:pPr>
      <w:bookmarkStart w:id="192" w:name="_Toc185254579"/>
      <w:r w:rsidRPr="00F614C8">
        <w:rPr>
          <w:rFonts w:ascii="Aptos" w:hAnsi="Aptos"/>
        </w:rPr>
        <w:t xml:space="preserve">Table </w:t>
      </w:r>
      <w:r w:rsidR="003B0594" w:rsidRPr="00F614C8">
        <w:rPr>
          <w:rFonts w:ascii="Aptos" w:hAnsi="Aptos"/>
        </w:rPr>
        <w:fldChar w:fldCharType="begin" w:fldLock="1"/>
      </w:r>
      <w:r w:rsidR="003B0594" w:rsidRPr="00F614C8">
        <w:rPr>
          <w:rFonts w:ascii="Aptos" w:hAnsi="Aptos"/>
        </w:rPr>
        <w:instrText xml:space="preserve"> STYLEREF 1 \s </w:instrText>
      </w:r>
      <w:r w:rsidR="003B0594" w:rsidRPr="00F614C8">
        <w:rPr>
          <w:rFonts w:ascii="Aptos" w:hAnsi="Aptos"/>
        </w:rPr>
        <w:fldChar w:fldCharType="separate"/>
      </w:r>
      <w:r w:rsidR="003B0594" w:rsidRPr="00F614C8">
        <w:rPr>
          <w:rFonts w:ascii="Aptos" w:hAnsi="Aptos"/>
        </w:rPr>
        <w:t>E</w:t>
      </w:r>
      <w:r w:rsidR="003B0594"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7</w:t>
      </w:r>
      <w:r w:rsidR="003B0594" w:rsidRPr="00F614C8">
        <w:rPr>
          <w:rFonts w:ascii="Aptos" w:hAnsi="Aptos"/>
        </w:rPr>
        <w:fldChar w:fldCharType="end"/>
      </w:r>
      <w:r w:rsidR="009E4D3F" w:rsidRPr="00D518FF">
        <w:rPr>
          <w:rFonts w:ascii="Aptos" w:hAnsi="Aptos"/>
        </w:rPr>
        <w:t xml:space="preserve">. Results of included </w:t>
      </w:r>
      <w:r w:rsidR="000A08A8">
        <w:rPr>
          <w:rFonts w:ascii="Aptos" w:hAnsi="Aptos"/>
        </w:rPr>
        <w:t xml:space="preserve">(non-preferred) </w:t>
      </w:r>
      <w:r w:rsidR="009E4D3F" w:rsidRPr="00D518FF">
        <w:rPr>
          <w:rFonts w:ascii="Aptos" w:hAnsi="Aptos"/>
        </w:rPr>
        <w:t>reviews by outcome domain – depression (including post-natal), omega-3</w:t>
      </w:r>
      <w:r w:rsidR="00D409CA">
        <w:rPr>
          <w:rFonts w:ascii="Aptos" w:hAnsi="Aptos"/>
        </w:rPr>
        <w:t xml:space="preserve"> </w:t>
      </w:r>
      <w:r w:rsidR="00D409CA">
        <w:t>fatty acids</w:t>
      </w:r>
      <w:bookmarkEnd w:id="192"/>
    </w:p>
    <w:tbl>
      <w:tblPr>
        <w:tblW w:w="14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0" w:type="dxa"/>
        </w:tblCellMar>
        <w:tblLook w:val="04A0" w:firstRow="1" w:lastRow="0" w:firstColumn="1" w:lastColumn="0" w:noHBand="0" w:noVBand="1"/>
      </w:tblPr>
      <w:tblGrid>
        <w:gridCol w:w="702"/>
        <w:gridCol w:w="567"/>
        <w:gridCol w:w="992"/>
        <w:gridCol w:w="1560"/>
        <w:gridCol w:w="992"/>
        <w:gridCol w:w="1042"/>
        <w:gridCol w:w="801"/>
        <w:gridCol w:w="850"/>
        <w:gridCol w:w="992"/>
        <w:gridCol w:w="1135"/>
        <w:gridCol w:w="1277"/>
        <w:gridCol w:w="1277"/>
        <w:gridCol w:w="1136"/>
        <w:gridCol w:w="1135"/>
      </w:tblGrid>
      <w:tr w:rsidR="00D136F8" w:rsidRPr="00D518FF" w14:paraId="5ED80D18" w14:textId="0DB2AA76" w:rsidTr="00D136F8">
        <w:trPr>
          <w:trHeight w:val="321"/>
        </w:trPr>
        <w:tc>
          <w:tcPr>
            <w:tcW w:w="702" w:type="dxa"/>
            <w:vMerge w:val="restart"/>
            <w:shd w:val="clear" w:color="auto" w:fill="D9D9D9" w:themeFill="background1" w:themeFillShade="D9"/>
            <w:noWrap/>
          </w:tcPr>
          <w:p w14:paraId="199421C3" w14:textId="34BEACB8" w:rsidR="00D136F8" w:rsidRPr="00D518FF" w:rsidRDefault="00D136F8" w:rsidP="00F614C8">
            <w:pPr>
              <w:pStyle w:val="2024TABLEHEADER"/>
              <w:spacing w:before="0" w:after="0" w:line="240" w:lineRule="auto"/>
              <w:rPr>
                <w:sz w:val="16"/>
                <w:szCs w:val="16"/>
              </w:rPr>
            </w:pPr>
            <w:r w:rsidRPr="00D518FF">
              <w:rPr>
                <w:sz w:val="16"/>
                <w:szCs w:val="16"/>
              </w:rPr>
              <w:t>Review ID</w:t>
            </w:r>
          </w:p>
        </w:tc>
        <w:tc>
          <w:tcPr>
            <w:tcW w:w="567" w:type="dxa"/>
            <w:vMerge w:val="restart"/>
            <w:shd w:val="clear" w:color="auto" w:fill="D9D9D9" w:themeFill="background1" w:themeFillShade="D9"/>
            <w:noWrap/>
            <w:textDirection w:val="btLr"/>
          </w:tcPr>
          <w:p w14:paraId="62DFE8DD" w14:textId="11F4E5C4" w:rsidR="00D136F8" w:rsidRPr="00D518FF" w:rsidRDefault="00D136F8" w:rsidP="00F614C8">
            <w:pPr>
              <w:pStyle w:val="2024TABLEHEADER"/>
              <w:spacing w:before="0" w:after="0" w:line="240" w:lineRule="auto"/>
              <w:ind w:left="113"/>
              <w:rPr>
                <w:sz w:val="16"/>
                <w:szCs w:val="16"/>
              </w:rPr>
            </w:pPr>
            <w:r w:rsidRPr="00D518FF">
              <w:rPr>
                <w:sz w:val="16"/>
                <w:szCs w:val="16"/>
              </w:rPr>
              <w:t>Outcome domain</w:t>
            </w:r>
          </w:p>
        </w:tc>
        <w:tc>
          <w:tcPr>
            <w:tcW w:w="992" w:type="dxa"/>
            <w:vMerge w:val="restart"/>
            <w:shd w:val="clear" w:color="auto" w:fill="D9D9D9" w:themeFill="background1" w:themeFillShade="D9"/>
            <w:noWrap/>
          </w:tcPr>
          <w:p w14:paraId="42F55AE0" w14:textId="7B1F4F4A" w:rsidR="00D136F8" w:rsidRPr="00D518FF" w:rsidRDefault="00D136F8" w:rsidP="00F614C8">
            <w:pPr>
              <w:pStyle w:val="2024TABLEHEADER"/>
              <w:spacing w:before="0" w:after="0" w:line="240" w:lineRule="auto"/>
              <w:rPr>
                <w:sz w:val="16"/>
                <w:szCs w:val="16"/>
              </w:rPr>
            </w:pPr>
            <w:r w:rsidRPr="00D518FF">
              <w:rPr>
                <w:sz w:val="16"/>
                <w:szCs w:val="16"/>
              </w:rPr>
              <w:t>Population group</w:t>
            </w:r>
          </w:p>
        </w:tc>
        <w:tc>
          <w:tcPr>
            <w:tcW w:w="1560" w:type="dxa"/>
            <w:vMerge w:val="restart"/>
            <w:shd w:val="clear" w:color="auto" w:fill="D9D9D9" w:themeFill="background1" w:themeFillShade="D9"/>
            <w:noWrap/>
          </w:tcPr>
          <w:p w14:paraId="59AC0F20" w14:textId="7B31C7D6" w:rsidR="00D136F8" w:rsidRPr="00D518FF" w:rsidRDefault="00D136F8" w:rsidP="00F614C8">
            <w:pPr>
              <w:pStyle w:val="2024TABLEHEADER"/>
              <w:spacing w:before="0" w:after="0" w:line="240" w:lineRule="auto"/>
              <w:rPr>
                <w:sz w:val="16"/>
                <w:szCs w:val="16"/>
              </w:rPr>
            </w:pPr>
            <w:r w:rsidRPr="00D518FF">
              <w:rPr>
                <w:sz w:val="16"/>
                <w:szCs w:val="16"/>
              </w:rPr>
              <w:t>Population details</w:t>
            </w:r>
          </w:p>
        </w:tc>
        <w:tc>
          <w:tcPr>
            <w:tcW w:w="992" w:type="dxa"/>
            <w:vMerge w:val="restart"/>
            <w:shd w:val="clear" w:color="auto" w:fill="D9D9D9" w:themeFill="background1" w:themeFillShade="D9"/>
            <w:noWrap/>
          </w:tcPr>
          <w:p w14:paraId="38CD30F7" w14:textId="3FCC439E" w:rsidR="00D136F8" w:rsidRPr="00D518FF" w:rsidRDefault="00D136F8" w:rsidP="00F614C8">
            <w:pPr>
              <w:pStyle w:val="2024TABLEHEADER"/>
              <w:spacing w:before="0" w:after="0" w:line="240" w:lineRule="auto"/>
              <w:rPr>
                <w:sz w:val="16"/>
                <w:szCs w:val="16"/>
              </w:rPr>
            </w:pPr>
            <w:r w:rsidRPr="00D518FF">
              <w:rPr>
                <w:sz w:val="16"/>
                <w:szCs w:val="16"/>
              </w:rPr>
              <w:t>Type of comparison</w:t>
            </w:r>
          </w:p>
        </w:tc>
        <w:tc>
          <w:tcPr>
            <w:tcW w:w="1042" w:type="dxa"/>
            <w:vMerge w:val="restart"/>
            <w:shd w:val="clear" w:color="auto" w:fill="D9D9D9" w:themeFill="background1" w:themeFillShade="D9"/>
            <w:noWrap/>
          </w:tcPr>
          <w:p w14:paraId="32DC549D" w14:textId="1A4AED60" w:rsidR="00D136F8" w:rsidRPr="00D518FF" w:rsidRDefault="00D136F8" w:rsidP="00F614C8">
            <w:pPr>
              <w:pStyle w:val="2024TABLEHEADER"/>
              <w:spacing w:before="0" w:after="0" w:line="240" w:lineRule="auto"/>
              <w:rPr>
                <w:sz w:val="16"/>
                <w:szCs w:val="16"/>
              </w:rPr>
            </w:pPr>
            <w:r w:rsidRPr="00D518FF">
              <w:rPr>
                <w:sz w:val="16"/>
                <w:szCs w:val="16"/>
              </w:rPr>
              <w:t>Intervention description</w:t>
            </w:r>
          </w:p>
        </w:tc>
        <w:tc>
          <w:tcPr>
            <w:tcW w:w="801" w:type="dxa"/>
            <w:vMerge w:val="restart"/>
            <w:shd w:val="clear" w:color="auto" w:fill="D9D9D9" w:themeFill="background1" w:themeFillShade="D9"/>
            <w:noWrap/>
          </w:tcPr>
          <w:p w14:paraId="49A6DF8E" w14:textId="478141B5" w:rsidR="00D136F8" w:rsidRPr="00D518FF" w:rsidRDefault="00D136F8" w:rsidP="00F614C8">
            <w:pPr>
              <w:pStyle w:val="2024TABLEHEADER"/>
              <w:spacing w:before="0" w:after="0" w:line="240" w:lineRule="auto"/>
              <w:rPr>
                <w:sz w:val="16"/>
                <w:szCs w:val="16"/>
              </w:rPr>
            </w:pPr>
            <w:r w:rsidRPr="00D518FF">
              <w:rPr>
                <w:sz w:val="16"/>
                <w:szCs w:val="16"/>
              </w:rPr>
              <w:t>Comparator description</w:t>
            </w:r>
          </w:p>
        </w:tc>
        <w:tc>
          <w:tcPr>
            <w:tcW w:w="850" w:type="dxa"/>
            <w:vMerge w:val="restart"/>
            <w:shd w:val="clear" w:color="auto" w:fill="D9D9D9" w:themeFill="background1" w:themeFillShade="D9"/>
            <w:noWrap/>
          </w:tcPr>
          <w:p w14:paraId="21DB203B" w14:textId="5837CB4B" w:rsidR="00D136F8" w:rsidRPr="00D518FF" w:rsidRDefault="00D136F8" w:rsidP="00F614C8">
            <w:pPr>
              <w:pStyle w:val="2024TABLEHEADER"/>
              <w:spacing w:before="0" w:after="0" w:line="240" w:lineRule="auto"/>
              <w:rPr>
                <w:sz w:val="16"/>
                <w:szCs w:val="16"/>
              </w:rPr>
            </w:pPr>
            <w:r w:rsidRPr="00D518FF">
              <w:rPr>
                <w:sz w:val="16"/>
                <w:szCs w:val="16"/>
              </w:rPr>
              <w:t>No/</w:t>
            </w:r>
            <w:r>
              <w:rPr>
                <w:sz w:val="16"/>
                <w:szCs w:val="16"/>
              </w:rPr>
              <w:t xml:space="preserve"> </w:t>
            </w:r>
            <w:r w:rsidRPr="00D518FF">
              <w:rPr>
                <w:sz w:val="16"/>
                <w:szCs w:val="16"/>
              </w:rPr>
              <w:t>types of included studies</w:t>
            </w:r>
          </w:p>
        </w:tc>
        <w:tc>
          <w:tcPr>
            <w:tcW w:w="992" w:type="dxa"/>
            <w:vMerge w:val="restart"/>
            <w:shd w:val="clear" w:color="auto" w:fill="D9D9D9" w:themeFill="background1" w:themeFillShade="D9"/>
            <w:noWrap/>
          </w:tcPr>
          <w:p w14:paraId="6E704282" w14:textId="79C183BF" w:rsidR="00D136F8" w:rsidRPr="00D518FF" w:rsidRDefault="00D136F8" w:rsidP="00F614C8">
            <w:pPr>
              <w:pStyle w:val="2024TABLEHEADER"/>
              <w:spacing w:before="0" w:after="0" w:line="240" w:lineRule="auto"/>
              <w:rPr>
                <w:sz w:val="16"/>
                <w:szCs w:val="16"/>
              </w:rPr>
            </w:pPr>
            <w:r w:rsidRPr="00D518FF">
              <w:rPr>
                <w:sz w:val="16"/>
                <w:szCs w:val="16"/>
              </w:rPr>
              <w:t>No of participants (total)</w:t>
            </w:r>
          </w:p>
        </w:tc>
        <w:tc>
          <w:tcPr>
            <w:tcW w:w="1135" w:type="dxa"/>
            <w:vMerge w:val="restart"/>
            <w:shd w:val="clear" w:color="auto" w:fill="D9D9D9" w:themeFill="background1" w:themeFillShade="D9"/>
            <w:noWrap/>
          </w:tcPr>
          <w:p w14:paraId="63B47594" w14:textId="0FE83A0A" w:rsidR="00D136F8" w:rsidRPr="00D518FF" w:rsidRDefault="00D136F8" w:rsidP="00F614C8">
            <w:pPr>
              <w:pStyle w:val="2024TABLEHEADER"/>
              <w:spacing w:before="0" w:after="0" w:line="240" w:lineRule="auto"/>
              <w:rPr>
                <w:sz w:val="16"/>
                <w:szCs w:val="16"/>
              </w:rPr>
            </w:pPr>
            <w:r w:rsidRPr="00D518FF">
              <w:rPr>
                <w:sz w:val="16"/>
                <w:szCs w:val="16"/>
              </w:rPr>
              <w:t>Outcome measure(s) used</w:t>
            </w:r>
          </w:p>
        </w:tc>
        <w:tc>
          <w:tcPr>
            <w:tcW w:w="3690" w:type="dxa"/>
            <w:gridSpan w:val="3"/>
            <w:shd w:val="clear" w:color="auto" w:fill="D9D9D9" w:themeFill="background1" w:themeFillShade="D9"/>
          </w:tcPr>
          <w:p w14:paraId="16514C87" w14:textId="40BEF827" w:rsidR="00D136F8" w:rsidRDefault="00D136F8" w:rsidP="00F614C8">
            <w:pPr>
              <w:pStyle w:val="2024TABLEHEADER"/>
              <w:spacing w:before="0" w:after="0" w:line="240" w:lineRule="auto"/>
              <w:rPr>
                <w:sz w:val="16"/>
                <w:szCs w:val="16"/>
              </w:rPr>
            </w:pPr>
            <w:r w:rsidRPr="00D518FF">
              <w:rPr>
                <w:sz w:val="16"/>
                <w:szCs w:val="16"/>
              </w:rPr>
              <w:t>Results</w:t>
            </w:r>
          </w:p>
        </w:tc>
        <w:tc>
          <w:tcPr>
            <w:tcW w:w="1135" w:type="dxa"/>
            <w:vMerge w:val="restart"/>
            <w:shd w:val="clear" w:color="auto" w:fill="D9D9D9" w:themeFill="background1" w:themeFillShade="D9"/>
          </w:tcPr>
          <w:p w14:paraId="1A4217AF" w14:textId="0E30C660" w:rsidR="00D136F8" w:rsidRPr="00D518FF" w:rsidRDefault="00D136F8" w:rsidP="00F614C8">
            <w:pPr>
              <w:pStyle w:val="2024TABLEHEADER"/>
              <w:spacing w:before="0" w:after="0" w:line="240" w:lineRule="auto"/>
              <w:rPr>
                <w:sz w:val="16"/>
                <w:szCs w:val="16"/>
              </w:rPr>
            </w:pPr>
            <w:r>
              <w:rPr>
                <w:sz w:val="16"/>
                <w:szCs w:val="16"/>
              </w:rPr>
              <w:t>ROBIS assessment (for the review overall)</w:t>
            </w:r>
          </w:p>
        </w:tc>
      </w:tr>
      <w:tr w:rsidR="00D136F8" w:rsidRPr="00D518FF" w14:paraId="310D4491" w14:textId="6D03BF0D" w:rsidTr="005742D1">
        <w:trPr>
          <w:trHeight w:val="706"/>
        </w:trPr>
        <w:tc>
          <w:tcPr>
            <w:tcW w:w="702" w:type="dxa"/>
            <w:vMerge/>
            <w:tcBorders>
              <w:bottom w:val="single" w:sz="4" w:space="0" w:color="auto"/>
            </w:tcBorders>
            <w:shd w:val="clear" w:color="auto" w:fill="D9D9D9" w:themeFill="background1" w:themeFillShade="D9"/>
            <w:noWrap/>
          </w:tcPr>
          <w:p w14:paraId="7F0CB7B3" w14:textId="77777777" w:rsidR="00D136F8" w:rsidRPr="00D518FF" w:rsidRDefault="00D136F8" w:rsidP="00F614C8">
            <w:pPr>
              <w:pStyle w:val="2024TABLEHEADER"/>
              <w:spacing w:before="0" w:after="0" w:line="240" w:lineRule="auto"/>
              <w:rPr>
                <w:sz w:val="16"/>
                <w:szCs w:val="16"/>
              </w:rPr>
            </w:pPr>
          </w:p>
        </w:tc>
        <w:tc>
          <w:tcPr>
            <w:tcW w:w="567" w:type="dxa"/>
            <w:vMerge/>
            <w:tcBorders>
              <w:bottom w:val="single" w:sz="4" w:space="0" w:color="auto"/>
            </w:tcBorders>
            <w:shd w:val="clear" w:color="auto" w:fill="D9D9D9" w:themeFill="background1" w:themeFillShade="D9"/>
            <w:noWrap/>
          </w:tcPr>
          <w:p w14:paraId="25F05CB1" w14:textId="77777777" w:rsidR="00D136F8" w:rsidRPr="00D518FF" w:rsidRDefault="00D136F8" w:rsidP="00F614C8">
            <w:pPr>
              <w:pStyle w:val="2024TABLEHEADER"/>
              <w:spacing w:before="0" w:after="0" w:line="240" w:lineRule="auto"/>
              <w:rPr>
                <w:sz w:val="16"/>
                <w:szCs w:val="16"/>
              </w:rPr>
            </w:pPr>
          </w:p>
        </w:tc>
        <w:tc>
          <w:tcPr>
            <w:tcW w:w="992" w:type="dxa"/>
            <w:vMerge/>
            <w:tcBorders>
              <w:bottom w:val="single" w:sz="4" w:space="0" w:color="auto"/>
            </w:tcBorders>
            <w:shd w:val="clear" w:color="auto" w:fill="D9D9D9" w:themeFill="background1" w:themeFillShade="D9"/>
            <w:noWrap/>
          </w:tcPr>
          <w:p w14:paraId="1120C626" w14:textId="77777777" w:rsidR="00D136F8" w:rsidRPr="00D518FF" w:rsidRDefault="00D136F8" w:rsidP="00F614C8">
            <w:pPr>
              <w:pStyle w:val="2024TABLEHEADER"/>
              <w:spacing w:before="0" w:after="0" w:line="240" w:lineRule="auto"/>
              <w:rPr>
                <w:sz w:val="16"/>
                <w:szCs w:val="16"/>
              </w:rPr>
            </w:pPr>
          </w:p>
        </w:tc>
        <w:tc>
          <w:tcPr>
            <w:tcW w:w="1560" w:type="dxa"/>
            <w:vMerge/>
            <w:tcBorders>
              <w:bottom w:val="single" w:sz="4" w:space="0" w:color="auto"/>
            </w:tcBorders>
            <w:shd w:val="clear" w:color="auto" w:fill="D9D9D9" w:themeFill="background1" w:themeFillShade="D9"/>
            <w:noWrap/>
          </w:tcPr>
          <w:p w14:paraId="315E5D19" w14:textId="77777777" w:rsidR="00D136F8" w:rsidRPr="00D518FF" w:rsidRDefault="00D136F8" w:rsidP="00F614C8">
            <w:pPr>
              <w:pStyle w:val="2024TABLEHEADER"/>
              <w:spacing w:before="0" w:after="0" w:line="240" w:lineRule="auto"/>
              <w:rPr>
                <w:sz w:val="16"/>
                <w:szCs w:val="16"/>
              </w:rPr>
            </w:pPr>
          </w:p>
        </w:tc>
        <w:tc>
          <w:tcPr>
            <w:tcW w:w="992" w:type="dxa"/>
            <w:vMerge/>
            <w:tcBorders>
              <w:bottom w:val="single" w:sz="4" w:space="0" w:color="auto"/>
            </w:tcBorders>
            <w:shd w:val="clear" w:color="auto" w:fill="D9D9D9" w:themeFill="background1" w:themeFillShade="D9"/>
            <w:noWrap/>
          </w:tcPr>
          <w:p w14:paraId="0C2651E4" w14:textId="77777777" w:rsidR="00D136F8" w:rsidRPr="00D518FF" w:rsidRDefault="00D136F8" w:rsidP="00F614C8">
            <w:pPr>
              <w:pStyle w:val="2024TABLEHEADER"/>
              <w:spacing w:before="0" w:after="0" w:line="240" w:lineRule="auto"/>
              <w:rPr>
                <w:sz w:val="16"/>
                <w:szCs w:val="16"/>
              </w:rPr>
            </w:pPr>
          </w:p>
        </w:tc>
        <w:tc>
          <w:tcPr>
            <w:tcW w:w="1042" w:type="dxa"/>
            <w:vMerge/>
            <w:tcBorders>
              <w:bottom w:val="single" w:sz="4" w:space="0" w:color="auto"/>
            </w:tcBorders>
            <w:shd w:val="clear" w:color="auto" w:fill="D9D9D9" w:themeFill="background1" w:themeFillShade="D9"/>
            <w:noWrap/>
          </w:tcPr>
          <w:p w14:paraId="35204815" w14:textId="77777777" w:rsidR="00D136F8" w:rsidRPr="00D518FF" w:rsidRDefault="00D136F8" w:rsidP="00F614C8">
            <w:pPr>
              <w:pStyle w:val="2024TABLEHEADER"/>
              <w:spacing w:before="0" w:after="0" w:line="240" w:lineRule="auto"/>
              <w:rPr>
                <w:sz w:val="16"/>
                <w:szCs w:val="16"/>
              </w:rPr>
            </w:pPr>
          </w:p>
        </w:tc>
        <w:tc>
          <w:tcPr>
            <w:tcW w:w="801" w:type="dxa"/>
            <w:vMerge/>
            <w:tcBorders>
              <w:bottom w:val="single" w:sz="4" w:space="0" w:color="auto"/>
            </w:tcBorders>
            <w:shd w:val="clear" w:color="auto" w:fill="D9D9D9" w:themeFill="background1" w:themeFillShade="D9"/>
            <w:noWrap/>
          </w:tcPr>
          <w:p w14:paraId="327A2692" w14:textId="77777777" w:rsidR="00D136F8" w:rsidRPr="00D518FF" w:rsidRDefault="00D136F8" w:rsidP="00F614C8">
            <w:pPr>
              <w:pStyle w:val="2024TABLEHEADER"/>
              <w:spacing w:before="0" w:after="0" w:line="240" w:lineRule="auto"/>
              <w:rPr>
                <w:sz w:val="16"/>
                <w:szCs w:val="16"/>
              </w:rPr>
            </w:pPr>
          </w:p>
        </w:tc>
        <w:tc>
          <w:tcPr>
            <w:tcW w:w="850" w:type="dxa"/>
            <w:vMerge/>
            <w:tcBorders>
              <w:bottom w:val="single" w:sz="4" w:space="0" w:color="auto"/>
            </w:tcBorders>
            <w:shd w:val="clear" w:color="auto" w:fill="D9D9D9" w:themeFill="background1" w:themeFillShade="D9"/>
            <w:noWrap/>
          </w:tcPr>
          <w:p w14:paraId="132679D2" w14:textId="77777777" w:rsidR="00D136F8" w:rsidRPr="00D518FF" w:rsidRDefault="00D136F8" w:rsidP="00F614C8">
            <w:pPr>
              <w:pStyle w:val="2024TABLEHEADER"/>
              <w:spacing w:before="0" w:after="0" w:line="240" w:lineRule="auto"/>
              <w:rPr>
                <w:sz w:val="16"/>
                <w:szCs w:val="16"/>
              </w:rPr>
            </w:pPr>
          </w:p>
        </w:tc>
        <w:tc>
          <w:tcPr>
            <w:tcW w:w="992" w:type="dxa"/>
            <w:vMerge/>
            <w:tcBorders>
              <w:bottom w:val="single" w:sz="4" w:space="0" w:color="auto"/>
            </w:tcBorders>
            <w:shd w:val="clear" w:color="auto" w:fill="D9D9D9" w:themeFill="background1" w:themeFillShade="D9"/>
            <w:noWrap/>
          </w:tcPr>
          <w:p w14:paraId="461C2B68" w14:textId="77777777" w:rsidR="00D136F8" w:rsidRPr="00D518FF" w:rsidRDefault="00D136F8" w:rsidP="00F614C8">
            <w:pPr>
              <w:pStyle w:val="2024TABLEHEADER"/>
              <w:spacing w:before="0" w:after="0" w:line="240" w:lineRule="auto"/>
              <w:rPr>
                <w:sz w:val="16"/>
                <w:szCs w:val="16"/>
              </w:rPr>
            </w:pPr>
          </w:p>
        </w:tc>
        <w:tc>
          <w:tcPr>
            <w:tcW w:w="1135" w:type="dxa"/>
            <w:vMerge/>
            <w:tcBorders>
              <w:bottom w:val="single" w:sz="4" w:space="0" w:color="auto"/>
            </w:tcBorders>
            <w:shd w:val="clear" w:color="auto" w:fill="D9D9D9" w:themeFill="background1" w:themeFillShade="D9"/>
            <w:noWrap/>
          </w:tcPr>
          <w:p w14:paraId="41B9FE83" w14:textId="77777777" w:rsidR="00D136F8" w:rsidRPr="00D518FF" w:rsidRDefault="00D136F8" w:rsidP="00F614C8">
            <w:pPr>
              <w:pStyle w:val="2024TABLEHEADER"/>
              <w:spacing w:before="0" w:after="0" w:line="240" w:lineRule="auto"/>
              <w:rPr>
                <w:sz w:val="16"/>
                <w:szCs w:val="16"/>
              </w:rPr>
            </w:pPr>
          </w:p>
        </w:tc>
        <w:tc>
          <w:tcPr>
            <w:tcW w:w="1277" w:type="dxa"/>
            <w:tcBorders>
              <w:bottom w:val="single" w:sz="4" w:space="0" w:color="auto"/>
            </w:tcBorders>
            <w:shd w:val="clear" w:color="auto" w:fill="D9D9D9" w:themeFill="background1" w:themeFillShade="D9"/>
            <w:noWrap/>
          </w:tcPr>
          <w:p w14:paraId="3631611D" w14:textId="7297F777" w:rsidR="00D136F8" w:rsidRPr="00D518FF" w:rsidRDefault="00D136F8" w:rsidP="00F614C8">
            <w:pPr>
              <w:pStyle w:val="2024TABLEHEADER"/>
              <w:spacing w:before="0" w:after="0" w:line="240" w:lineRule="auto"/>
              <w:rPr>
                <w:sz w:val="16"/>
                <w:szCs w:val="16"/>
              </w:rPr>
            </w:pPr>
            <w:r w:rsidRPr="00D518FF">
              <w:rPr>
                <w:sz w:val="16"/>
                <w:szCs w:val="16"/>
              </w:rPr>
              <w:t>Relative effect (95% CI)</w:t>
            </w:r>
          </w:p>
        </w:tc>
        <w:tc>
          <w:tcPr>
            <w:tcW w:w="1277" w:type="dxa"/>
            <w:tcBorders>
              <w:bottom w:val="single" w:sz="4" w:space="0" w:color="auto"/>
            </w:tcBorders>
            <w:shd w:val="clear" w:color="auto" w:fill="D9D9D9" w:themeFill="background1" w:themeFillShade="D9"/>
            <w:noWrap/>
          </w:tcPr>
          <w:p w14:paraId="1F67572D" w14:textId="4AFD7383" w:rsidR="00D136F8" w:rsidRPr="00D518FF" w:rsidRDefault="00D136F8" w:rsidP="00F614C8">
            <w:pPr>
              <w:pStyle w:val="2024TABLEHEADER"/>
              <w:spacing w:before="0" w:after="0" w:line="240" w:lineRule="auto"/>
              <w:rPr>
                <w:sz w:val="16"/>
                <w:szCs w:val="16"/>
              </w:rPr>
            </w:pPr>
            <w:r w:rsidRPr="00D518FF">
              <w:rPr>
                <w:sz w:val="16"/>
                <w:szCs w:val="16"/>
              </w:rPr>
              <w:t>Other reported results</w:t>
            </w:r>
          </w:p>
        </w:tc>
        <w:tc>
          <w:tcPr>
            <w:tcW w:w="1136" w:type="dxa"/>
            <w:tcBorders>
              <w:bottom w:val="single" w:sz="4" w:space="0" w:color="auto"/>
            </w:tcBorders>
            <w:shd w:val="clear" w:color="auto" w:fill="D9D9D9" w:themeFill="background1" w:themeFillShade="D9"/>
          </w:tcPr>
          <w:p w14:paraId="3F2E1DEA" w14:textId="5294928F" w:rsidR="00D136F8" w:rsidRPr="00D518FF" w:rsidRDefault="00D136F8" w:rsidP="00F614C8">
            <w:pPr>
              <w:pStyle w:val="2024TABLEHEADER"/>
              <w:spacing w:before="0" w:after="0" w:line="240" w:lineRule="auto"/>
              <w:rPr>
                <w:sz w:val="16"/>
                <w:szCs w:val="16"/>
              </w:rPr>
            </w:pPr>
            <w:r>
              <w:rPr>
                <w:sz w:val="16"/>
                <w:szCs w:val="16"/>
              </w:rPr>
              <w:t>Risk of bias</w:t>
            </w:r>
            <w:r w:rsidRPr="00D518FF">
              <w:rPr>
                <w:sz w:val="16"/>
                <w:szCs w:val="16"/>
              </w:rPr>
              <w:t xml:space="preserve"> s</w:t>
            </w:r>
            <w:r>
              <w:rPr>
                <w:sz w:val="16"/>
                <w:szCs w:val="16"/>
              </w:rPr>
              <w:t>ummary (primary studies)</w:t>
            </w:r>
          </w:p>
        </w:tc>
        <w:tc>
          <w:tcPr>
            <w:tcW w:w="1135" w:type="dxa"/>
            <w:vMerge/>
            <w:tcBorders>
              <w:bottom w:val="single" w:sz="4" w:space="0" w:color="auto"/>
            </w:tcBorders>
            <w:shd w:val="clear" w:color="auto" w:fill="D9D9D9" w:themeFill="background1" w:themeFillShade="D9"/>
          </w:tcPr>
          <w:p w14:paraId="43C5352E" w14:textId="4552FB9F" w:rsidR="00D136F8" w:rsidRPr="00D518FF" w:rsidRDefault="00D136F8" w:rsidP="00F614C8">
            <w:pPr>
              <w:pStyle w:val="2024TABLEHEADER"/>
              <w:spacing w:before="0" w:after="0" w:line="240" w:lineRule="auto"/>
              <w:rPr>
                <w:sz w:val="16"/>
                <w:szCs w:val="16"/>
              </w:rPr>
            </w:pPr>
          </w:p>
        </w:tc>
      </w:tr>
      <w:tr w:rsidR="00D136F8" w:rsidRPr="00D518FF" w14:paraId="291C9145" w14:textId="3838AEC0" w:rsidTr="005742D1">
        <w:trPr>
          <w:trHeight w:val="320"/>
        </w:trPr>
        <w:tc>
          <w:tcPr>
            <w:tcW w:w="702" w:type="dxa"/>
            <w:shd w:val="clear" w:color="auto" w:fill="auto"/>
            <w:noWrap/>
            <w:hideMark/>
          </w:tcPr>
          <w:p w14:paraId="2195343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Bae 2023</w:t>
            </w:r>
          </w:p>
        </w:tc>
        <w:tc>
          <w:tcPr>
            <w:tcW w:w="567" w:type="dxa"/>
            <w:shd w:val="clear" w:color="auto" w:fill="auto"/>
            <w:noWrap/>
            <w:hideMark/>
          </w:tcPr>
          <w:p w14:paraId="7400704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FE129C4" w14:textId="39275BBC" w:rsidR="00D136F8" w:rsidRPr="00D518FF" w:rsidRDefault="00D136F8" w:rsidP="00F614C8">
            <w:pPr>
              <w:rPr>
                <w:rFonts w:ascii="Aptos" w:hAnsi="Aptos" w:cs="Calibri"/>
                <w:color w:val="000000"/>
                <w:sz w:val="16"/>
                <w:szCs w:val="16"/>
              </w:rPr>
            </w:pPr>
            <w:r>
              <w:rPr>
                <w:rFonts w:ascii="Aptos" w:hAnsi="Aptos" w:cs="Calibri"/>
                <w:color w:val="000000"/>
                <w:sz w:val="16"/>
                <w:szCs w:val="16"/>
              </w:rPr>
              <w:t>With condition</w:t>
            </w:r>
          </w:p>
        </w:tc>
        <w:tc>
          <w:tcPr>
            <w:tcW w:w="1560" w:type="dxa"/>
            <w:shd w:val="clear" w:color="auto" w:fill="auto"/>
            <w:noWrap/>
            <w:hideMark/>
          </w:tcPr>
          <w:p w14:paraId="0C0C1E58" w14:textId="68FF6EB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Adults &gt;65 years of age with depression</w:t>
            </w:r>
          </w:p>
        </w:tc>
        <w:tc>
          <w:tcPr>
            <w:tcW w:w="992" w:type="dxa"/>
            <w:shd w:val="clear" w:color="auto" w:fill="auto"/>
            <w:noWrap/>
            <w:hideMark/>
          </w:tcPr>
          <w:p w14:paraId="47F4DD27" w14:textId="58BCCC5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 inactive control</w:t>
            </w:r>
          </w:p>
        </w:tc>
        <w:tc>
          <w:tcPr>
            <w:tcW w:w="1042" w:type="dxa"/>
            <w:shd w:val="clear" w:color="auto" w:fill="auto"/>
            <w:noWrap/>
            <w:hideMark/>
          </w:tcPr>
          <w:p w14:paraId="17D4EA13" w14:textId="5DF88F4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fatty acids</w:t>
            </w:r>
          </w:p>
        </w:tc>
        <w:tc>
          <w:tcPr>
            <w:tcW w:w="801" w:type="dxa"/>
            <w:shd w:val="clear" w:color="auto" w:fill="auto"/>
            <w:noWrap/>
            <w:hideMark/>
          </w:tcPr>
          <w:p w14:paraId="5E24AAA0" w14:textId="2D21FD3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3FB2A02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4</w:t>
            </w:r>
          </w:p>
        </w:tc>
        <w:tc>
          <w:tcPr>
            <w:tcW w:w="992" w:type="dxa"/>
            <w:shd w:val="clear" w:color="auto" w:fill="auto"/>
            <w:noWrap/>
            <w:hideMark/>
          </w:tcPr>
          <w:p w14:paraId="42B6E4D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135" w:type="dxa"/>
            <w:shd w:val="clear" w:color="auto" w:fill="auto"/>
            <w:noWrap/>
            <w:hideMark/>
          </w:tcPr>
          <w:p w14:paraId="7D74E7E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277" w:type="dxa"/>
            <w:shd w:val="clear" w:color="auto" w:fill="auto"/>
            <w:noWrap/>
            <w:hideMark/>
          </w:tcPr>
          <w:p w14:paraId="1707B9F4" w14:textId="0BFCF5E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Hedge's g = −0.94 (−1.37 to −0.50)</w:t>
            </w:r>
          </w:p>
        </w:tc>
        <w:tc>
          <w:tcPr>
            <w:tcW w:w="1277" w:type="dxa"/>
            <w:shd w:val="clear" w:color="auto" w:fill="auto"/>
            <w:noWrap/>
            <w:hideMark/>
          </w:tcPr>
          <w:p w14:paraId="1E757260" w14:textId="1F882F1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 heterogeneity in the effect size was detected (I</w:t>
            </w:r>
            <w:r w:rsidRPr="00D518FF">
              <w:rPr>
                <w:rFonts w:ascii="Aptos" w:hAnsi="Aptos" w:cs="Calibri"/>
                <w:color w:val="000000"/>
                <w:sz w:val="16"/>
                <w:szCs w:val="16"/>
              </w:rPr>
              <w:br/>
              <w:t>2 = 32.7%, P = .216). Low RoB across most studies/outcome domains.</w:t>
            </w:r>
          </w:p>
        </w:tc>
        <w:tc>
          <w:tcPr>
            <w:tcW w:w="1136" w:type="dxa"/>
          </w:tcPr>
          <w:p w14:paraId="63633903" w14:textId="57203D77"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7194C8B3" w14:textId="53223BF6"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2DD1DD01" w14:textId="3D227CC0" w:rsidTr="005742D1">
        <w:trPr>
          <w:trHeight w:val="320"/>
        </w:trPr>
        <w:tc>
          <w:tcPr>
            <w:tcW w:w="702" w:type="dxa"/>
            <w:shd w:val="clear" w:color="auto" w:fill="auto"/>
            <w:noWrap/>
            <w:hideMark/>
          </w:tcPr>
          <w:p w14:paraId="47FDD6F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Bai 2018</w:t>
            </w:r>
          </w:p>
        </w:tc>
        <w:tc>
          <w:tcPr>
            <w:tcW w:w="567" w:type="dxa"/>
            <w:shd w:val="clear" w:color="auto" w:fill="auto"/>
            <w:noWrap/>
            <w:hideMark/>
          </w:tcPr>
          <w:p w14:paraId="702B8AF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17F9833" w14:textId="35F6FFEF" w:rsidR="00D136F8" w:rsidRPr="00D518FF" w:rsidRDefault="00D136F8" w:rsidP="00F614C8">
            <w:pPr>
              <w:rPr>
                <w:rFonts w:ascii="Aptos" w:hAnsi="Aptos" w:cs="Calibri"/>
                <w:color w:val="000000"/>
                <w:sz w:val="16"/>
                <w:szCs w:val="16"/>
              </w:rPr>
            </w:pPr>
            <w:r>
              <w:rPr>
                <w:rFonts w:ascii="Aptos" w:hAnsi="Aptos" w:cs="Calibri"/>
                <w:color w:val="000000"/>
                <w:sz w:val="16"/>
                <w:szCs w:val="16"/>
              </w:rPr>
              <w:t>With condition</w:t>
            </w:r>
          </w:p>
        </w:tc>
        <w:tc>
          <w:tcPr>
            <w:tcW w:w="1560" w:type="dxa"/>
            <w:shd w:val="clear" w:color="auto" w:fill="auto"/>
            <w:noWrap/>
            <w:hideMark/>
          </w:tcPr>
          <w:p w14:paraId="26FEAE47" w14:textId="31C5671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Adults &gt;60 years with mild to moderate depression at baseline (DSM criteria for MDD or </w:t>
            </w:r>
            <w:r w:rsidRPr="00D518FF">
              <w:rPr>
                <w:rFonts w:ascii="Aptos" w:hAnsi="Aptos" w:cs="Calibri"/>
                <w:color w:val="000000"/>
                <w:sz w:val="16"/>
                <w:szCs w:val="16"/>
              </w:rPr>
              <w:lastRenderedPageBreak/>
              <w:t>dysthymia; or expressed depressive symptoms and scored above cut-off scores on validated depression scales)</w:t>
            </w:r>
          </w:p>
        </w:tc>
        <w:tc>
          <w:tcPr>
            <w:tcW w:w="992" w:type="dxa"/>
            <w:shd w:val="clear" w:color="auto" w:fill="auto"/>
            <w:noWrap/>
            <w:hideMark/>
          </w:tcPr>
          <w:p w14:paraId="137093CA" w14:textId="7D11EEB5"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Eligible supplement VS placebo/ inactive control</w:t>
            </w:r>
          </w:p>
        </w:tc>
        <w:tc>
          <w:tcPr>
            <w:tcW w:w="1042" w:type="dxa"/>
            <w:shd w:val="clear" w:color="auto" w:fill="auto"/>
            <w:noWrap/>
            <w:hideMark/>
          </w:tcPr>
          <w:p w14:paraId="60E2767C" w14:textId="6C0AFD99"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180-1970 EPAg/day 120-1720 DHAg/d; duration 2-6 months</w:t>
            </w:r>
          </w:p>
        </w:tc>
        <w:tc>
          <w:tcPr>
            <w:tcW w:w="801" w:type="dxa"/>
            <w:shd w:val="clear" w:color="auto" w:fill="auto"/>
            <w:noWrap/>
            <w:hideMark/>
          </w:tcPr>
          <w:p w14:paraId="6AE86589" w14:textId="002BD611" w:rsidR="00D136F8" w:rsidRPr="00D518FF" w:rsidRDefault="00D136F8" w:rsidP="00F614C8">
            <w:pPr>
              <w:rPr>
                <w:rFonts w:ascii="Aptos" w:hAnsi="Aptos" w:cs="Calibri"/>
                <w:color w:val="000000"/>
                <w:sz w:val="16"/>
                <w:szCs w:val="16"/>
              </w:rPr>
            </w:pPr>
            <w:r w:rsidRPr="00D518FF">
              <w:rPr>
                <w:rFonts w:ascii="Aptos" w:hAnsi="Aptos"/>
                <w:color w:val="000000"/>
                <w:sz w:val="16"/>
              </w:rPr>
              <w:t>P</w:t>
            </w:r>
            <w:r w:rsidRPr="00D518FF">
              <w:rPr>
                <w:rFonts w:ascii="Aptos" w:hAnsi="Aptos"/>
                <w:sz w:val="16"/>
              </w:rPr>
              <w:t>lacebo</w:t>
            </w:r>
          </w:p>
        </w:tc>
        <w:tc>
          <w:tcPr>
            <w:tcW w:w="850" w:type="dxa"/>
            <w:shd w:val="clear" w:color="auto" w:fill="auto"/>
            <w:noWrap/>
            <w:hideMark/>
          </w:tcPr>
          <w:p w14:paraId="708C279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w:t>
            </w:r>
          </w:p>
        </w:tc>
        <w:tc>
          <w:tcPr>
            <w:tcW w:w="992" w:type="dxa"/>
            <w:shd w:val="clear" w:color="auto" w:fill="auto"/>
            <w:noWrap/>
            <w:hideMark/>
          </w:tcPr>
          <w:p w14:paraId="4BD7983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126</w:t>
            </w:r>
          </w:p>
        </w:tc>
        <w:tc>
          <w:tcPr>
            <w:tcW w:w="1135" w:type="dxa"/>
            <w:shd w:val="clear" w:color="auto" w:fill="auto"/>
            <w:noWrap/>
            <w:hideMark/>
          </w:tcPr>
          <w:p w14:paraId="28F706B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Change from baseline using any validated instrument e.g., </w:t>
            </w:r>
            <w:r w:rsidRPr="00D518FF">
              <w:rPr>
                <w:rFonts w:ascii="Aptos" w:hAnsi="Aptos" w:cs="Calibri"/>
                <w:color w:val="000000"/>
                <w:sz w:val="16"/>
                <w:szCs w:val="16"/>
              </w:rPr>
              <w:lastRenderedPageBreak/>
              <w:t>HDRS, BDI, GDS, MADRAS</w:t>
            </w:r>
          </w:p>
        </w:tc>
        <w:tc>
          <w:tcPr>
            <w:tcW w:w="1277" w:type="dxa"/>
            <w:shd w:val="clear" w:color="auto" w:fill="auto"/>
            <w:noWrap/>
            <w:hideMark/>
          </w:tcPr>
          <w:p w14:paraId="688214CD" w14:textId="5D1979D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 xml:space="preserve">SMD = </w:t>
            </w:r>
            <w:r w:rsidRPr="00D518FF">
              <w:rPr>
                <w:rFonts w:ascii="Aptos" w:hAnsi="Aptos"/>
                <w:sz w:val="16"/>
                <w:szCs w:val="16"/>
              </w:rPr>
              <w:t>–</w:t>
            </w:r>
            <w:r w:rsidRPr="00D518FF">
              <w:rPr>
                <w:rFonts w:ascii="Aptos" w:hAnsi="Aptos" w:cs="Calibri"/>
                <w:color w:val="000000"/>
                <w:sz w:val="16"/>
                <w:szCs w:val="16"/>
              </w:rPr>
              <w:t>0.555 (</w:t>
            </w:r>
            <w:r w:rsidRPr="00D518FF">
              <w:rPr>
                <w:rFonts w:ascii="Aptos" w:hAnsi="Aptos"/>
                <w:sz w:val="16"/>
                <w:szCs w:val="16"/>
              </w:rPr>
              <w:t>–</w:t>
            </w:r>
            <w:r w:rsidRPr="00D518FF">
              <w:rPr>
                <w:rFonts w:ascii="Aptos" w:hAnsi="Aptos" w:cs="Calibri"/>
                <w:color w:val="000000"/>
                <w:sz w:val="16"/>
                <w:szCs w:val="16"/>
              </w:rPr>
              <w:t>1.185 to 0.075)</w:t>
            </w:r>
          </w:p>
        </w:tc>
        <w:tc>
          <w:tcPr>
            <w:tcW w:w="1277" w:type="dxa"/>
            <w:shd w:val="clear" w:color="auto" w:fill="auto"/>
            <w:noWrap/>
            <w:hideMark/>
          </w:tcPr>
          <w:p w14:paraId="6164DF0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 significant effect on depressive symptoms</w:t>
            </w:r>
          </w:p>
        </w:tc>
        <w:tc>
          <w:tcPr>
            <w:tcW w:w="1136" w:type="dxa"/>
          </w:tcPr>
          <w:p w14:paraId="0178FC97" w14:textId="0AE2EB08"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6F189C60" w14:textId="72780587" w:rsidR="00D136F8" w:rsidRPr="00D518FF" w:rsidRDefault="00D136F8" w:rsidP="00F614C8">
            <w:pPr>
              <w:rPr>
                <w:rFonts w:ascii="Aptos" w:hAnsi="Aptos" w:cs="Calibri"/>
                <w:color w:val="000000"/>
                <w:sz w:val="16"/>
                <w:szCs w:val="16"/>
              </w:rPr>
            </w:pPr>
            <w:r>
              <w:rPr>
                <w:rFonts w:ascii="Aptos" w:hAnsi="Aptos" w:cs="Calibri"/>
                <w:color w:val="000000"/>
                <w:sz w:val="16"/>
                <w:szCs w:val="16"/>
              </w:rPr>
              <w:t>Unclear risk</w:t>
            </w:r>
          </w:p>
        </w:tc>
      </w:tr>
      <w:tr w:rsidR="00D136F8" w:rsidRPr="00D518FF" w14:paraId="0C7EB3CB" w14:textId="2BAAD443" w:rsidTr="005742D1">
        <w:trPr>
          <w:trHeight w:val="320"/>
        </w:trPr>
        <w:tc>
          <w:tcPr>
            <w:tcW w:w="702" w:type="dxa"/>
            <w:shd w:val="clear" w:color="auto" w:fill="auto"/>
            <w:noWrap/>
            <w:hideMark/>
          </w:tcPr>
          <w:p w14:paraId="671842C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Bai 2020</w:t>
            </w:r>
          </w:p>
        </w:tc>
        <w:tc>
          <w:tcPr>
            <w:tcW w:w="567" w:type="dxa"/>
            <w:shd w:val="clear" w:color="auto" w:fill="auto"/>
            <w:noWrap/>
            <w:hideMark/>
          </w:tcPr>
          <w:p w14:paraId="28C5ECB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C15D81B" w14:textId="5FC535FC" w:rsidR="00D136F8" w:rsidRPr="00D518FF" w:rsidRDefault="00D136F8" w:rsidP="00F614C8">
            <w:pPr>
              <w:rPr>
                <w:rFonts w:ascii="Aptos" w:hAnsi="Aptos" w:cs="Calibri"/>
                <w:color w:val="000000"/>
                <w:sz w:val="16"/>
                <w:szCs w:val="16"/>
              </w:rPr>
            </w:pPr>
            <w:r>
              <w:rPr>
                <w:rFonts w:ascii="Aptos" w:hAnsi="Aptos" w:cs="Calibri"/>
                <w:color w:val="000000"/>
                <w:sz w:val="16"/>
                <w:szCs w:val="16"/>
              </w:rPr>
              <w:t>With condition</w:t>
            </w:r>
          </w:p>
        </w:tc>
        <w:tc>
          <w:tcPr>
            <w:tcW w:w="1560" w:type="dxa"/>
            <w:shd w:val="clear" w:color="auto" w:fill="auto"/>
            <w:noWrap/>
            <w:hideMark/>
          </w:tcPr>
          <w:p w14:paraId="7D10582D" w14:textId="1D8410F8"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Adults with MDD based the DSM-IV, DSM-IV-TR or DSM-5</w:t>
            </w:r>
          </w:p>
        </w:tc>
        <w:tc>
          <w:tcPr>
            <w:tcW w:w="992" w:type="dxa"/>
            <w:shd w:val="clear" w:color="auto" w:fill="auto"/>
            <w:noWrap/>
            <w:hideMark/>
          </w:tcPr>
          <w:p w14:paraId="7713A46A" w14:textId="5A2EBAC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 inactive control</w:t>
            </w:r>
          </w:p>
        </w:tc>
        <w:tc>
          <w:tcPr>
            <w:tcW w:w="1042" w:type="dxa"/>
            <w:shd w:val="clear" w:color="auto" w:fill="auto"/>
            <w:noWrap/>
            <w:hideMark/>
          </w:tcPr>
          <w:p w14:paraId="47977044" w14:textId="4DC0CB72"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fatty acids</w:t>
            </w:r>
          </w:p>
        </w:tc>
        <w:tc>
          <w:tcPr>
            <w:tcW w:w="801" w:type="dxa"/>
            <w:shd w:val="clear" w:color="auto" w:fill="auto"/>
            <w:noWrap/>
            <w:hideMark/>
          </w:tcPr>
          <w:p w14:paraId="17BAC0FD" w14:textId="32B9C5EC" w:rsidR="00D136F8" w:rsidRPr="00D518FF" w:rsidRDefault="00D136F8" w:rsidP="00F614C8">
            <w:pPr>
              <w:rPr>
                <w:rFonts w:ascii="Aptos" w:hAnsi="Aptos" w:cs="Calibri"/>
                <w:color w:val="000000"/>
                <w:sz w:val="16"/>
                <w:szCs w:val="16"/>
              </w:rPr>
            </w:pPr>
            <w:r w:rsidRPr="00D518FF">
              <w:rPr>
                <w:rFonts w:ascii="Aptos" w:hAnsi="Aptos"/>
                <w:color w:val="000000"/>
                <w:sz w:val="16"/>
              </w:rPr>
              <w:t>P</w:t>
            </w:r>
            <w:r w:rsidRPr="00D518FF">
              <w:rPr>
                <w:rFonts w:ascii="Aptos" w:hAnsi="Aptos"/>
                <w:sz w:val="16"/>
              </w:rPr>
              <w:t>lacebo</w:t>
            </w:r>
          </w:p>
        </w:tc>
        <w:tc>
          <w:tcPr>
            <w:tcW w:w="850" w:type="dxa"/>
            <w:shd w:val="clear" w:color="auto" w:fill="auto"/>
            <w:noWrap/>
            <w:hideMark/>
          </w:tcPr>
          <w:p w14:paraId="728A6D0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12</w:t>
            </w:r>
          </w:p>
        </w:tc>
        <w:tc>
          <w:tcPr>
            <w:tcW w:w="992" w:type="dxa"/>
            <w:shd w:val="clear" w:color="auto" w:fill="auto"/>
            <w:noWrap/>
            <w:hideMark/>
          </w:tcPr>
          <w:p w14:paraId="4386359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746</w:t>
            </w:r>
          </w:p>
        </w:tc>
        <w:tc>
          <w:tcPr>
            <w:tcW w:w="1135" w:type="dxa"/>
            <w:shd w:val="clear" w:color="auto" w:fill="auto"/>
            <w:noWrap/>
            <w:hideMark/>
          </w:tcPr>
          <w:p w14:paraId="0EC369D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277" w:type="dxa"/>
            <w:shd w:val="clear" w:color="auto" w:fill="auto"/>
            <w:noWrap/>
            <w:hideMark/>
          </w:tcPr>
          <w:p w14:paraId="3F1C0D62" w14:textId="14FE908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−0.35 (</w:t>
            </w:r>
            <w:r w:rsidRPr="00D518FF">
              <w:rPr>
                <w:rFonts w:ascii="Aptos" w:hAnsi="Aptos"/>
                <w:sz w:val="16"/>
                <w:szCs w:val="16"/>
              </w:rPr>
              <w:t>–</w:t>
            </w:r>
            <w:r w:rsidRPr="00D518FF">
              <w:rPr>
                <w:rFonts w:ascii="Aptos" w:hAnsi="Aptos" w:cs="Calibri"/>
                <w:color w:val="000000"/>
                <w:sz w:val="16"/>
                <w:szCs w:val="16"/>
              </w:rPr>
              <w:t xml:space="preserve">0.60 to </w:t>
            </w:r>
            <w:r w:rsidRPr="00D518FF">
              <w:rPr>
                <w:rFonts w:ascii="Aptos" w:hAnsi="Aptos"/>
                <w:sz w:val="16"/>
                <w:szCs w:val="16"/>
              </w:rPr>
              <w:t>–</w:t>
            </w:r>
            <w:r w:rsidRPr="00D518FF">
              <w:rPr>
                <w:rFonts w:ascii="Aptos" w:hAnsi="Aptos" w:cs="Calibri"/>
                <w:color w:val="000000"/>
                <w:sz w:val="16"/>
                <w:szCs w:val="16"/>
              </w:rPr>
              <w:t>0.09)</w:t>
            </w:r>
          </w:p>
        </w:tc>
        <w:tc>
          <w:tcPr>
            <w:tcW w:w="1277" w:type="dxa"/>
            <w:shd w:val="clear" w:color="auto" w:fill="auto"/>
            <w:noWrap/>
            <w:hideMark/>
          </w:tcPr>
          <w:p w14:paraId="323A2E70" w14:textId="7F31D02B"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Heterogeneity among studies was found to be moderate (X2=33.67,</w:t>
            </w:r>
            <w:r w:rsidRPr="00D518FF">
              <w:rPr>
                <w:rFonts w:ascii="Aptos" w:hAnsi="Aptos" w:cs="Calibri"/>
                <w:color w:val="000000"/>
                <w:sz w:val="16"/>
                <w:szCs w:val="16"/>
              </w:rPr>
              <w:br/>
              <w:t xml:space="preserve">p&lt;0.00001, </w:t>
            </w:r>
            <w:r>
              <w:rPr>
                <w:rFonts w:ascii="Aptos" w:hAnsi="Aptos" w:cs="Calibri"/>
                <w:color w:val="000000"/>
                <w:sz w:val="16"/>
                <w:szCs w:val="16"/>
              </w:rPr>
              <w:t xml:space="preserve">I² </w:t>
            </w:r>
            <w:r w:rsidRPr="00D518FF">
              <w:rPr>
                <w:rFonts w:ascii="Aptos" w:hAnsi="Aptos" w:cs="Calibri"/>
                <w:color w:val="000000"/>
                <w:sz w:val="16"/>
                <w:szCs w:val="16"/>
              </w:rPr>
              <w:t>=</w:t>
            </w:r>
            <w:r w:rsidRPr="00D518FF">
              <w:rPr>
                <w:rFonts w:ascii="Aptos" w:hAnsi="Aptos" w:cs="Calibri"/>
                <w:color w:val="000000"/>
                <w:sz w:val="16"/>
                <w:szCs w:val="16"/>
              </w:rPr>
              <w:br/>
              <w:t>61%</w:t>
            </w:r>
          </w:p>
        </w:tc>
        <w:tc>
          <w:tcPr>
            <w:tcW w:w="1136" w:type="dxa"/>
          </w:tcPr>
          <w:p w14:paraId="2FDE0F29" w14:textId="3E5F3B7E"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539DC7F5" w14:textId="49BB41F4"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451459AE" w14:textId="5161FD4F" w:rsidTr="005742D1">
        <w:trPr>
          <w:trHeight w:val="320"/>
        </w:trPr>
        <w:tc>
          <w:tcPr>
            <w:tcW w:w="702" w:type="dxa"/>
            <w:shd w:val="clear" w:color="auto" w:fill="auto"/>
            <w:noWrap/>
            <w:hideMark/>
          </w:tcPr>
          <w:p w14:paraId="73C429A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Chowdhury 2020</w:t>
            </w:r>
          </w:p>
        </w:tc>
        <w:tc>
          <w:tcPr>
            <w:tcW w:w="567" w:type="dxa"/>
            <w:shd w:val="clear" w:color="auto" w:fill="auto"/>
            <w:noWrap/>
            <w:hideMark/>
          </w:tcPr>
          <w:p w14:paraId="477F646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D3CAB98" w14:textId="2BB4ED4C" w:rsidR="00D136F8" w:rsidRPr="00D518FF" w:rsidRDefault="00D136F8" w:rsidP="00F614C8">
            <w:pPr>
              <w:rPr>
                <w:rFonts w:ascii="Aptos" w:hAnsi="Aptos" w:cs="Calibri"/>
                <w:color w:val="000000"/>
                <w:sz w:val="16"/>
                <w:szCs w:val="16"/>
              </w:rPr>
            </w:pPr>
            <w:r>
              <w:rPr>
                <w:rFonts w:ascii="Aptos" w:hAnsi="Aptos" w:cs="Calibri"/>
                <w:color w:val="000000"/>
                <w:sz w:val="16"/>
                <w:szCs w:val="16"/>
              </w:rPr>
              <w:t>With condition</w:t>
            </w:r>
          </w:p>
        </w:tc>
        <w:tc>
          <w:tcPr>
            <w:tcW w:w="1560" w:type="dxa"/>
            <w:shd w:val="clear" w:color="auto" w:fill="auto"/>
            <w:noWrap/>
            <w:hideMark/>
          </w:tcPr>
          <w:p w14:paraId="1B8FEC0B" w14:textId="04FBC16C"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18–35 years of age with postpartum depressive symptomatology</w:t>
            </w:r>
          </w:p>
        </w:tc>
        <w:tc>
          <w:tcPr>
            <w:tcW w:w="992" w:type="dxa"/>
            <w:shd w:val="clear" w:color="auto" w:fill="auto"/>
            <w:noWrap/>
            <w:hideMark/>
          </w:tcPr>
          <w:p w14:paraId="7B5F2534" w14:textId="4938040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 inactive control</w:t>
            </w:r>
          </w:p>
        </w:tc>
        <w:tc>
          <w:tcPr>
            <w:tcW w:w="1042" w:type="dxa"/>
            <w:shd w:val="clear" w:color="auto" w:fill="auto"/>
            <w:noWrap/>
            <w:hideMark/>
          </w:tcPr>
          <w:p w14:paraId="0C233979" w14:textId="7D53AE6D"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300mg DHA/day; 24 through 40 weeks’ gestation</w:t>
            </w:r>
          </w:p>
        </w:tc>
        <w:tc>
          <w:tcPr>
            <w:tcW w:w="801" w:type="dxa"/>
            <w:shd w:val="clear" w:color="auto" w:fill="auto"/>
            <w:noWrap/>
            <w:hideMark/>
          </w:tcPr>
          <w:p w14:paraId="3E609AEB" w14:textId="25FE7EE1" w:rsidR="00D136F8" w:rsidRPr="00D518FF" w:rsidRDefault="00D136F8" w:rsidP="00F614C8">
            <w:pPr>
              <w:rPr>
                <w:rFonts w:ascii="Aptos" w:hAnsi="Aptos" w:cs="Calibri"/>
                <w:color w:val="000000"/>
                <w:sz w:val="16"/>
                <w:szCs w:val="16"/>
              </w:rPr>
            </w:pPr>
            <w:r w:rsidRPr="00D518FF">
              <w:rPr>
                <w:rFonts w:ascii="Aptos" w:hAnsi="Aptos"/>
                <w:color w:val="000000"/>
                <w:sz w:val="16"/>
              </w:rPr>
              <w:t>P</w:t>
            </w:r>
            <w:r w:rsidRPr="00D518FF">
              <w:rPr>
                <w:rFonts w:ascii="Aptos" w:hAnsi="Aptos"/>
                <w:sz w:val="16"/>
              </w:rPr>
              <w:t>lacebo</w:t>
            </w:r>
          </w:p>
        </w:tc>
        <w:tc>
          <w:tcPr>
            <w:tcW w:w="850" w:type="dxa"/>
            <w:shd w:val="clear" w:color="auto" w:fill="auto"/>
            <w:noWrap/>
            <w:hideMark/>
          </w:tcPr>
          <w:p w14:paraId="1B23F98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E2930F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42</w:t>
            </w:r>
          </w:p>
        </w:tc>
        <w:tc>
          <w:tcPr>
            <w:tcW w:w="1135" w:type="dxa"/>
            <w:shd w:val="clear" w:color="auto" w:fill="auto"/>
            <w:noWrap/>
            <w:hideMark/>
          </w:tcPr>
          <w:p w14:paraId="1D48946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PDSS</w:t>
            </w:r>
          </w:p>
        </w:tc>
        <w:tc>
          <w:tcPr>
            <w:tcW w:w="1277" w:type="dxa"/>
            <w:shd w:val="clear" w:color="auto" w:fill="auto"/>
            <w:noWrap/>
            <w:hideMark/>
          </w:tcPr>
          <w:p w14:paraId="593ADF11" w14:textId="26D78CB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Total scores were significantly lower (p = 0.016; Mean = 46.03</w:t>
            </w:r>
            <w:r w:rsidR="005742D1">
              <w:rPr>
                <w:rFonts w:ascii="Aptos" w:hAnsi="Aptos" w:cs="Calibri"/>
                <w:color w:val="000000"/>
                <w:sz w:val="16"/>
                <w:szCs w:val="16"/>
              </w:rPr>
              <w:t>,</w:t>
            </w:r>
            <w:r w:rsidRPr="00D518FF">
              <w:rPr>
                <w:rFonts w:ascii="Aptos" w:hAnsi="Aptos" w:cs="Calibri"/>
                <w:color w:val="000000"/>
                <w:sz w:val="16"/>
                <w:szCs w:val="16"/>
              </w:rPr>
              <w:t xml:space="preserve"> SD = 2.17, intervention vs. Mean = 52.11 SD = 2.4, placebo)</w:t>
            </w:r>
          </w:p>
        </w:tc>
        <w:tc>
          <w:tcPr>
            <w:tcW w:w="1277" w:type="dxa"/>
            <w:shd w:val="clear" w:color="auto" w:fill="auto"/>
            <w:noWrap/>
            <w:hideMark/>
          </w:tcPr>
          <w:p w14:paraId="428C649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27874A9E" w14:textId="667A2358"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373F9D96" w14:textId="72EDCABB" w:rsidR="00D136F8" w:rsidRPr="00D518FF"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1037D222" w14:textId="5135F63E" w:rsidTr="005742D1">
        <w:trPr>
          <w:trHeight w:val="320"/>
        </w:trPr>
        <w:tc>
          <w:tcPr>
            <w:tcW w:w="702" w:type="dxa"/>
            <w:shd w:val="clear" w:color="auto" w:fill="auto"/>
            <w:noWrap/>
            <w:hideMark/>
          </w:tcPr>
          <w:p w14:paraId="38C135F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Chowdhury 2020</w:t>
            </w:r>
          </w:p>
        </w:tc>
        <w:tc>
          <w:tcPr>
            <w:tcW w:w="567" w:type="dxa"/>
            <w:shd w:val="clear" w:color="auto" w:fill="auto"/>
            <w:noWrap/>
            <w:hideMark/>
          </w:tcPr>
          <w:p w14:paraId="6740F33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1BF69AF" w14:textId="570053E6" w:rsidR="00D136F8" w:rsidRPr="00D518FF" w:rsidRDefault="00D136F8" w:rsidP="00F614C8">
            <w:pPr>
              <w:rPr>
                <w:rFonts w:ascii="Aptos" w:hAnsi="Aptos" w:cs="Calibri"/>
                <w:color w:val="000000"/>
                <w:sz w:val="16"/>
                <w:szCs w:val="16"/>
              </w:rPr>
            </w:pPr>
            <w:r>
              <w:rPr>
                <w:rFonts w:ascii="Aptos" w:hAnsi="Aptos" w:cs="Calibri"/>
                <w:color w:val="000000"/>
                <w:sz w:val="16"/>
                <w:szCs w:val="16"/>
              </w:rPr>
              <w:t>With condition</w:t>
            </w:r>
          </w:p>
        </w:tc>
        <w:tc>
          <w:tcPr>
            <w:tcW w:w="1560" w:type="dxa"/>
            <w:shd w:val="clear" w:color="auto" w:fill="auto"/>
            <w:noWrap/>
            <w:hideMark/>
          </w:tcPr>
          <w:p w14:paraId="67463D35" w14:textId="1750D70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18–45 years of age who were either pregnant (12-32 weeks’ gestation) or postpartum (within 6 months of childbirth) and met criteria for MDD</w:t>
            </w:r>
          </w:p>
        </w:tc>
        <w:tc>
          <w:tcPr>
            <w:tcW w:w="992" w:type="dxa"/>
            <w:shd w:val="clear" w:color="auto" w:fill="auto"/>
            <w:noWrap/>
            <w:hideMark/>
          </w:tcPr>
          <w:p w14:paraId="0CA703E8" w14:textId="3BAB179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7E4D931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FA 1.9g/d; 8 weeks</w:t>
            </w:r>
          </w:p>
        </w:tc>
        <w:tc>
          <w:tcPr>
            <w:tcW w:w="801" w:type="dxa"/>
            <w:shd w:val="clear" w:color="auto" w:fill="auto"/>
            <w:noWrap/>
            <w:hideMark/>
          </w:tcPr>
          <w:p w14:paraId="011132A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0BD0DAD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6668C12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59</w:t>
            </w:r>
          </w:p>
        </w:tc>
        <w:tc>
          <w:tcPr>
            <w:tcW w:w="1135" w:type="dxa"/>
            <w:shd w:val="clear" w:color="auto" w:fill="auto"/>
            <w:noWrap/>
            <w:hideMark/>
          </w:tcPr>
          <w:p w14:paraId="5BC6BFF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Depressive symptomatology as measured by EPDS and HDRS</w:t>
            </w:r>
          </w:p>
        </w:tc>
        <w:tc>
          <w:tcPr>
            <w:tcW w:w="1277" w:type="dxa"/>
            <w:shd w:val="clear" w:color="auto" w:fill="auto"/>
            <w:noWrap/>
            <w:hideMark/>
          </w:tcPr>
          <w:p w14:paraId="0B4D3B02" w14:textId="65A9F48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There were no significant effects of omega-3 FA for either EPDS (b=0.2, z=1.15, p=0.25) or HDRS scores (b=0.06, z=0.34, p=0.73)</w:t>
            </w:r>
          </w:p>
        </w:tc>
        <w:tc>
          <w:tcPr>
            <w:tcW w:w="1277" w:type="dxa"/>
            <w:shd w:val="clear" w:color="auto" w:fill="auto"/>
            <w:noWrap/>
            <w:hideMark/>
          </w:tcPr>
          <w:p w14:paraId="2CDD77D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0E67412B" w14:textId="76AAC740"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1E349C4A" w14:textId="38D99649" w:rsidR="00D136F8" w:rsidRPr="00D518FF"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5E909AC1" w14:textId="36D7D593" w:rsidTr="005742D1">
        <w:trPr>
          <w:trHeight w:val="320"/>
        </w:trPr>
        <w:tc>
          <w:tcPr>
            <w:tcW w:w="702" w:type="dxa"/>
            <w:shd w:val="clear" w:color="auto" w:fill="auto"/>
            <w:noWrap/>
            <w:hideMark/>
          </w:tcPr>
          <w:p w14:paraId="48850EE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Farooq 2020</w:t>
            </w:r>
          </w:p>
        </w:tc>
        <w:tc>
          <w:tcPr>
            <w:tcW w:w="567" w:type="dxa"/>
            <w:shd w:val="clear" w:color="auto" w:fill="auto"/>
            <w:noWrap/>
            <w:hideMark/>
          </w:tcPr>
          <w:p w14:paraId="339AC39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34E2663" w14:textId="429F8FD9"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shd w:val="clear" w:color="auto" w:fill="auto"/>
            <w:noWrap/>
            <w:hideMark/>
          </w:tcPr>
          <w:p w14:paraId="7823761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Adult with hepatitis C + previous history of depression, but who were not suffering from depression at the beginning of the trial. The onset of depressive illness was defined using standard diagnostic criteria, such as International Classification of Disease (ICD-10), or the Diagnostic and Statistical Manual </w:t>
            </w:r>
            <w:r w:rsidRPr="00D518FF">
              <w:rPr>
                <w:rFonts w:ascii="Aptos" w:hAnsi="Aptos" w:cs="Calibri"/>
                <w:color w:val="000000"/>
                <w:sz w:val="16"/>
                <w:szCs w:val="16"/>
              </w:rPr>
              <w:lastRenderedPageBreak/>
              <w:t>(DSM), based on standardised clinical interview or using score above cut off point on standardised and valid rating scales.</w:t>
            </w:r>
          </w:p>
        </w:tc>
        <w:tc>
          <w:tcPr>
            <w:tcW w:w="992" w:type="dxa"/>
            <w:shd w:val="clear" w:color="auto" w:fill="auto"/>
            <w:noWrap/>
            <w:hideMark/>
          </w:tcPr>
          <w:p w14:paraId="037606D5" w14:textId="4416B79C"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NR</w:t>
            </w:r>
          </w:p>
        </w:tc>
        <w:tc>
          <w:tcPr>
            <w:tcW w:w="1042" w:type="dxa"/>
            <w:shd w:val="clear" w:color="auto" w:fill="auto"/>
            <w:noWrap/>
            <w:hideMark/>
          </w:tcPr>
          <w:p w14:paraId="61F0CEF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2 groups EPA or DHA but dose NR; duration 24 weeks </w:t>
            </w:r>
          </w:p>
        </w:tc>
        <w:tc>
          <w:tcPr>
            <w:tcW w:w="801" w:type="dxa"/>
            <w:shd w:val="clear" w:color="auto" w:fill="auto"/>
            <w:noWrap/>
            <w:hideMark/>
          </w:tcPr>
          <w:p w14:paraId="6E403B9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unknown</w:t>
            </w:r>
          </w:p>
        </w:tc>
        <w:tc>
          <w:tcPr>
            <w:tcW w:w="850" w:type="dxa"/>
            <w:shd w:val="clear" w:color="auto" w:fill="auto"/>
            <w:noWrap/>
            <w:hideMark/>
          </w:tcPr>
          <w:p w14:paraId="313BA8C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8C619A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152</w:t>
            </w:r>
          </w:p>
        </w:tc>
        <w:tc>
          <w:tcPr>
            <w:tcW w:w="1135" w:type="dxa"/>
            <w:shd w:val="clear" w:color="auto" w:fill="auto"/>
            <w:noWrap/>
            <w:hideMark/>
          </w:tcPr>
          <w:p w14:paraId="42D218B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MINI</w:t>
            </w:r>
          </w:p>
        </w:tc>
        <w:tc>
          <w:tcPr>
            <w:tcW w:w="1277" w:type="dxa"/>
            <w:shd w:val="clear" w:color="auto" w:fill="auto"/>
            <w:noWrap/>
            <w:hideMark/>
          </w:tcPr>
          <w:p w14:paraId="6EC0519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277" w:type="dxa"/>
            <w:shd w:val="clear" w:color="auto" w:fill="auto"/>
            <w:noWrap/>
            <w:hideMark/>
          </w:tcPr>
          <w:p w14:paraId="6306C76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4DF2A262" w14:textId="10AACBC1"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11293D4D" w14:textId="05EF71EF"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0BB422A8" w14:textId="0F294982" w:rsidTr="005742D1">
        <w:trPr>
          <w:trHeight w:val="320"/>
        </w:trPr>
        <w:tc>
          <w:tcPr>
            <w:tcW w:w="702" w:type="dxa"/>
            <w:shd w:val="clear" w:color="auto" w:fill="auto"/>
            <w:noWrap/>
            <w:hideMark/>
          </w:tcPr>
          <w:p w14:paraId="6C8DCAA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Farooq 2020</w:t>
            </w:r>
          </w:p>
        </w:tc>
        <w:tc>
          <w:tcPr>
            <w:tcW w:w="567" w:type="dxa"/>
            <w:shd w:val="clear" w:color="auto" w:fill="auto"/>
            <w:noWrap/>
            <w:hideMark/>
          </w:tcPr>
          <w:p w14:paraId="16A57CF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65B8881E" w14:textId="7E5E43E1"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shd w:val="clear" w:color="auto" w:fill="auto"/>
            <w:noWrap/>
            <w:hideMark/>
          </w:tcPr>
          <w:p w14:paraId="734AC60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Postnatal women at increased risk of depression</w:t>
            </w:r>
          </w:p>
        </w:tc>
        <w:tc>
          <w:tcPr>
            <w:tcW w:w="992" w:type="dxa"/>
            <w:shd w:val="clear" w:color="auto" w:fill="auto"/>
            <w:noWrap/>
            <w:hideMark/>
          </w:tcPr>
          <w:p w14:paraId="169CFB27" w14:textId="2D441492"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042" w:type="dxa"/>
            <w:shd w:val="clear" w:color="auto" w:fill="auto"/>
            <w:noWrap/>
            <w:hideMark/>
          </w:tcPr>
          <w:p w14:paraId="1F5BC89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EPA &amp; DHA (fish oil supplement); dose NR; duration 12 weeks</w:t>
            </w:r>
          </w:p>
        </w:tc>
        <w:tc>
          <w:tcPr>
            <w:tcW w:w="801" w:type="dxa"/>
            <w:shd w:val="clear" w:color="auto" w:fill="auto"/>
            <w:noWrap/>
            <w:hideMark/>
          </w:tcPr>
          <w:p w14:paraId="1F2AC59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unknown</w:t>
            </w:r>
          </w:p>
        </w:tc>
        <w:tc>
          <w:tcPr>
            <w:tcW w:w="850" w:type="dxa"/>
            <w:shd w:val="clear" w:color="auto" w:fill="auto"/>
            <w:noWrap/>
            <w:hideMark/>
          </w:tcPr>
          <w:p w14:paraId="46E9D91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143A0E8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60</w:t>
            </w:r>
          </w:p>
        </w:tc>
        <w:tc>
          <w:tcPr>
            <w:tcW w:w="1135" w:type="dxa"/>
            <w:shd w:val="clear" w:color="auto" w:fill="auto"/>
            <w:noWrap/>
            <w:hideMark/>
          </w:tcPr>
          <w:p w14:paraId="124C8D0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EPDS</w:t>
            </w:r>
          </w:p>
        </w:tc>
        <w:tc>
          <w:tcPr>
            <w:tcW w:w="1277" w:type="dxa"/>
            <w:shd w:val="clear" w:color="auto" w:fill="auto"/>
            <w:noWrap/>
            <w:hideMark/>
          </w:tcPr>
          <w:p w14:paraId="03F30BA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277" w:type="dxa"/>
            <w:shd w:val="clear" w:color="auto" w:fill="auto"/>
            <w:noWrap/>
            <w:hideMark/>
          </w:tcPr>
          <w:p w14:paraId="1E12549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4B359990" w14:textId="03575501"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3DF5AEE8" w14:textId="2BDCA869"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684B803F" w14:textId="3AA65124" w:rsidTr="005742D1">
        <w:trPr>
          <w:trHeight w:val="320"/>
        </w:trPr>
        <w:tc>
          <w:tcPr>
            <w:tcW w:w="702" w:type="dxa"/>
            <w:shd w:val="clear" w:color="auto" w:fill="auto"/>
            <w:noWrap/>
            <w:hideMark/>
          </w:tcPr>
          <w:p w14:paraId="18A2513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Gabriel 2023</w:t>
            </w:r>
          </w:p>
        </w:tc>
        <w:tc>
          <w:tcPr>
            <w:tcW w:w="567" w:type="dxa"/>
            <w:shd w:val="clear" w:color="auto" w:fill="auto"/>
            <w:noWrap/>
            <w:hideMark/>
          </w:tcPr>
          <w:p w14:paraId="261257B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8BBCBD1" w14:textId="015F1CF5"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4786DD9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&gt;18 years with BPD</w:t>
            </w:r>
          </w:p>
        </w:tc>
        <w:tc>
          <w:tcPr>
            <w:tcW w:w="992" w:type="dxa"/>
            <w:shd w:val="clear" w:color="auto" w:fill="auto"/>
            <w:noWrap/>
            <w:hideMark/>
          </w:tcPr>
          <w:p w14:paraId="1BEF49A4" w14:textId="1CC1EF32"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45E8C80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 variable doses and duration; unsure of nature of control groups</w:t>
            </w:r>
          </w:p>
        </w:tc>
        <w:tc>
          <w:tcPr>
            <w:tcW w:w="801" w:type="dxa"/>
            <w:shd w:val="clear" w:color="auto" w:fill="auto"/>
            <w:noWrap/>
            <w:hideMark/>
          </w:tcPr>
          <w:p w14:paraId="0E4DCDBF" w14:textId="1B244048"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850" w:type="dxa"/>
            <w:shd w:val="clear" w:color="auto" w:fill="auto"/>
            <w:noWrap/>
            <w:hideMark/>
          </w:tcPr>
          <w:p w14:paraId="59DAC3C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5</w:t>
            </w:r>
          </w:p>
        </w:tc>
        <w:tc>
          <w:tcPr>
            <w:tcW w:w="992" w:type="dxa"/>
            <w:shd w:val="clear" w:color="auto" w:fill="auto"/>
            <w:noWrap/>
            <w:hideMark/>
          </w:tcPr>
          <w:p w14:paraId="38953CE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135" w:type="dxa"/>
            <w:shd w:val="clear" w:color="auto" w:fill="auto"/>
            <w:noWrap/>
            <w:hideMark/>
          </w:tcPr>
          <w:p w14:paraId="504F1A3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Various depression scales including BDI, EPDS, IDS</w:t>
            </w:r>
          </w:p>
        </w:tc>
        <w:tc>
          <w:tcPr>
            <w:tcW w:w="1277" w:type="dxa"/>
            <w:shd w:val="clear" w:color="auto" w:fill="auto"/>
            <w:noWrap/>
            <w:hideMark/>
          </w:tcPr>
          <w:p w14:paraId="5CB2C2B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 very small study samples; heterogenous studies</w:t>
            </w:r>
          </w:p>
        </w:tc>
        <w:tc>
          <w:tcPr>
            <w:tcW w:w="1277" w:type="dxa"/>
            <w:shd w:val="clear" w:color="auto" w:fill="auto"/>
            <w:noWrap/>
            <w:hideMark/>
          </w:tcPr>
          <w:p w14:paraId="50E47025" w14:textId="18E72BD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Small effect-size for Omega-3 supplementation in BD in secondary biological outcomes, but which was not translated into meaningful symptomatic improvement</w:t>
            </w:r>
          </w:p>
        </w:tc>
        <w:tc>
          <w:tcPr>
            <w:tcW w:w="1136" w:type="dxa"/>
          </w:tcPr>
          <w:p w14:paraId="70190AA9" w14:textId="4864A915"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1983990A" w14:textId="75C3B58E"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094BE469" w14:textId="2BA13C18" w:rsidTr="005742D1">
        <w:trPr>
          <w:trHeight w:val="320"/>
        </w:trPr>
        <w:tc>
          <w:tcPr>
            <w:tcW w:w="702" w:type="dxa"/>
            <w:shd w:val="clear" w:color="auto" w:fill="auto"/>
            <w:noWrap/>
            <w:hideMark/>
          </w:tcPr>
          <w:p w14:paraId="3383D43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Liao 2019</w:t>
            </w:r>
          </w:p>
        </w:tc>
        <w:tc>
          <w:tcPr>
            <w:tcW w:w="567" w:type="dxa"/>
            <w:shd w:val="clear" w:color="auto" w:fill="auto"/>
            <w:noWrap/>
            <w:hideMark/>
          </w:tcPr>
          <w:p w14:paraId="637222D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CAE9307" w14:textId="38E68D0A"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404B4AF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adults with a diagnosis</w:t>
            </w:r>
            <w:r w:rsidRPr="00D518FF">
              <w:rPr>
                <w:rFonts w:ascii="Aptos" w:hAnsi="Aptos" w:cs="Calibri"/>
                <w:color w:val="000000"/>
                <w:sz w:val="16"/>
                <w:szCs w:val="16"/>
              </w:rPr>
              <w:br/>
              <w:t>of clinical depression (DSM-III-R/DSM-IV) or depressive</w:t>
            </w:r>
            <w:r w:rsidRPr="00D518FF">
              <w:rPr>
                <w:rFonts w:ascii="Aptos" w:hAnsi="Aptos" w:cs="Calibri"/>
                <w:color w:val="000000"/>
                <w:sz w:val="16"/>
                <w:szCs w:val="16"/>
              </w:rPr>
              <w:br/>
              <w:t>symptoms according to validated psychometric instruments (with or without comorbid medical conditions)</w:t>
            </w:r>
          </w:p>
        </w:tc>
        <w:tc>
          <w:tcPr>
            <w:tcW w:w="992" w:type="dxa"/>
            <w:shd w:val="clear" w:color="auto" w:fill="auto"/>
            <w:noWrap/>
            <w:hideMark/>
          </w:tcPr>
          <w:p w14:paraId="23887E6A" w14:textId="07612C40"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46666C51" w14:textId="169F703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PUFAs</w:t>
            </w:r>
          </w:p>
        </w:tc>
        <w:tc>
          <w:tcPr>
            <w:tcW w:w="801" w:type="dxa"/>
            <w:shd w:val="clear" w:color="auto" w:fill="auto"/>
            <w:noWrap/>
            <w:hideMark/>
          </w:tcPr>
          <w:p w14:paraId="6256480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combination of with and without antidepressant co-therapy</w:t>
            </w:r>
          </w:p>
        </w:tc>
        <w:tc>
          <w:tcPr>
            <w:tcW w:w="850" w:type="dxa"/>
            <w:shd w:val="clear" w:color="auto" w:fill="auto"/>
            <w:noWrap/>
            <w:hideMark/>
          </w:tcPr>
          <w:p w14:paraId="2315FDE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32</w:t>
            </w:r>
          </w:p>
        </w:tc>
        <w:tc>
          <w:tcPr>
            <w:tcW w:w="992" w:type="dxa"/>
            <w:shd w:val="clear" w:color="auto" w:fill="auto"/>
            <w:noWrap/>
            <w:hideMark/>
          </w:tcPr>
          <w:p w14:paraId="1DBA33B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2160</w:t>
            </w:r>
          </w:p>
        </w:tc>
        <w:tc>
          <w:tcPr>
            <w:tcW w:w="1135" w:type="dxa"/>
            <w:shd w:val="clear" w:color="auto" w:fill="auto"/>
            <w:noWrap/>
            <w:hideMark/>
          </w:tcPr>
          <w:p w14:paraId="0B5F31E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HRSD, MADRS, BDI, GDI</w:t>
            </w:r>
          </w:p>
        </w:tc>
        <w:tc>
          <w:tcPr>
            <w:tcW w:w="1277" w:type="dxa"/>
            <w:shd w:val="clear" w:color="auto" w:fill="auto"/>
            <w:noWrap/>
            <w:hideMark/>
          </w:tcPr>
          <w:p w14:paraId="7C11BE50" w14:textId="110B28C0"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0.28 (</w:t>
            </w:r>
            <w:r w:rsidRPr="00D518FF">
              <w:rPr>
                <w:rFonts w:ascii="Aptos" w:hAnsi="Aptos"/>
                <w:sz w:val="16"/>
                <w:szCs w:val="16"/>
              </w:rPr>
              <w:t>–</w:t>
            </w:r>
            <w:r w:rsidRPr="00D518FF">
              <w:rPr>
                <w:rFonts w:ascii="Aptos" w:hAnsi="Aptos" w:cs="Calibri"/>
                <w:color w:val="000000"/>
                <w:sz w:val="16"/>
                <w:szCs w:val="16"/>
              </w:rPr>
              <w:t xml:space="preserve">0.47, </w:t>
            </w:r>
            <w:r w:rsidRPr="00D518FF">
              <w:rPr>
                <w:rFonts w:ascii="Aptos" w:hAnsi="Aptos"/>
                <w:sz w:val="16"/>
                <w:szCs w:val="16"/>
              </w:rPr>
              <w:t>–</w:t>
            </w:r>
            <w:r w:rsidRPr="00D518FF">
              <w:rPr>
                <w:rFonts w:ascii="Aptos" w:hAnsi="Aptos" w:cs="Calibri"/>
                <w:color w:val="000000"/>
                <w:sz w:val="16"/>
                <w:szCs w:val="16"/>
              </w:rPr>
              <w:t>0.09)</w:t>
            </w:r>
          </w:p>
        </w:tc>
        <w:tc>
          <w:tcPr>
            <w:tcW w:w="1277" w:type="dxa"/>
            <w:shd w:val="clear" w:color="auto" w:fill="auto"/>
            <w:noWrap/>
            <w:hideMark/>
          </w:tcPr>
          <w:p w14:paraId="4FBEEDD6" w14:textId="3FF1E82C" w:rsidR="00D136F8" w:rsidRPr="00D518FF" w:rsidRDefault="00D136F8" w:rsidP="00F614C8">
            <w:pPr>
              <w:rPr>
                <w:rFonts w:ascii="Aptos" w:hAnsi="Aptos" w:cs="Calibri"/>
                <w:color w:val="000000"/>
                <w:sz w:val="16"/>
                <w:szCs w:val="16"/>
              </w:rPr>
            </w:pPr>
            <w:r>
              <w:rPr>
                <w:rFonts w:ascii="Aptos" w:hAnsi="Aptos" w:cs="Calibri"/>
                <w:color w:val="000000"/>
                <w:sz w:val="16"/>
                <w:szCs w:val="16"/>
              </w:rPr>
              <w:t>I² =</w:t>
            </w:r>
            <w:r w:rsidRPr="00D518FF">
              <w:rPr>
                <w:rFonts w:ascii="Aptos" w:hAnsi="Aptos" w:cs="Calibri"/>
                <w:color w:val="000000"/>
                <w:sz w:val="16"/>
                <w:szCs w:val="16"/>
              </w:rPr>
              <w:t xml:space="preserve"> 75%, significant evidence of heterogeneity between trials</w:t>
            </w:r>
          </w:p>
        </w:tc>
        <w:tc>
          <w:tcPr>
            <w:tcW w:w="1136" w:type="dxa"/>
          </w:tcPr>
          <w:p w14:paraId="398933BA" w14:textId="58B75A6D"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638B3591" w14:textId="1E7CEC7D" w:rsidR="00D136F8"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15347F5C" w14:textId="48DC9423" w:rsidTr="005742D1">
        <w:trPr>
          <w:trHeight w:val="320"/>
        </w:trPr>
        <w:tc>
          <w:tcPr>
            <w:tcW w:w="702" w:type="dxa"/>
            <w:shd w:val="clear" w:color="auto" w:fill="auto"/>
            <w:noWrap/>
            <w:hideMark/>
          </w:tcPr>
          <w:p w14:paraId="3F863BD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Miller 2013</w:t>
            </w:r>
          </w:p>
        </w:tc>
        <w:tc>
          <w:tcPr>
            <w:tcW w:w="567" w:type="dxa"/>
            <w:shd w:val="clear" w:color="auto" w:fill="auto"/>
            <w:noWrap/>
            <w:hideMark/>
          </w:tcPr>
          <w:p w14:paraId="1BB209E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18320316" w14:textId="7FBD8EA6"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vMerge w:val="restart"/>
            <w:shd w:val="clear" w:color="auto" w:fill="auto"/>
            <w:noWrap/>
            <w:hideMark/>
          </w:tcPr>
          <w:p w14:paraId="51AD309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Not have been depressed</w:t>
            </w:r>
            <w:r w:rsidRPr="00D518FF">
              <w:rPr>
                <w:rFonts w:ascii="Aptos" w:hAnsi="Aptos" w:cs="Calibri"/>
                <w:color w:val="000000"/>
                <w:sz w:val="16"/>
                <w:szCs w:val="16"/>
              </w:rPr>
              <w:br/>
              <w:t xml:space="preserve">at the beginning of the trial &gt;18, 12-22 weeks gestation, at risk for depression, based on (i) a history of MDD, (ii) a history of </w:t>
            </w:r>
            <w:r w:rsidRPr="00D518FF">
              <w:rPr>
                <w:rFonts w:ascii="Aptos" w:hAnsi="Aptos" w:cs="Calibri"/>
                <w:color w:val="000000"/>
                <w:sz w:val="16"/>
                <w:szCs w:val="16"/>
              </w:rPr>
              <w:lastRenderedPageBreak/>
              <w:t>postpartum depression, or (iii) an EPDS score between 9 and 19</w:t>
            </w:r>
          </w:p>
        </w:tc>
        <w:tc>
          <w:tcPr>
            <w:tcW w:w="992" w:type="dxa"/>
            <w:vMerge w:val="restart"/>
            <w:shd w:val="clear" w:color="auto" w:fill="auto"/>
            <w:noWrap/>
            <w:hideMark/>
          </w:tcPr>
          <w:p w14:paraId="7C2EFE21" w14:textId="1BC0795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Eligible supplement Vs placebo/inactive control</w:t>
            </w:r>
          </w:p>
        </w:tc>
        <w:tc>
          <w:tcPr>
            <w:tcW w:w="1042" w:type="dxa"/>
            <w:vMerge w:val="restart"/>
            <w:shd w:val="clear" w:color="auto" w:fill="auto"/>
            <w:noWrap/>
            <w:hideMark/>
          </w:tcPr>
          <w:p w14:paraId="31D824E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2 arms - a) EPA-rich fish oil supplement (1060 mg EPA plus 274 mg DHA) b) DHA-rich fish oil </w:t>
            </w:r>
            <w:r w:rsidRPr="00D518FF">
              <w:rPr>
                <w:rFonts w:ascii="Aptos" w:hAnsi="Aptos" w:cs="Calibri"/>
                <w:color w:val="000000"/>
                <w:sz w:val="16"/>
                <w:szCs w:val="16"/>
              </w:rPr>
              <w:lastRenderedPageBreak/>
              <w:t>supplement (900 mg DHA plus 180 mg EPA) for 6 weeks postpartum</w:t>
            </w:r>
          </w:p>
        </w:tc>
        <w:tc>
          <w:tcPr>
            <w:tcW w:w="801" w:type="dxa"/>
            <w:vMerge w:val="restart"/>
            <w:shd w:val="clear" w:color="auto" w:fill="auto"/>
            <w:noWrap/>
            <w:hideMark/>
          </w:tcPr>
          <w:p w14:paraId="4C0DC2B5" w14:textId="3C87170F" w:rsidR="00D136F8" w:rsidRPr="00D518FF" w:rsidRDefault="00D136F8" w:rsidP="00F614C8">
            <w:pPr>
              <w:rPr>
                <w:rFonts w:ascii="Aptos" w:hAnsi="Aptos" w:cs="Calibri"/>
                <w:color w:val="000000"/>
                <w:sz w:val="16"/>
                <w:szCs w:val="16"/>
              </w:rPr>
            </w:pPr>
            <w:r w:rsidRPr="00D518FF">
              <w:rPr>
                <w:rFonts w:ascii="Aptos" w:hAnsi="Aptos"/>
                <w:color w:val="000000"/>
                <w:sz w:val="16"/>
              </w:rPr>
              <w:lastRenderedPageBreak/>
              <w:t>P</w:t>
            </w:r>
            <w:r w:rsidRPr="00D518FF">
              <w:rPr>
                <w:rFonts w:ascii="Aptos" w:hAnsi="Aptos"/>
                <w:sz w:val="16"/>
              </w:rPr>
              <w:t>lacebo</w:t>
            </w:r>
          </w:p>
        </w:tc>
        <w:tc>
          <w:tcPr>
            <w:tcW w:w="850" w:type="dxa"/>
            <w:shd w:val="clear" w:color="auto" w:fill="auto"/>
            <w:noWrap/>
            <w:hideMark/>
          </w:tcPr>
          <w:p w14:paraId="46F38A7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0813187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126</w:t>
            </w:r>
          </w:p>
        </w:tc>
        <w:tc>
          <w:tcPr>
            <w:tcW w:w="1135" w:type="dxa"/>
            <w:shd w:val="clear" w:color="auto" w:fill="auto"/>
            <w:noWrap/>
            <w:hideMark/>
          </w:tcPr>
          <w:p w14:paraId="5F9DAFD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BDI for EPA</w:t>
            </w:r>
          </w:p>
        </w:tc>
        <w:tc>
          <w:tcPr>
            <w:tcW w:w="1277" w:type="dxa"/>
            <w:shd w:val="clear" w:color="auto" w:fill="auto"/>
            <w:noWrap/>
            <w:hideMark/>
          </w:tcPr>
          <w:p w14:paraId="40C74F30" w14:textId="258C800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MD = 0.70, 95% CI -1.78 to 3.18 (no significant effect)</w:t>
            </w:r>
          </w:p>
        </w:tc>
        <w:tc>
          <w:tcPr>
            <w:tcW w:w="1277" w:type="dxa"/>
            <w:shd w:val="clear" w:color="auto" w:fill="auto"/>
            <w:noWrap/>
          </w:tcPr>
          <w:p w14:paraId="3935C133" w14:textId="1A195841" w:rsidR="00D136F8" w:rsidRPr="00D518FF" w:rsidRDefault="00D136F8" w:rsidP="00F614C8">
            <w:pPr>
              <w:rPr>
                <w:rFonts w:ascii="Aptos" w:hAnsi="Aptos" w:cs="Calibri"/>
                <w:color w:val="000000"/>
                <w:sz w:val="16"/>
                <w:szCs w:val="16"/>
              </w:rPr>
            </w:pPr>
          </w:p>
        </w:tc>
        <w:tc>
          <w:tcPr>
            <w:tcW w:w="1136" w:type="dxa"/>
          </w:tcPr>
          <w:p w14:paraId="6D94EC90" w14:textId="0D14F299"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512BD609" w14:textId="21A261F6" w:rsidR="00D136F8" w:rsidRPr="00D518FF" w:rsidRDefault="00D136F8" w:rsidP="00F614C8">
            <w:pPr>
              <w:rPr>
                <w:rFonts w:ascii="Aptos" w:hAnsi="Aptos" w:cs="Calibri"/>
                <w:color w:val="000000"/>
                <w:sz w:val="16"/>
                <w:szCs w:val="16"/>
              </w:rPr>
            </w:pPr>
            <w:r>
              <w:rPr>
                <w:rFonts w:ascii="Aptos" w:hAnsi="Aptos" w:cs="Calibri"/>
                <w:color w:val="000000"/>
                <w:sz w:val="16"/>
                <w:szCs w:val="16"/>
              </w:rPr>
              <w:t>Unclear risk</w:t>
            </w:r>
          </w:p>
        </w:tc>
      </w:tr>
      <w:tr w:rsidR="00D136F8" w:rsidRPr="00D518FF" w14:paraId="083B3368" w14:textId="027238BD" w:rsidTr="005742D1">
        <w:trPr>
          <w:trHeight w:val="280"/>
        </w:trPr>
        <w:tc>
          <w:tcPr>
            <w:tcW w:w="702" w:type="dxa"/>
            <w:shd w:val="clear" w:color="auto" w:fill="auto"/>
            <w:noWrap/>
            <w:hideMark/>
          </w:tcPr>
          <w:p w14:paraId="1A06A2E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Miller 2013</w:t>
            </w:r>
          </w:p>
        </w:tc>
        <w:tc>
          <w:tcPr>
            <w:tcW w:w="567" w:type="dxa"/>
            <w:shd w:val="clear" w:color="auto" w:fill="auto"/>
            <w:noWrap/>
            <w:hideMark/>
          </w:tcPr>
          <w:p w14:paraId="0BA4070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EAF7216" w14:textId="26166FB1"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vMerge/>
            <w:shd w:val="clear" w:color="auto" w:fill="auto"/>
            <w:noWrap/>
          </w:tcPr>
          <w:p w14:paraId="1BB89335" w14:textId="595B6DCF" w:rsidR="00D136F8" w:rsidRPr="00D518FF" w:rsidRDefault="00D136F8" w:rsidP="00F614C8">
            <w:pPr>
              <w:rPr>
                <w:rFonts w:ascii="Aptos" w:hAnsi="Aptos" w:cs="Calibri"/>
                <w:color w:val="000000"/>
                <w:sz w:val="16"/>
                <w:szCs w:val="16"/>
              </w:rPr>
            </w:pPr>
          </w:p>
        </w:tc>
        <w:tc>
          <w:tcPr>
            <w:tcW w:w="992" w:type="dxa"/>
            <w:vMerge/>
            <w:shd w:val="clear" w:color="auto" w:fill="auto"/>
            <w:noWrap/>
          </w:tcPr>
          <w:p w14:paraId="12F40A3C" w14:textId="79AD1A0A" w:rsidR="00D136F8" w:rsidRPr="00D518FF" w:rsidRDefault="00D136F8" w:rsidP="00F614C8">
            <w:pPr>
              <w:rPr>
                <w:rFonts w:ascii="Aptos" w:hAnsi="Aptos" w:cs="Calibri"/>
                <w:color w:val="000000"/>
                <w:sz w:val="16"/>
                <w:szCs w:val="16"/>
              </w:rPr>
            </w:pPr>
          </w:p>
        </w:tc>
        <w:tc>
          <w:tcPr>
            <w:tcW w:w="1042" w:type="dxa"/>
            <w:vMerge/>
            <w:shd w:val="clear" w:color="auto" w:fill="auto"/>
            <w:noWrap/>
          </w:tcPr>
          <w:p w14:paraId="37395931" w14:textId="00CCFDD4" w:rsidR="00D136F8" w:rsidRPr="00D518FF" w:rsidRDefault="00D136F8" w:rsidP="00F614C8">
            <w:pPr>
              <w:rPr>
                <w:rFonts w:ascii="Aptos" w:hAnsi="Aptos" w:cs="Calibri"/>
                <w:color w:val="000000"/>
                <w:sz w:val="16"/>
                <w:szCs w:val="16"/>
              </w:rPr>
            </w:pPr>
          </w:p>
        </w:tc>
        <w:tc>
          <w:tcPr>
            <w:tcW w:w="801" w:type="dxa"/>
            <w:vMerge/>
            <w:shd w:val="clear" w:color="auto" w:fill="auto"/>
            <w:noWrap/>
          </w:tcPr>
          <w:p w14:paraId="2E1F8BE3" w14:textId="53325BCC" w:rsidR="00D136F8" w:rsidRPr="00D518FF" w:rsidRDefault="00D136F8" w:rsidP="00F614C8">
            <w:pPr>
              <w:rPr>
                <w:rFonts w:ascii="Aptos" w:hAnsi="Aptos" w:cs="Calibri"/>
                <w:color w:val="000000"/>
                <w:sz w:val="16"/>
                <w:szCs w:val="16"/>
              </w:rPr>
            </w:pPr>
          </w:p>
        </w:tc>
        <w:tc>
          <w:tcPr>
            <w:tcW w:w="850" w:type="dxa"/>
            <w:shd w:val="clear" w:color="auto" w:fill="auto"/>
            <w:noWrap/>
            <w:hideMark/>
          </w:tcPr>
          <w:p w14:paraId="0B464A3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2994BF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126</w:t>
            </w:r>
          </w:p>
        </w:tc>
        <w:tc>
          <w:tcPr>
            <w:tcW w:w="1135" w:type="dxa"/>
            <w:shd w:val="clear" w:color="auto" w:fill="auto"/>
            <w:noWrap/>
            <w:hideMark/>
          </w:tcPr>
          <w:p w14:paraId="6E04EAF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BDI for DHA</w:t>
            </w:r>
          </w:p>
        </w:tc>
        <w:tc>
          <w:tcPr>
            <w:tcW w:w="1277" w:type="dxa"/>
            <w:shd w:val="clear" w:color="auto" w:fill="auto"/>
            <w:noWrap/>
            <w:hideMark/>
          </w:tcPr>
          <w:p w14:paraId="152FD8F2" w14:textId="4DF87A4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MD = -0.20, 95% CI -2.61 to 2.21 (no significant effect)</w:t>
            </w:r>
          </w:p>
        </w:tc>
        <w:tc>
          <w:tcPr>
            <w:tcW w:w="1277" w:type="dxa"/>
            <w:shd w:val="clear" w:color="auto" w:fill="auto"/>
            <w:noWrap/>
          </w:tcPr>
          <w:p w14:paraId="67A2875D" w14:textId="00C4F1CC" w:rsidR="00D136F8" w:rsidRPr="00D518FF" w:rsidRDefault="00D136F8" w:rsidP="00F614C8">
            <w:pPr>
              <w:rPr>
                <w:rFonts w:ascii="Aptos" w:hAnsi="Aptos" w:cs="Calibri"/>
                <w:color w:val="000000"/>
                <w:sz w:val="16"/>
                <w:szCs w:val="16"/>
              </w:rPr>
            </w:pPr>
          </w:p>
        </w:tc>
        <w:tc>
          <w:tcPr>
            <w:tcW w:w="1136" w:type="dxa"/>
          </w:tcPr>
          <w:p w14:paraId="7A3B3154" w14:textId="77AB99BE"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72F74F86" w14:textId="4C2673F4" w:rsidR="00D136F8" w:rsidRPr="00D518FF" w:rsidRDefault="00D136F8" w:rsidP="00F614C8">
            <w:pPr>
              <w:rPr>
                <w:rFonts w:ascii="Aptos" w:hAnsi="Aptos" w:cs="Calibri"/>
                <w:color w:val="000000"/>
                <w:sz w:val="16"/>
                <w:szCs w:val="16"/>
              </w:rPr>
            </w:pPr>
            <w:r>
              <w:rPr>
                <w:rFonts w:ascii="Aptos" w:hAnsi="Aptos" w:cs="Calibri"/>
                <w:color w:val="000000"/>
                <w:sz w:val="16"/>
                <w:szCs w:val="16"/>
              </w:rPr>
              <w:t>Unclear risk</w:t>
            </w:r>
          </w:p>
        </w:tc>
      </w:tr>
      <w:tr w:rsidR="00D136F8" w:rsidRPr="00D518FF" w14:paraId="5726F6D8" w14:textId="11B7CB0B" w:rsidTr="005742D1">
        <w:trPr>
          <w:trHeight w:val="320"/>
        </w:trPr>
        <w:tc>
          <w:tcPr>
            <w:tcW w:w="702" w:type="dxa"/>
            <w:shd w:val="clear" w:color="auto" w:fill="auto"/>
            <w:noWrap/>
            <w:hideMark/>
          </w:tcPr>
          <w:p w14:paraId="622FC97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Miller 2013</w:t>
            </w:r>
          </w:p>
        </w:tc>
        <w:tc>
          <w:tcPr>
            <w:tcW w:w="567" w:type="dxa"/>
            <w:shd w:val="clear" w:color="auto" w:fill="auto"/>
            <w:noWrap/>
            <w:hideMark/>
          </w:tcPr>
          <w:p w14:paraId="5E4FB16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w:t>
            </w:r>
          </w:p>
        </w:tc>
        <w:tc>
          <w:tcPr>
            <w:tcW w:w="992" w:type="dxa"/>
            <w:shd w:val="clear" w:color="auto" w:fill="auto"/>
            <w:noWrap/>
            <w:hideMark/>
          </w:tcPr>
          <w:p w14:paraId="325626A5" w14:textId="45C796AB"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vMerge/>
            <w:shd w:val="clear" w:color="auto" w:fill="auto"/>
            <w:noWrap/>
          </w:tcPr>
          <w:p w14:paraId="2E155A70" w14:textId="1E7CD0CA" w:rsidR="00D136F8" w:rsidRPr="00D518FF" w:rsidRDefault="00D136F8" w:rsidP="00F614C8">
            <w:pPr>
              <w:rPr>
                <w:rFonts w:ascii="Aptos" w:hAnsi="Aptos" w:cs="Calibri"/>
                <w:color w:val="000000"/>
                <w:sz w:val="16"/>
                <w:szCs w:val="16"/>
              </w:rPr>
            </w:pPr>
          </w:p>
        </w:tc>
        <w:tc>
          <w:tcPr>
            <w:tcW w:w="992" w:type="dxa"/>
            <w:vMerge/>
            <w:shd w:val="clear" w:color="auto" w:fill="auto"/>
            <w:noWrap/>
          </w:tcPr>
          <w:p w14:paraId="043B5402" w14:textId="229EC0C6" w:rsidR="00D136F8" w:rsidRPr="00D518FF" w:rsidRDefault="00D136F8" w:rsidP="00F614C8">
            <w:pPr>
              <w:rPr>
                <w:rFonts w:ascii="Aptos" w:hAnsi="Aptos" w:cs="Calibri"/>
                <w:color w:val="000000"/>
                <w:sz w:val="16"/>
                <w:szCs w:val="16"/>
              </w:rPr>
            </w:pPr>
          </w:p>
        </w:tc>
        <w:tc>
          <w:tcPr>
            <w:tcW w:w="1042" w:type="dxa"/>
            <w:vMerge/>
            <w:shd w:val="clear" w:color="auto" w:fill="auto"/>
            <w:noWrap/>
          </w:tcPr>
          <w:p w14:paraId="7312719E" w14:textId="3F563FDA" w:rsidR="00D136F8" w:rsidRPr="00D518FF" w:rsidRDefault="00D136F8" w:rsidP="00F614C8">
            <w:pPr>
              <w:rPr>
                <w:rFonts w:ascii="Aptos" w:hAnsi="Aptos" w:cs="Calibri"/>
                <w:color w:val="000000"/>
                <w:sz w:val="16"/>
                <w:szCs w:val="16"/>
              </w:rPr>
            </w:pPr>
          </w:p>
        </w:tc>
        <w:tc>
          <w:tcPr>
            <w:tcW w:w="801" w:type="dxa"/>
            <w:vMerge/>
            <w:shd w:val="clear" w:color="auto" w:fill="auto"/>
            <w:noWrap/>
          </w:tcPr>
          <w:p w14:paraId="259DB0A3" w14:textId="6ADC5274" w:rsidR="00D136F8" w:rsidRPr="00D518FF" w:rsidRDefault="00D136F8" w:rsidP="00F614C8">
            <w:pPr>
              <w:rPr>
                <w:rFonts w:ascii="Aptos" w:hAnsi="Aptos" w:cs="Calibri"/>
                <w:color w:val="000000"/>
                <w:sz w:val="16"/>
                <w:szCs w:val="16"/>
              </w:rPr>
            </w:pPr>
          </w:p>
        </w:tc>
        <w:tc>
          <w:tcPr>
            <w:tcW w:w="850" w:type="dxa"/>
            <w:shd w:val="clear" w:color="auto" w:fill="auto"/>
            <w:noWrap/>
            <w:hideMark/>
          </w:tcPr>
          <w:p w14:paraId="2D8E28D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1C0BE5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126</w:t>
            </w:r>
          </w:p>
        </w:tc>
        <w:tc>
          <w:tcPr>
            <w:tcW w:w="1135" w:type="dxa"/>
            <w:shd w:val="clear" w:color="auto" w:fill="auto"/>
            <w:noWrap/>
            <w:hideMark/>
          </w:tcPr>
          <w:p w14:paraId="1A5285A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EPA-Incidence of MDD</w:t>
            </w:r>
          </w:p>
        </w:tc>
        <w:tc>
          <w:tcPr>
            <w:tcW w:w="1277" w:type="dxa"/>
            <w:shd w:val="clear" w:color="auto" w:fill="auto"/>
            <w:noWrap/>
            <w:hideMark/>
          </w:tcPr>
          <w:p w14:paraId="38118CD1" w14:textId="21541830"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1.58 (0.28 to 8.94)</w:t>
            </w:r>
          </w:p>
        </w:tc>
        <w:tc>
          <w:tcPr>
            <w:tcW w:w="1277" w:type="dxa"/>
            <w:shd w:val="clear" w:color="auto" w:fill="auto"/>
            <w:noWrap/>
            <w:hideMark/>
          </w:tcPr>
          <w:p w14:paraId="14540B2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 significant effect on incidence of MDD</w:t>
            </w:r>
          </w:p>
        </w:tc>
        <w:tc>
          <w:tcPr>
            <w:tcW w:w="1136" w:type="dxa"/>
          </w:tcPr>
          <w:p w14:paraId="232E8261" w14:textId="0D35F6C7"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52F52DC0" w14:textId="7DC5AA98" w:rsidR="00D136F8" w:rsidRPr="00D518FF" w:rsidRDefault="00D136F8" w:rsidP="00F614C8">
            <w:pPr>
              <w:rPr>
                <w:rFonts w:ascii="Aptos" w:hAnsi="Aptos" w:cs="Calibri"/>
                <w:color w:val="000000"/>
                <w:sz w:val="16"/>
                <w:szCs w:val="16"/>
              </w:rPr>
            </w:pPr>
            <w:r>
              <w:rPr>
                <w:rFonts w:ascii="Aptos" w:hAnsi="Aptos" w:cs="Calibri"/>
                <w:color w:val="000000"/>
                <w:sz w:val="16"/>
                <w:szCs w:val="16"/>
              </w:rPr>
              <w:t>Unclear risk</w:t>
            </w:r>
          </w:p>
        </w:tc>
      </w:tr>
      <w:tr w:rsidR="00D136F8" w:rsidRPr="00D518FF" w14:paraId="411C7862" w14:textId="7079378C" w:rsidTr="005742D1">
        <w:trPr>
          <w:trHeight w:val="320"/>
        </w:trPr>
        <w:tc>
          <w:tcPr>
            <w:tcW w:w="702" w:type="dxa"/>
            <w:shd w:val="clear" w:color="auto" w:fill="auto"/>
            <w:noWrap/>
            <w:hideMark/>
          </w:tcPr>
          <w:p w14:paraId="0CD89B8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Miller 2013</w:t>
            </w:r>
          </w:p>
        </w:tc>
        <w:tc>
          <w:tcPr>
            <w:tcW w:w="567" w:type="dxa"/>
            <w:shd w:val="clear" w:color="auto" w:fill="auto"/>
            <w:noWrap/>
            <w:hideMark/>
          </w:tcPr>
          <w:p w14:paraId="6CD45D5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w:t>
            </w:r>
          </w:p>
        </w:tc>
        <w:tc>
          <w:tcPr>
            <w:tcW w:w="992" w:type="dxa"/>
            <w:shd w:val="clear" w:color="auto" w:fill="auto"/>
            <w:noWrap/>
            <w:hideMark/>
          </w:tcPr>
          <w:p w14:paraId="2A0CD840" w14:textId="14EBEEE6"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vMerge/>
            <w:shd w:val="clear" w:color="auto" w:fill="auto"/>
            <w:noWrap/>
          </w:tcPr>
          <w:p w14:paraId="49D0D169" w14:textId="3230C06E" w:rsidR="00D136F8" w:rsidRPr="00D518FF" w:rsidRDefault="00D136F8" w:rsidP="00F614C8">
            <w:pPr>
              <w:rPr>
                <w:rFonts w:ascii="Aptos" w:hAnsi="Aptos" w:cs="Calibri"/>
                <w:color w:val="000000"/>
                <w:sz w:val="16"/>
                <w:szCs w:val="16"/>
              </w:rPr>
            </w:pPr>
          </w:p>
        </w:tc>
        <w:tc>
          <w:tcPr>
            <w:tcW w:w="992" w:type="dxa"/>
            <w:vMerge/>
            <w:shd w:val="clear" w:color="auto" w:fill="auto"/>
            <w:noWrap/>
          </w:tcPr>
          <w:p w14:paraId="6AFE91E4" w14:textId="74CE92C6" w:rsidR="00D136F8" w:rsidRPr="00D518FF" w:rsidRDefault="00D136F8" w:rsidP="00F614C8">
            <w:pPr>
              <w:rPr>
                <w:rFonts w:ascii="Aptos" w:hAnsi="Aptos" w:cs="Calibri"/>
                <w:color w:val="000000"/>
                <w:sz w:val="16"/>
                <w:szCs w:val="16"/>
              </w:rPr>
            </w:pPr>
          </w:p>
        </w:tc>
        <w:tc>
          <w:tcPr>
            <w:tcW w:w="1042" w:type="dxa"/>
            <w:vMerge/>
            <w:shd w:val="clear" w:color="auto" w:fill="auto"/>
            <w:noWrap/>
          </w:tcPr>
          <w:p w14:paraId="432FD57C" w14:textId="33E19C48" w:rsidR="00D136F8" w:rsidRPr="00D518FF" w:rsidRDefault="00D136F8" w:rsidP="00F614C8">
            <w:pPr>
              <w:rPr>
                <w:rFonts w:ascii="Aptos" w:hAnsi="Aptos" w:cs="Calibri"/>
                <w:color w:val="000000"/>
                <w:sz w:val="16"/>
                <w:szCs w:val="16"/>
              </w:rPr>
            </w:pPr>
          </w:p>
        </w:tc>
        <w:tc>
          <w:tcPr>
            <w:tcW w:w="801" w:type="dxa"/>
            <w:vMerge/>
            <w:shd w:val="clear" w:color="auto" w:fill="auto"/>
            <w:noWrap/>
          </w:tcPr>
          <w:p w14:paraId="1D1DC10D" w14:textId="713554A3" w:rsidR="00D136F8" w:rsidRPr="00D518FF" w:rsidRDefault="00D136F8" w:rsidP="00F614C8">
            <w:pPr>
              <w:rPr>
                <w:rFonts w:ascii="Aptos" w:hAnsi="Aptos" w:cs="Calibri"/>
                <w:color w:val="000000"/>
                <w:sz w:val="16"/>
                <w:szCs w:val="16"/>
              </w:rPr>
            </w:pPr>
          </w:p>
        </w:tc>
        <w:tc>
          <w:tcPr>
            <w:tcW w:w="850" w:type="dxa"/>
            <w:shd w:val="clear" w:color="auto" w:fill="auto"/>
            <w:noWrap/>
            <w:hideMark/>
          </w:tcPr>
          <w:p w14:paraId="1983E2B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39E76C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126</w:t>
            </w:r>
          </w:p>
        </w:tc>
        <w:tc>
          <w:tcPr>
            <w:tcW w:w="1135" w:type="dxa"/>
            <w:shd w:val="clear" w:color="auto" w:fill="auto"/>
            <w:noWrap/>
            <w:hideMark/>
          </w:tcPr>
          <w:p w14:paraId="213E9AE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DHA-Incidence of MDD</w:t>
            </w:r>
          </w:p>
        </w:tc>
        <w:tc>
          <w:tcPr>
            <w:tcW w:w="1277" w:type="dxa"/>
            <w:shd w:val="clear" w:color="auto" w:fill="auto"/>
            <w:noWrap/>
            <w:hideMark/>
          </w:tcPr>
          <w:p w14:paraId="6F8726D4" w14:textId="25FCF34B"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1.08 (0.16 to 7.28)</w:t>
            </w:r>
          </w:p>
        </w:tc>
        <w:tc>
          <w:tcPr>
            <w:tcW w:w="1277" w:type="dxa"/>
            <w:shd w:val="clear" w:color="auto" w:fill="auto"/>
            <w:noWrap/>
            <w:hideMark/>
          </w:tcPr>
          <w:p w14:paraId="2EE9894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 significant effect on incidence of MDD</w:t>
            </w:r>
          </w:p>
        </w:tc>
        <w:tc>
          <w:tcPr>
            <w:tcW w:w="1136" w:type="dxa"/>
          </w:tcPr>
          <w:p w14:paraId="2A5A2F77" w14:textId="6A48E138"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7554E546" w14:textId="6DB7418A" w:rsidR="00D136F8" w:rsidRPr="00D518FF" w:rsidRDefault="00D136F8" w:rsidP="00F614C8">
            <w:pPr>
              <w:rPr>
                <w:rFonts w:ascii="Aptos" w:hAnsi="Aptos" w:cs="Calibri"/>
                <w:color w:val="000000"/>
                <w:sz w:val="16"/>
                <w:szCs w:val="16"/>
              </w:rPr>
            </w:pPr>
            <w:r>
              <w:rPr>
                <w:rFonts w:ascii="Aptos" w:hAnsi="Aptos" w:cs="Calibri"/>
                <w:color w:val="000000"/>
                <w:sz w:val="16"/>
                <w:szCs w:val="16"/>
              </w:rPr>
              <w:t>Unclear risk</w:t>
            </w:r>
          </w:p>
        </w:tc>
      </w:tr>
      <w:tr w:rsidR="00D136F8" w:rsidRPr="00D518FF" w14:paraId="20F87C31" w14:textId="1BC5A642" w:rsidTr="005742D1">
        <w:trPr>
          <w:trHeight w:val="320"/>
        </w:trPr>
        <w:tc>
          <w:tcPr>
            <w:tcW w:w="702" w:type="dxa"/>
            <w:shd w:val="clear" w:color="auto" w:fill="auto"/>
            <w:noWrap/>
            <w:hideMark/>
          </w:tcPr>
          <w:p w14:paraId="7C4330B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Mocking 2016 </w:t>
            </w:r>
          </w:p>
        </w:tc>
        <w:tc>
          <w:tcPr>
            <w:tcW w:w="567" w:type="dxa"/>
            <w:shd w:val="clear" w:color="auto" w:fill="auto"/>
            <w:noWrap/>
            <w:hideMark/>
          </w:tcPr>
          <w:p w14:paraId="38B1235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EA59D4A" w14:textId="3A3899B0"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3290142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 patients with MDD according to the Diagnostic and Statistical Manual of Mental Disorders (DSM) as assessed by a standardized clinical interview</w:t>
            </w:r>
          </w:p>
        </w:tc>
        <w:tc>
          <w:tcPr>
            <w:tcW w:w="992" w:type="dxa"/>
            <w:shd w:val="clear" w:color="auto" w:fill="auto"/>
            <w:noWrap/>
            <w:hideMark/>
          </w:tcPr>
          <w:p w14:paraId="5C62B23A" w14:textId="680CF57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515C378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DHA 2g/day for 42 weeks</w:t>
            </w:r>
          </w:p>
        </w:tc>
        <w:tc>
          <w:tcPr>
            <w:tcW w:w="801" w:type="dxa"/>
            <w:shd w:val="clear" w:color="auto" w:fill="auto"/>
            <w:noWrap/>
            <w:hideMark/>
          </w:tcPr>
          <w:p w14:paraId="59CB3BC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64C196F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1CA433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35</w:t>
            </w:r>
          </w:p>
        </w:tc>
        <w:tc>
          <w:tcPr>
            <w:tcW w:w="1135" w:type="dxa"/>
            <w:shd w:val="clear" w:color="auto" w:fill="auto"/>
            <w:noWrap/>
            <w:hideMark/>
          </w:tcPr>
          <w:p w14:paraId="7782B1D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Mean change in MADRAS; SMD in MADRAS between groups</w:t>
            </w:r>
          </w:p>
        </w:tc>
        <w:tc>
          <w:tcPr>
            <w:tcW w:w="1277" w:type="dxa"/>
            <w:shd w:val="clear" w:color="auto" w:fill="auto"/>
            <w:noWrap/>
            <w:hideMark/>
          </w:tcPr>
          <w:p w14:paraId="2A7450CC" w14:textId="740E444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0.42; SE = 0.34</w:t>
            </w:r>
          </w:p>
          <w:p w14:paraId="4E08844C" w14:textId="77777777" w:rsidR="00D136F8" w:rsidRPr="00D518FF" w:rsidRDefault="00D136F8" w:rsidP="00F614C8">
            <w:pPr>
              <w:rPr>
                <w:rFonts w:ascii="Aptos" w:hAnsi="Aptos" w:cs="Calibri"/>
                <w:color w:val="000000"/>
                <w:sz w:val="16"/>
                <w:szCs w:val="16"/>
              </w:rPr>
            </w:pPr>
          </w:p>
          <w:p w14:paraId="037BEFC7" w14:textId="785C74B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Hedge's g = 0.41; SE = 0.33</w:t>
            </w:r>
          </w:p>
        </w:tc>
        <w:tc>
          <w:tcPr>
            <w:tcW w:w="1277" w:type="dxa"/>
            <w:shd w:val="clear" w:color="auto" w:fill="auto"/>
            <w:noWrap/>
            <w:hideMark/>
          </w:tcPr>
          <w:p w14:paraId="44AA57A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0FAEC4D9" w14:textId="08F512A4"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887E934" w14:textId="780FC2BD"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04BAFAAB" w14:textId="5F9B0101" w:rsidTr="005742D1">
        <w:trPr>
          <w:trHeight w:val="320"/>
        </w:trPr>
        <w:tc>
          <w:tcPr>
            <w:tcW w:w="702" w:type="dxa"/>
            <w:shd w:val="clear" w:color="auto" w:fill="auto"/>
            <w:noWrap/>
            <w:hideMark/>
          </w:tcPr>
          <w:p w14:paraId="77C12C6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Mocking 2016 </w:t>
            </w:r>
          </w:p>
        </w:tc>
        <w:tc>
          <w:tcPr>
            <w:tcW w:w="567" w:type="dxa"/>
            <w:shd w:val="clear" w:color="auto" w:fill="auto"/>
            <w:noWrap/>
            <w:hideMark/>
          </w:tcPr>
          <w:p w14:paraId="48D16BF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528E3CA" w14:textId="286CCE41"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2CB7812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 patients with MDD according to the Diagnostic and Statistical Manual of Mental Disorders (DSM) as assessed by a standardized clinical interview</w:t>
            </w:r>
          </w:p>
        </w:tc>
        <w:tc>
          <w:tcPr>
            <w:tcW w:w="992" w:type="dxa"/>
            <w:shd w:val="clear" w:color="auto" w:fill="auto"/>
            <w:noWrap/>
            <w:hideMark/>
          </w:tcPr>
          <w:p w14:paraId="16E31EB9" w14:textId="0ECF902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221E595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EPA 1050mg/d + DHA 150mg/d for 56 weeks</w:t>
            </w:r>
          </w:p>
        </w:tc>
        <w:tc>
          <w:tcPr>
            <w:tcW w:w="801" w:type="dxa"/>
            <w:shd w:val="clear" w:color="auto" w:fill="auto"/>
            <w:noWrap/>
            <w:hideMark/>
          </w:tcPr>
          <w:p w14:paraId="0156A9B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74BA7B8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3122731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29</w:t>
            </w:r>
          </w:p>
        </w:tc>
        <w:tc>
          <w:tcPr>
            <w:tcW w:w="1135" w:type="dxa"/>
            <w:shd w:val="clear" w:color="auto" w:fill="auto"/>
            <w:noWrap/>
            <w:hideMark/>
          </w:tcPr>
          <w:p w14:paraId="11A523E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in HDRS-21 score</w:t>
            </w:r>
          </w:p>
        </w:tc>
        <w:tc>
          <w:tcPr>
            <w:tcW w:w="1277" w:type="dxa"/>
            <w:shd w:val="clear" w:color="auto" w:fill="auto"/>
            <w:noWrap/>
            <w:hideMark/>
          </w:tcPr>
          <w:p w14:paraId="718003F0" w14:textId="686044F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-0.66; SE = 0.38</w:t>
            </w:r>
          </w:p>
        </w:tc>
        <w:tc>
          <w:tcPr>
            <w:tcW w:w="1277" w:type="dxa"/>
            <w:shd w:val="clear" w:color="auto" w:fill="auto"/>
            <w:noWrap/>
            <w:hideMark/>
          </w:tcPr>
          <w:p w14:paraId="572407F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3F5C75A4" w14:textId="3CD8C345"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58825ED9" w14:textId="09E55E39"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48515003" w14:textId="73F49213" w:rsidTr="005742D1">
        <w:trPr>
          <w:trHeight w:val="320"/>
        </w:trPr>
        <w:tc>
          <w:tcPr>
            <w:tcW w:w="702" w:type="dxa"/>
            <w:shd w:val="clear" w:color="auto" w:fill="auto"/>
            <w:noWrap/>
            <w:hideMark/>
          </w:tcPr>
          <w:p w14:paraId="142F1C0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Mocking 2016 </w:t>
            </w:r>
          </w:p>
        </w:tc>
        <w:tc>
          <w:tcPr>
            <w:tcW w:w="567" w:type="dxa"/>
            <w:shd w:val="clear" w:color="auto" w:fill="auto"/>
            <w:noWrap/>
            <w:hideMark/>
          </w:tcPr>
          <w:p w14:paraId="6E5240C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648D14FF" w14:textId="71315ADE"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136B65B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 patients with MDD according to the Diagnostic and Statistical Manual of Mental Disorders (DSM) as assessed by a standardized clinical interview</w:t>
            </w:r>
          </w:p>
        </w:tc>
        <w:tc>
          <w:tcPr>
            <w:tcW w:w="992" w:type="dxa"/>
            <w:shd w:val="clear" w:color="auto" w:fill="auto"/>
            <w:noWrap/>
            <w:hideMark/>
          </w:tcPr>
          <w:p w14:paraId="1A29C040" w14:textId="7B26102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4EC1158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EPA 1000mg/d for 56 weeks</w:t>
            </w:r>
          </w:p>
        </w:tc>
        <w:tc>
          <w:tcPr>
            <w:tcW w:w="801" w:type="dxa"/>
            <w:shd w:val="clear" w:color="auto" w:fill="auto"/>
            <w:noWrap/>
            <w:hideMark/>
          </w:tcPr>
          <w:p w14:paraId="6063409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5AB2DB2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1A8EDE6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35</w:t>
            </w:r>
          </w:p>
        </w:tc>
        <w:tc>
          <w:tcPr>
            <w:tcW w:w="1135" w:type="dxa"/>
            <w:shd w:val="clear" w:color="auto" w:fill="auto"/>
            <w:noWrap/>
            <w:hideMark/>
          </w:tcPr>
          <w:p w14:paraId="75F80BA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in HDRS-17 score</w:t>
            </w:r>
          </w:p>
        </w:tc>
        <w:tc>
          <w:tcPr>
            <w:tcW w:w="1277" w:type="dxa"/>
            <w:shd w:val="clear" w:color="auto" w:fill="auto"/>
            <w:noWrap/>
            <w:hideMark/>
          </w:tcPr>
          <w:p w14:paraId="41E6B997" w14:textId="16FECEF4"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0.54; SE = 0.35</w:t>
            </w:r>
          </w:p>
        </w:tc>
        <w:tc>
          <w:tcPr>
            <w:tcW w:w="1277" w:type="dxa"/>
            <w:shd w:val="clear" w:color="auto" w:fill="auto"/>
            <w:noWrap/>
            <w:hideMark/>
          </w:tcPr>
          <w:p w14:paraId="4B6AB64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14D5070C" w14:textId="62C7EF8D"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894D446" w14:textId="0871E7C4"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1356DF98" w14:textId="270424DF" w:rsidTr="005742D1">
        <w:trPr>
          <w:trHeight w:val="320"/>
        </w:trPr>
        <w:tc>
          <w:tcPr>
            <w:tcW w:w="702" w:type="dxa"/>
            <w:shd w:val="clear" w:color="auto" w:fill="auto"/>
            <w:noWrap/>
            <w:hideMark/>
          </w:tcPr>
          <w:p w14:paraId="72774BE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Mocking 2016 </w:t>
            </w:r>
          </w:p>
        </w:tc>
        <w:tc>
          <w:tcPr>
            <w:tcW w:w="567" w:type="dxa"/>
            <w:shd w:val="clear" w:color="auto" w:fill="auto"/>
            <w:noWrap/>
            <w:hideMark/>
          </w:tcPr>
          <w:p w14:paraId="65A8657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084A54A4" w14:textId="0D77ECE4"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269DBE1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 patients with MDD according to the Diagnostic and Statistical Manual of Mental Disorders (DSM) as assessed by a standardized clinical interview</w:t>
            </w:r>
          </w:p>
        </w:tc>
        <w:tc>
          <w:tcPr>
            <w:tcW w:w="992" w:type="dxa"/>
            <w:shd w:val="clear" w:color="auto" w:fill="auto"/>
            <w:noWrap/>
            <w:hideMark/>
          </w:tcPr>
          <w:p w14:paraId="0C926022" w14:textId="749CB9F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667EC1C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EPA 180mg/d + DHA 900mg/d for 56 weeks</w:t>
            </w:r>
          </w:p>
        </w:tc>
        <w:tc>
          <w:tcPr>
            <w:tcW w:w="801" w:type="dxa"/>
            <w:shd w:val="clear" w:color="auto" w:fill="auto"/>
            <w:noWrap/>
            <w:hideMark/>
          </w:tcPr>
          <w:p w14:paraId="27DCEFC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61E82C4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2F8022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20</w:t>
            </w:r>
          </w:p>
        </w:tc>
        <w:tc>
          <w:tcPr>
            <w:tcW w:w="1135" w:type="dxa"/>
            <w:shd w:val="clear" w:color="auto" w:fill="auto"/>
            <w:noWrap/>
            <w:hideMark/>
          </w:tcPr>
          <w:p w14:paraId="1F7761E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in HDRAS-17</w:t>
            </w:r>
          </w:p>
        </w:tc>
        <w:tc>
          <w:tcPr>
            <w:tcW w:w="1277" w:type="dxa"/>
            <w:shd w:val="clear" w:color="auto" w:fill="auto"/>
            <w:noWrap/>
            <w:hideMark/>
          </w:tcPr>
          <w:p w14:paraId="204B9C45" w14:textId="625F702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0.05; SE = 0.18</w:t>
            </w:r>
          </w:p>
        </w:tc>
        <w:tc>
          <w:tcPr>
            <w:tcW w:w="1277" w:type="dxa"/>
            <w:shd w:val="clear" w:color="auto" w:fill="auto"/>
            <w:noWrap/>
            <w:hideMark/>
          </w:tcPr>
          <w:p w14:paraId="0FB6B78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6D9194F3" w14:textId="2B3DEAFC"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650751E1" w14:textId="7F334957"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1D18DEA9" w14:textId="4DB12500" w:rsidTr="005742D1">
        <w:trPr>
          <w:trHeight w:val="320"/>
        </w:trPr>
        <w:tc>
          <w:tcPr>
            <w:tcW w:w="702" w:type="dxa"/>
            <w:shd w:val="clear" w:color="auto" w:fill="auto"/>
            <w:noWrap/>
            <w:hideMark/>
          </w:tcPr>
          <w:p w14:paraId="06CC76F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Mocking 2016 </w:t>
            </w:r>
          </w:p>
        </w:tc>
        <w:tc>
          <w:tcPr>
            <w:tcW w:w="567" w:type="dxa"/>
            <w:shd w:val="clear" w:color="auto" w:fill="auto"/>
            <w:noWrap/>
            <w:hideMark/>
          </w:tcPr>
          <w:p w14:paraId="6CFC32F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23C6D79" w14:textId="4CC78C11"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03408DE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Adult patients with MDD according to the Diagnostic and Statistical Manual of Mental Disorders (DSM) as assessed by </w:t>
            </w:r>
            <w:r w:rsidRPr="00D518FF">
              <w:rPr>
                <w:rFonts w:ascii="Aptos" w:hAnsi="Aptos" w:cs="Calibri"/>
                <w:color w:val="000000"/>
                <w:sz w:val="16"/>
                <w:szCs w:val="16"/>
              </w:rPr>
              <w:lastRenderedPageBreak/>
              <w:t>a standardized clinical interview</w:t>
            </w:r>
          </w:p>
        </w:tc>
        <w:tc>
          <w:tcPr>
            <w:tcW w:w="992" w:type="dxa"/>
            <w:shd w:val="clear" w:color="auto" w:fill="auto"/>
            <w:noWrap/>
            <w:hideMark/>
          </w:tcPr>
          <w:p w14:paraId="5E90B3AD" w14:textId="1B688F55"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Eligible supplement Vs placebo/inactive control</w:t>
            </w:r>
          </w:p>
        </w:tc>
        <w:tc>
          <w:tcPr>
            <w:tcW w:w="1042" w:type="dxa"/>
            <w:shd w:val="clear" w:color="auto" w:fill="auto"/>
            <w:noWrap/>
            <w:hideMark/>
          </w:tcPr>
          <w:p w14:paraId="7049EF1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EPA 1060mg/d + DHA 274mg/d for 56 weeks</w:t>
            </w:r>
          </w:p>
        </w:tc>
        <w:tc>
          <w:tcPr>
            <w:tcW w:w="801" w:type="dxa"/>
            <w:shd w:val="clear" w:color="auto" w:fill="auto"/>
            <w:noWrap/>
            <w:hideMark/>
          </w:tcPr>
          <w:p w14:paraId="5F66C7E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0510EFA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5C756C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20</w:t>
            </w:r>
          </w:p>
        </w:tc>
        <w:tc>
          <w:tcPr>
            <w:tcW w:w="1135" w:type="dxa"/>
            <w:shd w:val="clear" w:color="auto" w:fill="auto"/>
            <w:noWrap/>
            <w:hideMark/>
          </w:tcPr>
          <w:p w14:paraId="7B58DA1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in HDRS-17 score</w:t>
            </w:r>
          </w:p>
        </w:tc>
        <w:tc>
          <w:tcPr>
            <w:tcW w:w="1277" w:type="dxa"/>
            <w:shd w:val="clear" w:color="auto" w:fill="auto"/>
            <w:noWrap/>
            <w:hideMark/>
          </w:tcPr>
          <w:p w14:paraId="74589CA1" w14:textId="025E5FC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0.18; SE = 0.18</w:t>
            </w:r>
          </w:p>
        </w:tc>
        <w:tc>
          <w:tcPr>
            <w:tcW w:w="1277" w:type="dxa"/>
            <w:shd w:val="clear" w:color="auto" w:fill="auto"/>
            <w:noWrap/>
            <w:hideMark/>
          </w:tcPr>
          <w:p w14:paraId="067DD39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5F16E50B" w14:textId="016C9B92"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1FE5515C" w14:textId="16EEB809"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474CB310" w14:textId="7A43EB70" w:rsidTr="005742D1">
        <w:trPr>
          <w:trHeight w:val="320"/>
        </w:trPr>
        <w:tc>
          <w:tcPr>
            <w:tcW w:w="702" w:type="dxa"/>
            <w:shd w:val="clear" w:color="auto" w:fill="auto"/>
            <w:noWrap/>
            <w:hideMark/>
          </w:tcPr>
          <w:p w14:paraId="5E22BF9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Mocking 2020</w:t>
            </w:r>
          </w:p>
        </w:tc>
        <w:tc>
          <w:tcPr>
            <w:tcW w:w="567" w:type="dxa"/>
            <w:shd w:val="clear" w:color="auto" w:fill="auto"/>
            <w:noWrap/>
            <w:hideMark/>
          </w:tcPr>
          <w:p w14:paraId="761D585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ED353A1" w14:textId="1E554C95"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6C3C26B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Perinatal depression</w:t>
            </w:r>
          </w:p>
        </w:tc>
        <w:tc>
          <w:tcPr>
            <w:tcW w:w="992" w:type="dxa"/>
            <w:shd w:val="clear" w:color="auto" w:fill="auto"/>
            <w:noWrap/>
            <w:hideMark/>
          </w:tcPr>
          <w:p w14:paraId="5AA65BE0" w14:textId="21F1083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3B1F83F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801" w:type="dxa"/>
            <w:shd w:val="clear" w:color="auto" w:fill="auto"/>
            <w:noWrap/>
            <w:hideMark/>
          </w:tcPr>
          <w:p w14:paraId="431610D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850" w:type="dxa"/>
            <w:shd w:val="clear" w:color="auto" w:fill="auto"/>
            <w:noWrap/>
            <w:hideMark/>
          </w:tcPr>
          <w:p w14:paraId="4090E2D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7</w:t>
            </w:r>
          </w:p>
        </w:tc>
        <w:tc>
          <w:tcPr>
            <w:tcW w:w="992" w:type="dxa"/>
            <w:shd w:val="clear" w:color="auto" w:fill="auto"/>
            <w:noWrap/>
            <w:hideMark/>
          </w:tcPr>
          <w:p w14:paraId="115B510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135" w:type="dxa"/>
            <w:shd w:val="clear" w:color="auto" w:fill="auto"/>
            <w:noWrap/>
            <w:hideMark/>
          </w:tcPr>
          <w:p w14:paraId="7740949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BDI, combined</w:t>
            </w:r>
          </w:p>
        </w:tc>
        <w:tc>
          <w:tcPr>
            <w:tcW w:w="1277" w:type="dxa"/>
            <w:shd w:val="clear" w:color="auto" w:fill="auto"/>
            <w:noWrap/>
            <w:hideMark/>
          </w:tcPr>
          <w:p w14:paraId="72B1FCEB" w14:textId="1D8891BB"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SDM = 0.545 (−1.182 to 0.093)</w:t>
            </w:r>
          </w:p>
        </w:tc>
        <w:tc>
          <w:tcPr>
            <w:tcW w:w="1277" w:type="dxa"/>
            <w:shd w:val="clear" w:color="auto" w:fill="auto"/>
            <w:noWrap/>
            <w:hideMark/>
          </w:tcPr>
          <w:p w14:paraId="3140BABC" w14:textId="7C3E2FF1" w:rsidR="00D136F8" w:rsidRPr="00D518FF" w:rsidRDefault="00D136F8" w:rsidP="00F614C8">
            <w:pPr>
              <w:rPr>
                <w:rFonts w:ascii="Aptos" w:hAnsi="Aptos" w:cs="Calibri"/>
                <w:color w:val="000000"/>
                <w:sz w:val="16"/>
                <w:szCs w:val="16"/>
              </w:rPr>
            </w:pPr>
            <w:r>
              <w:rPr>
                <w:rFonts w:ascii="Aptos" w:hAnsi="Aptos" w:cs="Calibri"/>
                <w:color w:val="000000"/>
                <w:sz w:val="16"/>
                <w:szCs w:val="16"/>
              </w:rPr>
              <w:t>I² =</w:t>
            </w:r>
            <w:r w:rsidRPr="00D518FF">
              <w:rPr>
                <w:rFonts w:ascii="Aptos" w:hAnsi="Aptos" w:cs="Calibri"/>
                <w:color w:val="000000"/>
                <w:sz w:val="16"/>
                <w:szCs w:val="16"/>
              </w:rPr>
              <w:t xml:space="preserve"> 91.40; Q = 69.78; P &lt; .001</w:t>
            </w:r>
          </w:p>
        </w:tc>
        <w:tc>
          <w:tcPr>
            <w:tcW w:w="1136" w:type="dxa"/>
          </w:tcPr>
          <w:p w14:paraId="71F1451B" w14:textId="3E98D13C"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1AAC1A55" w14:textId="1EF32C25" w:rsidR="00D136F8"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24917F85" w14:textId="16AB6E5B" w:rsidTr="005742D1">
        <w:trPr>
          <w:trHeight w:val="320"/>
        </w:trPr>
        <w:tc>
          <w:tcPr>
            <w:tcW w:w="702" w:type="dxa"/>
            <w:shd w:val="clear" w:color="auto" w:fill="auto"/>
            <w:noWrap/>
            <w:hideMark/>
          </w:tcPr>
          <w:p w14:paraId="647E576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Mocking 2020</w:t>
            </w:r>
          </w:p>
        </w:tc>
        <w:tc>
          <w:tcPr>
            <w:tcW w:w="567" w:type="dxa"/>
            <w:shd w:val="clear" w:color="auto" w:fill="auto"/>
            <w:noWrap/>
            <w:hideMark/>
          </w:tcPr>
          <w:p w14:paraId="5DED295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6E58F880" w14:textId="4967B2E4"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shd w:val="clear" w:color="auto" w:fill="auto"/>
            <w:noWrap/>
            <w:hideMark/>
          </w:tcPr>
          <w:p w14:paraId="6642424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At-risk of perinatal depression (not depressed at baseline)</w:t>
            </w:r>
          </w:p>
        </w:tc>
        <w:tc>
          <w:tcPr>
            <w:tcW w:w="992" w:type="dxa"/>
            <w:shd w:val="clear" w:color="auto" w:fill="auto"/>
            <w:noWrap/>
            <w:hideMark/>
          </w:tcPr>
          <w:p w14:paraId="16F5A0B2" w14:textId="4766B9D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68228CA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801" w:type="dxa"/>
            <w:shd w:val="clear" w:color="auto" w:fill="auto"/>
            <w:noWrap/>
            <w:hideMark/>
          </w:tcPr>
          <w:p w14:paraId="107AC12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850" w:type="dxa"/>
            <w:shd w:val="clear" w:color="auto" w:fill="auto"/>
            <w:noWrap/>
            <w:hideMark/>
          </w:tcPr>
          <w:p w14:paraId="5050D0E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w:t>
            </w:r>
          </w:p>
        </w:tc>
        <w:tc>
          <w:tcPr>
            <w:tcW w:w="992" w:type="dxa"/>
            <w:shd w:val="clear" w:color="auto" w:fill="auto"/>
            <w:noWrap/>
            <w:hideMark/>
          </w:tcPr>
          <w:p w14:paraId="476A2E2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135" w:type="dxa"/>
            <w:shd w:val="clear" w:color="auto" w:fill="auto"/>
            <w:noWrap/>
            <w:hideMark/>
          </w:tcPr>
          <w:p w14:paraId="4F79E6B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EPDS, EPDS &gt;12, combined</w:t>
            </w:r>
          </w:p>
        </w:tc>
        <w:tc>
          <w:tcPr>
            <w:tcW w:w="1277" w:type="dxa"/>
            <w:shd w:val="clear" w:color="auto" w:fill="auto"/>
            <w:noWrap/>
            <w:hideMark/>
          </w:tcPr>
          <w:p w14:paraId="57899A84" w14:textId="36AA5B8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SDM = −0.073 (−0.255 to 0.108)</w:t>
            </w:r>
          </w:p>
        </w:tc>
        <w:tc>
          <w:tcPr>
            <w:tcW w:w="1277" w:type="dxa"/>
            <w:shd w:val="clear" w:color="auto" w:fill="auto"/>
            <w:noWrap/>
            <w:hideMark/>
          </w:tcPr>
          <w:p w14:paraId="54F9A360" w14:textId="60EE9CB8"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 significant heterogeneity in this subgroup (</w:t>
            </w:r>
            <w:r>
              <w:rPr>
                <w:rFonts w:ascii="Aptos" w:hAnsi="Aptos" w:cs="Calibri"/>
                <w:color w:val="000000"/>
                <w:sz w:val="16"/>
                <w:szCs w:val="16"/>
              </w:rPr>
              <w:t>I² =</w:t>
            </w:r>
            <w:r w:rsidRPr="00D518FF">
              <w:rPr>
                <w:rFonts w:ascii="Aptos" w:hAnsi="Aptos" w:cs="Calibri"/>
                <w:color w:val="000000"/>
                <w:sz w:val="16"/>
                <w:szCs w:val="16"/>
              </w:rPr>
              <w:t xml:space="preserve"> 0.000; Q = 0.384; P = .825)</w:t>
            </w:r>
          </w:p>
        </w:tc>
        <w:tc>
          <w:tcPr>
            <w:tcW w:w="1136" w:type="dxa"/>
          </w:tcPr>
          <w:p w14:paraId="154C5FBD" w14:textId="079FB02F"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49B5560D" w14:textId="5A2695C4"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1FB3F541" w14:textId="0E498C08" w:rsidTr="005742D1">
        <w:trPr>
          <w:trHeight w:val="320"/>
        </w:trPr>
        <w:tc>
          <w:tcPr>
            <w:tcW w:w="702" w:type="dxa"/>
            <w:shd w:val="clear" w:color="auto" w:fill="auto"/>
            <w:noWrap/>
            <w:hideMark/>
          </w:tcPr>
          <w:p w14:paraId="7CD5E0B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Mocking 2020</w:t>
            </w:r>
          </w:p>
        </w:tc>
        <w:tc>
          <w:tcPr>
            <w:tcW w:w="567" w:type="dxa"/>
            <w:shd w:val="clear" w:color="auto" w:fill="auto"/>
            <w:noWrap/>
            <w:hideMark/>
          </w:tcPr>
          <w:p w14:paraId="341BA12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303388E" w14:textId="2A46A899"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4D9D671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Perinatal depression</w:t>
            </w:r>
          </w:p>
        </w:tc>
        <w:tc>
          <w:tcPr>
            <w:tcW w:w="992" w:type="dxa"/>
            <w:shd w:val="clear" w:color="auto" w:fill="auto"/>
            <w:noWrap/>
            <w:hideMark/>
          </w:tcPr>
          <w:p w14:paraId="2A87DBF5" w14:textId="2A74D2B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390E053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801" w:type="dxa"/>
            <w:shd w:val="clear" w:color="auto" w:fill="auto"/>
            <w:noWrap/>
            <w:hideMark/>
          </w:tcPr>
          <w:p w14:paraId="69EC010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850" w:type="dxa"/>
            <w:shd w:val="clear" w:color="auto" w:fill="auto"/>
            <w:noWrap/>
            <w:hideMark/>
          </w:tcPr>
          <w:p w14:paraId="1DF12E4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7</w:t>
            </w:r>
          </w:p>
        </w:tc>
        <w:tc>
          <w:tcPr>
            <w:tcW w:w="992" w:type="dxa"/>
            <w:shd w:val="clear" w:color="auto" w:fill="auto"/>
            <w:noWrap/>
            <w:hideMark/>
          </w:tcPr>
          <w:p w14:paraId="488962D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135" w:type="dxa"/>
            <w:shd w:val="clear" w:color="auto" w:fill="auto"/>
            <w:noWrap/>
            <w:hideMark/>
          </w:tcPr>
          <w:p w14:paraId="59A18E0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BDI, combined</w:t>
            </w:r>
          </w:p>
        </w:tc>
        <w:tc>
          <w:tcPr>
            <w:tcW w:w="1277" w:type="dxa"/>
            <w:shd w:val="clear" w:color="auto" w:fill="auto"/>
            <w:noWrap/>
            <w:hideMark/>
          </w:tcPr>
          <w:p w14:paraId="512FA66C" w14:textId="21CBE40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SDM = 0.545 (−1.182 to 0.093)</w:t>
            </w:r>
          </w:p>
        </w:tc>
        <w:tc>
          <w:tcPr>
            <w:tcW w:w="1277" w:type="dxa"/>
            <w:shd w:val="clear" w:color="auto" w:fill="auto"/>
            <w:noWrap/>
            <w:hideMark/>
          </w:tcPr>
          <w:p w14:paraId="2C10610A" w14:textId="7432A0D7" w:rsidR="00D136F8" w:rsidRPr="00D518FF" w:rsidRDefault="00D136F8" w:rsidP="00F614C8">
            <w:pPr>
              <w:rPr>
                <w:rFonts w:ascii="Aptos" w:hAnsi="Aptos" w:cs="Calibri"/>
                <w:color w:val="000000"/>
                <w:sz w:val="16"/>
                <w:szCs w:val="16"/>
              </w:rPr>
            </w:pPr>
            <w:r>
              <w:rPr>
                <w:rFonts w:ascii="Aptos" w:hAnsi="Aptos" w:cs="Calibri"/>
                <w:color w:val="000000"/>
                <w:sz w:val="16"/>
                <w:szCs w:val="16"/>
              </w:rPr>
              <w:t>I² =</w:t>
            </w:r>
            <w:r w:rsidRPr="00D518FF">
              <w:rPr>
                <w:rFonts w:ascii="Aptos" w:hAnsi="Aptos" w:cs="Calibri"/>
                <w:color w:val="000000"/>
                <w:sz w:val="16"/>
                <w:szCs w:val="16"/>
              </w:rPr>
              <w:t xml:space="preserve"> 91.40; Q = 69.78; P &lt; .001</w:t>
            </w:r>
          </w:p>
        </w:tc>
        <w:tc>
          <w:tcPr>
            <w:tcW w:w="1136" w:type="dxa"/>
          </w:tcPr>
          <w:p w14:paraId="02842EBA" w14:textId="1436C1A9"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368DC169" w14:textId="1CBC653A" w:rsidR="00D136F8"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00AEA870" w14:textId="4AB484E1" w:rsidTr="005742D1">
        <w:trPr>
          <w:trHeight w:val="320"/>
        </w:trPr>
        <w:tc>
          <w:tcPr>
            <w:tcW w:w="702" w:type="dxa"/>
            <w:shd w:val="clear" w:color="auto" w:fill="auto"/>
            <w:noWrap/>
            <w:hideMark/>
          </w:tcPr>
          <w:p w14:paraId="55D471F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Mocking 2020</w:t>
            </w:r>
          </w:p>
        </w:tc>
        <w:tc>
          <w:tcPr>
            <w:tcW w:w="567" w:type="dxa"/>
            <w:shd w:val="clear" w:color="auto" w:fill="auto"/>
            <w:noWrap/>
            <w:hideMark/>
          </w:tcPr>
          <w:p w14:paraId="5223EE4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7794827" w14:textId="73BED244"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shd w:val="clear" w:color="auto" w:fill="auto"/>
            <w:noWrap/>
            <w:hideMark/>
          </w:tcPr>
          <w:p w14:paraId="12D1CDA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At-risk of perinatal depression (not depressed at baseline)</w:t>
            </w:r>
          </w:p>
        </w:tc>
        <w:tc>
          <w:tcPr>
            <w:tcW w:w="992" w:type="dxa"/>
            <w:shd w:val="clear" w:color="auto" w:fill="auto"/>
            <w:noWrap/>
            <w:hideMark/>
          </w:tcPr>
          <w:p w14:paraId="15CB05BD" w14:textId="4443A5CB"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28A7F27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801" w:type="dxa"/>
            <w:shd w:val="clear" w:color="auto" w:fill="auto"/>
            <w:noWrap/>
            <w:hideMark/>
          </w:tcPr>
          <w:p w14:paraId="4E0E5C2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Placebo/inactive control</w:t>
            </w:r>
          </w:p>
        </w:tc>
        <w:tc>
          <w:tcPr>
            <w:tcW w:w="850" w:type="dxa"/>
            <w:shd w:val="clear" w:color="auto" w:fill="auto"/>
            <w:noWrap/>
            <w:hideMark/>
          </w:tcPr>
          <w:p w14:paraId="17F3487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w:t>
            </w:r>
          </w:p>
        </w:tc>
        <w:tc>
          <w:tcPr>
            <w:tcW w:w="992" w:type="dxa"/>
            <w:shd w:val="clear" w:color="auto" w:fill="auto"/>
            <w:noWrap/>
            <w:hideMark/>
          </w:tcPr>
          <w:p w14:paraId="6B2F214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135" w:type="dxa"/>
            <w:shd w:val="clear" w:color="auto" w:fill="auto"/>
            <w:noWrap/>
            <w:hideMark/>
          </w:tcPr>
          <w:p w14:paraId="0A1D18F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EPDS, EPDS &gt;12, combined</w:t>
            </w:r>
          </w:p>
        </w:tc>
        <w:tc>
          <w:tcPr>
            <w:tcW w:w="1277" w:type="dxa"/>
            <w:shd w:val="clear" w:color="auto" w:fill="auto"/>
            <w:noWrap/>
            <w:hideMark/>
          </w:tcPr>
          <w:p w14:paraId="2CF22D36" w14:textId="5689660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SDM = −0.073 (−0.255 to 0.108)</w:t>
            </w:r>
          </w:p>
        </w:tc>
        <w:tc>
          <w:tcPr>
            <w:tcW w:w="1277" w:type="dxa"/>
            <w:shd w:val="clear" w:color="auto" w:fill="auto"/>
            <w:noWrap/>
            <w:hideMark/>
          </w:tcPr>
          <w:p w14:paraId="61BD3DA4" w14:textId="2E29A87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 significant heterogeneity in this subgroup (</w:t>
            </w:r>
            <w:r>
              <w:rPr>
                <w:rFonts w:ascii="Aptos" w:hAnsi="Aptos" w:cs="Calibri"/>
                <w:color w:val="000000"/>
                <w:sz w:val="16"/>
                <w:szCs w:val="16"/>
              </w:rPr>
              <w:t>I² =</w:t>
            </w:r>
            <w:r w:rsidRPr="00D518FF">
              <w:rPr>
                <w:rFonts w:ascii="Aptos" w:hAnsi="Aptos" w:cs="Calibri"/>
                <w:color w:val="000000"/>
                <w:sz w:val="16"/>
                <w:szCs w:val="16"/>
              </w:rPr>
              <w:t xml:space="preserve"> 0.000; Q = 0.384; P = .825)</w:t>
            </w:r>
          </w:p>
        </w:tc>
        <w:tc>
          <w:tcPr>
            <w:tcW w:w="1136" w:type="dxa"/>
          </w:tcPr>
          <w:p w14:paraId="20E25E47" w14:textId="13B027EB"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A5A7EEA" w14:textId="3A246278"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517C4F6E" w14:textId="25C19572" w:rsidTr="005742D1">
        <w:trPr>
          <w:trHeight w:val="320"/>
        </w:trPr>
        <w:tc>
          <w:tcPr>
            <w:tcW w:w="702" w:type="dxa"/>
            <w:shd w:val="clear" w:color="auto" w:fill="auto"/>
            <w:noWrap/>
            <w:hideMark/>
          </w:tcPr>
          <w:p w14:paraId="4780853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Morrell 2016</w:t>
            </w:r>
          </w:p>
        </w:tc>
        <w:tc>
          <w:tcPr>
            <w:tcW w:w="567" w:type="dxa"/>
            <w:shd w:val="clear" w:color="auto" w:fill="auto"/>
            <w:noWrap/>
            <w:hideMark/>
          </w:tcPr>
          <w:p w14:paraId="28834F1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07F29C8" w14:textId="7A956EFD"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3972CF7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Postnatal women at increased risk of depression</w:t>
            </w:r>
          </w:p>
        </w:tc>
        <w:tc>
          <w:tcPr>
            <w:tcW w:w="992" w:type="dxa"/>
            <w:shd w:val="clear" w:color="auto" w:fill="auto"/>
            <w:noWrap/>
            <w:hideMark/>
          </w:tcPr>
          <w:p w14:paraId="048E2B6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usual care</w:t>
            </w:r>
          </w:p>
        </w:tc>
        <w:tc>
          <w:tcPr>
            <w:tcW w:w="1042" w:type="dxa"/>
            <w:shd w:val="clear" w:color="auto" w:fill="auto"/>
            <w:noWrap/>
            <w:hideMark/>
          </w:tcPr>
          <w:p w14:paraId="5D24BF9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DHA</w:t>
            </w:r>
          </w:p>
        </w:tc>
        <w:tc>
          <w:tcPr>
            <w:tcW w:w="801" w:type="dxa"/>
            <w:shd w:val="clear" w:color="auto" w:fill="auto"/>
            <w:noWrap/>
            <w:hideMark/>
          </w:tcPr>
          <w:p w14:paraId="65D749F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Usual care</w:t>
            </w:r>
          </w:p>
        </w:tc>
        <w:tc>
          <w:tcPr>
            <w:tcW w:w="850" w:type="dxa"/>
            <w:shd w:val="clear" w:color="auto" w:fill="auto"/>
            <w:noWrap/>
            <w:hideMark/>
          </w:tcPr>
          <w:p w14:paraId="0F3D6C7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276BBA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2399</w:t>
            </w:r>
          </w:p>
        </w:tc>
        <w:tc>
          <w:tcPr>
            <w:tcW w:w="1135" w:type="dxa"/>
            <w:shd w:val="clear" w:color="auto" w:fill="auto"/>
            <w:noWrap/>
            <w:hideMark/>
          </w:tcPr>
          <w:p w14:paraId="6009551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Universal preventive interventions EPDS threshold score at 6 weeks postnatally</w:t>
            </w:r>
          </w:p>
        </w:tc>
        <w:tc>
          <w:tcPr>
            <w:tcW w:w="1277" w:type="dxa"/>
            <w:shd w:val="clear" w:color="auto" w:fill="auto"/>
            <w:noWrap/>
            <w:hideMark/>
          </w:tcPr>
          <w:p w14:paraId="7389EDD1" w14:textId="74A87B0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OR = 0.87 (0.41 to 1.83)</w:t>
            </w:r>
          </w:p>
        </w:tc>
        <w:tc>
          <w:tcPr>
            <w:tcW w:w="1277" w:type="dxa"/>
            <w:shd w:val="clear" w:color="auto" w:fill="auto"/>
            <w:noWrap/>
            <w:hideMark/>
          </w:tcPr>
          <w:p w14:paraId="0D755CE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338649E5" w14:textId="67F82CB3"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E8F08B1" w14:textId="7AE16255"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193B8E3E" w14:textId="4693ACD3" w:rsidTr="005742D1">
        <w:trPr>
          <w:trHeight w:val="320"/>
        </w:trPr>
        <w:tc>
          <w:tcPr>
            <w:tcW w:w="702" w:type="dxa"/>
            <w:shd w:val="clear" w:color="auto" w:fill="auto"/>
            <w:noWrap/>
            <w:hideMark/>
          </w:tcPr>
          <w:p w14:paraId="28FFFE9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Newberry 2016</w:t>
            </w:r>
          </w:p>
        </w:tc>
        <w:tc>
          <w:tcPr>
            <w:tcW w:w="567" w:type="dxa"/>
            <w:shd w:val="clear" w:color="auto" w:fill="auto"/>
            <w:noWrap/>
            <w:hideMark/>
          </w:tcPr>
          <w:p w14:paraId="7FD783B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09E58DB4" w14:textId="51CFDC84"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4679F41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pregnant women who planned to breast feed for at least 4 months</w:t>
            </w:r>
          </w:p>
        </w:tc>
        <w:tc>
          <w:tcPr>
            <w:tcW w:w="992" w:type="dxa"/>
            <w:shd w:val="clear" w:color="auto" w:fill="auto"/>
            <w:noWrap/>
            <w:hideMark/>
          </w:tcPr>
          <w:p w14:paraId="4F966EBF" w14:textId="0D3770F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5923856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DHA 0.200 g/d beginning within first week of delivery for four months</w:t>
            </w:r>
          </w:p>
        </w:tc>
        <w:tc>
          <w:tcPr>
            <w:tcW w:w="801" w:type="dxa"/>
            <w:shd w:val="clear" w:color="auto" w:fill="auto"/>
            <w:noWrap/>
            <w:hideMark/>
          </w:tcPr>
          <w:p w14:paraId="42C1AF7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1B75230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7CE73C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138</w:t>
            </w:r>
          </w:p>
        </w:tc>
        <w:tc>
          <w:tcPr>
            <w:tcW w:w="1135" w:type="dxa"/>
            <w:shd w:val="clear" w:color="auto" w:fill="auto"/>
            <w:noWrap/>
            <w:hideMark/>
          </w:tcPr>
          <w:p w14:paraId="463B7846" w14:textId="6890E0FC"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w:t>
            </w:r>
            <w:r w:rsidR="00A32865">
              <w:rPr>
                <w:rFonts w:ascii="Aptos" w:hAnsi="Aptos" w:cs="Calibri"/>
                <w:color w:val="000000"/>
                <w:sz w:val="16"/>
                <w:szCs w:val="16"/>
              </w:rPr>
              <w:t xml:space="preserve"> of</w:t>
            </w:r>
            <w:r w:rsidRPr="00D518FF">
              <w:rPr>
                <w:rFonts w:ascii="Aptos" w:hAnsi="Aptos" w:cs="Calibri"/>
                <w:color w:val="000000"/>
                <w:sz w:val="16"/>
                <w:szCs w:val="16"/>
              </w:rPr>
              <w:t xml:space="preserve"> EPDS score at any of the timepoints (3 weeks, 2 months, 4 months, 18 months)</w:t>
            </w:r>
          </w:p>
        </w:tc>
        <w:tc>
          <w:tcPr>
            <w:tcW w:w="1277" w:type="dxa"/>
            <w:shd w:val="clear" w:color="auto" w:fill="auto"/>
            <w:noWrap/>
            <w:hideMark/>
          </w:tcPr>
          <w:p w14:paraId="38918E4B" w14:textId="701BD8C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Exact effect measure NR; no significant SMD in depressive symptoms scores between groups at any of the time points (3 weeks, 2 months, 4 months, 18 months postpartum)</w:t>
            </w:r>
          </w:p>
        </w:tc>
        <w:tc>
          <w:tcPr>
            <w:tcW w:w="1277" w:type="dxa"/>
            <w:shd w:val="clear" w:color="auto" w:fill="auto"/>
            <w:noWrap/>
            <w:hideMark/>
          </w:tcPr>
          <w:p w14:paraId="430CAC5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17E3191B" w14:textId="36D7B00F"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2A59F0BF" w14:textId="37F39D37"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54DA835E" w14:textId="37E3C7EC" w:rsidTr="005742D1">
        <w:trPr>
          <w:trHeight w:val="320"/>
        </w:trPr>
        <w:tc>
          <w:tcPr>
            <w:tcW w:w="702" w:type="dxa"/>
            <w:shd w:val="clear" w:color="auto" w:fill="auto"/>
            <w:noWrap/>
            <w:hideMark/>
          </w:tcPr>
          <w:p w14:paraId="1CCCAB0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Saccone 2016</w:t>
            </w:r>
          </w:p>
        </w:tc>
        <w:tc>
          <w:tcPr>
            <w:tcW w:w="567" w:type="dxa"/>
            <w:shd w:val="clear" w:color="auto" w:fill="auto"/>
            <w:noWrap/>
            <w:hideMark/>
          </w:tcPr>
          <w:p w14:paraId="72C90DF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629BD4F" w14:textId="2E4B907E" w:rsidR="00D136F8" w:rsidRPr="00D518FF" w:rsidRDefault="00D136F8" w:rsidP="00F614C8">
            <w:pPr>
              <w:rPr>
                <w:rFonts w:ascii="Aptos" w:hAnsi="Aptos" w:cs="Calibri"/>
                <w:color w:val="000000"/>
                <w:sz w:val="16"/>
                <w:szCs w:val="16"/>
              </w:rPr>
            </w:pPr>
            <w:r>
              <w:rPr>
                <w:rFonts w:ascii="Aptos" w:hAnsi="Aptos" w:cs="Calibri"/>
                <w:color w:val="000000"/>
                <w:sz w:val="16"/>
                <w:szCs w:val="16"/>
              </w:rPr>
              <w:t>At-risk of condition</w:t>
            </w:r>
          </w:p>
        </w:tc>
        <w:tc>
          <w:tcPr>
            <w:tcW w:w="1560" w:type="dxa"/>
            <w:shd w:val="clear" w:color="auto" w:fill="auto"/>
            <w:noWrap/>
            <w:hideMark/>
          </w:tcPr>
          <w:p w14:paraId="2A504DD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Pregnant women</w:t>
            </w:r>
          </w:p>
        </w:tc>
        <w:tc>
          <w:tcPr>
            <w:tcW w:w="992" w:type="dxa"/>
            <w:shd w:val="clear" w:color="auto" w:fill="auto"/>
            <w:noWrap/>
            <w:hideMark/>
          </w:tcPr>
          <w:p w14:paraId="65C768FA" w14:textId="24C573F1"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Eligible supplement Vs </w:t>
            </w:r>
            <w:r w:rsidRPr="00D518FF">
              <w:rPr>
                <w:rFonts w:ascii="Aptos" w:hAnsi="Aptos" w:cs="Calibri"/>
                <w:color w:val="000000"/>
                <w:sz w:val="16"/>
                <w:szCs w:val="16"/>
              </w:rPr>
              <w:lastRenderedPageBreak/>
              <w:t>placebo/inactive control</w:t>
            </w:r>
          </w:p>
        </w:tc>
        <w:tc>
          <w:tcPr>
            <w:tcW w:w="1042" w:type="dxa"/>
            <w:shd w:val="clear" w:color="auto" w:fill="auto"/>
            <w:noWrap/>
            <w:hideMark/>
          </w:tcPr>
          <w:p w14:paraId="2E13354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DHA 800 mg + EPA</w:t>
            </w:r>
            <w:r w:rsidRPr="00D518FF">
              <w:rPr>
                <w:rFonts w:ascii="Aptos" w:hAnsi="Aptos" w:cs="Calibri"/>
                <w:color w:val="000000"/>
                <w:sz w:val="16"/>
                <w:szCs w:val="16"/>
              </w:rPr>
              <w:br/>
              <w:t>100 mg</w:t>
            </w:r>
          </w:p>
        </w:tc>
        <w:tc>
          <w:tcPr>
            <w:tcW w:w="801" w:type="dxa"/>
            <w:shd w:val="clear" w:color="auto" w:fill="auto"/>
            <w:noWrap/>
            <w:hideMark/>
          </w:tcPr>
          <w:p w14:paraId="31EFEBA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Usual care</w:t>
            </w:r>
          </w:p>
        </w:tc>
        <w:tc>
          <w:tcPr>
            <w:tcW w:w="850" w:type="dxa"/>
            <w:shd w:val="clear" w:color="auto" w:fill="auto"/>
            <w:noWrap/>
            <w:hideMark/>
          </w:tcPr>
          <w:p w14:paraId="5C30B0C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2FB6C5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2399</w:t>
            </w:r>
          </w:p>
        </w:tc>
        <w:tc>
          <w:tcPr>
            <w:tcW w:w="1135" w:type="dxa"/>
            <w:shd w:val="clear" w:color="auto" w:fill="auto"/>
            <w:noWrap/>
            <w:hideMark/>
          </w:tcPr>
          <w:p w14:paraId="1278CEA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277" w:type="dxa"/>
            <w:shd w:val="clear" w:color="auto" w:fill="auto"/>
            <w:noWrap/>
            <w:hideMark/>
          </w:tcPr>
          <w:p w14:paraId="6D0162E4" w14:textId="3919900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RR = 0.85 (0.70 to </w:t>
            </w:r>
            <w:r w:rsidRPr="00D518FF">
              <w:rPr>
                <w:rFonts w:ascii="Aptos" w:hAnsi="Aptos" w:cs="Calibri"/>
                <w:color w:val="000000"/>
                <w:sz w:val="16"/>
                <w:szCs w:val="16"/>
              </w:rPr>
              <w:br/>
              <w:t xml:space="preserve">1.02) </w:t>
            </w:r>
          </w:p>
        </w:tc>
        <w:tc>
          <w:tcPr>
            <w:tcW w:w="1277" w:type="dxa"/>
            <w:shd w:val="clear" w:color="auto" w:fill="auto"/>
            <w:noWrap/>
            <w:hideMark/>
          </w:tcPr>
          <w:p w14:paraId="693BC57A" w14:textId="72403B91" w:rsidR="00D136F8" w:rsidRPr="00D518FF" w:rsidRDefault="00D136F8" w:rsidP="00F614C8">
            <w:pPr>
              <w:rPr>
                <w:rFonts w:ascii="Aptos" w:hAnsi="Aptos" w:cs="Calibri"/>
                <w:color w:val="000000"/>
                <w:sz w:val="16"/>
                <w:szCs w:val="16"/>
              </w:rPr>
            </w:pPr>
            <w:r>
              <w:rPr>
                <w:rFonts w:ascii="Aptos" w:hAnsi="Aptos" w:cs="Calibri"/>
                <w:color w:val="000000"/>
                <w:sz w:val="16"/>
                <w:szCs w:val="16"/>
              </w:rPr>
              <w:t xml:space="preserve">The </w:t>
            </w:r>
            <w:r w:rsidRPr="00D518FF">
              <w:rPr>
                <w:rFonts w:ascii="Aptos" w:hAnsi="Aptos" w:cs="Calibri"/>
                <w:color w:val="000000"/>
                <w:sz w:val="16"/>
                <w:szCs w:val="16"/>
              </w:rPr>
              <w:t>only RCT</w:t>
            </w:r>
            <w:r w:rsidRPr="00D518FF">
              <w:rPr>
                <w:rFonts w:ascii="Aptos" w:hAnsi="Aptos" w:cs="Calibri"/>
                <w:color w:val="000000"/>
                <w:sz w:val="16"/>
                <w:szCs w:val="16"/>
              </w:rPr>
              <w:br/>
              <w:t xml:space="preserve">available (including 2399 </w:t>
            </w:r>
            <w:r w:rsidRPr="00D518FF">
              <w:rPr>
                <w:rFonts w:ascii="Aptos" w:hAnsi="Aptos" w:cs="Calibri"/>
                <w:color w:val="000000"/>
                <w:sz w:val="16"/>
                <w:szCs w:val="16"/>
              </w:rPr>
              <w:lastRenderedPageBreak/>
              <w:t>singleton gestations) failed to</w:t>
            </w:r>
            <w:r w:rsidRPr="00D518FF">
              <w:rPr>
                <w:rFonts w:ascii="Aptos" w:hAnsi="Aptos" w:cs="Calibri"/>
                <w:color w:val="000000"/>
                <w:sz w:val="16"/>
                <w:szCs w:val="16"/>
              </w:rPr>
              <w:br/>
              <w:t>demonstrate a clear and statistically significant benefit of</w:t>
            </w:r>
            <w:r w:rsidRPr="00D518FF">
              <w:rPr>
                <w:rFonts w:ascii="Aptos" w:hAnsi="Aptos" w:cs="Calibri"/>
                <w:color w:val="000000"/>
                <w:sz w:val="16"/>
                <w:szCs w:val="16"/>
              </w:rPr>
              <w:br/>
              <w:t>omega-3 supplementation during pregnancy in preventing</w:t>
            </w:r>
            <w:r w:rsidRPr="00D518FF">
              <w:rPr>
                <w:rFonts w:ascii="Aptos" w:hAnsi="Aptos" w:cs="Calibri"/>
                <w:color w:val="000000"/>
                <w:sz w:val="16"/>
                <w:szCs w:val="16"/>
              </w:rPr>
              <w:br/>
              <w:t>depressive post-partum symptoms</w:t>
            </w:r>
          </w:p>
        </w:tc>
        <w:tc>
          <w:tcPr>
            <w:tcW w:w="1136" w:type="dxa"/>
          </w:tcPr>
          <w:p w14:paraId="0B7FF137" w14:textId="0B8A11E9" w:rsidR="00D136F8" w:rsidRDefault="00D136F8" w:rsidP="00F614C8">
            <w:pPr>
              <w:rPr>
                <w:rFonts w:ascii="Aptos" w:hAnsi="Aptos" w:cs="Calibri"/>
                <w:color w:val="000000"/>
                <w:sz w:val="16"/>
                <w:szCs w:val="16"/>
              </w:rPr>
            </w:pPr>
            <w:r>
              <w:rPr>
                <w:rFonts w:ascii="Aptos" w:hAnsi="Aptos" w:cs="Calibri"/>
                <w:color w:val="000000"/>
                <w:sz w:val="16"/>
                <w:szCs w:val="16"/>
              </w:rPr>
              <w:lastRenderedPageBreak/>
              <w:t>NA</w:t>
            </w:r>
          </w:p>
        </w:tc>
        <w:tc>
          <w:tcPr>
            <w:tcW w:w="1135" w:type="dxa"/>
          </w:tcPr>
          <w:p w14:paraId="38798B1E" w14:textId="50A2AAD1" w:rsidR="00D136F8" w:rsidRPr="00D518FF" w:rsidRDefault="00D136F8" w:rsidP="00F614C8">
            <w:pPr>
              <w:rPr>
                <w:rFonts w:ascii="Aptos" w:hAnsi="Aptos" w:cs="Calibri"/>
                <w:color w:val="000000"/>
                <w:sz w:val="16"/>
                <w:szCs w:val="16"/>
              </w:rPr>
            </w:pPr>
            <w:r>
              <w:rPr>
                <w:rFonts w:ascii="Aptos" w:hAnsi="Aptos" w:cs="Calibri"/>
                <w:color w:val="000000"/>
                <w:sz w:val="16"/>
                <w:szCs w:val="16"/>
              </w:rPr>
              <w:t>Unclear risk</w:t>
            </w:r>
          </w:p>
        </w:tc>
      </w:tr>
      <w:tr w:rsidR="00D136F8" w:rsidRPr="00D518FF" w14:paraId="5DFF9EE8" w14:textId="59B45796" w:rsidTr="005742D1">
        <w:trPr>
          <w:trHeight w:val="320"/>
        </w:trPr>
        <w:tc>
          <w:tcPr>
            <w:tcW w:w="702" w:type="dxa"/>
            <w:shd w:val="clear" w:color="auto" w:fill="auto"/>
            <w:noWrap/>
            <w:hideMark/>
          </w:tcPr>
          <w:p w14:paraId="5DEE9FD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Sarris 2012</w:t>
            </w:r>
          </w:p>
        </w:tc>
        <w:tc>
          <w:tcPr>
            <w:tcW w:w="567" w:type="dxa"/>
            <w:shd w:val="clear" w:color="auto" w:fill="auto"/>
            <w:noWrap/>
            <w:hideMark/>
          </w:tcPr>
          <w:p w14:paraId="2677BEA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AD9A638" w14:textId="23F2F1C4"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6ACA89DC" w14:textId="24B846F9"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All ages with DSM diagnosis of BPD or score above cut-off for a validated depression rating instrument</w:t>
            </w:r>
          </w:p>
        </w:tc>
        <w:tc>
          <w:tcPr>
            <w:tcW w:w="992" w:type="dxa"/>
            <w:shd w:val="clear" w:color="auto" w:fill="auto"/>
            <w:noWrap/>
            <w:hideMark/>
          </w:tcPr>
          <w:p w14:paraId="77179CC1" w14:textId="3055ECD5"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 non-naturopathy co-intervention VS placebo/inactive control</w:t>
            </w:r>
          </w:p>
        </w:tc>
        <w:tc>
          <w:tcPr>
            <w:tcW w:w="1042" w:type="dxa"/>
            <w:shd w:val="clear" w:color="auto" w:fill="auto"/>
            <w:noWrap/>
            <w:hideMark/>
          </w:tcPr>
          <w:p w14:paraId="5FE57E3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 various doses - 6.6g/d ALA for 16 weeks, EPA only 1g/d-6g/d for 12-16 weeks, EPA/DPA combination - either EPA 4.4g + DHA 2.4g or EPA 6.2g + DHA 3.4g for 4 and 16 weeks respectively</w:t>
            </w:r>
          </w:p>
        </w:tc>
        <w:tc>
          <w:tcPr>
            <w:tcW w:w="801" w:type="dxa"/>
            <w:shd w:val="clear" w:color="auto" w:fill="auto"/>
            <w:noWrap/>
            <w:hideMark/>
          </w:tcPr>
          <w:p w14:paraId="0228DA2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 + psychotropic pharmacotherapy</w:t>
            </w:r>
          </w:p>
        </w:tc>
        <w:tc>
          <w:tcPr>
            <w:tcW w:w="850" w:type="dxa"/>
            <w:shd w:val="clear" w:color="auto" w:fill="auto"/>
            <w:noWrap/>
            <w:hideMark/>
          </w:tcPr>
          <w:p w14:paraId="7446DF6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6</w:t>
            </w:r>
          </w:p>
        </w:tc>
        <w:tc>
          <w:tcPr>
            <w:tcW w:w="992" w:type="dxa"/>
            <w:shd w:val="clear" w:color="auto" w:fill="auto"/>
            <w:noWrap/>
            <w:hideMark/>
          </w:tcPr>
          <w:p w14:paraId="5DF4E08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320</w:t>
            </w:r>
          </w:p>
        </w:tc>
        <w:tc>
          <w:tcPr>
            <w:tcW w:w="1135" w:type="dxa"/>
            <w:shd w:val="clear" w:color="auto" w:fill="auto"/>
            <w:noWrap/>
            <w:hideMark/>
          </w:tcPr>
          <w:p w14:paraId="1655E2A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between treatment and placebo between baseline and endpoint using a validated scale i.e., HDRS, CDRS or IDS-CR</w:t>
            </w:r>
          </w:p>
        </w:tc>
        <w:tc>
          <w:tcPr>
            <w:tcW w:w="1277" w:type="dxa"/>
            <w:shd w:val="clear" w:color="auto" w:fill="auto"/>
            <w:noWrap/>
            <w:hideMark/>
          </w:tcPr>
          <w:p w14:paraId="1990884B" w14:textId="797F9D2D"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0.338 (0.035 to 0.641), p=0.029</w:t>
            </w:r>
          </w:p>
        </w:tc>
        <w:tc>
          <w:tcPr>
            <w:tcW w:w="1277" w:type="dxa"/>
            <w:shd w:val="clear" w:color="auto" w:fill="auto"/>
            <w:noWrap/>
            <w:hideMark/>
          </w:tcPr>
          <w:p w14:paraId="7AA782E4" w14:textId="1463A3A5" w:rsidR="00D136F8" w:rsidRDefault="003844E0" w:rsidP="00F614C8">
            <w:pPr>
              <w:rPr>
                <w:rFonts w:ascii="Aptos" w:hAnsi="Aptos" w:cs="Calibri"/>
                <w:color w:val="000000"/>
                <w:sz w:val="16"/>
                <w:szCs w:val="16"/>
              </w:rPr>
            </w:pPr>
            <w:r>
              <w:rPr>
                <w:rFonts w:ascii="Aptos" w:hAnsi="Aptos" w:cs="Calibri"/>
                <w:color w:val="000000"/>
                <w:sz w:val="16"/>
                <w:szCs w:val="16"/>
              </w:rPr>
              <w:t>F</w:t>
            </w:r>
            <w:r w:rsidR="00D136F8" w:rsidRPr="00D518FF">
              <w:rPr>
                <w:rFonts w:ascii="Aptos" w:hAnsi="Aptos" w:cs="Calibri"/>
                <w:color w:val="000000"/>
                <w:sz w:val="16"/>
                <w:szCs w:val="16"/>
              </w:rPr>
              <w:t>or MA of depression studies</w:t>
            </w:r>
            <w:r>
              <w:rPr>
                <w:rFonts w:ascii="Aptos" w:hAnsi="Aptos" w:cs="Calibri"/>
                <w:color w:val="000000"/>
                <w:sz w:val="16"/>
                <w:szCs w:val="16"/>
              </w:rPr>
              <w:t>:</w:t>
            </w:r>
            <w:r w:rsidR="00D136F8" w:rsidRPr="00D518FF">
              <w:rPr>
                <w:rFonts w:ascii="Aptos" w:hAnsi="Aptos" w:cs="Calibri"/>
                <w:color w:val="000000"/>
                <w:sz w:val="16"/>
                <w:szCs w:val="16"/>
              </w:rPr>
              <w:t xml:space="preserve"> </w:t>
            </w:r>
            <w:r w:rsidR="00D136F8">
              <w:rPr>
                <w:rFonts w:ascii="Aptos" w:hAnsi="Aptos" w:cs="Calibri"/>
                <w:color w:val="000000"/>
                <w:sz w:val="16"/>
                <w:szCs w:val="16"/>
              </w:rPr>
              <w:t xml:space="preserve">I² </w:t>
            </w:r>
            <w:r w:rsidR="00D136F8" w:rsidRPr="00D518FF">
              <w:rPr>
                <w:rFonts w:ascii="Aptos" w:hAnsi="Aptos" w:cs="Calibri"/>
                <w:color w:val="000000"/>
                <w:sz w:val="16"/>
                <w:szCs w:val="16"/>
              </w:rPr>
              <w:t>=30%, p=0.213</w:t>
            </w:r>
          </w:p>
          <w:p w14:paraId="6F15180D" w14:textId="77777777" w:rsidR="00D136F8" w:rsidRDefault="00D136F8" w:rsidP="00F614C8">
            <w:pPr>
              <w:rPr>
                <w:rFonts w:ascii="Aptos" w:hAnsi="Aptos" w:cs="Calibri"/>
                <w:color w:val="000000"/>
                <w:sz w:val="16"/>
                <w:szCs w:val="16"/>
              </w:rPr>
            </w:pPr>
          </w:p>
          <w:p w14:paraId="58C958DF" w14:textId="68E153B2"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Large heterogeneity to the type of omega-3 preparation; moderate to low risk of bias for individual studies</w:t>
            </w:r>
          </w:p>
        </w:tc>
        <w:tc>
          <w:tcPr>
            <w:tcW w:w="1136" w:type="dxa"/>
          </w:tcPr>
          <w:p w14:paraId="27D5FAB0" w14:textId="4ADDBEAF"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7690F5C6" w14:textId="41B069C1"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07D06BD4" w14:textId="4EC43AEC" w:rsidTr="005742D1">
        <w:trPr>
          <w:trHeight w:val="320"/>
        </w:trPr>
        <w:tc>
          <w:tcPr>
            <w:tcW w:w="702" w:type="dxa"/>
            <w:shd w:val="clear" w:color="auto" w:fill="auto"/>
            <w:noWrap/>
            <w:hideMark/>
          </w:tcPr>
          <w:p w14:paraId="1F7EC81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Troeung 2013</w:t>
            </w:r>
          </w:p>
        </w:tc>
        <w:tc>
          <w:tcPr>
            <w:tcW w:w="567" w:type="dxa"/>
            <w:shd w:val="clear" w:color="auto" w:fill="auto"/>
            <w:noWrap/>
            <w:hideMark/>
          </w:tcPr>
          <w:p w14:paraId="5DCDEA4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3FA15ED0" w14:textId="678E07B6"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2CBF342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idiopathic PD; DSM or ICD diagnosis of depression</w:t>
            </w:r>
          </w:p>
        </w:tc>
        <w:tc>
          <w:tcPr>
            <w:tcW w:w="992" w:type="dxa"/>
            <w:shd w:val="clear" w:color="auto" w:fill="auto"/>
            <w:noWrap/>
            <w:hideMark/>
          </w:tcPr>
          <w:p w14:paraId="3E4130F6" w14:textId="4FBFF660"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660010F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dose NR</w:t>
            </w:r>
          </w:p>
        </w:tc>
        <w:tc>
          <w:tcPr>
            <w:tcW w:w="801" w:type="dxa"/>
            <w:shd w:val="clear" w:color="auto" w:fill="auto"/>
            <w:noWrap/>
            <w:hideMark/>
          </w:tcPr>
          <w:p w14:paraId="2B97345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62BF9CF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6BF55B6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29</w:t>
            </w:r>
          </w:p>
        </w:tc>
        <w:tc>
          <w:tcPr>
            <w:tcW w:w="1135" w:type="dxa"/>
            <w:shd w:val="clear" w:color="auto" w:fill="auto"/>
            <w:noWrap/>
            <w:hideMark/>
          </w:tcPr>
          <w:p w14:paraId="3EC0C76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MADRS</w:t>
            </w:r>
          </w:p>
        </w:tc>
        <w:tc>
          <w:tcPr>
            <w:tcW w:w="1277" w:type="dxa"/>
            <w:shd w:val="clear" w:color="auto" w:fill="auto"/>
            <w:noWrap/>
            <w:hideMark/>
          </w:tcPr>
          <w:p w14:paraId="465D2197" w14:textId="71C0B370"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 .92 (0.15 to 1.69)</w:t>
            </w:r>
          </w:p>
        </w:tc>
        <w:tc>
          <w:tcPr>
            <w:tcW w:w="1277" w:type="dxa"/>
            <w:shd w:val="clear" w:color="auto" w:fill="auto"/>
            <w:noWrap/>
            <w:hideMark/>
          </w:tcPr>
          <w:p w14:paraId="7DDE8AC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5FF1F763" w14:textId="37E90B67"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59154022" w14:textId="089F3CF3" w:rsidR="00D136F8" w:rsidRPr="00D518FF"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6DB48B00" w14:textId="1DAC09ED" w:rsidTr="005742D1">
        <w:trPr>
          <w:trHeight w:val="320"/>
        </w:trPr>
        <w:tc>
          <w:tcPr>
            <w:tcW w:w="702" w:type="dxa"/>
            <w:shd w:val="clear" w:color="auto" w:fill="auto"/>
            <w:noWrap/>
            <w:hideMark/>
          </w:tcPr>
          <w:p w14:paraId="61C565A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Tsai 2023</w:t>
            </w:r>
          </w:p>
        </w:tc>
        <w:tc>
          <w:tcPr>
            <w:tcW w:w="567" w:type="dxa"/>
            <w:shd w:val="clear" w:color="auto" w:fill="auto"/>
            <w:noWrap/>
            <w:hideMark/>
          </w:tcPr>
          <w:p w14:paraId="6CD9960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25C7223" w14:textId="4ECAB692"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5F93976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Women with perinatal depression</w:t>
            </w:r>
          </w:p>
        </w:tc>
        <w:tc>
          <w:tcPr>
            <w:tcW w:w="992" w:type="dxa"/>
            <w:shd w:val="clear" w:color="auto" w:fill="auto"/>
            <w:noWrap/>
            <w:hideMark/>
          </w:tcPr>
          <w:p w14:paraId="3C236F61" w14:textId="5EAA3765"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3674C1D8" w14:textId="7F80ADE3"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 variable doses and duration</w:t>
            </w:r>
          </w:p>
        </w:tc>
        <w:tc>
          <w:tcPr>
            <w:tcW w:w="801" w:type="dxa"/>
            <w:shd w:val="clear" w:color="auto" w:fill="auto"/>
            <w:noWrap/>
            <w:hideMark/>
          </w:tcPr>
          <w:p w14:paraId="383D3AA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combination of placebo, different dose of omega-3, adjunct non-naturopath</w:t>
            </w:r>
            <w:r w:rsidRPr="00D518FF">
              <w:rPr>
                <w:rFonts w:ascii="Aptos" w:hAnsi="Aptos" w:cs="Calibri"/>
                <w:color w:val="000000"/>
                <w:sz w:val="16"/>
                <w:szCs w:val="16"/>
              </w:rPr>
              <w:lastRenderedPageBreak/>
              <w:t>y intervention</w:t>
            </w:r>
          </w:p>
        </w:tc>
        <w:tc>
          <w:tcPr>
            <w:tcW w:w="850" w:type="dxa"/>
            <w:shd w:val="clear" w:color="auto" w:fill="auto"/>
            <w:noWrap/>
            <w:hideMark/>
          </w:tcPr>
          <w:p w14:paraId="1FFF376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13</w:t>
            </w:r>
          </w:p>
        </w:tc>
        <w:tc>
          <w:tcPr>
            <w:tcW w:w="992" w:type="dxa"/>
            <w:shd w:val="clear" w:color="auto" w:fill="auto"/>
            <w:noWrap/>
            <w:hideMark/>
          </w:tcPr>
          <w:p w14:paraId="1CFD99D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1153</w:t>
            </w:r>
          </w:p>
        </w:tc>
        <w:tc>
          <w:tcPr>
            <w:tcW w:w="1135" w:type="dxa"/>
            <w:shd w:val="clear" w:color="auto" w:fill="auto"/>
            <w:noWrap/>
            <w:hideMark/>
          </w:tcPr>
          <w:p w14:paraId="480315F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Various depression scales including BDI, EPDS, PDSS, CES-D</w:t>
            </w:r>
          </w:p>
        </w:tc>
        <w:tc>
          <w:tcPr>
            <w:tcW w:w="1277" w:type="dxa"/>
            <w:shd w:val="clear" w:color="auto" w:fill="auto"/>
            <w:noWrap/>
            <w:hideMark/>
          </w:tcPr>
          <w:p w14:paraId="1C5055FA" w14:textId="7CD07011"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SMD = </w:t>
            </w:r>
            <w:r w:rsidRPr="00D518FF">
              <w:rPr>
                <w:rFonts w:ascii="Aptos" w:hAnsi="Aptos"/>
                <w:sz w:val="16"/>
                <w:szCs w:val="16"/>
              </w:rPr>
              <w:t>–</w:t>
            </w:r>
            <w:r w:rsidRPr="00D518FF">
              <w:rPr>
                <w:rFonts w:ascii="Aptos" w:hAnsi="Aptos" w:cs="Calibri"/>
                <w:color w:val="000000"/>
                <w:sz w:val="16"/>
                <w:szCs w:val="16"/>
              </w:rPr>
              <w:t>0.11 (0.26 to 0.0)</w:t>
            </w:r>
          </w:p>
        </w:tc>
        <w:tc>
          <w:tcPr>
            <w:tcW w:w="1277" w:type="dxa"/>
            <w:shd w:val="clear" w:color="auto" w:fill="auto"/>
            <w:noWrap/>
            <w:hideMark/>
          </w:tcPr>
          <w:p w14:paraId="50FF1543" w14:textId="4B75A85C" w:rsidR="00D136F8" w:rsidRPr="00D518FF" w:rsidRDefault="00D136F8" w:rsidP="00F614C8">
            <w:pPr>
              <w:rPr>
                <w:rFonts w:ascii="Aptos" w:hAnsi="Aptos" w:cs="Calibri"/>
                <w:color w:val="000000"/>
                <w:sz w:val="16"/>
                <w:szCs w:val="16"/>
              </w:rPr>
            </w:pPr>
            <w:r>
              <w:rPr>
                <w:rFonts w:ascii="Aptos" w:hAnsi="Aptos" w:cs="Calibri"/>
                <w:color w:val="000000"/>
                <w:sz w:val="16"/>
                <w:szCs w:val="16"/>
              </w:rPr>
              <w:t xml:space="preserve">I² </w:t>
            </w:r>
            <w:r w:rsidRPr="00D518FF">
              <w:rPr>
                <w:rFonts w:ascii="Aptos" w:hAnsi="Aptos" w:cs="Calibri"/>
                <w:color w:val="000000"/>
                <w:sz w:val="16"/>
                <w:szCs w:val="16"/>
              </w:rPr>
              <w:t>=23% p&gt;0.05</w:t>
            </w:r>
          </w:p>
        </w:tc>
        <w:tc>
          <w:tcPr>
            <w:tcW w:w="1136" w:type="dxa"/>
          </w:tcPr>
          <w:p w14:paraId="30D9E96C" w14:textId="0267415E"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6C058437" w14:textId="42D99946" w:rsidR="00D136F8"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r w:rsidR="00D136F8" w:rsidRPr="00D518FF" w14:paraId="6DE8767A" w14:textId="1D2C7728" w:rsidTr="005742D1">
        <w:trPr>
          <w:trHeight w:val="320"/>
        </w:trPr>
        <w:tc>
          <w:tcPr>
            <w:tcW w:w="702" w:type="dxa"/>
            <w:shd w:val="clear" w:color="auto" w:fill="auto"/>
            <w:noWrap/>
            <w:hideMark/>
          </w:tcPr>
          <w:p w14:paraId="42457F0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Tung 2023</w:t>
            </w:r>
          </w:p>
        </w:tc>
        <w:tc>
          <w:tcPr>
            <w:tcW w:w="567" w:type="dxa"/>
            <w:shd w:val="clear" w:color="auto" w:fill="auto"/>
            <w:noWrap/>
            <w:hideMark/>
          </w:tcPr>
          <w:p w14:paraId="7F27FFE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3C90DCCB" w14:textId="51CAD6A1"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1C73211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Pregnant women with EPDS &gt;=11 or depressive symptoms intervention initiated 22 -24 weeks gestation</w:t>
            </w:r>
          </w:p>
        </w:tc>
        <w:tc>
          <w:tcPr>
            <w:tcW w:w="992" w:type="dxa"/>
            <w:shd w:val="clear" w:color="auto" w:fill="auto"/>
            <w:noWrap/>
            <w:hideMark/>
          </w:tcPr>
          <w:p w14:paraId="07C9B59F" w14:textId="22F9ADD2"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604939B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EPA 1.08/DHA 0.72 g/day for 16 weeks</w:t>
            </w:r>
          </w:p>
        </w:tc>
        <w:tc>
          <w:tcPr>
            <w:tcW w:w="801" w:type="dxa"/>
            <w:shd w:val="clear" w:color="auto" w:fill="auto"/>
            <w:noWrap/>
            <w:hideMark/>
          </w:tcPr>
          <w:p w14:paraId="743776E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0EDA0EF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E7D858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60</w:t>
            </w:r>
          </w:p>
        </w:tc>
        <w:tc>
          <w:tcPr>
            <w:tcW w:w="1135" w:type="dxa"/>
            <w:shd w:val="clear" w:color="auto" w:fill="auto"/>
            <w:noWrap/>
            <w:hideMark/>
          </w:tcPr>
          <w:p w14:paraId="10787DC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SMD in EPDS between groups; SMD change in EPDS at the following assessment times: 5th to13th, 22nd to 24th, and 30th to 32nd gestational weeks, and 4 to 6 weeks postpartum </w:t>
            </w:r>
          </w:p>
        </w:tc>
        <w:tc>
          <w:tcPr>
            <w:tcW w:w="1277" w:type="dxa"/>
            <w:shd w:val="clear" w:color="auto" w:fill="auto"/>
            <w:noWrap/>
            <w:hideMark/>
          </w:tcPr>
          <w:p w14:paraId="657DB9B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Exact effect measures NR; no significant difference in EPDS between groups nor changes over time for EPDS scores during pregnancy and postpartum</w:t>
            </w:r>
          </w:p>
        </w:tc>
        <w:tc>
          <w:tcPr>
            <w:tcW w:w="1277" w:type="dxa"/>
            <w:shd w:val="clear" w:color="auto" w:fill="auto"/>
            <w:noWrap/>
            <w:hideMark/>
          </w:tcPr>
          <w:p w14:paraId="2349C8FE" w14:textId="1217B71A"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insufficient information</w:t>
            </w:r>
          </w:p>
        </w:tc>
        <w:tc>
          <w:tcPr>
            <w:tcW w:w="1136" w:type="dxa"/>
          </w:tcPr>
          <w:p w14:paraId="578DFE02" w14:textId="4E43698C"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4DE3F759" w14:textId="068FD93F"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647F5F1E" w14:textId="2493A89F" w:rsidTr="005742D1">
        <w:trPr>
          <w:trHeight w:val="320"/>
        </w:trPr>
        <w:tc>
          <w:tcPr>
            <w:tcW w:w="702" w:type="dxa"/>
            <w:shd w:val="clear" w:color="auto" w:fill="auto"/>
            <w:noWrap/>
            <w:hideMark/>
          </w:tcPr>
          <w:p w14:paraId="0A16119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Tung 2023</w:t>
            </w:r>
          </w:p>
        </w:tc>
        <w:tc>
          <w:tcPr>
            <w:tcW w:w="567" w:type="dxa"/>
            <w:shd w:val="clear" w:color="auto" w:fill="auto"/>
            <w:noWrap/>
            <w:hideMark/>
          </w:tcPr>
          <w:p w14:paraId="0BAEB87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48E65297" w14:textId="6D98C54A"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46FB43A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Pregnant women with EPDS ≥ 12; probable depressive disorders</w:t>
            </w:r>
          </w:p>
        </w:tc>
        <w:tc>
          <w:tcPr>
            <w:tcW w:w="992" w:type="dxa"/>
            <w:shd w:val="clear" w:color="auto" w:fill="auto"/>
            <w:noWrap/>
            <w:hideMark/>
          </w:tcPr>
          <w:p w14:paraId="305EF426" w14:textId="6ACBF1A9"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45C91C2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Fish oil (DHA 120 mg, EPA 180mg, ALA 400mg) for 24 weeks from end of 20th gestational week until 1 month postpartum</w:t>
            </w:r>
          </w:p>
        </w:tc>
        <w:tc>
          <w:tcPr>
            <w:tcW w:w="801" w:type="dxa"/>
            <w:shd w:val="clear" w:color="auto" w:fill="auto"/>
            <w:noWrap/>
            <w:hideMark/>
          </w:tcPr>
          <w:p w14:paraId="4F4A403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6E8F3AD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07D19D1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150</w:t>
            </w:r>
          </w:p>
        </w:tc>
        <w:tc>
          <w:tcPr>
            <w:tcW w:w="1135" w:type="dxa"/>
            <w:shd w:val="clear" w:color="auto" w:fill="auto"/>
            <w:noWrap/>
            <w:hideMark/>
          </w:tcPr>
          <w:p w14:paraId="0F84DB78" w14:textId="357C13EC"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Mean EPDS score; SMD change in EPDS at the following assessment times: 5th to13th, 22nd to 24th, and 30th to 32nd gestational weeks, and 4 to 6 weeks postpartum </w:t>
            </w:r>
          </w:p>
        </w:tc>
        <w:tc>
          <w:tcPr>
            <w:tcW w:w="1277" w:type="dxa"/>
            <w:shd w:val="clear" w:color="auto" w:fill="auto"/>
            <w:noWrap/>
            <w:hideMark/>
          </w:tcPr>
          <w:p w14:paraId="2CB9610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Exact effect measures NR; significant decrease in EPDS in intervention group at 35-37 weeks gestation; no significant difference in EPDS at other measurement periods</w:t>
            </w:r>
          </w:p>
        </w:tc>
        <w:tc>
          <w:tcPr>
            <w:tcW w:w="1277" w:type="dxa"/>
            <w:shd w:val="clear" w:color="auto" w:fill="auto"/>
            <w:noWrap/>
            <w:hideMark/>
          </w:tcPr>
          <w:p w14:paraId="5ECB6FA1" w14:textId="3B593951"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insufficient information</w:t>
            </w:r>
          </w:p>
        </w:tc>
        <w:tc>
          <w:tcPr>
            <w:tcW w:w="1136" w:type="dxa"/>
          </w:tcPr>
          <w:p w14:paraId="67A85772" w14:textId="0B34F4C2"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4FB8B440" w14:textId="26E62F11"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542D88A5" w14:textId="5D397408" w:rsidTr="005742D1">
        <w:trPr>
          <w:trHeight w:val="320"/>
        </w:trPr>
        <w:tc>
          <w:tcPr>
            <w:tcW w:w="702" w:type="dxa"/>
            <w:shd w:val="clear" w:color="auto" w:fill="auto"/>
            <w:noWrap/>
            <w:hideMark/>
          </w:tcPr>
          <w:p w14:paraId="0570E61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Viswanathan 2020</w:t>
            </w:r>
          </w:p>
        </w:tc>
        <w:tc>
          <w:tcPr>
            <w:tcW w:w="567" w:type="dxa"/>
            <w:shd w:val="clear" w:color="auto" w:fill="auto"/>
            <w:noWrap/>
            <w:hideMark/>
          </w:tcPr>
          <w:p w14:paraId="5737617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02A3B22F" w14:textId="18D589D1"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5CF76A4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Children and adolescents (6 to 14 years) with a confirmed diagnosis of a depressive disorder (DD)—major depressive disorder (MDD), persistent depressive disorder (previously termed dysthymia) or DD not otherwise specified</w:t>
            </w:r>
          </w:p>
        </w:tc>
        <w:tc>
          <w:tcPr>
            <w:tcW w:w="992" w:type="dxa"/>
            <w:shd w:val="clear" w:color="auto" w:fill="auto"/>
            <w:noWrap/>
            <w:hideMark/>
          </w:tcPr>
          <w:p w14:paraId="1AB4D7ED" w14:textId="5F4483CC"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26CC5712" w14:textId="19A2F054"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dose NR, 12-16 weeks</w:t>
            </w:r>
          </w:p>
        </w:tc>
        <w:tc>
          <w:tcPr>
            <w:tcW w:w="801" w:type="dxa"/>
            <w:shd w:val="clear" w:color="auto" w:fill="auto"/>
            <w:noWrap/>
            <w:hideMark/>
          </w:tcPr>
          <w:p w14:paraId="08351B5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7865BABA"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1B97CA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20</w:t>
            </w:r>
          </w:p>
        </w:tc>
        <w:tc>
          <w:tcPr>
            <w:tcW w:w="1135" w:type="dxa"/>
            <w:shd w:val="clear" w:color="auto" w:fill="auto"/>
            <w:noWrap/>
            <w:hideMark/>
          </w:tcPr>
          <w:p w14:paraId="73EF57D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Depressive symptoms, clinician report</w:t>
            </w:r>
          </w:p>
        </w:tc>
        <w:tc>
          <w:tcPr>
            <w:tcW w:w="1277" w:type="dxa"/>
            <w:shd w:val="clear" w:color="auto" w:fill="auto"/>
            <w:noWrap/>
            <w:hideMark/>
          </w:tcPr>
          <w:p w14:paraId="70A4219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(CDRS) cannot be calculated but authors report that mean difference is -20.72, p=0.03 at the end of treatment</w:t>
            </w:r>
          </w:p>
        </w:tc>
        <w:tc>
          <w:tcPr>
            <w:tcW w:w="1277" w:type="dxa"/>
            <w:shd w:val="clear" w:color="auto" w:fill="auto"/>
            <w:noWrap/>
            <w:hideMark/>
          </w:tcPr>
          <w:p w14:paraId="63AA50D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7296D1A7" w14:textId="099E793E"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02542A8" w14:textId="23C25DD7" w:rsidR="00D136F8" w:rsidRPr="00D518FF"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43B065D7" w14:textId="1AA8562E" w:rsidTr="005742D1">
        <w:trPr>
          <w:trHeight w:val="320"/>
        </w:trPr>
        <w:tc>
          <w:tcPr>
            <w:tcW w:w="702" w:type="dxa"/>
            <w:shd w:val="clear" w:color="auto" w:fill="auto"/>
            <w:noWrap/>
            <w:hideMark/>
          </w:tcPr>
          <w:p w14:paraId="71DFF79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Viswanathan 2020</w:t>
            </w:r>
          </w:p>
        </w:tc>
        <w:tc>
          <w:tcPr>
            <w:tcW w:w="567" w:type="dxa"/>
            <w:shd w:val="clear" w:color="auto" w:fill="auto"/>
            <w:noWrap/>
            <w:hideMark/>
          </w:tcPr>
          <w:p w14:paraId="382A009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3E64BB07" w14:textId="5314D9FC"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3967DB2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Children and adolescents (6 to 14 years) with a </w:t>
            </w:r>
            <w:r w:rsidRPr="00D518FF">
              <w:rPr>
                <w:rFonts w:ascii="Aptos" w:hAnsi="Aptos" w:cs="Calibri"/>
                <w:color w:val="000000"/>
                <w:sz w:val="16"/>
                <w:szCs w:val="16"/>
              </w:rPr>
              <w:lastRenderedPageBreak/>
              <w:t>confirmed diagnosis of a depressive disorder (DD)—major depressive disorder (MDD), persistent depressive disorder (previously termed dysthymia) or DD not otherwise specified</w:t>
            </w:r>
          </w:p>
        </w:tc>
        <w:tc>
          <w:tcPr>
            <w:tcW w:w="992" w:type="dxa"/>
            <w:shd w:val="clear" w:color="auto" w:fill="auto"/>
            <w:noWrap/>
            <w:hideMark/>
          </w:tcPr>
          <w:p w14:paraId="604F3850" w14:textId="0D04374D"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 xml:space="preserve">Eligible supplement Vs </w:t>
            </w:r>
            <w:r w:rsidRPr="00D518FF">
              <w:rPr>
                <w:rFonts w:ascii="Aptos" w:hAnsi="Aptos" w:cs="Calibri"/>
                <w:color w:val="000000"/>
                <w:sz w:val="16"/>
                <w:szCs w:val="16"/>
              </w:rPr>
              <w:lastRenderedPageBreak/>
              <w:t>placebo/inactive control</w:t>
            </w:r>
          </w:p>
        </w:tc>
        <w:tc>
          <w:tcPr>
            <w:tcW w:w="1042" w:type="dxa"/>
            <w:shd w:val="clear" w:color="auto" w:fill="auto"/>
            <w:noWrap/>
            <w:hideMark/>
          </w:tcPr>
          <w:p w14:paraId="5A304A66" w14:textId="1AEA8349"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Omega-3, dose NR, 12-16 weeks</w:t>
            </w:r>
          </w:p>
        </w:tc>
        <w:tc>
          <w:tcPr>
            <w:tcW w:w="801" w:type="dxa"/>
            <w:shd w:val="clear" w:color="auto" w:fill="auto"/>
            <w:noWrap/>
            <w:hideMark/>
          </w:tcPr>
          <w:p w14:paraId="09A3162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5094B91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48E988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34</w:t>
            </w:r>
          </w:p>
        </w:tc>
        <w:tc>
          <w:tcPr>
            <w:tcW w:w="1135" w:type="dxa"/>
            <w:shd w:val="clear" w:color="auto" w:fill="auto"/>
            <w:noWrap/>
            <w:hideMark/>
          </w:tcPr>
          <w:p w14:paraId="1D7E4AB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Depressive symptoms, clinician report</w:t>
            </w:r>
          </w:p>
        </w:tc>
        <w:tc>
          <w:tcPr>
            <w:tcW w:w="1277" w:type="dxa"/>
            <w:shd w:val="clear" w:color="auto" w:fill="auto"/>
            <w:noWrap/>
            <w:hideMark/>
          </w:tcPr>
          <w:p w14:paraId="2C563623" w14:textId="789C25B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 0.0 (</w:t>
            </w:r>
            <w:r w:rsidRPr="00D518FF">
              <w:rPr>
                <w:rFonts w:ascii="Aptos" w:hAnsi="Aptos"/>
                <w:sz w:val="16"/>
                <w:szCs w:val="16"/>
              </w:rPr>
              <w:t>–</w:t>
            </w:r>
            <w:r w:rsidRPr="00D518FF">
              <w:rPr>
                <w:rFonts w:ascii="Aptos" w:hAnsi="Aptos" w:cs="Calibri"/>
                <w:color w:val="000000"/>
                <w:sz w:val="16"/>
                <w:szCs w:val="16"/>
              </w:rPr>
              <w:t>0.67 to 0.67)</w:t>
            </w:r>
          </w:p>
        </w:tc>
        <w:tc>
          <w:tcPr>
            <w:tcW w:w="1277" w:type="dxa"/>
            <w:shd w:val="clear" w:color="auto" w:fill="auto"/>
            <w:noWrap/>
            <w:hideMark/>
          </w:tcPr>
          <w:p w14:paraId="02679B8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30EC1A84" w14:textId="1F9DECEF"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46FEEC11" w14:textId="22ABB930" w:rsidR="00D136F8"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074E29E0" w14:textId="5D1865BE" w:rsidTr="005742D1">
        <w:trPr>
          <w:trHeight w:val="320"/>
        </w:trPr>
        <w:tc>
          <w:tcPr>
            <w:tcW w:w="702" w:type="dxa"/>
            <w:shd w:val="clear" w:color="auto" w:fill="auto"/>
            <w:noWrap/>
            <w:hideMark/>
          </w:tcPr>
          <w:p w14:paraId="613FBA2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Viswanathan 2020</w:t>
            </w:r>
          </w:p>
        </w:tc>
        <w:tc>
          <w:tcPr>
            <w:tcW w:w="567" w:type="dxa"/>
            <w:shd w:val="clear" w:color="auto" w:fill="auto"/>
            <w:noWrap/>
            <w:hideMark/>
          </w:tcPr>
          <w:p w14:paraId="64D63EB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w:t>
            </w:r>
          </w:p>
        </w:tc>
        <w:tc>
          <w:tcPr>
            <w:tcW w:w="992" w:type="dxa"/>
            <w:shd w:val="clear" w:color="auto" w:fill="auto"/>
            <w:noWrap/>
            <w:hideMark/>
          </w:tcPr>
          <w:p w14:paraId="0A30E1AD" w14:textId="61FB8830"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104E729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Children and adolescents (6 to 14 years) with a confirmed diagnosis of a depressive disorder (DD)—major depressive disorder (MDD), persistent depressive disorder (previously termed dysthymia) or DD not otherwise specified</w:t>
            </w:r>
          </w:p>
        </w:tc>
        <w:tc>
          <w:tcPr>
            <w:tcW w:w="992" w:type="dxa"/>
            <w:shd w:val="clear" w:color="auto" w:fill="auto"/>
            <w:noWrap/>
            <w:hideMark/>
          </w:tcPr>
          <w:p w14:paraId="2C8F6619" w14:textId="6CEF626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144C92FE" w14:textId="1960E6B5"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dose NR, 12-16 weeks</w:t>
            </w:r>
          </w:p>
        </w:tc>
        <w:tc>
          <w:tcPr>
            <w:tcW w:w="801" w:type="dxa"/>
            <w:shd w:val="clear" w:color="auto" w:fill="auto"/>
            <w:noWrap/>
            <w:hideMark/>
          </w:tcPr>
          <w:p w14:paraId="58AFDFC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6E29D14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54D884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20</w:t>
            </w:r>
          </w:p>
        </w:tc>
        <w:tc>
          <w:tcPr>
            <w:tcW w:w="1135" w:type="dxa"/>
            <w:shd w:val="clear" w:color="auto" w:fill="auto"/>
            <w:noWrap/>
            <w:hideMark/>
          </w:tcPr>
          <w:p w14:paraId="1A71C13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Response - CDRS score &lt;29</w:t>
            </w:r>
          </w:p>
        </w:tc>
        <w:tc>
          <w:tcPr>
            <w:tcW w:w="1277" w:type="dxa"/>
            <w:shd w:val="clear" w:color="auto" w:fill="auto"/>
            <w:noWrap/>
            <w:hideMark/>
          </w:tcPr>
          <w:p w14:paraId="6F730538" w14:textId="357F6AD2"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RR (CDRS score of &lt;29) = 15.0 (0.97 to 1.86)</w:t>
            </w:r>
          </w:p>
        </w:tc>
        <w:tc>
          <w:tcPr>
            <w:tcW w:w="1277" w:type="dxa"/>
            <w:shd w:val="clear" w:color="auto" w:fill="auto"/>
            <w:noWrap/>
            <w:hideMark/>
          </w:tcPr>
          <w:p w14:paraId="2A9C18A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66CC378F" w14:textId="08974327"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C0423A3" w14:textId="2D490EDE" w:rsidR="00D136F8" w:rsidRPr="00D518FF"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216EDBF6" w14:textId="36D1CCE4" w:rsidTr="005742D1">
        <w:trPr>
          <w:trHeight w:val="320"/>
        </w:trPr>
        <w:tc>
          <w:tcPr>
            <w:tcW w:w="702" w:type="dxa"/>
            <w:shd w:val="clear" w:color="auto" w:fill="auto"/>
            <w:noWrap/>
            <w:hideMark/>
          </w:tcPr>
          <w:p w14:paraId="5CA922F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Viswanathan 2020</w:t>
            </w:r>
          </w:p>
        </w:tc>
        <w:tc>
          <w:tcPr>
            <w:tcW w:w="567" w:type="dxa"/>
            <w:shd w:val="clear" w:color="auto" w:fill="auto"/>
            <w:noWrap/>
            <w:hideMark/>
          </w:tcPr>
          <w:p w14:paraId="5FAEEDC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w:t>
            </w:r>
          </w:p>
        </w:tc>
        <w:tc>
          <w:tcPr>
            <w:tcW w:w="992" w:type="dxa"/>
            <w:shd w:val="clear" w:color="auto" w:fill="auto"/>
            <w:noWrap/>
            <w:hideMark/>
          </w:tcPr>
          <w:p w14:paraId="54E44D19" w14:textId="09A48C02"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556E8A3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Children and adolescents (6 to 14 years) with a confirmed diagnosis of a depressive disorder (DD)—major depressive disorder (MDD), persistent depressive disorder (previously termed dysthymia) or DD not otherwise specified</w:t>
            </w:r>
          </w:p>
        </w:tc>
        <w:tc>
          <w:tcPr>
            <w:tcW w:w="992" w:type="dxa"/>
            <w:shd w:val="clear" w:color="auto" w:fill="auto"/>
            <w:noWrap/>
            <w:hideMark/>
          </w:tcPr>
          <w:p w14:paraId="0CB8C9BB" w14:textId="07CEF4BF"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281FC06F" w14:textId="7431D58D"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dose NR, 12-16 weeks</w:t>
            </w:r>
          </w:p>
        </w:tc>
        <w:tc>
          <w:tcPr>
            <w:tcW w:w="801" w:type="dxa"/>
            <w:shd w:val="clear" w:color="auto" w:fill="auto"/>
            <w:noWrap/>
            <w:hideMark/>
          </w:tcPr>
          <w:p w14:paraId="6526305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0518BD5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125712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20</w:t>
            </w:r>
          </w:p>
        </w:tc>
        <w:tc>
          <w:tcPr>
            <w:tcW w:w="1135" w:type="dxa"/>
            <w:shd w:val="clear" w:color="auto" w:fill="auto"/>
            <w:noWrap/>
            <w:hideMark/>
          </w:tcPr>
          <w:p w14:paraId="3471B86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Remission (loss of diagnosis)</w:t>
            </w:r>
          </w:p>
        </w:tc>
        <w:tc>
          <w:tcPr>
            <w:tcW w:w="1277" w:type="dxa"/>
            <w:shd w:val="clear" w:color="auto" w:fill="auto"/>
            <w:noWrap/>
            <w:hideMark/>
          </w:tcPr>
          <w:p w14:paraId="60746FF1" w14:textId="736953C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RR (more than 50% reduction in CDRS score) = 9.00 (0.55 to 147.96)</w:t>
            </w:r>
          </w:p>
        </w:tc>
        <w:tc>
          <w:tcPr>
            <w:tcW w:w="1277" w:type="dxa"/>
            <w:shd w:val="clear" w:color="auto" w:fill="auto"/>
            <w:noWrap/>
            <w:hideMark/>
          </w:tcPr>
          <w:p w14:paraId="6DF7591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4C0BF1E1" w14:textId="2DF7D6BB"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29AE1594" w14:textId="076BC25C" w:rsidR="00D136F8" w:rsidRPr="00D518FF"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0B148074" w14:textId="38EC18EE" w:rsidTr="005742D1">
        <w:trPr>
          <w:trHeight w:val="320"/>
        </w:trPr>
        <w:tc>
          <w:tcPr>
            <w:tcW w:w="702" w:type="dxa"/>
            <w:shd w:val="clear" w:color="auto" w:fill="auto"/>
            <w:noWrap/>
            <w:hideMark/>
          </w:tcPr>
          <w:p w14:paraId="34F9374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Viswanathan 2020</w:t>
            </w:r>
          </w:p>
        </w:tc>
        <w:tc>
          <w:tcPr>
            <w:tcW w:w="567" w:type="dxa"/>
            <w:shd w:val="clear" w:color="auto" w:fill="auto"/>
            <w:noWrap/>
            <w:hideMark/>
          </w:tcPr>
          <w:p w14:paraId="57CB2AA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2</w:t>
            </w:r>
          </w:p>
        </w:tc>
        <w:tc>
          <w:tcPr>
            <w:tcW w:w="992" w:type="dxa"/>
            <w:shd w:val="clear" w:color="auto" w:fill="auto"/>
            <w:noWrap/>
            <w:hideMark/>
          </w:tcPr>
          <w:p w14:paraId="28307D3F" w14:textId="089BD1CA"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6741AA4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Children and adolescents (6 to 14 years) with a confirmed diagnosis of a depressive disorder (DD)—major depressive disorder (MDD), persistent depressive disorder (previously termed dysthymia) or DD not otherwise specified</w:t>
            </w:r>
          </w:p>
        </w:tc>
        <w:tc>
          <w:tcPr>
            <w:tcW w:w="992" w:type="dxa"/>
            <w:shd w:val="clear" w:color="auto" w:fill="auto"/>
            <w:noWrap/>
            <w:hideMark/>
          </w:tcPr>
          <w:p w14:paraId="5D2E8889" w14:textId="1204393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5D38DDB0" w14:textId="2ABFFBF8"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dose NR, 12-16 weeks</w:t>
            </w:r>
          </w:p>
        </w:tc>
        <w:tc>
          <w:tcPr>
            <w:tcW w:w="801" w:type="dxa"/>
            <w:shd w:val="clear" w:color="auto" w:fill="auto"/>
            <w:noWrap/>
            <w:hideMark/>
          </w:tcPr>
          <w:p w14:paraId="699D94A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5D5DDF0E"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754301F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34</w:t>
            </w:r>
          </w:p>
        </w:tc>
        <w:tc>
          <w:tcPr>
            <w:tcW w:w="1135" w:type="dxa"/>
            <w:shd w:val="clear" w:color="auto" w:fill="auto"/>
            <w:noWrap/>
            <w:hideMark/>
          </w:tcPr>
          <w:p w14:paraId="26B021F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Remission (loss of diagnosis)</w:t>
            </w:r>
          </w:p>
        </w:tc>
        <w:tc>
          <w:tcPr>
            <w:tcW w:w="1277" w:type="dxa"/>
            <w:shd w:val="clear" w:color="auto" w:fill="auto"/>
            <w:noWrap/>
            <w:hideMark/>
          </w:tcPr>
          <w:p w14:paraId="527F4C7C" w14:textId="2B5BA9C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RR (CDRS score ≤ 28) = 0.79 (0.39 to 1.57)</w:t>
            </w:r>
          </w:p>
        </w:tc>
        <w:tc>
          <w:tcPr>
            <w:tcW w:w="1277" w:type="dxa"/>
            <w:shd w:val="clear" w:color="auto" w:fill="auto"/>
            <w:noWrap/>
            <w:hideMark/>
          </w:tcPr>
          <w:p w14:paraId="78A6118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2A171837" w14:textId="17F59A2E"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548544B1" w14:textId="15E5C083" w:rsidR="00D136F8" w:rsidRPr="00D518FF"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02202B10" w14:textId="54BDA7D0" w:rsidTr="005742D1">
        <w:trPr>
          <w:trHeight w:val="320"/>
        </w:trPr>
        <w:tc>
          <w:tcPr>
            <w:tcW w:w="702" w:type="dxa"/>
            <w:shd w:val="clear" w:color="auto" w:fill="auto"/>
            <w:noWrap/>
            <w:hideMark/>
          </w:tcPr>
          <w:p w14:paraId="2C908BF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lastRenderedPageBreak/>
              <w:t>Williams 2006</w:t>
            </w:r>
          </w:p>
        </w:tc>
        <w:tc>
          <w:tcPr>
            <w:tcW w:w="567" w:type="dxa"/>
            <w:shd w:val="clear" w:color="auto" w:fill="auto"/>
            <w:noWrap/>
            <w:hideMark/>
          </w:tcPr>
          <w:p w14:paraId="4055D0C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37365009" w14:textId="5CCBFA8A"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39A92D88"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Adults with bipolar disorder</w:t>
            </w:r>
          </w:p>
        </w:tc>
        <w:tc>
          <w:tcPr>
            <w:tcW w:w="992" w:type="dxa"/>
            <w:shd w:val="clear" w:color="auto" w:fill="auto"/>
            <w:noWrap/>
            <w:hideMark/>
          </w:tcPr>
          <w:p w14:paraId="2A448017" w14:textId="54117446"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 non-naturopathy co-intervention VS placebo/inactive control</w:t>
            </w:r>
          </w:p>
        </w:tc>
        <w:tc>
          <w:tcPr>
            <w:tcW w:w="1042" w:type="dxa"/>
            <w:shd w:val="clear" w:color="auto" w:fill="auto"/>
            <w:noWrap/>
            <w:hideMark/>
          </w:tcPr>
          <w:p w14:paraId="20F2C95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dose NR; duration 30 days</w:t>
            </w:r>
          </w:p>
        </w:tc>
        <w:tc>
          <w:tcPr>
            <w:tcW w:w="801" w:type="dxa"/>
            <w:shd w:val="clear" w:color="auto" w:fill="auto"/>
            <w:noWrap/>
            <w:hideMark/>
          </w:tcPr>
          <w:p w14:paraId="1D2330C1"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placebo</w:t>
            </w:r>
          </w:p>
        </w:tc>
        <w:tc>
          <w:tcPr>
            <w:tcW w:w="850" w:type="dxa"/>
            <w:shd w:val="clear" w:color="auto" w:fill="auto"/>
            <w:noWrap/>
            <w:hideMark/>
          </w:tcPr>
          <w:p w14:paraId="6A12124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25460D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14</w:t>
            </w:r>
          </w:p>
        </w:tc>
        <w:tc>
          <w:tcPr>
            <w:tcW w:w="1135" w:type="dxa"/>
            <w:shd w:val="clear" w:color="auto" w:fill="auto"/>
            <w:noWrap/>
            <w:hideMark/>
          </w:tcPr>
          <w:p w14:paraId="0A152980"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No formal measure - "duration of time to exit double-blind treatment</w:t>
            </w:r>
            <w:r w:rsidRPr="00D518FF">
              <w:rPr>
                <w:rFonts w:ascii="Aptos" w:hAnsi="Aptos" w:cs="Calibri"/>
                <w:color w:val="000000"/>
                <w:sz w:val="16"/>
                <w:szCs w:val="16"/>
              </w:rPr>
              <w:br/>
              <w:t>due to exacerbation of symptoms of bipolar disorder"</w:t>
            </w:r>
          </w:p>
        </w:tc>
        <w:tc>
          <w:tcPr>
            <w:tcW w:w="1277" w:type="dxa"/>
            <w:shd w:val="clear" w:color="auto" w:fill="auto"/>
            <w:noWrap/>
            <w:hideMark/>
          </w:tcPr>
          <w:p w14:paraId="718AB06D" w14:textId="768CDBA1"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Significantly longer period of remission than the placebo group (favourable)</w:t>
            </w:r>
          </w:p>
        </w:tc>
        <w:tc>
          <w:tcPr>
            <w:tcW w:w="1277" w:type="dxa"/>
            <w:shd w:val="clear" w:color="auto" w:fill="auto"/>
            <w:noWrap/>
            <w:hideMark/>
          </w:tcPr>
          <w:p w14:paraId="709F438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1FA9AE14" w14:textId="44288CCF"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ADBBDE4" w14:textId="649E1572" w:rsidR="00D136F8" w:rsidRPr="00D518FF" w:rsidRDefault="00D136F8" w:rsidP="00F614C8">
            <w:pPr>
              <w:rPr>
                <w:rFonts w:ascii="Aptos" w:hAnsi="Aptos" w:cs="Calibri"/>
                <w:color w:val="000000"/>
                <w:sz w:val="16"/>
                <w:szCs w:val="16"/>
              </w:rPr>
            </w:pPr>
            <w:r>
              <w:rPr>
                <w:rFonts w:ascii="Aptos" w:hAnsi="Aptos" w:cs="Calibri"/>
                <w:color w:val="000000"/>
                <w:sz w:val="16"/>
                <w:szCs w:val="16"/>
              </w:rPr>
              <w:t>High risk</w:t>
            </w:r>
          </w:p>
        </w:tc>
      </w:tr>
      <w:tr w:rsidR="00D136F8" w:rsidRPr="00D518FF" w14:paraId="4334E066" w14:textId="38D58A1C" w:rsidTr="005742D1">
        <w:trPr>
          <w:trHeight w:val="320"/>
        </w:trPr>
        <w:tc>
          <w:tcPr>
            <w:tcW w:w="702" w:type="dxa"/>
            <w:shd w:val="clear" w:color="auto" w:fill="auto"/>
            <w:noWrap/>
            <w:hideMark/>
          </w:tcPr>
          <w:p w14:paraId="2720A44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Xu 2023</w:t>
            </w:r>
          </w:p>
        </w:tc>
        <w:tc>
          <w:tcPr>
            <w:tcW w:w="567" w:type="dxa"/>
            <w:shd w:val="clear" w:color="auto" w:fill="auto"/>
            <w:noWrap/>
            <w:hideMark/>
          </w:tcPr>
          <w:p w14:paraId="2A4B4317"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2459872C" w14:textId="185756E7"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19A37735"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patients (over 18 years of age, with</w:t>
            </w:r>
            <w:r w:rsidRPr="00D518FF">
              <w:rPr>
                <w:rFonts w:ascii="Aptos" w:hAnsi="Aptos" w:cs="Calibri"/>
                <w:color w:val="000000"/>
                <w:sz w:val="16"/>
                <w:szCs w:val="16"/>
              </w:rPr>
              <w:br/>
              <w:t>no upper limit) were diagnosed with bipolar I disorder (BD-I), bipolar II</w:t>
            </w:r>
            <w:r w:rsidRPr="00D518FF">
              <w:rPr>
                <w:rFonts w:ascii="Aptos" w:hAnsi="Aptos" w:cs="Calibri"/>
                <w:color w:val="000000"/>
                <w:sz w:val="16"/>
                <w:szCs w:val="16"/>
              </w:rPr>
              <w:br/>
              <w:t>disorder (BD-II), or BD not otherwise specified according to the Diagnostic and Statistical Manual of Mental Disorders criteria (DSM-III, DSMIV, DSM-IV-TR, DSM-V) or International Classification of Diseases, 10th</w:t>
            </w:r>
            <w:r w:rsidRPr="00D518FF">
              <w:rPr>
                <w:rFonts w:ascii="Aptos" w:hAnsi="Aptos" w:cs="Calibri"/>
                <w:color w:val="000000"/>
                <w:sz w:val="16"/>
                <w:szCs w:val="16"/>
              </w:rPr>
              <w:br/>
              <w:t>Revision (ICD-10) in any phase of illness;</w:t>
            </w:r>
          </w:p>
        </w:tc>
        <w:tc>
          <w:tcPr>
            <w:tcW w:w="992" w:type="dxa"/>
            <w:shd w:val="clear" w:color="auto" w:fill="auto"/>
            <w:noWrap/>
            <w:hideMark/>
          </w:tcPr>
          <w:p w14:paraId="2F20E606"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042" w:type="dxa"/>
            <w:shd w:val="clear" w:color="auto" w:fill="auto"/>
            <w:noWrap/>
            <w:hideMark/>
          </w:tcPr>
          <w:p w14:paraId="1C254FB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801" w:type="dxa"/>
            <w:shd w:val="clear" w:color="auto" w:fill="auto"/>
            <w:noWrap/>
            <w:hideMark/>
          </w:tcPr>
          <w:p w14:paraId="5E710483"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850" w:type="dxa"/>
            <w:shd w:val="clear" w:color="auto" w:fill="auto"/>
            <w:noWrap/>
            <w:hideMark/>
          </w:tcPr>
          <w:p w14:paraId="30C7034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5</w:t>
            </w:r>
          </w:p>
        </w:tc>
        <w:tc>
          <w:tcPr>
            <w:tcW w:w="992" w:type="dxa"/>
            <w:shd w:val="clear" w:color="auto" w:fill="auto"/>
            <w:noWrap/>
            <w:hideMark/>
          </w:tcPr>
          <w:p w14:paraId="5DD5DE5C"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135" w:type="dxa"/>
            <w:shd w:val="clear" w:color="auto" w:fill="auto"/>
            <w:noWrap/>
            <w:hideMark/>
          </w:tcPr>
          <w:p w14:paraId="70C05D44"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NR</w:t>
            </w:r>
          </w:p>
        </w:tc>
        <w:tc>
          <w:tcPr>
            <w:tcW w:w="1277" w:type="dxa"/>
            <w:shd w:val="clear" w:color="auto" w:fill="auto"/>
            <w:noWrap/>
            <w:hideMark/>
          </w:tcPr>
          <w:p w14:paraId="42366CF4" w14:textId="14D2B35D"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 3 was not statistically superior to placebo.</w:t>
            </w:r>
          </w:p>
          <w:p w14:paraId="0EA7A0FB" w14:textId="77777777" w:rsidR="00D136F8" w:rsidRPr="00D518FF" w:rsidRDefault="00D136F8" w:rsidP="00F614C8">
            <w:pPr>
              <w:rPr>
                <w:rFonts w:ascii="Aptos" w:hAnsi="Aptos" w:cs="Calibri"/>
                <w:color w:val="000000"/>
                <w:sz w:val="16"/>
                <w:szCs w:val="16"/>
              </w:rPr>
            </w:pPr>
          </w:p>
          <w:p w14:paraId="39FE87EB" w14:textId="607F707D"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OR = </w:t>
            </w:r>
            <w:r w:rsidRPr="00D518FF">
              <w:rPr>
                <w:rFonts w:ascii="Aptos" w:hAnsi="Aptos"/>
                <w:sz w:val="16"/>
                <w:szCs w:val="16"/>
              </w:rPr>
              <w:t>–</w:t>
            </w:r>
            <w:r w:rsidRPr="00D518FF">
              <w:rPr>
                <w:rFonts w:ascii="Aptos" w:hAnsi="Aptos" w:cs="Calibri"/>
                <w:color w:val="000000"/>
                <w:sz w:val="16"/>
                <w:szCs w:val="16"/>
              </w:rPr>
              <w:t>0.43 (</w:t>
            </w:r>
            <w:r w:rsidRPr="00D518FF">
              <w:rPr>
                <w:rFonts w:ascii="Aptos" w:hAnsi="Aptos"/>
                <w:sz w:val="16"/>
                <w:szCs w:val="16"/>
              </w:rPr>
              <w:t>–0</w:t>
            </w:r>
            <w:r w:rsidRPr="00D518FF">
              <w:rPr>
                <w:rFonts w:ascii="Aptos" w:hAnsi="Aptos" w:cs="Calibri"/>
                <w:color w:val="000000"/>
                <w:sz w:val="16"/>
                <w:szCs w:val="16"/>
              </w:rPr>
              <w:t>.88 to 0.02) in NMA</w:t>
            </w:r>
          </w:p>
        </w:tc>
        <w:tc>
          <w:tcPr>
            <w:tcW w:w="1277" w:type="dxa"/>
            <w:shd w:val="clear" w:color="auto" w:fill="auto"/>
            <w:noWrap/>
            <w:hideMark/>
          </w:tcPr>
          <w:p w14:paraId="74B11CC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 xml:space="preserve"> - </w:t>
            </w:r>
          </w:p>
        </w:tc>
        <w:tc>
          <w:tcPr>
            <w:tcW w:w="1136" w:type="dxa"/>
          </w:tcPr>
          <w:p w14:paraId="417C0FA0" w14:textId="62AEC095"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73203234" w14:textId="7F678591" w:rsidR="00D136F8" w:rsidRPr="00D518FF" w:rsidRDefault="00D136F8" w:rsidP="00F614C8">
            <w:pPr>
              <w:rPr>
                <w:rFonts w:ascii="Aptos" w:hAnsi="Aptos" w:cs="Calibri"/>
                <w:color w:val="000000"/>
                <w:sz w:val="16"/>
                <w:szCs w:val="16"/>
              </w:rPr>
            </w:pPr>
            <w:r>
              <w:rPr>
                <w:rFonts w:ascii="Aptos" w:hAnsi="Aptos" w:cs="Calibri"/>
                <w:color w:val="000000"/>
                <w:sz w:val="16"/>
                <w:szCs w:val="16"/>
              </w:rPr>
              <w:t>Unclear risk</w:t>
            </w:r>
          </w:p>
        </w:tc>
      </w:tr>
      <w:tr w:rsidR="00D136F8" w:rsidRPr="00D518FF" w14:paraId="4256B012" w14:textId="78CD9297" w:rsidTr="005742D1">
        <w:trPr>
          <w:trHeight w:val="320"/>
        </w:trPr>
        <w:tc>
          <w:tcPr>
            <w:tcW w:w="702" w:type="dxa"/>
            <w:shd w:val="clear" w:color="auto" w:fill="auto"/>
            <w:noWrap/>
            <w:hideMark/>
          </w:tcPr>
          <w:p w14:paraId="348B44E9"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Zhang 2020</w:t>
            </w:r>
          </w:p>
        </w:tc>
        <w:tc>
          <w:tcPr>
            <w:tcW w:w="567" w:type="dxa"/>
            <w:shd w:val="clear" w:color="auto" w:fill="auto"/>
            <w:noWrap/>
            <w:hideMark/>
          </w:tcPr>
          <w:p w14:paraId="5DDF6D8B"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1</w:t>
            </w:r>
          </w:p>
        </w:tc>
        <w:tc>
          <w:tcPr>
            <w:tcW w:w="992" w:type="dxa"/>
            <w:shd w:val="clear" w:color="auto" w:fill="auto"/>
            <w:noWrap/>
            <w:hideMark/>
          </w:tcPr>
          <w:p w14:paraId="5F7A5199" w14:textId="542A655C" w:rsidR="00D136F8" w:rsidRPr="00D518FF" w:rsidRDefault="00D136F8" w:rsidP="00F614C8">
            <w:pPr>
              <w:rPr>
                <w:rFonts w:ascii="Aptos" w:hAnsi="Aptos" w:cs="Calibri"/>
                <w:color w:val="000000"/>
                <w:sz w:val="16"/>
                <w:szCs w:val="16"/>
              </w:rPr>
            </w:pPr>
            <w:r w:rsidRPr="00D518FF">
              <w:rPr>
                <w:rFonts w:ascii="Aptos" w:hAnsi="Aptos"/>
                <w:sz w:val="16"/>
                <w:szCs w:val="16"/>
              </w:rPr>
              <w:t>With condition</w:t>
            </w:r>
          </w:p>
        </w:tc>
        <w:tc>
          <w:tcPr>
            <w:tcW w:w="1560" w:type="dxa"/>
            <w:shd w:val="clear" w:color="auto" w:fill="auto"/>
            <w:noWrap/>
            <w:hideMark/>
          </w:tcPr>
          <w:p w14:paraId="72994E32" w14:textId="7D0E01D0"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Pregnant or postnatal women with DSM diagnosis of MDD or score above cut-off for a validated depression rating instrument</w:t>
            </w:r>
          </w:p>
        </w:tc>
        <w:tc>
          <w:tcPr>
            <w:tcW w:w="992" w:type="dxa"/>
            <w:shd w:val="clear" w:color="auto" w:fill="auto"/>
            <w:noWrap/>
            <w:hideMark/>
          </w:tcPr>
          <w:p w14:paraId="7E59B86A" w14:textId="21189F19"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Eligible supplement Vs placebo/inactive control</w:t>
            </w:r>
          </w:p>
        </w:tc>
        <w:tc>
          <w:tcPr>
            <w:tcW w:w="1042" w:type="dxa"/>
            <w:shd w:val="clear" w:color="auto" w:fill="auto"/>
            <w:noWrap/>
            <w:hideMark/>
          </w:tcPr>
          <w:p w14:paraId="5304BC0F"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Omega-3 - various doses (1-6g/d) and durations (4 to 14 weeks)</w:t>
            </w:r>
          </w:p>
        </w:tc>
        <w:tc>
          <w:tcPr>
            <w:tcW w:w="801" w:type="dxa"/>
            <w:shd w:val="clear" w:color="auto" w:fill="auto"/>
            <w:noWrap/>
            <w:hideMark/>
          </w:tcPr>
          <w:p w14:paraId="77AF6788" w14:textId="42C2B056" w:rsidR="00D136F8" w:rsidRPr="00D518FF" w:rsidRDefault="00D136F8" w:rsidP="00F614C8">
            <w:pPr>
              <w:rPr>
                <w:rFonts w:ascii="Aptos" w:hAnsi="Aptos" w:cs="Calibri"/>
                <w:color w:val="000000"/>
                <w:sz w:val="16"/>
                <w:szCs w:val="16"/>
              </w:rPr>
            </w:pPr>
            <w:r w:rsidRPr="00D518FF">
              <w:rPr>
                <w:rFonts w:ascii="Aptos" w:hAnsi="Aptos"/>
                <w:color w:val="000000"/>
                <w:sz w:val="16"/>
              </w:rPr>
              <w:t>P</w:t>
            </w:r>
            <w:r w:rsidRPr="00D518FF">
              <w:rPr>
                <w:rFonts w:ascii="Aptos" w:hAnsi="Aptos"/>
                <w:sz w:val="16"/>
              </w:rPr>
              <w:t>lacebo</w:t>
            </w:r>
          </w:p>
        </w:tc>
        <w:tc>
          <w:tcPr>
            <w:tcW w:w="850" w:type="dxa"/>
            <w:shd w:val="clear" w:color="auto" w:fill="auto"/>
            <w:noWrap/>
            <w:hideMark/>
          </w:tcPr>
          <w:p w14:paraId="1F23D5AD"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8</w:t>
            </w:r>
          </w:p>
        </w:tc>
        <w:tc>
          <w:tcPr>
            <w:tcW w:w="992" w:type="dxa"/>
            <w:shd w:val="clear" w:color="auto" w:fill="auto"/>
            <w:noWrap/>
            <w:hideMark/>
          </w:tcPr>
          <w:p w14:paraId="3CC91EB2" w14:textId="77777777"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638</w:t>
            </w:r>
          </w:p>
        </w:tc>
        <w:tc>
          <w:tcPr>
            <w:tcW w:w="1135" w:type="dxa"/>
            <w:shd w:val="clear" w:color="auto" w:fill="auto"/>
            <w:noWrap/>
            <w:hideMark/>
          </w:tcPr>
          <w:p w14:paraId="0AAB6C22" w14:textId="41F3AEA8"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 between treatment and placebo between baseline and endpoint using a validated scale i.e., HDRS, CDRS or IDS</w:t>
            </w:r>
          </w:p>
        </w:tc>
        <w:tc>
          <w:tcPr>
            <w:tcW w:w="1277" w:type="dxa"/>
            <w:shd w:val="clear" w:color="auto" w:fill="auto"/>
            <w:noWrap/>
            <w:hideMark/>
          </w:tcPr>
          <w:p w14:paraId="6220911B" w14:textId="3339BA98"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SMD</w:t>
            </w:r>
            <w:r w:rsidRPr="00D518FF">
              <w:rPr>
                <w:rFonts w:ascii="Arial" w:hAnsi="Arial" w:cs="Arial"/>
                <w:color w:val="000000"/>
                <w:sz w:val="16"/>
                <w:szCs w:val="16"/>
              </w:rPr>
              <w:t> </w:t>
            </w:r>
            <w:r w:rsidRPr="00D518FF">
              <w:rPr>
                <w:rFonts w:ascii="Aptos" w:hAnsi="Aptos" w:cs="Calibri"/>
                <w:color w:val="000000"/>
                <w:sz w:val="16"/>
                <w:szCs w:val="16"/>
              </w:rPr>
              <w:t>=</w:t>
            </w:r>
            <w:r w:rsidRPr="00D518FF">
              <w:rPr>
                <w:rFonts w:ascii="Arial" w:hAnsi="Arial" w:cs="Arial"/>
                <w:color w:val="000000"/>
                <w:sz w:val="16"/>
                <w:szCs w:val="16"/>
              </w:rPr>
              <w:t> </w:t>
            </w:r>
            <w:r w:rsidRPr="00D518FF">
              <w:rPr>
                <w:rFonts w:ascii="Aptos" w:hAnsi="Aptos" w:cs="Calibri"/>
                <w:color w:val="000000"/>
                <w:sz w:val="16"/>
                <w:szCs w:val="16"/>
              </w:rPr>
              <w:t>0.65 (0.10 to 1.20), P</w:t>
            </w:r>
            <w:r w:rsidRPr="00D518FF">
              <w:rPr>
                <w:rFonts w:ascii="Arial" w:hAnsi="Arial" w:cs="Arial"/>
                <w:color w:val="000000"/>
                <w:sz w:val="16"/>
                <w:szCs w:val="16"/>
              </w:rPr>
              <w:t> </w:t>
            </w:r>
            <w:r w:rsidRPr="00D518FF">
              <w:rPr>
                <w:rFonts w:ascii="Aptos" w:hAnsi="Aptos" w:cs="Calibri"/>
                <w:color w:val="000000"/>
                <w:sz w:val="16"/>
                <w:szCs w:val="16"/>
              </w:rPr>
              <w:t>=</w:t>
            </w:r>
            <w:r w:rsidRPr="00D518FF">
              <w:rPr>
                <w:rFonts w:ascii="Arial" w:hAnsi="Arial" w:cs="Arial"/>
                <w:color w:val="000000"/>
                <w:sz w:val="16"/>
                <w:szCs w:val="16"/>
              </w:rPr>
              <w:t> </w:t>
            </w:r>
            <w:r w:rsidRPr="00D518FF">
              <w:rPr>
                <w:rFonts w:ascii="Aptos" w:hAnsi="Aptos" w:cs="Calibri"/>
                <w:color w:val="000000"/>
                <w:sz w:val="16"/>
                <w:szCs w:val="16"/>
              </w:rPr>
              <w:t>0.02</w:t>
            </w:r>
          </w:p>
        </w:tc>
        <w:tc>
          <w:tcPr>
            <w:tcW w:w="1277" w:type="dxa"/>
            <w:shd w:val="clear" w:color="auto" w:fill="auto"/>
            <w:noWrap/>
            <w:hideMark/>
          </w:tcPr>
          <w:p w14:paraId="166B962C" w14:textId="7F8D120E" w:rsidR="00D136F8" w:rsidRPr="00D518FF" w:rsidRDefault="00D136F8" w:rsidP="00F614C8">
            <w:pPr>
              <w:rPr>
                <w:rFonts w:ascii="Aptos" w:hAnsi="Aptos" w:cs="Calibri"/>
                <w:color w:val="000000"/>
                <w:sz w:val="16"/>
                <w:szCs w:val="16"/>
              </w:rPr>
            </w:pPr>
            <w:r w:rsidRPr="00D518FF">
              <w:rPr>
                <w:rFonts w:ascii="Aptos" w:hAnsi="Aptos" w:cs="Calibri"/>
                <w:color w:val="000000"/>
                <w:sz w:val="16"/>
                <w:szCs w:val="16"/>
              </w:rPr>
              <w:t>High heterogeneity T2=0.56 Ch</w:t>
            </w:r>
            <w:r>
              <w:rPr>
                <w:rFonts w:ascii="Aptos" w:hAnsi="Aptos" w:cs="Calibri"/>
                <w:color w:val="000000"/>
                <w:sz w:val="16"/>
                <w:szCs w:val="16"/>
              </w:rPr>
              <w:t xml:space="preserve">I² </w:t>
            </w:r>
            <w:r w:rsidRPr="00D518FF">
              <w:rPr>
                <w:rFonts w:ascii="Aptos" w:hAnsi="Aptos" w:cs="Calibri"/>
                <w:color w:val="000000"/>
                <w:sz w:val="16"/>
                <w:szCs w:val="16"/>
              </w:rPr>
              <w:t xml:space="preserve">=74.24, df=7, p&lt;0.001, </w:t>
            </w:r>
            <w:r>
              <w:rPr>
                <w:rFonts w:ascii="Aptos" w:hAnsi="Aptos" w:cs="Calibri"/>
                <w:color w:val="000000"/>
                <w:sz w:val="16"/>
                <w:szCs w:val="16"/>
              </w:rPr>
              <w:t xml:space="preserve">I² </w:t>
            </w:r>
            <w:r w:rsidRPr="00D518FF">
              <w:rPr>
                <w:rFonts w:ascii="Aptos" w:hAnsi="Aptos" w:cs="Calibri"/>
                <w:color w:val="000000"/>
                <w:sz w:val="16"/>
                <w:szCs w:val="16"/>
              </w:rPr>
              <w:t>=91%</w:t>
            </w:r>
          </w:p>
        </w:tc>
        <w:tc>
          <w:tcPr>
            <w:tcW w:w="1136" w:type="dxa"/>
          </w:tcPr>
          <w:p w14:paraId="52B7E90A" w14:textId="651EF6BC" w:rsidR="00D136F8" w:rsidRDefault="00D136F8" w:rsidP="00F614C8">
            <w:pPr>
              <w:rPr>
                <w:rFonts w:ascii="Aptos" w:hAnsi="Aptos" w:cs="Calibri"/>
                <w:color w:val="000000"/>
                <w:sz w:val="16"/>
                <w:szCs w:val="16"/>
              </w:rPr>
            </w:pPr>
            <w:r>
              <w:rPr>
                <w:rFonts w:ascii="Aptos" w:hAnsi="Aptos" w:cs="Calibri"/>
                <w:color w:val="000000"/>
                <w:sz w:val="16"/>
                <w:szCs w:val="16"/>
              </w:rPr>
              <w:t>NA</w:t>
            </w:r>
          </w:p>
        </w:tc>
        <w:tc>
          <w:tcPr>
            <w:tcW w:w="1135" w:type="dxa"/>
          </w:tcPr>
          <w:p w14:paraId="017DAC56" w14:textId="70825305" w:rsidR="00D136F8" w:rsidRPr="00D518FF" w:rsidDel="006B5D0D" w:rsidRDefault="00D136F8" w:rsidP="00F614C8">
            <w:pPr>
              <w:rPr>
                <w:rFonts w:ascii="Aptos" w:hAnsi="Aptos" w:cs="Calibri"/>
                <w:color w:val="000000"/>
                <w:sz w:val="16"/>
                <w:szCs w:val="16"/>
              </w:rPr>
            </w:pPr>
            <w:r>
              <w:rPr>
                <w:rFonts w:ascii="Aptos" w:hAnsi="Aptos" w:cs="Calibri"/>
                <w:color w:val="000000"/>
                <w:sz w:val="16"/>
                <w:szCs w:val="16"/>
              </w:rPr>
              <w:t>Low risk</w:t>
            </w:r>
          </w:p>
        </w:tc>
      </w:tr>
    </w:tbl>
    <w:p w14:paraId="12D301FA" w14:textId="091EC7EA" w:rsidR="005742D1" w:rsidRPr="00D518FF" w:rsidRDefault="005742D1" w:rsidP="005742D1">
      <w:pPr>
        <w:pStyle w:val="Caption1"/>
        <w:spacing w:before="0" w:after="0"/>
        <w:rPr>
          <w:rFonts w:ascii="Aptos" w:hAnsi="Aptos"/>
          <w:b w:val="0"/>
          <w:bCs w:val="0"/>
          <w:sz w:val="16"/>
          <w:szCs w:val="16"/>
        </w:rPr>
      </w:pPr>
      <w:r>
        <w:rPr>
          <w:rFonts w:ascii="Aptos" w:hAnsi="Aptos"/>
          <w:b w:val="0"/>
          <w:bCs w:val="0"/>
          <w:sz w:val="16"/>
          <w:szCs w:val="16"/>
        </w:rPr>
        <w:t>Abbreviations: BDI=Beck Depression Index; CES-D=</w:t>
      </w:r>
      <w:r w:rsidRPr="00720332">
        <w:rPr>
          <w:rFonts w:ascii="Aptos" w:hAnsi="Aptos"/>
          <w:b w:val="0"/>
          <w:bCs w:val="0"/>
          <w:sz w:val="16"/>
          <w:szCs w:val="16"/>
        </w:rPr>
        <w:t xml:space="preserve">Center for Epidemiological Studies Depression </w:t>
      </w:r>
      <w:r>
        <w:rPr>
          <w:rFonts w:ascii="Aptos" w:hAnsi="Aptos"/>
          <w:b w:val="0"/>
          <w:bCs w:val="0"/>
          <w:sz w:val="16"/>
          <w:szCs w:val="16"/>
        </w:rPr>
        <w:t>Scale; CGI=</w:t>
      </w:r>
      <w:r w:rsidRPr="00E9766B">
        <w:rPr>
          <w:rFonts w:ascii="Aptos" w:hAnsi="Aptos"/>
          <w:b w:val="0"/>
          <w:bCs w:val="0"/>
          <w:sz w:val="16"/>
          <w:szCs w:val="16"/>
        </w:rPr>
        <w:t>Clinical Global Impressions Scale</w:t>
      </w:r>
      <w:r>
        <w:rPr>
          <w:rFonts w:ascii="Aptos" w:hAnsi="Aptos"/>
          <w:b w:val="0"/>
          <w:bCs w:val="0"/>
          <w:sz w:val="16"/>
          <w:szCs w:val="16"/>
        </w:rPr>
        <w:t>; DHA=</w:t>
      </w:r>
      <w:r w:rsidRPr="00A33D93">
        <w:rPr>
          <w:rFonts w:ascii="Aptos" w:hAnsi="Aptos"/>
          <w:b w:val="0"/>
          <w:bCs w:val="0"/>
          <w:sz w:val="16"/>
          <w:szCs w:val="16"/>
        </w:rPr>
        <w:t>Docosahexaenoic acid</w:t>
      </w:r>
      <w:r>
        <w:rPr>
          <w:rFonts w:ascii="Aptos" w:hAnsi="Aptos"/>
          <w:b w:val="0"/>
          <w:bCs w:val="0"/>
          <w:sz w:val="16"/>
          <w:szCs w:val="16"/>
        </w:rPr>
        <w:t>; EPA=</w:t>
      </w:r>
      <w:r w:rsidRPr="00A33D93">
        <w:rPr>
          <w:rFonts w:ascii="Aptos" w:hAnsi="Aptos"/>
          <w:b w:val="0"/>
          <w:bCs w:val="0"/>
          <w:sz w:val="16"/>
          <w:szCs w:val="16"/>
        </w:rPr>
        <w:t>eicosapentaenoic acid</w:t>
      </w:r>
      <w:r>
        <w:rPr>
          <w:rFonts w:ascii="Aptos" w:hAnsi="Aptos"/>
          <w:b w:val="0"/>
          <w:bCs w:val="0"/>
          <w:sz w:val="16"/>
          <w:szCs w:val="16"/>
        </w:rPr>
        <w:t>; EPDS=</w:t>
      </w:r>
      <w:r w:rsidRPr="00720332">
        <w:rPr>
          <w:rFonts w:ascii="Aptos" w:hAnsi="Aptos"/>
          <w:b w:val="0"/>
          <w:bCs w:val="0"/>
          <w:sz w:val="16"/>
          <w:szCs w:val="16"/>
        </w:rPr>
        <w:t>Edinburgh Postnatal Depression Scale</w:t>
      </w:r>
      <w:r>
        <w:rPr>
          <w:rFonts w:ascii="Aptos" w:hAnsi="Aptos"/>
          <w:b w:val="0"/>
          <w:bCs w:val="0"/>
          <w:sz w:val="16"/>
          <w:szCs w:val="16"/>
        </w:rPr>
        <w:t>; CDRS-R=</w:t>
      </w:r>
      <w:r w:rsidRPr="004C2999">
        <w:rPr>
          <w:rFonts w:ascii="Aptos" w:hAnsi="Aptos"/>
          <w:b w:val="0"/>
          <w:bCs w:val="0"/>
          <w:sz w:val="16"/>
          <w:szCs w:val="16"/>
        </w:rPr>
        <w:t>Children's Depression Rating Scale</w:t>
      </w:r>
      <w:r>
        <w:rPr>
          <w:rFonts w:ascii="Aptos" w:hAnsi="Aptos"/>
          <w:b w:val="0"/>
          <w:bCs w:val="0"/>
          <w:sz w:val="16"/>
          <w:szCs w:val="16"/>
        </w:rPr>
        <w:t>—</w:t>
      </w:r>
      <w:r w:rsidRPr="004C2999">
        <w:rPr>
          <w:rFonts w:ascii="Aptos" w:hAnsi="Aptos"/>
          <w:b w:val="0"/>
          <w:bCs w:val="0"/>
          <w:sz w:val="16"/>
          <w:szCs w:val="16"/>
        </w:rPr>
        <w:t>Revised</w:t>
      </w:r>
      <w:r>
        <w:rPr>
          <w:rFonts w:ascii="Aptos" w:hAnsi="Aptos"/>
          <w:b w:val="0"/>
          <w:bCs w:val="0"/>
          <w:sz w:val="16"/>
          <w:szCs w:val="16"/>
        </w:rPr>
        <w:t xml:space="preserve">; </w:t>
      </w:r>
      <w:r w:rsidRPr="00D518FF">
        <w:rPr>
          <w:rFonts w:ascii="Aptos" w:hAnsi="Aptos"/>
          <w:b w:val="0"/>
          <w:bCs w:val="0"/>
          <w:sz w:val="16"/>
          <w:szCs w:val="16"/>
        </w:rPr>
        <w:t>DSM=Diagnostic and Statistical Manual of Mental Disorders;</w:t>
      </w:r>
      <w:r w:rsidR="00A32865">
        <w:rPr>
          <w:rFonts w:ascii="Aptos" w:hAnsi="Aptos"/>
          <w:b w:val="0"/>
          <w:bCs w:val="0"/>
          <w:sz w:val="16"/>
          <w:szCs w:val="16"/>
        </w:rPr>
        <w:t xml:space="preserve"> GDI=</w:t>
      </w:r>
      <w:r w:rsidR="00A32865" w:rsidRPr="00A32865">
        <w:rPr>
          <w:rFonts w:ascii="Aptos" w:hAnsi="Aptos"/>
          <w:b w:val="0"/>
          <w:bCs w:val="0"/>
          <w:sz w:val="16"/>
          <w:szCs w:val="16"/>
        </w:rPr>
        <w:t>Geriatric Depression Inventor</w:t>
      </w:r>
      <w:r w:rsidR="00A32865">
        <w:rPr>
          <w:rFonts w:ascii="Aptos" w:hAnsi="Aptos"/>
          <w:b w:val="0"/>
          <w:bCs w:val="0"/>
          <w:sz w:val="16"/>
          <w:szCs w:val="16"/>
        </w:rPr>
        <w:t>y;</w:t>
      </w:r>
      <w:r>
        <w:rPr>
          <w:rFonts w:ascii="Aptos" w:hAnsi="Aptos"/>
          <w:b w:val="0"/>
          <w:bCs w:val="0"/>
          <w:sz w:val="16"/>
          <w:szCs w:val="16"/>
        </w:rPr>
        <w:t xml:space="preserve"> HAMD, HDRS=</w:t>
      </w:r>
      <w:r w:rsidRPr="00B3133C">
        <w:rPr>
          <w:rFonts w:ascii="Aptos" w:hAnsi="Aptos"/>
          <w:b w:val="0"/>
          <w:bCs w:val="0"/>
          <w:sz w:val="16"/>
          <w:szCs w:val="16"/>
        </w:rPr>
        <w:t>Hamilton Depression Rating Scale</w:t>
      </w:r>
      <w:r>
        <w:rPr>
          <w:rFonts w:ascii="Aptos" w:hAnsi="Aptos"/>
          <w:b w:val="0"/>
          <w:bCs w:val="0"/>
          <w:sz w:val="16"/>
          <w:szCs w:val="16"/>
        </w:rPr>
        <w:t>;</w:t>
      </w:r>
      <w:r w:rsidRPr="00B3133C">
        <w:rPr>
          <w:rFonts w:ascii="Aptos" w:hAnsi="Aptos"/>
          <w:b w:val="0"/>
          <w:bCs w:val="0"/>
          <w:sz w:val="16"/>
          <w:szCs w:val="16"/>
        </w:rPr>
        <w:t xml:space="preserve"> </w:t>
      </w:r>
      <w:r w:rsidR="007E1810">
        <w:rPr>
          <w:rFonts w:ascii="Aptos" w:hAnsi="Aptos"/>
          <w:b w:val="0"/>
          <w:bCs w:val="0"/>
          <w:sz w:val="16"/>
          <w:szCs w:val="16"/>
        </w:rPr>
        <w:t>IDS=</w:t>
      </w:r>
      <w:r w:rsidR="007E1810" w:rsidRPr="007E1810">
        <w:rPr>
          <w:rFonts w:ascii="Aptos" w:hAnsi="Aptos"/>
          <w:b w:val="0"/>
          <w:bCs w:val="0"/>
          <w:sz w:val="16"/>
          <w:szCs w:val="16"/>
        </w:rPr>
        <w:t>Inventory for Depressive Symptomatology</w:t>
      </w:r>
      <w:r w:rsidR="007E1810">
        <w:rPr>
          <w:rFonts w:ascii="Aptos" w:hAnsi="Aptos"/>
          <w:b w:val="0"/>
          <w:bCs w:val="0"/>
          <w:sz w:val="16"/>
          <w:szCs w:val="16"/>
        </w:rPr>
        <w:t xml:space="preserve">; </w:t>
      </w:r>
      <w:r w:rsidR="003844E0">
        <w:rPr>
          <w:rFonts w:ascii="Aptos" w:hAnsi="Aptos"/>
          <w:b w:val="0"/>
          <w:bCs w:val="0"/>
          <w:sz w:val="16"/>
          <w:szCs w:val="16"/>
        </w:rPr>
        <w:t>IDS-CR=</w:t>
      </w:r>
      <w:r w:rsidR="003844E0" w:rsidRPr="007E1810">
        <w:rPr>
          <w:rFonts w:ascii="Aptos" w:hAnsi="Aptos"/>
          <w:b w:val="0"/>
          <w:bCs w:val="0"/>
          <w:sz w:val="16"/>
          <w:szCs w:val="16"/>
        </w:rPr>
        <w:t>Inventory for Depressive Symptomatology</w:t>
      </w:r>
      <w:r w:rsidR="003844E0">
        <w:rPr>
          <w:rFonts w:ascii="Aptos" w:hAnsi="Aptos"/>
          <w:b w:val="0"/>
          <w:bCs w:val="0"/>
          <w:sz w:val="16"/>
          <w:szCs w:val="16"/>
        </w:rPr>
        <w:t xml:space="preserve"> – Clinician Reported; </w:t>
      </w:r>
      <w:r>
        <w:rPr>
          <w:rFonts w:ascii="Aptos" w:hAnsi="Aptos"/>
          <w:b w:val="0"/>
          <w:bCs w:val="0"/>
          <w:sz w:val="16"/>
          <w:szCs w:val="16"/>
        </w:rPr>
        <w:t>MADRS</w:t>
      </w:r>
      <w:r w:rsidR="00A32865">
        <w:rPr>
          <w:rFonts w:ascii="Aptos" w:hAnsi="Aptos"/>
          <w:b w:val="0"/>
          <w:bCs w:val="0"/>
          <w:sz w:val="16"/>
          <w:szCs w:val="16"/>
        </w:rPr>
        <w:t>, MADRAS</w:t>
      </w:r>
      <w:r>
        <w:rPr>
          <w:rFonts w:ascii="Aptos" w:hAnsi="Aptos"/>
          <w:b w:val="0"/>
          <w:bCs w:val="0"/>
          <w:sz w:val="16"/>
          <w:szCs w:val="16"/>
        </w:rPr>
        <w:t>=</w:t>
      </w:r>
      <w:r w:rsidRPr="005742D1">
        <w:rPr>
          <w:rFonts w:ascii="Aptos" w:hAnsi="Aptos"/>
          <w:b w:val="0"/>
          <w:bCs w:val="0"/>
          <w:sz w:val="16"/>
          <w:szCs w:val="16"/>
        </w:rPr>
        <w:t xml:space="preserve">Montgomery–Åsberg </w:t>
      </w:r>
      <w:r w:rsidRPr="005742D1">
        <w:rPr>
          <w:rFonts w:ascii="Aptos" w:hAnsi="Aptos"/>
          <w:b w:val="0"/>
          <w:bCs w:val="0"/>
          <w:sz w:val="16"/>
          <w:szCs w:val="16"/>
        </w:rPr>
        <w:lastRenderedPageBreak/>
        <w:t>Depression Rating Scale</w:t>
      </w:r>
      <w:r>
        <w:rPr>
          <w:rFonts w:ascii="Aptos" w:hAnsi="Aptos"/>
          <w:b w:val="0"/>
          <w:bCs w:val="0"/>
          <w:sz w:val="16"/>
          <w:szCs w:val="16"/>
        </w:rPr>
        <w:t>; MDD=major depressive disorder;</w:t>
      </w:r>
      <w:r w:rsidRPr="00D518FF">
        <w:rPr>
          <w:rFonts w:ascii="Aptos" w:hAnsi="Aptos"/>
          <w:b w:val="0"/>
          <w:bCs w:val="0"/>
          <w:sz w:val="16"/>
          <w:szCs w:val="16"/>
        </w:rPr>
        <w:t xml:space="preserve"> </w:t>
      </w:r>
      <w:r>
        <w:rPr>
          <w:rFonts w:ascii="Aptos" w:hAnsi="Aptos"/>
          <w:b w:val="0"/>
          <w:bCs w:val="0"/>
          <w:sz w:val="16"/>
          <w:szCs w:val="16"/>
        </w:rPr>
        <w:t>MINI=</w:t>
      </w:r>
      <w:r w:rsidRPr="00B3133C">
        <w:rPr>
          <w:rFonts w:ascii="Aptos" w:hAnsi="Aptos"/>
          <w:b w:val="0"/>
          <w:bCs w:val="0"/>
          <w:sz w:val="16"/>
          <w:szCs w:val="16"/>
        </w:rPr>
        <w:t>Mini-International Neuropsychiatric Interview</w:t>
      </w:r>
      <w:r>
        <w:rPr>
          <w:rFonts w:ascii="Aptos" w:hAnsi="Aptos"/>
          <w:b w:val="0"/>
          <w:bCs w:val="0"/>
          <w:sz w:val="16"/>
          <w:szCs w:val="16"/>
        </w:rPr>
        <w:t xml:space="preserve">; NA=Not applicable; </w:t>
      </w:r>
      <w:r w:rsidR="003844E0">
        <w:rPr>
          <w:rFonts w:ascii="Aptos" w:hAnsi="Aptos"/>
          <w:b w:val="0"/>
          <w:bCs w:val="0"/>
          <w:sz w:val="16"/>
          <w:szCs w:val="16"/>
        </w:rPr>
        <w:t xml:space="preserve">NMA=network meta-analysis; </w:t>
      </w:r>
      <w:r>
        <w:rPr>
          <w:rFonts w:ascii="Aptos" w:hAnsi="Aptos"/>
          <w:b w:val="0"/>
          <w:bCs w:val="0"/>
          <w:sz w:val="16"/>
          <w:szCs w:val="16"/>
        </w:rPr>
        <w:t>NR=Not reported; PDSS=</w:t>
      </w:r>
      <w:r w:rsidRPr="00E9766B">
        <w:rPr>
          <w:rFonts w:ascii="Aptos" w:hAnsi="Aptos"/>
          <w:b w:val="0"/>
          <w:bCs w:val="0"/>
          <w:sz w:val="16"/>
          <w:szCs w:val="16"/>
        </w:rPr>
        <w:t>Postpartum Depression Screening Scale</w:t>
      </w:r>
      <w:r>
        <w:rPr>
          <w:rFonts w:ascii="Aptos" w:hAnsi="Aptos"/>
          <w:b w:val="0"/>
          <w:bCs w:val="0"/>
          <w:sz w:val="16"/>
          <w:szCs w:val="16"/>
        </w:rPr>
        <w:t xml:space="preserve">; OR=Odds ratio; QoL=Quality of life; </w:t>
      </w:r>
      <w:r w:rsidR="003844E0">
        <w:rPr>
          <w:rFonts w:ascii="Aptos" w:hAnsi="Aptos"/>
          <w:b w:val="0"/>
          <w:bCs w:val="0"/>
          <w:sz w:val="16"/>
          <w:szCs w:val="16"/>
        </w:rPr>
        <w:t xml:space="preserve">RCT=randomised controlled trial; RR=relative risk; </w:t>
      </w:r>
      <w:r>
        <w:rPr>
          <w:rFonts w:ascii="Aptos" w:hAnsi="Aptos"/>
          <w:b w:val="0"/>
          <w:bCs w:val="0"/>
          <w:sz w:val="16"/>
          <w:szCs w:val="16"/>
        </w:rPr>
        <w:t>SD=standard deviation; SMD=standardised mean difference</w:t>
      </w:r>
    </w:p>
    <w:p w14:paraId="5D46AAA4" w14:textId="77777777" w:rsidR="009E4D3F" w:rsidRPr="00D518FF" w:rsidRDefault="009E4D3F" w:rsidP="00AA72BD">
      <w:pPr>
        <w:pStyle w:val="Caption1"/>
        <w:spacing w:before="0" w:after="0"/>
        <w:rPr>
          <w:rFonts w:ascii="Aptos" w:hAnsi="Aptos"/>
          <w:b w:val="0"/>
          <w:bCs w:val="0"/>
          <w:sz w:val="16"/>
          <w:szCs w:val="16"/>
        </w:rPr>
      </w:pPr>
    </w:p>
    <w:p w14:paraId="7B0D3AA7"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45901A25" w14:textId="77777777" w:rsidR="009E4D3F" w:rsidRPr="00D518FF" w:rsidRDefault="009E4D3F" w:rsidP="003844E0">
      <w:pPr>
        <w:pStyle w:val="ListParagraph"/>
        <w:numPr>
          <w:ilvl w:val="0"/>
          <w:numId w:val="6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Depression-related emotional functioning/mental health burden</w:t>
      </w:r>
    </w:p>
    <w:p w14:paraId="4447D27C" w14:textId="77777777" w:rsidR="009E4D3F" w:rsidRPr="00D518FF" w:rsidRDefault="009E4D3F" w:rsidP="003844E0">
      <w:pPr>
        <w:pStyle w:val="ListParagraph"/>
        <w:numPr>
          <w:ilvl w:val="0"/>
          <w:numId w:val="6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Improvement in clinical levels of depression (including post-natal depression)</w:t>
      </w:r>
    </w:p>
    <w:p w14:paraId="1262BF1C" w14:textId="77777777" w:rsidR="009E4D3F" w:rsidRPr="00D518FF" w:rsidRDefault="009E4D3F" w:rsidP="003844E0">
      <w:pPr>
        <w:pStyle w:val="ListParagraph"/>
        <w:numPr>
          <w:ilvl w:val="0"/>
          <w:numId w:val="6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Specific depression dimensions (Anhedonia, Distress, Dysfunctional thoughts, Internalizing problems, Rumination, Self-esteem, Anger, Fatigue, Hopelessness, Irritability, Negative mood, Tension)</w:t>
      </w:r>
    </w:p>
    <w:p w14:paraId="714A4366" w14:textId="77777777" w:rsidR="009E4D3F" w:rsidRPr="00D518FF" w:rsidRDefault="009E4D3F" w:rsidP="003844E0">
      <w:pPr>
        <w:pStyle w:val="ListParagraph"/>
        <w:numPr>
          <w:ilvl w:val="0"/>
          <w:numId w:val="6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Physiological symptoms of depression (respiration rate and capacity, heart rate, blood pressure, heart rhythm, vital signs, brain beta-nucleoside triphosphate levels, brain phosphodiester levels, brain phosphomonoester levels, serum norepinephrine levels, serum serotonin levels, frontal lobe phosphocreatine levels, body fat, metabolic measures, lactate levels, urinalysis results, lab panel results, weight, height, physical examination, temperature)</w:t>
      </w:r>
    </w:p>
    <w:p w14:paraId="4908A307" w14:textId="77777777" w:rsidR="009E4D3F" w:rsidRPr="00D518FF" w:rsidRDefault="009E4D3F" w:rsidP="003844E0">
      <w:pPr>
        <w:pStyle w:val="ListParagraph"/>
        <w:numPr>
          <w:ilvl w:val="0"/>
          <w:numId w:val="6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Parent to infant bonding</w:t>
      </w:r>
    </w:p>
    <w:p w14:paraId="6B6330DC" w14:textId="77777777" w:rsidR="009E4D3F" w:rsidRPr="00D518FF" w:rsidRDefault="009E4D3F" w:rsidP="003844E0">
      <w:pPr>
        <w:pStyle w:val="ListParagraph"/>
        <w:numPr>
          <w:ilvl w:val="0"/>
          <w:numId w:val="6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0A43669A" w14:textId="6C9506D2" w:rsidR="004149E0" w:rsidRPr="003844E0" w:rsidRDefault="009E4D3F" w:rsidP="003844E0">
      <w:pPr>
        <w:pStyle w:val="ListParagraph"/>
        <w:numPr>
          <w:ilvl w:val="0"/>
          <w:numId w:val="65"/>
        </w:numPr>
        <w:rPr>
          <w:rStyle w:val="Heading1Char"/>
          <w:rFonts w:ascii="Aptos" w:eastAsiaTheme="minorHAnsi" w:hAnsi="Aptos" w:cs="Arial"/>
          <w:bCs w:val="0"/>
          <w:color w:val="000000" w:themeColor="text1"/>
          <w:sz w:val="16"/>
          <w:szCs w:val="16"/>
        </w:rPr>
      </w:pPr>
      <w:r w:rsidRPr="00D518FF">
        <w:rPr>
          <w:rFonts w:ascii="Aptos" w:hAnsi="Aptos" w:cs="Arial"/>
          <w:color w:val="000000" w:themeColor="text1"/>
          <w:kern w:val="0"/>
          <w:sz w:val="16"/>
          <w:szCs w:val="16"/>
          <w14:ligatures w14:val="none"/>
        </w:rPr>
        <w:t>Anxiety-related emotional functioning/mental health burden</w:t>
      </w:r>
    </w:p>
    <w:p w14:paraId="28F98465" w14:textId="470F8254" w:rsidR="009E4D3F" w:rsidRPr="00B53559" w:rsidRDefault="009E4D3F" w:rsidP="00B53559">
      <w:pPr>
        <w:pStyle w:val="heading2numbers"/>
        <w:rPr>
          <w:rStyle w:val="Heading1Char"/>
          <w:rFonts w:ascii="Aptos" w:eastAsia="Calibri" w:hAnsi="Aptos"/>
          <w:bCs w:val="0"/>
          <w:color w:val="C00000"/>
          <w:sz w:val="28"/>
          <w:szCs w:val="26"/>
        </w:rPr>
      </w:pPr>
      <w:bookmarkStart w:id="193" w:name="_Toc185254665"/>
      <w:r w:rsidRPr="00B53559">
        <w:rPr>
          <w:rStyle w:val="Heading1Char"/>
          <w:rFonts w:ascii="Aptos" w:eastAsia="Calibri" w:hAnsi="Aptos"/>
          <w:bCs w:val="0"/>
          <w:color w:val="C00000"/>
          <w:sz w:val="28"/>
          <w:szCs w:val="26"/>
        </w:rPr>
        <w:t>Dysmenorrhea, cruciferous indoles (indole-3-carbinol, di-indolylmethane)</w:t>
      </w:r>
      <w:bookmarkEnd w:id="193"/>
    </w:p>
    <w:p w14:paraId="0758D33D" w14:textId="77777777" w:rsidR="009E4D3F" w:rsidRPr="00D518FF" w:rsidRDefault="009E4D3F" w:rsidP="00AA72BD">
      <w:pPr>
        <w:spacing w:before="180" w:after="180"/>
        <w:rPr>
          <w:rFonts w:ascii="Aptos" w:hAnsi="Aptos"/>
          <w:sz w:val="20"/>
          <w:szCs w:val="20"/>
        </w:rPr>
      </w:pPr>
      <w:r w:rsidRPr="00D518FF">
        <w:rPr>
          <w:rFonts w:ascii="Aptos" w:hAnsi="Aptos"/>
          <w:sz w:val="20"/>
          <w:szCs w:val="20"/>
        </w:rPr>
        <w:t>No reviews were identified for inclusion in the Overview.</w:t>
      </w:r>
    </w:p>
    <w:p w14:paraId="75AC75A4" w14:textId="352210C8" w:rsidR="009E4D3F" w:rsidRPr="00B53559" w:rsidRDefault="009E4D3F" w:rsidP="00027CDE">
      <w:pPr>
        <w:pStyle w:val="heading2numbers"/>
        <w:ind w:left="578" w:hanging="578"/>
        <w:rPr>
          <w:rStyle w:val="Heading1Char"/>
          <w:rFonts w:ascii="Aptos" w:eastAsia="Calibri" w:hAnsi="Aptos"/>
          <w:bCs w:val="0"/>
          <w:color w:val="C00000"/>
          <w:sz w:val="28"/>
          <w:szCs w:val="26"/>
        </w:rPr>
      </w:pPr>
      <w:bookmarkStart w:id="194" w:name="_Toc185254666"/>
      <w:r w:rsidRPr="00B53559">
        <w:rPr>
          <w:rStyle w:val="Heading1Char"/>
          <w:rFonts w:ascii="Aptos" w:eastAsia="Calibri" w:hAnsi="Aptos"/>
          <w:bCs w:val="0"/>
          <w:color w:val="C00000"/>
          <w:sz w:val="28"/>
          <w:szCs w:val="26"/>
        </w:rPr>
        <w:t>Premenstrual syndrome (PMS), cruciferous indoles (indole-3-carbinol, di-indolylmethane)</w:t>
      </w:r>
      <w:bookmarkEnd w:id="194"/>
    </w:p>
    <w:p w14:paraId="742A1467" w14:textId="77777777" w:rsidR="009E4D3F" w:rsidRPr="00D518FF" w:rsidRDefault="009E4D3F" w:rsidP="00AA72BD">
      <w:pPr>
        <w:spacing w:before="180" w:after="180"/>
        <w:rPr>
          <w:rFonts w:ascii="Aptos" w:hAnsi="Aptos"/>
          <w:sz w:val="20"/>
          <w:szCs w:val="20"/>
        </w:rPr>
      </w:pPr>
      <w:r w:rsidRPr="00D518FF">
        <w:rPr>
          <w:rFonts w:ascii="Aptos" w:hAnsi="Aptos"/>
          <w:sz w:val="20"/>
          <w:szCs w:val="20"/>
        </w:rPr>
        <w:t>No reviews were identified for inclusion in the Overview.</w:t>
      </w:r>
    </w:p>
    <w:p w14:paraId="0D5DAEFA" w14:textId="2C6735A6" w:rsidR="009E4D3F" w:rsidRPr="00B53559" w:rsidRDefault="009E4D3F" w:rsidP="00B53559">
      <w:pPr>
        <w:pStyle w:val="heading2numbers"/>
        <w:rPr>
          <w:rStyle w:val="Heading1Char"/>
          <w:rFonts w:ascii="Aptos" w:eastAsia="Calibri" w:hAnsi="Aptos"/>
          <w:bCs w:val="0"/>
          <w:color w:val="C00000"/>
          <w:sz w:val="28"/>
          <w:szCs w:val="26"/>
        </w:rPr>
      </w:pPr>
      <w:bookmarkStart w:id="195" w:name="_Toc185254667"/>
      <w:r w:rsidRPr="00B53559">
        <w:rPr>
          <w:rStyle w:val="Heading1Char"/>
          <w:rFonts w:ascii="Aptos" w:eastAsia="Calibri" w:hAnsi="Aptos"/>
          <w:bCs w:val="0"/>
          <w:color w:val="C00000"/>
          <w:sz w:val="28"/>
          <w:szCs w:val="26"/>
        </w:rPr>
        <w:lastRenderedPageBreak/>
        <w:t>Atopic disorders (including eczema, dermatitis, allergic rhinitis, allergies), zinc</w:t>
      </w:r>
      <w:bookmarkEnd w:id="195"/>
    </w:p>
    <w:p w14:paraId="36D0EA20" w14:textId="22898EB0" w:rsidR="007A13AB" w:rsidRPr="00D518FF" w:rsidRDefault="00CC7C3B" w:rsidP="00AA694C">
      <w:pPr>
        <w:pStyle w:val="Caption"/>
        <w:rPr>
          <w:rFonts w:ascii="Aptos" w:hAnsi="Aptos"/>
        </w:rPr>
      </w:pPr>
      <w:bookmarkStart w:id="196" w:name="_Toc185254580"/>
      <w:r w:rsidRPr="00F614C8">
        <w:rPr>
          <w:rFonts w:ascii="Aptos" w:hAnsi="Aptos"/>
        </w:rPr>
        <w:t xml:space="preserve">Table </w:t>
      </w:r>
      <w:r w:rsidR="00DC4767" w:rsidRPr="00F614C8">
        <w:rPr>
          <w:rFonts w:ascii="Aptos" w:hAnsi="Aptos"/>
        </w:rPr>
        <w:fldChar w:fldCharType="begin" w:fldLock="1"/>
      </w:r>
      <w:r w:rsidR="00DC4767" w:rsidRPr="00F614C8">
        <w:rPr>
          <w:rFonts w:ascii="Aptos" w:hAnsi="Aptos"/>
        </w:rPr>
        <w:instrText xml:space="preserve"> STYLEREF 1 \s </w:instrText>
      </w:r>
      <w:r w:rsidR="00DC4767" w:rsidRPr="00F614C8">
        <w:rPr>
          <w:rFonts w:ascii="Aptos" w:hAnsi="Aptos"/>
        </w:rPr>
        <w:fldChar w:fldCharType="separate"/>
      </w:r>
      <w:r w:rsidR="00DC4767" w:rsidRPr="00F614C8">
        <w:rPr>
          <w:rFonts w:ascii="Aptos" w:hAnsi="Aptos"/>
        </w:rPr>
        <w:t>E</w:t>
      </w:r>
      <w:r w:rsidR="00DC4767"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8</w:t>
      </w:r>
      <w:r w:rsidR="003B0594" w:rsidRPr="00F614C8">
        <w:rPr>
          <w:rFonts w:ascii="Aptos" w:hAnsi="Aptos"/>
        </w:rPr>
        <w:fldChar w:fldCharType="end"/>
      </w:r>
      <w:r w:rsidR="009E4D3F" w:rsidRPr="00D518FF">
        <w:rPr>
          <w:rFonts w:ascii="Aptos" w:hAnsi="Aptos"/>
        </w:rPr>
        <w:t xml:space="preserve">. Results of </w:t>
      </w:r>
      <w:r w:rsidR="006D437E">
        <w:rPr>
          <w:rFonts w:ascii="Aptos" w:hAnsi="Aptos"/>
        </w:rPr>
        <w:t>preferred</w:t>
      </w:r>
      <w:r w:rsidR="006D437E" w:rsidRPr="00D518FF">
        <w:rPr>
          <w:rFonts w:ascii="Aptos" w:hAnsi="Aptos"/>
        </w:rPr>
        <w:t xml:space="preserve"> </w:t>
      </w:r>
      <w:r w:rsidR="007A13AB" w:rsidRPr="00D518FF">
        <w:rPr>
          <w:rFonts w:ascii="Aptos" w:hAnsi="Aptos"/>
        </w:rPr>
        <w:t>reviews by outcome domain – atopic disorders (including eczema, dermatitis, allergic rhinitis, allergies), zinc</w:t>
      </w:r>
      <w:r w:rsidR="007A13AB">
        <w:rPr>
          <w:rFonts w:ascii="Aptos" w:hAnsi="Aptos"/>
        </w:rPr>
        <w:t>.</w:t>
      </w:r>
      <w:bookmarkEnd w:id="196"/>
      <w:r w:rsidR="007A13AB">
        <w:rPr>
          <w:rFonts w:ascii="Aptos" w:hAnsi="Aptos"/>
        </w:rPr>
        <w:t xml:space="preserve"> </w:t>
      </w:r>
    </w:p>
    <w:tbl>
      <w:tblPr>
        <w:tblStyle w:val="TableGrid"/>
        <w:tblW w:w="14245" w:type="dxa"/>
        <w:tblCellMar>
          <w:top w:w="28" w:type="dxa"/>
          <w:left w:w="57" w:type="dxa"/>
          <w:bottom w:w="28" w:type="dxa"/>
          <w:right w:w="0" w:type="dxa"/>
        </w:tblCellMar>
        <w:tblLook w:val="04A0" w:firstRow="1" w:lastRow="0" w:firstColumn="1" w:lastColumn="0" w:noHBand="0" w:noVBand="1"/>
      </w:tblPr>
      <w:tblGrid>
        <w:gridCol w:w="597"/>
        <w:gridCol w:w="736"/>
        <w:gridCol w:w="853"/>
        <w:gridCol w:w="853"/>
        <w:gridCol w:w="1216"/>
        <w:gridCol w:w="950"/>
        <w:gridCol w:w="942"/>
        <w:gridCol w:w="728"/>
        <w:gridCol w:w="943"/>
        <w:gridCol w:w="1366"/>
        <w:gridCol w:w="1227"/>
        <w:gridCol w:w="1270"/>
        <w:gridCol w:w="1618"/>
        <w:gridCol w:w="946"/>
      </w:tblGrid>
      <w:tr w:rsidR="007A13AB" w:rsidRPr="00D518FF" w14:paraId="27579CC2" w14:textId="77777777" w:rsidTr="00F614C8">
        <w:trPr>
          <w:trHeight w:val="97"/>
        </w:trPr>
        <w:tc>
          <w:tcPr>
            <w:tcW w:w="598" w:type="dxa"/>
            <w:vMerge w:val="restart"/>
            <w:shd w:val="clear" w:color="auto" w:fill="D9D9D9" w:themeFill="background1" w:themeFillShade="D9"/>
          </w:tcPr>
          <w:p w14:paraId="07B2AAB1"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Review ID</w:t>
            </w:r>
          </w:p>
        </w:tc>
        <w:tc>
          <w:tcPr>
            <w:tcW w:w="712" w:type="dxa"/>
            <w:vMerge w:val="restart"/>
            <w:shd w:val="clear" w:color="auto" w:fill="D9D9D9" w:themeFill="background1" w:themeFillShade="D9"/>
          </w:tcPr>
          <w:p w14:paraId="6C4AEC57"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Outcome domain</w:t>
            </w:r>
          </w:p>
        </w:tc>
        <w:tc>
          <w:tcPr>
            <w:tcW w:w="828" w:type="dxa"/>
            <w:vMerge w:val="restart"/>
            <w:shd w:val="clear" w:color="auto" w:fill="D9D9D9" w:themeFill="background1" w:themeFillShade="D9"/>
          </w:tcPr>
          <w:p w14:paraId="1159AD9C"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Population group</w:t>
            </w:r>
          </w:p>
        </w:tc>
        <w:tc>
          <w:tcPr>
            <w:tcW w:w="839" w:type="dxa"/>
            <w:vMerge w:val="restart"/>
            <w:shd w:val="clear" w:color="auto" w:fill="D9D9D9" w:themeFill="background1" w:themeFillShade="D9"/>
          </w:tcPr>
          <w:p w14:paraId="3865F1A5"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Population details</w:t>
            </w:r>
          </w:p>
        </w:tc>
        <w:tc>
          <w:tcPr>
            <w:tcW w:w="1190" w:type="dxa"/>
            <w:vMerge w:val="restart"/>
            <w:shd w:val="clear" w:color="auto" w:fill="D9D9D9" w:themeFill="background1" w:themeFillShade="D9"/>
          </w:tcPr>
          <w:p w14:paraId="39F414B8"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Type of comparison</w:t>
            </w:r>
          </w:p>
        </w:tc>
        <w:tc>
          <w:tcPr>
            <w:tcW w:w="950" w:type="dxa"/>
            <w:vMerge w:val="restart"/>
            <w:shd w:val="clear" w:color="auto" w:fill="D9D9D9" w:themeFill="background1" w:themeFillShade="D9"/>
          </w:tcPr>
          <w:p w14:paraId="63CB9F26"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Intervention description</w:t>
            </w:r>
          </w:p>
        </w:tc>
        <w:tc>
          <w:tcPr>
            <w:tcW w:w="923" w:type="dxa"/>
            <w:vMerge w:val="restart"/>
            <w:shd w:val="clear" w:color="auto" w:fill="D9D9D9" w:themeFill="background1" w:themeFillShade="D9"/>
          </w:tcPr>
          <w:p w14:paraId="15A55983"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Comparator description</w:t>
            </w:r>
          </w:p>
        </w:tc>
        <w:tc>
          <w:tcPr>
            <w:tcW w:w="702" w:type="dxa"/>
            <w:vMerge w:val="restart"/>
            <w:shd w:val="clear" w:color="auto" w:fill="D9D9D9" w:themeFill="background1" w:themeFillShade="D9"/>
          </w:tcPr>
          <w:p w14:paraId="0367AEDD"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No/types of included studies</w:t>
            </w:r>
          </w:p>
        </w:tc>
        <w:tc>
          <w:tcPr>
            <w:tcW w:w="917" w:type="dxa"/>
            <w:vMerge w:val="restart"/>
            <w:shd w:val="clear" w:color="auto" w:fill="D9D9D9" w:themeFill="background1" w:themeFillShade="D9"/>
          </w:tcPr>
          <w:p w14:paraId="3BAC1792"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No of participants (total)</w:t>
            </w:r>
          </w:p>
        </w:tc>
        <w:tc>
          <w:tcPr>
            <w:tcW w:w="1408" w:type="dxa"/>
            <w:vMerge w:val="restart"/>
            <w:shd w:val="clear" w:color="auto" w:fill="D9D9D9" w:themeFill="background1" w:themeFillShade="D9"/>
          </w:tcPr>
          <w:p w14:paraId="54111A39"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Outcome measure(s) used</w:t>
            </w:r>
          </w:p>
        </w:tc>
        <w:tc>
          <w:tcPr>
            <w:tcW w:w="4261" w:type="dxa"/>
            <w:gridSpan w:val="3"/>
            <w:shd w:val="clear" w:color="auto" w:fill="D9D9D9" w:themeFill="background1" w:themeFillShade="D9"/>
          </w:tcPr>
          <w:p w14:paraId="2F27E2E9" w14:textId="013AA22B"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Results</w:t>
            </w:r>
          </w:p>
        </w:tc>
        <w:tc>
          <w:tcPr>
            <w:tcW w:w="917" w:type="dxa"/>
            <w:vMerge w:val="restart"/>
            <w:shd w:val="clear" w:color="auto" w:fill="D9D9D9" w:themeFill="background1" w:themeFillShade="D9"/>
          </w:tcPr>
          <w:p w14:paraId="2838D532" w14:textId="77777777" w:rsidR="007A13AB" w:rsidRPr="00D518FF" w:rsidRDefault="007A13AB" w:rsidP="00CF6EDC">
            <w:pPr>
              <w:pStyle w:val="Caption1"/>
              <w:spacing w:before="0" w:after="0"/>
              <w:rPr>
                <w:rFonts w:ascii="Aptos" w:hAnsi="Aptos"/>
                <w:sz w:val="16"/>
                <w:szCs w:val="16"/>
              </w:rPr>
            </w:pPr>
            <w:r w:rsidRPr="00D46B15">
              <w:rPr>
                <w:rFonts w:ascii="Aptos" w:hAnsi="Aptos"/>
                <w:sz w:val="16"/>
                <w:szCs w:val="16"/>
              </w:rPr>
              <w:t>ROBIS assessment (for the review overall)</w:t>
            </w:r>
          </w:p>
        </w:tc>
      </w:tr>
      <w:tr w:rsidR="0062700E" w:rsidRPr="00D518FF" w14:paraId="1C958347" w14:textId="77777777" w:rsidTr="00F614C8">
        <w:trPr>
          <w:trHeight w:val="97"/>
        </w:trPr>
        <w:tc>
          <w:tcPr>
            <w:tcW w:w="598" w:type="dxa"/>
            <w:vMerge/>
            <w:shd w:val="clear" w:color="auto" w:fill="D9D9D9" w:themeFill="background1" w:themeFillShade="D9"/>
          </w:tcPr>
          <w:p w14:paraId="67257DCA" w14:textId="77777777" w:rsidR="007A13AB" w:rsidRPr="00D518FF" w:rsidRDefault="007A13AB" w:rsidP="00CF6EDC">
            <w:pPr>
              <w:pStyle w:val="Caption1"/>
              <w:spacing w:before="0" w:after="0"/>
              <w:rPr>
                <w:rFonts w:ascii="Aptos" w:hAnsi="Aptos"/>
                <w:sz w:val="16"/>
                <w:szCs w:val="16"/>
              </w:rPr>
            </w:pPr>
          </w:p>
        </w:tc>
        <w:tc>
          <w:tcPr>
            <w:tcW w:w="712" w:type="dxa"/>
            <w:vMerge/>
            <w:shd w:val="clear" w:color="auto" w:fill="D9D9D9" w:themeFill="background1" w:themeFillShade="D9"/>
          </w:tcPr>
          <w:p w14:paraId="24579AE2" w14:textId="77777777" w:rsidR="007A13AB" w:rsidRPr="00D518FF" w:rsidRDefault="007A13AB" w:rsidP="00CF6EDC">
            <w:pPr>
              <w:pStyle w:val="Caption1"/>
              <w:spacing w:before="0" w:after="0"/>
              <w:rPr>
                <w:rFonts w:ascii="Aptos" w:hAnsi="Aptos"/>
                <w:sz w:val="16"/>
                <w:szCs w:val="16"/>
              </w:rPr>
            </w:pPr>
          </w:p>
        </w:tc>
        <w:tc>
          <w:tcPr>
            <w:tcW w:w="828" w:type="dxa"/>
            <w:vMerge/>
            <w:shd w:val="clear" w:color="auto" w:fill="D9D9D9" w:themeFill="background1" w:themeFillShade="D9"/>
          </w:tcPr>
          <w:p w14:paraId="4FDD842D" w14:textId="77777777" w:rsidR="007A13AB" w:rsidRPr="00D518FF" w:rsidRDefault="007A13AB" w:rsidP="00CF6EDC">
            <w:pPr>
              <w:pStyle w:val="Caption1"/>
              <w:spacing w:before="0" w:after="0"/>
              <w:rPr>
                <w:rFonts w:ascii="Aptos" w:hAnsi="Aptos"/>
                <w:sz w:val="16"/>
                <w:szCs w:val="16"/>
              </w:rPr>
            </w:pPr>
          </w:p>
        </w:tc>
        <w:tc>
          <w:tcPr>
            <w:tcW w:w="839" w:type="dxa"/>
            <w:vMerge/>
            <w:shd w:val="clear" w:color="auto" w:fill="D9D9D9" w:themeFill="background1" w:themeFillShade="D9"/>
          </w:tcPr>
          <w:p w14:paraId="00249568" w14:textId="77777777" w:rsidR="007A13AB" w:rsidRPr="00D518FF" w:rsidRDefault="007A13AB" w:rsidP="00CF6EDC">
            <w:pPr>
              <w:pStyle w:val="Caption1"/>
              <w:spacing w:before="0" w:after="0"/>
              <w:rPr>
                <w:rFonts w:ascii="Aptos" w:hAnsi="Aptos"/>
                <w:sz w:val="16"/>
                <w:szCs w:val="16"/>
              </w:rPr>
            </w:pPr>
          </w:p>
        </w:tc>
        <w:tc>
          <w:tcPr>
            <w:tcW w:w="1190" w:type="dxa"/>
            <w:vMerge/>
            <w:shd w:val="clear" w:color="auto" w:fill="D9D9D9" w:themeFill="background1" w:themeFillShade="D9"/>
          </w:tcPr>
          <w:p w14:paraId="16846F35" w14:textId="77777777" w:rsidR="007A13AB" w:rsidRPr="00D518FF" w:rsidRDefault="007A13AB" w:rsidP="00CF6EDC">
            <w:pPr>
              <w:pStyle w:val="Caption1"/>
              <w:spacing w:before="0" w:after="0"/>
              <w:rPr>
                <w:rFonts w:ascii="Aptos" w:hAnsi="Aptos"/>
                <w:sz w:val="16"/>
                <w:szCs w:val="16"/>
              </w:rPr>
            </w:pPr>
          </w:p>
        </w:tc>
        <w:tc>
          <w:tcPr>
            <w:tcW w:w="950" w:type="dxa"/>
            <w:vMerge/>
            <w:shd w:val="clear" w:color="auto" w:fill="D9D9D9" w:themeFill="background1" w:themeFillShade="D9"/>
          </w:tcPr>
          <w:p w14:paraId="71AAEF1D" w14:textId="77777777" w:rsidR="007A13AB" w:rsidRPr="00D518FF" w:rsidRDefault="007A13AB" w:rsidP="00CF6EDC">
            <w:pPr>
              <w:pStyle w:val="Caption1"/>
              <w:spacing w:before="0" w:after="0"/>
              <w:rPr>
                <w:rFonts w:ascii="Aptos" w:hAnsi="Aptos"/>
                <w:sz w:val="16"/>
                <w:szCs w:val="16"/>
              </w:rPr>
            </w:pPr>
          </w:p>
        </w:tc>
        <w:tc>
          <w:tcPr>
            <w:tcW w:w="923" w:type="dxa"/>
            <w:vMerge/>
            <w:shd w:val="clear" w:color="auto" w:fill="D9D9D9" w:themeFill="background1" w:themeFillShade="D9"/>
          </w:tcPr>
          <w:p w14:paraId="45A40FD8" w14:textId="77777777" w:rsidR="007A13AB" w:rsidRPr="00D518FF" w:rsidRDefault="007A13AB" w:rsidP="00CF6EDC">
            <w:pPr>
              <w:pStyle w:val="Caption1"/>
              <w:spacing w:before="0" w:after="0"/>
              <w:rPr>
                <w:rFonts w:ascii="Aptos" w:hAnsi="Aptos"/>
                <w:sz w:val="16"/>
                <w:szCs w:val="16"/>
              </w:rPr>
            </w:pPr>
          </w:p>
        </w:tc>
        <w:tc>
          <w:tcPr>
            <w:tcW w:w="702" w:type="dxa"/>
            <w:vMerge/>
            <w:shd w:val="clear" w:color="auto" w:fill="D9D9D9" w:themeFill="background1" w:themeFillShade="D9"/>
          </w:tcPr>
          <w:p w14:paraId="4200BB7E" w14:textId="77777777" w:rsidR="007A13AB" w:rsidRPr="00D518FF" w:rsidRDefault="007A13AB" w:rsidP="00CF6EDC">
            <w:pPr>
              <w:pStyle w:val="Caption1"/>
              <w:spacing w:before="0" w:after="0"/>
              <w:rPr>
                <w:rFonts w:ascii="Aptos" w:hAnsi="Aptos"/>
                <w:sz w:val="16"/>
                <w:szCs w:val="16"/>
              </w:rPr>
            </w:pPr>
          </w:p>
        </w:tc>
        <w:tc>
          <w:tcPr>
            <w:tcW w:w="917" w:type="dxa"/>
            <w:vMerge/>
            <w:shd w:val="clear" w:color="auto" w:fill="D9D9D9" w:themeFill="background1" w:themeFillShade="D9"/>
          </w:tcPr>
          <w:p w14:paraId="3125AB70" w14:textId="77777777" w:rsidR="007A13AB" w:rsidRPr="00D518FF" w:rsidRDefault="007A13AB" w:rsidP="00CF6EDC">
            <w:pPr>
              <w:pStyle w:val="Caption1"/>
              <w:spacing w:before="0" w:after="0"/>
              <w:rPr>
                <w:rFonts w:ascii="Aptos" w:hAnsi="Aptos"/>
                <w:sz w:val="16"/>
                <w:szCs w:val="16"/>
              </w:rPr>
            </w:pPr>
          </w:p>
        </w:tc>
        <w:tc>
          <w:tcPr>
            <w:tcW w:w="1408" w:type="dxa"/>
            <w:vMerge/>
            <w:shd w:val="clear" w:color="auto" w:fill="D9D9D9" w:themeFill="background1" w:themeFillShade="D9"/>
          </w:tcPr>
          <w:p w14:paraId="0D2EB94A" w14:textId="77777777" w:rsidR="007A13AB" w:rsidRPr="00D518FF" w:rsidRDefault="007A13AB" w:rsidP="00CF6EDC">
            <w:pPr>
              <w:pStyle w:val="Caption1"/>
              <w:spacing w:before="0" w:after="0"/>
              <w:rPr>
                <w:rFonts w:ascii="Aptos" w:hAnsi="Aptos"/>
                <w:sz w:val="16"/>
                <w:szCs w:val="16"/>
              </w:rPr>
            </w:pPr>
          </w:p>
        </w:tc>
        <w:tc>
          <w:tcPr>
            <w:tcW w:w="1276" w:type="dxa"/>
            <w:shd w:val="clear" w:color="auto" w:fill="D9D9D9" w:themeFill="background1" w:themeFillShade="D9"/>
          </w:tcPr>
          <w:p w14:paraId="5486F7F1"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Relative effect (95% CI)</w:t>
            </w:r>
          </w:p>
        </w:tc>
        <w:tc>
          <w:tcPr>
            <w:tcW w:w="1319" w:type="dxa"/>
            <w:shd w:val="clear" w:color="auto" w:fill="D9D9D9" w:themeFill="background1" w:themeFillShade="D9"/>
          </w:tcPr>
          <w:p w14:paraId="58E2AAE5" w14:textId="77777777" w:rsidR="007A13AB" w:rsidRPr="00D518FF" w:rsidRDefault="007A13AB" w:rsidP="00CF6EDC">
            <w:pPr>
              <w:pStyle w:val="Caption1"/>
              <w:spacing w:before="0" w:after="0"/>
              <w:rPr>
                <w:rFonts w:ascii="Aptos" w:hAnsi="Aptos"/>
                <w:sz w:val="16"/>
                <w:szCs w:val="16"/>
              </w:rPr>
            </w:pPr>
            <w:r w:rsidRPr="00D518FF">
              <w:rPr>
                <w:rFonts w:ascii="Aptos" w:hAnsi="Aptos"/>
                <w:sz w:val="16"/>
                <w:szCs w:val="16"/>
              </w:rPr>
              <w:t>Other reported results</w:t>
            </w:r>
          </w:p>
        </w:tc>
        <w:tc>
          <w:tcPr>
            <w:tcW w:w="1666" w:type="dxa"/>
            <w:shd w:val="clear" w:color="auto" w:fill="D9D9D9" w:themeFill="background1" w:themeFillShade="D9"/>
          </w:tcPr>
          <w:p w14:paraId="0AC304F0" w14:textId="77777777" w:rsidR="007A13AB" w:rsidRPr="00D518FF" w:rsidRDefault="007A13AB" w:rsidP="00CF6EDC">
            <w:pPr>
              <w:pStyle w:val="Caption1"/>
              <w:spacing w:before="0" w:after="0"/>
              <w:rPr>
                <w:rFonts w:ascii="Aptos" w:hAnsi="Aptos"/>
                <w:sz w:val="16"/>
                <w:szCs w:val="16"/>
              </w:rPr>
            </w:pPr>
            <w:r w:rsidRPr="00D46B15">
              <w:rPr>
                <w:rFonts w:ascii="Aptos" w:hAnsi="Aptos"/>
                <w:sz w:val="16"/>
                <w:szCs w:val="16"/>
              </w:rPr>
              <w:t>Risk of bias summary (primary studies)</w:t>
            </w:r>
          </w:p>
        </w:tc>
        <w:tc>
          <w:tcPr>
            <w:tcW w:w="917" w:type="dxa"/>
            <w:vMerge/>
            <w:shd w:val="clear" w:color="auto" w:fill="D9D9D9" w:themeFill="background1" w:themeFillShade="D9"/>
          </w:tcPr>
          <w:p w14:paraId="76A11452" w14:textId="77777777" w:rsidR="007A13AB" w:rsidRPr="00D518FF" w:rsidRDefault="007A13AB" w:rsidP="00CF6EDC">
            <w:pPr>
              <w:pStyle w:val="Caption1"/>
              <w:spacing w:before="0" w:after="0"/>
              <w:rPr>
                <w:rFonts w:ascii="Aptos" w:hAnsi="Aptos"/>
                <w:sz w:val="16"/>
                <w:szCs w:val="16"/>
              </w:rPr>
            </w:pPr>
          </w:p>
        </w:tc>
      </w:tr>
      <w:tr w:rsidR="00FA0F26" w:rsidRPr="00D518FF" w14:paraId="44ACD607" w14:textId="77777777" w:rsidTr="00F614C8">
        <w:trPr>
          <w:trHeight w:val="207"/>
        </w:trPr>
        <w:tc>
          <w:tcPr>
            <w:tcW w:w="598" w:type="dxa"/>
            <w:vMerge w:val="restart"/>
          </w:tcPr>
          <w:p w14:paraId="2EDA0D71"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Bath-Hextall 2012</w:t>
            </w:r>
          </w:p>
        </w:tc>
        <w:tc>
          <w:tcPr>
            <w:tcW w:w="712" w:type="dxa"/>
          </w:tcPr>
          <w:p w14:paraId="7E4268EF"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8" w:type="dxa"/>
          </w:tcPr>
          <w:p w14:paraId="54C0A491"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val="restart"/>
          </w:tcPr>
          <w:p w14:paraId="7D761F5F"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Atopic eczema as diagnosed by a doctor (paediatric)</w:t>
            </w:r>
          </w:p>
        </w:tc>
        <w:tc>
          <w:tcPr>
            <w:tcW w:w="1190" w:type="dxa"/>
            <w:vMerge w:val="restart"/>
          </w:tcPr>
          <w:p w14:paraId="379E7167"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950" w:type="dxa"/>
            <w:vMerge w:val="restart"/>
          </w:tcPr>
          <w:p w14:paraId="547159DA"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Z Span capsules (sustained release capsules each containing 61.8 mg zinc sulphate, equivalent to 22.5 mg zinc)</w:t>
            </w:r>
          </w:p>
        </w:tc>
        <w:tc>
          <w:tcPr>
            <w:tcW w:w="923" w:type="dxa"/>
            <w:vMerge w:val="restart"/>
          </w:tcPr>
          <w:p w14:paraId="1B90ED71"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02" w:type="dxa"/>
          </w:tcPr>
          <w:p w14:paraId="21F1DB73"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567C849F"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01F8AA4C" w14:textId="777777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Surface area of body affected by eczema – 4 weeks</w:t>
            </w:r>
          </w:p>
        </w:tc>
        <w:tc>
          <w:tcPr>
            <w:tcW w:w="1276" w:type="dxa"/>
          </w:tcPr>
          <w:p w14:paraId="3BA9D39E" w14:textId="44865D77" w:rsidR="007A13AB" w:rsidRPr="00D518FF" w:rsidRDefault="007A13AB" w:rsidP="00CF6EDC">
            <w:pPr>
              <w:pStyle w:val="Caption1"/>
              <w:spacing w:before="0" w:after="0"/>
              <w:rPr>
                <w:rFonts w:ascii="Aptos" w:hAnsi="Aptos"/>
                <w:b w:val="0"/>
                <w:bCs w:val="0"/>
                <w:sz w:val="16"/>
                <w:szCs w:val="16"/>
              </w:rPr>
            </w:pPr>
            <w:r w:rsidRPr="00D518FF">
              <w:rPr>
                <w:rFonts w:ascii="Aptos" w:hAnsi="Aptos"/>
                <w:b w:val="0"/>
                <w:bCs w:val="0"/>
                <w:sz w:val="16"/>
                <w:szCs w:val="16"/>
              </w:rPr>
              <w:t>MD = 4.20 (</w:t>
            </w:r>
            <w:r w:rsidRPr="00D518FF">
              <w:rPr>
                <w:rFonts w:ascii="Aptos" w:hAnsi="Aptos" w:cs="Calibri"/>
                <w:color w:val="000000"/>
                <w:sz w:val="16"/>
                <w:szCs w:val="16"/>
              </w:rPr>
              <w:t>−</w:t>
            </w:r>
            <w:r w:rsidRPr="00D518FF">
              <w:rPr>
                <w:rFonts w:ascii="Aptos" w:hAnsi="Aptos"/>
                <w:b w:val="0"/>
                <w:bCs w:val="0"/>
                <w:sz w:val="16"/>
                <w:szCs w:val="16"/>
              </w:rPr>
              <w:t xml:space="preserve">6.19 to 14.59) </w:t>
            </w:r>
          </w:p>
        </w:tc>
        <w:tc>
          <w:tcPr>
            <w:tcW w:w="1319" w:type="dxa"/>
          </w:tcPr>
          <w:p w14:paraId="7D281C1B" w14:textId="7F978F7C" w:rsidR="007A13AB" w:rsidRPr="00D518FF" w:rsidRDefault="00D6797D" w:rsidP="00CF6EDC">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val="restart"/>
          </w:tcPr>
          <w:p w14:paraId="0BDA87AE" w14:textId="6F8EF28E" w:rsidR="007A13AB" w:rsidRDefault="007A13AB" w:rsidP="00CF6EDC">
            <w:pPr>
              <w:pStyle w:val="Caption1"/>
              <w:spacing w:before="0" w:after="0"/>
              <w:rPr>
                <w:rFonts w:ascii="Aptos" w:hAnsi="Aptos"/>
                <w:b w:val="0"/>
                <w:bCs w:val="0"/>
                <w:sz w:val="16"/>
                <w:szCs w:val="16"/>
              </w:rPr>
            </w:pPr>
            <w:r w:rsidRPr="001B4432">
              <w:rPr>
                <w:rFonts w:ascii="Aptos" w:hAnsi="Aptos"/>
                <w:b w:val="0"/>
                <w:bCs w:val="0"/>
                <w:sz w:val="16"/>
                <w:szCs w:val="16"/>
              </w:rPr>
              <w:t xml:space="preserve">Unclear risk for selection bias, </w:t>
            </w:r>
            <w:r w:rsidR="00DA1526">
              <w:rPr>
                <w:rFonts w:ascii="Aptos" w:hAnsi="Aptos"/>
                <w:b w:val="0"/>
                <w:bCs w:val="0"/>
                <w:sz w:val="16"/>
                <w:szCs w:val="16"/>
              </w:rPr>
              <w:t xml:space="preserve">performance and detection bias, attrition bias, </w:t>
            </w:r>
            <w:r w:rsidRPr="001B4432">
              <w:rPr>
                <w:rFonts w:ascii="Aptos" w:hAnsi="Aptos"/>
                <w:b w:val="0"/>
                <w:bCs w:val="0"/>
                <w:sz w:val="16"/>
                <w:szCs w:val="16"/>
              </w:rPr>
              <w:t>baseline comparability, conflict of interest and compliance.</w:t>
            </w:r>
          </w:p>
          <w:p w14:paraId="151CD2EB" w14:textId="77777777" w:rsidR="00DA1526" w:rsidRDefault="00DA1526" w:rsidP="00CF6EDC">
            <w:pPr>
              <w:pStyle w:val="Caption1"/>
              <w:spacing w:before="0" w:after="0"/>
              <w:rPr>
                <w:rFonts w:ascii="Aptos" w:hAnsi="Aptos"/>
                <w:b w:val="0"/>
                <w:bCs w:val="0"/>
                <w:sz w:val="16"/>
                <w:szCs w:val="16"/>
              </w:rPr>
            </w:pPr>
          </w:p>
          <w:p w14:paraId="06CB2223" w14:textId="7C851AF7" w:rsidR="00DA1526" w:rsidRPr="00DA1526" w:rsidRDefault="00DA1526" w:rsidP="00CF6EDC">
            <w:pPr>
              <w:pStyle w:val="Caption1"/>
              <w:spacing w:before="0" w:after="0"/>
              <w:rPr>
                <w:rFonts w:ascii="Aptos" w:hAnsi="Aptos"/>
                <w:b w:val="0"/>
                <w:bCs w:val="0"/>
                <w:sz w:val="16"/>
                <w:szCs w:val="16"/>
              </w:rPr>
            </w:pPr>
            <w:r w:rsidRPr="00DA1526">
              <w:rPr>
                <w:rFonts w:ascii="Aptos" w:eastAsia="Calibri" w:hAnsi="Aptos"/>
                <w:b w:val="0"/>
                <w:bCs w:val="0"/>
                <w:sz w:val="16"/>
                <w:szCs w:val="21"/>
                <w:lang w:eastAsia="en-AU"/>
              </w:rPr>
              <w:t>Smith, Kline, &amp; French Laboratories supplied active and placebo capsules. The lead author was</w:t>
            </w:r>
            <w:r w:rsidRPr="00DA1526">
              <w:rPr>
                <w:b w:val="0"/>
                <w:bCs w:val="0"/>
              </w:rPr>
              <w:t xml:space="preserve"> also</w:t>
            </w:r>
            <w:r w:rsidRPr="00DA1526">
              <w:rPr>
                <w:rFonts w:ascii="Aptos" w:eastAsia="Calibri" w:hAnsi="Aptos"/>
                <w:b w:val="0"/>
                <w:bCs w:val="0"/>
                <w:sz w:val="16"/>
                <w:szCs w:val="21"/>
                <w:lang w:eastAsia="en-AU"/>
              </w:rPr>
              <w:t xml:space="preserve"> supported by grants from Glaxo Group Research and Glaxo Laboratories</w:t>
            </w:r>
          </w:p>
        </w:tc>
        <w:tc>
          <w:tcPr>
            <w:tcW w:w="917" w:type="dxa"/>
          </w:tcPr>
          <w:p w14:paraId="39E9429A" w14:textId="77777777" w:rsidR="007A13AB" w:rsidRPr="00D518FF" w:rsidRDefault="007A13AB" w:rsidP="00CF6EDC">
            <w:pPr>
              <w:pStyle w:val="Caption1"/>
              <w:spacing w:before="0" w:after="0"/>
              <w:rPr>
                <w:rFonts w:ascii="Aptos" w:hAnsi="Aptos"/>
                <w:b w:val="0"/>
                <w:bCs w:val="0"/>
                <w:sz w:val="16"/>
                <w:szCs w:val="16"/>
              </w:rPr>
            </w:pPr>
            <w:r>
              <w:rPr>
                <w:rFonts w:ascii="Aptos" w:hAnsi="Aptos"/>
                <w:b w:val="0"/>
                <w:bCs w:val="0"/>
                <w:sz w:val="16"/>
                <w:szCs w:val="16"/>
              </w:rPr>
              <w:t>Unclear risk</w:t>
            </w:r>
          </w:p>
        </w:tc>
      </w:tr>
      <w:tr w:rsidR="00D6797D" w:rsidRPr="00D518FF" w14:paraId="4C19091A" w14:textId="77777777" w:rsidTr="00F614C8">
        <w:trPr>
          <w:trHeight w:val="207"/>
        </w:trPr>
        <w:tc>
          <w:tcPr>
            <w:tcW w:w="598" w:type="dxa"/>
            <w:vMerge/>
          </w:tcPr>
          <w:p w14:paraId="359B9A58" w14:textId="77777777" w:rsidR="00D6797D" w:rsidRPr="00D518FF" w:rsidRDefault="00D6797D" w:rsidP="00D6797D">
            <w:pPr>
              <w:pStyle w:val="Caption1"/>
              <w:spacing w:before="0" w:after="0"/>
              <w:rPr>
                <w:rFonts w:ascii="Aptos" w:hAnsi="Aptos"/>
                <w:b w:val="0"/>
                <w:bCs w:val="0"/>
                <w:sz w:val="16"/>
                <w:szCs w:val="16"/>
              </w:rPr>
            </w:pPr>
          </w:p>
        </w:tc>
        <w:tc>
          <w:tcPr>
            <w:tcW w:w="712" w:type="dxa"/>
          </w:tcPr>
          <w:p w14:paraId="2D7CE69B"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8" w:type="dxa"/>
          </w:tcPr>
          <w:p w14:paraId="2BA78A79"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tcPr>
          <w:p w14:paraId="55780658" w14:textId="77777777" w:rsidR="00D6797D" w:rsidRPr="00D518FF" w:rsidRDefault="00D6797D" w:rsidP="00D6797D">
            <w:pPr>
              <w:pStyle w:val="Caption1"/>
              <w:spacing w:before="0" w:after="0"/>
              <w:rPr>
                <w:rFonts w:ascii="Aptos" w:hAnsi="Aptos"/>
                <w:b w:val="0"/>
                <w:bCs w:val="0"/>
                <w:sz w:val="16"/>
                <w:szCs w:val="16"/>
              </w:rPr>
            </w:pPr>
          </w:p>
        </w:tc>
        <w:tc>
          <w:tcPr>
            <w:tcW w:w="1190" w:type="dxa"/>
            <w:vMerge/>
          </w:tcPr>
          <w:p w14:paraId="78983542" w14:textId="77777777" w:rsidR="00D6797D" w:rsidRPr="00D518FF" w:rsidRDefault="00D6797D" w:rsidP="00D6797D">
            <w:pPr>
              <w:pStyle w:val="Caption1"/>
              <w:spacing w:before="0" w:after="0"/>
              <w:rPr>
                <w:rFonts w:ascii="Aptos" w:hAnsi="Aptos"/>
                <w:b w:val="0"/>
                <w:bCs w:val="0"/>
                <w:sz w:val="16"/>
                <w:szCs w:val="16"/>
              </w:rPr>
            </w:pPr>
          </w:p>
        </w:tc>
        <w:tc>
          <w:tcPr>
            <w:tcW w:w="950" w:type="dxa"/>
            <w:vMerge/>
          </w:tcPr>
          <w:p w14:paraId="02401646" w14:textId="77777777" w:rsidR="00D6797D" w:rsidRPr="00D518FF" w:rsidRDefault="00D6797D" w:rsidP="00D6797D">
            <w:pPr>
              <w:pStyle w:val="Caption1"/>
              <w:spacing w:before="0" w:after="0"/>
              <w:rPr>
                <w:rFonts w:ascii="Aptos" w:hAnsi="Aptos"/>
                <w:b w:val="0"/>
                <w:bCs w:val="0"/>
                <w:sz w:val="16"/>
                <w:szCs w:val="16"/>
              </w:rPr>
            </w:pPr>
          </w:p>
        </w:tc>
        <w:tc>
          <w:tcPr>
            <w:tcW w:w="923" w:type="dxa"/>
            <w:vMerge/>
          </w:tcPr>
          <w:p w14:paraId="6FA3211E" w14:textId="77777777" w:rsidR="00D6797D" w:rsidRPr="00D518FF" w:rsidRDefault="00D6797D" w:rsidP="00D6797D">
            <w:pPr>
              <w:pStyle w:val="Caption1"/>
              <w:spacing w:before="0" w:after="0"/>
              <w:rPr>
                <w:rFonts w:ascii="Aptos" w:hAnsi="Aptos"/>
                <w:b w:val="0"/>
                <w:bCs w:val="0"/>
                <w:sz w:val="16"/>
                <w:szCs w:val="16"/>
              </w:rPr>
            </w:pPr>
          </w:p>
        </w:tc>
        <w:tc>
          <w:tcPr>
            <w:tcW w:w="702" w:type="dxa"/>
          </w:tcPr>
          <w:p w14:paraId="603A63C0"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3B11A43A"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2ED618FE"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Surface area of body affected by eczema – 8 weeks</w:t>
            </w:r>
          </w:p>
        </w:tc>
        <w:tc>
          <w:tcPr>
            <w:tcW w:w="1276" w:type="dxa"/>
          </w:tcPr>
          <w:p w14:paraId="66898C88"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MD = 2.90 (</w:t>
            </w:r>
            <w:r w:rsidRPr="00D518FF">
              <w:rPr>
                <w:rFonts w:ascii="Aptos" w:hAnsi="Aptos" w:cs="Calibri"/>
                <w:color w:val="000000"/>
                <w:sz w:val="16"/>
                <w:szCs w:val="16"/>
              </w:rPr>
              <w:t>−</w:t>
            </w:r>
            <w:r w:rsidRPr="00D518FF">
              <w:rPr>
                <w:rFonts w:ascii="Aptos" w:hAnsi="Aptos"/>
                <w:b w:val="0"/>
                <w:bCs w:val="0"/>
                <w:sz w:val="16"/>
                <w:szCs w:val="16"/>
              </w:rPr>
              <w:t>6.08 to 11.88)</w:t>
            </w:r>
          </w:p>
        </w:tc>
        <w:tc>
          <w:tcPr>
            <w:tcW w:w="1319" w:type="dxa"/>
          </w:tcPr>
          <w:p w14:paraId="45E12974" w14:textId="5178856A"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tcPr>
          <w:p w14:paraId="6A001E21" w14:textId="77777777" w:rsidR="00D6797D" w:rsidRPr="00D518FF" w:rsidRDefault="00D6797D" w:rsidP="00D6797D">
            <w:pPr>
              <w:pStyle w:val="Caption1"/>
              <w:spacing w:before="0" w:after="0"/>
              <w:rPr>
                <w:rFonts w:ascii="Aptos" w:hAnsi="Aptos"/>
                <w:b w:val="0"/>
                <w:bCs w:val="0"/>
                <w:sz w:val="16"/>
                <w:szCs w:val="16"/>
              </w:rPr>
            </w:pPr>
          </w:p>
        </w:tc>
        <w:tc>
          <w:tcPr>
            <w:tcW w:w="917" w:type="dxa"/>
          </w:tcPr>
          <w:p w14:paraId="2190D3C6" w14:textId="77777777"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Unclear risk</w:t>
            </w:r>
          </w:p>
        </w:tc>
      </w:tr>
      <w:tr w:rsidR="00D6797D" w:rsidRPr="00D518FF" w14:paraId="3EE5EB6C" w14:textId="77777777" w:rsidTr="00F614C8">
        <w:trPr>
          <w:trHeight w:val="207"/>
        </w:trPr>
        <w:tc>
          <w:tcPr>
            <w:tcW w:w="598" w:type="dxa"/>
            <w:vMerge/>
          </w:tcPr>
          <w:p w14:paraId="777F10CB" w14:textId="77777777" w:rsidR="00D6797D" w:rsidRPr="00D518FF" w:rsidRDefault="00D6797D" w:rsidP="00D6797D">
            <w:pPr>
              <w:pStyle w:val="Caption1"/>
              <w:spacing w:before="0" w:after="0"/>
              <w:rPr>
                <w:rFonts w:ascii="Aptos" w:hAnsi="Aptos"/>
                <w:b w:val="0"/>
                <w:bCs w:val="0"/>
                <w:sz w:val="16"/>
                <w:szCs w:val="16"/>
              </w:rPr>
            </w:pPr>
          </w:p>
        </w:tc>
        <w:tc>
          <w:tcPr>
            <w:tcW w:w="712" w:type="dxa"/>
          </w:tcPr>
          <w:p w14:paraId="60B44098"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8" w:type="dxa"/>
          </w:tcPr>
          <w:p w14:paraId="7E1EE30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tcPr>
          <w:p w14:paraId="01F78AC3" w14:textId="77777777" w:rsidR="00D6797D" w:rsidRPr="00D518FF" w:rsidRDefault="00D6797D" w:rsidP="00D6797D">
            <w:pPr>
              <w:pStyle w:val="Caption1"/>
              <w:spacing w:before="0" w:after="0"/>
              <w:rPr>
                <w:rFonts w:ascii="Aptos" w:hAnsi="Aptos"/>
                <w:b w:val="0"/>
                <w:bCs w:val="0"/>
                <w:sz w:val="16"/>
                <w:szCs w:val="16"/>
              </w:rPr>
            </w:pPr>
          </w:p>
        </w:tc>
        <w:tc>
          <w:tcPr>
            <w:tcW w:w="1190" w:type="dxa"/>
            <w:vMerge/>
          </w:tcPr>
          <w:p w14:paraId="109315D0" w14:textId="77777777" w:rsidR="00D6797D" w:rsidRPr="00D518FF" w:rsidRDefault="00D6797D" w:rsidP="00D6797D">
            <w:pPr>
              <w:pStyle w:val="Caption1"/>
              <w:spacing w:before="0" w:after="0"/>
              <w:rPr>
                <w:rFonts w:ascii="Aptos" w:hAnsi="Aptos"/>
                <w:b w:val="0"/>
                <w:bCs w:val="0"/>
                <w:sz w:val="16"/>
                <w:szCs w:val="16"/>
              </w:rPr>
            </w:pPr>
          </w:p>
        </w:tc>
        <w:tc>
          <w:tcPr>
            <w:tcW w:w="950" w:type="dxa"/>
            <w:vMerge/>
          </w:tcPr>
          <w:p w14:paraId="75B87E2A" w14:textId="77777777" w:rsidR="00D6797D" w:rsidRPr="00D518FF" w:rsidRDefault="00D6797D" w:rsidP="00D6797D">
            <w:pPr>
              <w:pStyle w:val="Caption1"/>
              <w:spacing w:before="0" w:after="0"/>
              <w:rPr>
                <w:rFonts w:ascii="Aptos" w:hAnsi="Aptos"/>
                <w:b w:val="0"/>
                <w:bCs w:val="0"/>
                <w:sz w:val="16"/>
                <w:szCs w:val="16"/>
              </w:rPr>
            </w:pPr>
          </w:p>
        </w:tc>
        <w:tc>
          <w:tcPr>
            <w:tcW w:w="923" w:type="dxa"/>
            <w:vMerge/>
          </w:tcPr>
          <w:p w14:paraId="41CD0B8A" w14:textId="77777777" w:rsidR="00D6797D" w:rsidRPr="00D518FF" w:rsidRDefault="00D6797D" w:rsidP="00D6797D">
            <w:pPr>
              <w:pStyle w:val="Caption1"/>
              <w:spacing w:before="0" w:after="0"/>
              <w:rPr>
                <w:rFonts w:ascii="Aptos" w:hAnsi="Aptos"/>
                <w:b w:val="0"/>
                <w:bCs w:val="0"/>
                <w:sz w:val="16"/>
                <w:szCs w:val="16"/>
              </w:rPr>
            </w:pPr>
          </w:p>
        </w:tc>
        <w:tc>
          <w:tcPr>
            <w:tcW w:w="702" w:type="dxa"/>
          </w:tcPr>
          <w:p w14:paraId="724097C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330AB329"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3C880309"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Combined disease severity score – 4 weeks</w:t>
            </w:r>
          </w:p>
        </w:tc>
        <w:tc>
          <w:tcPr>
            <w:tcW w:w="1276" w:type="dxa"/>
          </w:tcPr>
          <w:p w14:paraId="48E953A0"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MD = 4.00 (</w:t>
            </w:r>
            <w:r w:rsidRPr="00D518FF">
              <w:rPr>
                <w:rFonts w:ascii="Aptos" w:hAnsi="Aptos" w:cs="Calibri"/>
                <w:color w:val="000000"/>
                <w:sz w:val="16"/>
                <w:szCs w:val="16"/>
              </w:rPr>
              <w:t>−</w:t>
            </w:r>
            <w:r w:rsidRPr="00D518FF">
              <w:rPr>
                <w:rFonts w:ascii="Aptos" w:hAnsi="Aptos"/>
                <w:b w:val="0"/>
                <w:bCs w:val="0"/>
                <w:sz w:val="16"/>
                <w:szCs w:val="16"/>
              </w:rPr>
              <w:t>43.07 to 51.07)</w:t>
            </w:r>
          </w:p>
        </w:tc>
        <w:tc>
          <w:tcPr>
            <w:tcW w:w="1319" w:type="dxa"/>
          </w:tcPr>
          <w:p w14:paraId="3A39F56C" w14:textId="17A3251A"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tcPr>
          <w:p w14:paraId="5C88F0F9" w14:textId="77777777" w:rsidR="00D6797D" w:rsidRPr="00D518FF" w:rsidRDefault="00D6797D" w:rsidP="00D6797D">
            <w:pPr>
              <w:pStyle w:val="Caption1"/>
              <w:spacing w:before="0" w:after="0"/>
              <w:rPr>
                <w:rFonts w:ascii="Aptos" w:hAnsi="Aptos"/>
                <w:b w:val="0"/>
                <w:bCs w:val="0"/>
                <w:sz w:val="16"/>
                <w:szCs w:val="16"/>
              </w:rPr>
            </w:pPr>
          </w:p>
        </w:tc>
        <w:tc>
          <w:tcPr>
            <w:tcW w:w="917" w:type="dxa"/>
          </w:tcPr>
          <w:p w14:paraId="0C9157E7" w14:textId="77777777"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Unclear risk</w:t>
            </w:r>
          </w:p>
        </w:tc>
      </w:tr>
      <w:tr w:rsidR="00D6797D" w:rsidRPr="00D518FF" w14:paraId="2FC57725" w14:textId="77777777" w:rsidTr="00F614C8">
        <w:trPr>
          <w:trHeight w:val="207"/>
        </w:trPr>
        <w:tc>
          <w:tcPr>
            <w:tcW w:w="598" w:type="dxa"/>
            <w:vMerge/>
          </w:tcPr>
          <w:p w14:paraId="1585520C" w14:textId="77777777" w:rsidR="00D6797D" w:rsidRPr="00D518FF" w:rsidRDefault="00D6797D" w:rsidP="00D6797D">
            <w:pPr>
              <w:pStyle w:val="Caption1"/>
              <w:spacing w:before="0" w:after="0"/>
              <w:rPr>
                <w:rFonts w:ascii="Aptos" w:hAnsi="Aptos"/>
                <w:b w:val="0"/>
                <w:bCs w:val="0"/>
                <w:sz w:val="16"/>
                <w:szCs w:val="16"/>
              </w:rPr>
            </w:pPr>
          </w:p>
        </w:tc>
        <w:tc>
          <w:tcPr>
            <w:tcW w:w="712" w:type="dxa"/>
          </w:tcPr>
          <w:p w14:paraId="36A95899"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8" w:type="dxa"/>
          </w:tcPr>
          <w:p w14:paraId="19B8AEF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tcPr>
          <w:p w14:paraId="5D1C005B" w14:textId="77777777" w:rsidR="00D6797D" w:rsidRPr="00D518FF" w:rsidRDefault="00D6797D" w:rsidP="00D6797D">
            <w:pPr>
              <w:pStyle w:val="Caption1"/>
              <w:spacing w:before="0" w:after="0"/>
              <w:rPr>
                <w:rFonts w:ascii="Aptos" w:hAnsi="Aptos"/>
                <w:b w:val="0"/>
                <w:bCs w:val="0"/>
                <w:sz w:val="16"/>
                <w:szCs w:val="16"/>
              </w:rPr>
            </w:pPr>
          </w:p>
        </w:tc>
        <w:tc>
          <w:tcPr>
            <w:tcW w:w="1190" w:type="dxa"/>
            <w:vMerge/>
          </w:tcPr>
          <w:p w14:paraId="164694BA" w14:textId="77777777" w:rsidR="00D6797D" w:rsidRPr="00D518FF" w:rsidRDefault="00D6797D" w:rsidP="00D6797D">
            <w:pPr>
              <w:pStyle w:val="Caption1"/>
              <w:spacing w:before="0" w:after="0"/>
              <w:rPr>
                <w:rFonts w:ascii="Aptos" w:hAnsi="Aptos"/>
                <w:b w:val="0"/>
                <w:bCs w:val="0"/>
                <w:sz w:val="16"/>
                <w:szCs w:val="16"/>
              </w:rPr>
            </w:pPr>
          </w:p>
        </w:tc>
        <w:tc>
          <w:tcPr>
            <w:tcW w:w="950" w:type="dxa"/>
            <w:vMerge/>
          </w:tcPr>
          <w:p w14:paraId="2CC46C1A" w14:textId="77777777" w:rsidR="00D6797D" w:rsidRPr="00D518FF" w:rsidRDefault="00D6797D" w:rsidP="00D6797D">
            <w:pPr>
              <w:pStyle w:val="Caption1"/>
              <w:spacing w:before="0" w:after="0"/>
              <w:rPr>
                <w:rFonts w:ascii="Aptos" w:hAnsi="Aptos"/>
                <w:b w:val="0"/>
                <w:bCs w:val="0"/>
                <w:sz w:val="16"/>
                <w:szCs w:val="16"/>
              </w:rPr>
            </w:pPr>
          </w:p>
        </w:tc>
        <w:tc>
          <w:tcPr>
            <w:tcW w:w="923" w:type="dxa"/>
            <w:vMerge/>
          </w:tcPr>
          <w:p w14:paraId="0673F4B2" w14:textId="77777777" w:rsidR="00D6797D" w:rsidRPr="00D518FF" w:rsidRDefault="00D6797D" w:rsidP="00D6797D">
            <w:pPr>
              <w:pStyle w:val="Caption1"/>
              <w:spacing w:before="0" w:after="0"/>
              <w:rPr>
                <w:rFonts w:ascii="Aptos" w:hAnsi="Aptos"/>
                <w:b w:val="0"/>
                <w:bCs w:val="0"/>
                <w:sz w:val="16"/>
                <w:szCs w:val="16"/>
              </w:rPr>
            </w:pPr>
          </w:p>
        </w:tc>
        <w:tc>
          <w:tcPr>
            <w:tcW w:w="702" w:type="dxa"/>
          </w:tcPr>
          <w:p w14:paraId="297EFC93"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07AC57D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79B19A2E"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Combined disease severity score – 8 weeks</w:t>
            </w:r>
          </w:p>
        </w:tc>
        <w:tc>
          <w:tcPr>
            <w:tcW w:w="1276" w:type="dxa"/>
          </w:tcPr>
          <w:p w14:paraId="2D74CBD3"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MD = 9.40 (</w:t>
            </w:r>
            <w:r w:rsidRPr="00D518FF">
              <w:rPr>
                <w:rFonts w:ascii="Aptos" w:hAnsi="Aptos" w:cs="Calibri"/>
                <w:color w:val="000000"/>
                <w:sz w:val="16"/>
                <w:szCs w:val="16"/>
              </w:rPr>
              <w:t>−</w:t>
            </w:r>
            <w:r w:rsidRPr="00D518FF">
              <w:rPr>
                <w:rFonts w:ascii="Aptos" w:hAnsi="Aptos"/>
                <w:b w:val="0"/>
                <w:bCs w:val="0"/>
                <w:sz w:val="16"/>
                <w:szCs w:val="16"/>
              </w:rPr>
              <w:t>25.87 to 44.67)</w:t>
            </w:r>
          </w:p>
        </w:tc>
        <w:tc>
          <w:tcPr>
            <w:tcW w:w="1319" w:type="dxa"/>
          </w:tcPr>
          <w:p w14:paraId="74BC33E4" w14:textId="68D32378"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tcPr>
          <w:p w14:paraId="731FB4A6" w14:textId="77777777" w:rsidR="00D6797D" w:rsidRPr="00D518FF" w:rsidRDefault="00D6797D" w:rsidP="00D6797D">
            <w:pPr>
              <w:pStyle w:val="Caption1"/>
              <w:spacing w:before="0" w:after="0"/>
              <w:rPr>
                <w:rFonts w:ascii="Aptos" w:hAnsi="Aptos"/>
                <w:b w:val="0"/>
                <w:bCs w:val="0"/>
                <w:sz w:val="16"/>
                <w:szCs w:val="16"/>
              </w:rPr>
            </w:pPr>
          </w:p>
        </w:tc>
        <w:tc>
          <w:tcPr>
            <w:tcW w:w="917" w:type="dxa"/>
          </w:tcPr>
          <w:p w14:paraId="22624A34" w14:textId="77777777"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Unclear risk</w:t>
            </w:r>
          </w:p>
        </w:tc>
      </w:tr>
      <w:tr w:rsidR="00D6797D" w:rsidRPr="00D518FF" w14:paraId="3F3C40DD" w14:textId="77777777" w:rsidTr="00F614C8">
        <w:trPr>
          <w:trHeight w:val="207"/>
        </w:trPr>
        <w:tc>
          <w:tcPr>
            <w:tcW w:w="598" w:type="dxa"/>
            <w:vMerge/>
          </w:tcPr>
          <w:p w14:paraId="4578A081" w14:textId="77777777" w:rsidR="00D6797D" w:rsidRPr="00D518FF" w:rsidRDefault="00D6797D" w:rsidP="00D6797D">
            <w:pPr>
              <w:pStyle w:val="Caption1"/>
              <w:spacing w:before="0" w:after="0"/>
              <w:rPr>
                <w:rFonts w:ascii="Aptos" w:hAnsi="Aptos"/>
                <w:b w:val="0"/>
                <w:bCs w:val="0"/>
                <w:sz w:val="16"/>
                <w:szCs w:val="16"/>
              </w:rPr>
            </w:pPr>
          </w:p>
        </w:tc>
        <w:tc>
          <w:tcPr>
            <w:tcW w:w="712" w:type="dxa"/>
          </w:tcPr>
          <w:p w14:paraId="3FB25B7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28" w:type="dxa"/>
          </w:tcPr>
          <w:p w14:paraId="386ACB14"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tcPr>
          <w:p w14:paraId="73FD8D9D" w14:textId="77777777" w:rsidR="00D6797D" w:rsidRPr="00D518FF" w:rsidRDefault="00D6797D" w:rsidP="00D6797D">
            <w:pPr>
              <w:pStyle w:val="Caption1"/>
              <w:spacing w:before="0" w:after="0"/>
              <w:rPr>
                <w:rFonts w:ascii="Aptos" w:hAnsi="Aptos"/>
                <w:b w:val="0"/>
                <w:bCs w:val="0"/>
                <w:sz w:val="16"/>
                <w:szCs w:val="16"/>
              </w:rPr>
            </w:pPr>
          </w:p>
        </w:tc>
        <w:tc>
          <w:tcPr>
            <w:tcW w:w="1190" w:type="dxa"/>
            <w:vMerge/>
          </w:tcPr>
          <w:p w14:paraId="612EA796" w14:textId="77777777" w:rsidR="00D6797D" w:rsidRPr="00D518FF" w:rsidRDefault="00D6797D" w:rsidP="00D6797D">
            <w:pPr>
              <w:pStyle w:val="Caption1"/>
              <w:spacing w:before="0" w:after="0"/>
              <w:rPr>
                <w:rFonts w:ascii="Aptos" w:hAnsi="Aptos"/>
                <w:b w:val="0"/>
                <w:bCs w:val="0"/>
                <w:sz w:val="16"/>
                <w:szCs w:val="16"/>
              </w:rPr>
            </w:pPr>
          </w:p>
        </w:tc>
        <w:tc>
          <w:tcPr>
            <w:tcW w:w="950" w:type="dxa"/>
            <w:vMerge/>
          </w:tcPr>
          <w:p w14:paraId="55E00087" w14:textId="77777777" w:rsidR="00D6797D" w:rsidRPr="00D518FF" w:rsidRDefault="00D6797D" w:rsidP="00D6797D">
            <w:pPr>
              <w:pStyle w:val="Caption1"/>
              <w:spacing w:before="0" w:after="0"/>
              <w:rPr>
                <w:rFonts w:ascii="Aptos" w:hAnsi="Aptos"/>
                <w:b w:val="0"/>
                <w:bCs w:val="0"/>
                <w:sz w:val="16"/>
                <w:szCs w:val="16"/>
              </w:rPr>
            </w:pPr>
          </w:p>
        </w:tc>
        <w:tc>
          <w:tcPr>
            <w:tcW w:w="923" w:type="dxa"/>
            <w:vMerge/>
          </w:tcPr>
          <w:p w14:paraId="0D812F7C" w14:textId="77777777" w:rsidR="00D6797D" w:rsidRPr="00D518FF" w:rsidRDefault="00D6797D" w:rsidP="00D6797D">
            <w:pPr>
              <w:pStyle w:val="Caption1"/>
              <w:spacing w:before="0" w:after="0"/>
              <w:rPr>
                <w:rFonts w:ascii="Aptos" w:hAnsi="Aptos"/>
                <w:b w:val="0"/>
                <w:bCs w:val="0"/>
                <w:sz w:val="16"/>
                <w:szCs w:val="16"/>
              </w:rPr>
            </w:pPr>
          </w:p>
        </w:tc>
        <w:tc>
          <w:tcPr>
            <w:tcW w:w="702" w:type="dxa"/>
          </w:tcPr>
          <w:p w14:paraId="300765DD"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26DBA382"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531C6BFF"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Mean itch score – 4 weeks</w:t>
            </w:r>
          </w:p>
        </w:tc>
        <w:tc>
          <w:tcPr>
            <w:tcW w:w="1276" w:type="dxa"/>
          </w:tcPr>
          <w:p w14:paraId="0467F134"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Effect sizes NR (NS)</w:t>
            </w:r>
          </w:p>
        </w:tc>
        <w:tc>
          <w:tcPr>
            <w:tcW w:w="1319" w:type="dxa"/>
          </w:tcPr>
          <w:p w14:paraId="229D0A05" w14:textId="0704A84F"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tcPr>
          <w:p w14:paraId="7D962925" w14:textId="77777777" w:rsidR="00D6797D" w:rsidRPr="00D518FF" w:rsidRDefault="00D6797D" w:rsidP="00D6797D">
            <w:pPr>
              <w:pStyle w:val="Caption1"/>
              <w:spacing w:before="0" w:after="0"/>
              <w:rPr>
                <w:rFonts w:ascii="Aptos" w:hAnsi="Aptos"/>
                <w:b w:val="0"/>
                <w:bCs w:val="0"/>
                <w:sz w:val="16"/>
                <w:szCs w:val="16"/>
              </w:rPr>
            </w:pPr>
          </w:p>
        </w:tc>
        <w:tc>
          <w:tcPr>
            <w:tcW w:w="917" w:type="dxa"/>
          </w:tcPr>
          <w:p w14:paraId="04B56DA7" w14:textId="77777777"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Unclear risk</w:t>
            </w:r>
          </w:p>
        </w:tc>
      </w:tr>
      <w:tr w:rsidR="00D6797D" w:rsidRPr="00D518FF" w14:paraId="705F58B8" w14:textId="77777777" w:rsidTr="00F614C8">
        <w:trPr>
          <w:trHeight w:val="207"/>
        </w:trPr>
        <w:tc>
          <w:tcPr>
            <w:tcW w:w="598" w:type="dxa"/>
            <w:vMerge/>
          </w:tcPr>
          <w:p w14:paraId="059123AC" w14:textId="77777777" w:rsidR="00D6797D" w:rsidRPr="00D518FF" w:rsidRDefault="00D6797D" w:rsidP="00D6797D">
            <w:pPr>
              <w:pStyle w:val="Caption1"/>
              <w:spacing w:before="0" w:after="0"/>
              <w:rPr>
                <w:rFonts w:ascii="Aptos" w:hAnsi="Aptos"/>
                <w:b w:val="0"/>
                <w:bCs w:val="0"/>
                <w:sz w:val="16"/>
                <w:szCs w:val="16"/>
              </w:rPr>
            </w:pPr>
          </w:p>
        </w:tc>
        <w:tc>
          <w:tcPr>
            <w:tcW w:w="712" w:type="dxa"/>
          </w:tcPr>
          <w:p w14:paraId="2C12389B"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28" w:type="dxa"/>
          </w:tcPr>
          <w:p w14:paraId="521251D9"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tcPr>
          <w:p w14:paraId="23DACCDF" w14:textId="77777777" w:rsidR="00D6797D" w:rsidRPr="00D518FF" w:rsidRDefault="00D6797D" w:rsidP="00D6797D">
            <w:pPr>
              <w:pStyle w:val="Caption1"/>
              <w:spacing w:before="0" w:after="0"/>
              <w:rPr>
                <w:rFonts w:ascii="Aptos" w:hAnsi="Aptos"/>
                <w:b w:val="0"/>
                <w:bCs w:val="0"/>
                <w:sz w:val="16"/>
                <w:szCs w:val="16"/>
              </w:rPr>
            </w:pPr>
          </w:p>
        </w:tc>
        <w:tc>
          <w:tcPr>
            <w:tcW w:w="1190" w:type="dxa"/>
            <w:vMerge/>
          </w:tcPr>
          <w:p w14:paraId="1BF25517" w14:textId="77777777" w:rsidR="00D6797D" w:rsidRPr="00D518FF" w:rsidRDefault="00D6797D" w:rsidP="00D6797D">
            <w:pPr>
              <w:pStyle w:val="Caption1"/>
              <w:spacing w:before="0" w:after="0"/>
              <w:rPr>
                <w:rFonts w:ascii="Aptos" w:hAnsi="Aptos"/>
                <w:b w:val="0"/>
                <w:bCs w:val="0"/>
                <w:sz w:val="16"/>
                <w:szCs w:val="16"/>
              </w:rPr>
            </w:pPr>
          </w:p>
        </w:tc>
        <w:tc>
          <w:tcPr>
            <w:tcW w:w="950" w:type="dxa"/>
            <w:vMerge/>
          </w:tcPr>
          <w:p w14:paraId="3AB7112C" w14:textId="77777777" w:rsidR="00D6797D" w:rsidRPr="00D518FF" w:rsidRDefault="00D6797D" w:rsidP="00D6797D">
            <w:pPr>
              <w:pStyle w:val="Caption1"/>
              <w:spacing w:before="0" w:after="0"/>
              <w:rPr>
                <w:rFonts w:ascii="Aptos" w:hAnsi="Aptos"/>
                <w:b w:val="0"/>
                <w:bCs w:val="0"/>
                <w:sz w:val="16"/>
                <w:szCs w:val="16"/>
              </w:rPr>
            </w:pPr>
          </w:p>
        </w:tc>
        <w:tc>
          <w:tcPr>
            <w:tcW w:w="923" w:type="dxa"/>
            <w:vMerge/>
          </w:tcPr>
          <w:p w14:paraId="1C1A9935" w14:textId="77777777" w:rsidR="00D6797D" w:rsidRPr="00D518FF" w:rsidRDefault="00D6797D" w:rsidP="00D6797D">
            <w:pPr>
              <w:pStyle w:val="Caption1"/>
              <w:spacing w:before="0" w:after="0"/>
              <w:rPr>
                <w:rFonts w:ascii="Aptos" w:hAnsi="Aptos"/>
                <w:b w:val="0"/>
                <w:bCs w:val="0"/>
                <w:sz w:val="16"/>
                <w:szCs w:val="16"/>
              </w:rPr>
            </w:pPr>
          </w:p>
        </w:tc>
        <w:tc>
          <w:tcPr>
            <w:tcW w:w="702" w:type="dxa"/>
          </w:tcPr>
          <w:p w14:paraId="43744006"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5DC901BE"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0354AE85"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Mean itch score – 8 weeks</w:t>
            </w:r>
          </w:p>
        </w:tc>
        <w:tc>
          <w:tcPr>
            <w:tcW w:w="1276" w:type="dxa"/>
          </w:tcPr>
          <w:p w14:paraId="62B7C548"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MD = 1.20 (0.02 to 2.38)</w:t>
            </w:r>
          </w:p>
        </w:tc>
        <w:tc>
          <w:tcPr>
            <w:tcW w:w="1319" w:type="dxa"/>
          </w:tcPr>
          <w:p w14:paraId="3F18585D" w14:textId="58B99FE3"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tcPr>
          <w:p w14:paraId="2402C646" w14:textId="77777777" w:rsidR="00D6797D" w:rsidRPr="00D518FF" w:rsidRDefault="00D6797D" w:rsidP="00D6797D">
            <w:pPr>
              <w:pStyle w:val="Caption1"/>
              <w:spacing w:before="0" w:after="0"/>
              <w:rPr>
                <w:rFonts w:ascii="Aptos" w:hAnsi="Aptos"/>
                <w:b w:val="0"/>
                <w:bCs w:val="0"/>
                <w:sz w:val="16"/>
                <w:szCs w:val="16"/>
              </w:rPr>
            </w:pPr>
          </w:p>
        </w:tc>
        <w:tc>
          <w:tcPr>
            <w:tcW w:w="917" w:type="dxa"/>
          </w:tcPr>
          <w:p w14:paraId="197D20C8" w14:textId="77777777"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Unclear risk</w:t>
            </w:r>
          </w:p>
        </w:tc>
      </w:tr>
      <w:tr w:rsidR="00D6797D" w:rsidRPr="00D518FF" w14:paraId="038C80BF" w14:textId="77777777" w:rsidTr="00F614C8">
        <w:trPr>
          <w:trHeight w:val="207"/>
        </w:trPr>
        <w:tc>
          <w:tcPr>
            <w:tcW w:w="598" w:type="dxa"/>
            <w:vMerge/>
          </w:tcPr>
          <w:p w14:paraId="14DB704D" w14:textId="77777777" w:rsidR="00D6797D" w:rsidRPr="00D518FF" w:rsidRDefault="00D6797D" w:rsidP="00D6797D">
            <w:pPr>
              <w:pStyle w:val="Caption1"/>
              <w:spacing w:before="0" w:after="0"/>
              <w:rPr>
                <w:rFonts w:ascii="Aptos" w:hAnsi="Aptos"/>
                <w:b w:val="0"/>
                <w:bCs w:val="0"/>
                <w:sz w:val="16"/>
                <w:szCs w:val="16"/>
              </w:rPr>
            </w:pPr>
          </w:p>
        </w:tc>
        <w:tc>
          <w:tcPr>
            <w:tcW w:w="712" w:type="dxa"/>
          </w:tcPr>
          <w:p w14:paraId="416FEB5A"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28" w:type="dxa"/>
          </w:tcPr>
          <w:p w14:paraId="7DA4AA1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tcPr>
          <w:p w14:paraId="311D4E3B" w14:textId="77777777" w:rsidR="00D6797D" w:rsidRPr="00D518FF" w:rsidRDefault="00D6797D" w:rsidP="00D6797D">
            <w:pPr>
              <w:pStyle w:val="Caption1"/>
              <w:spacing w:before="0" w:after="0"/>
              <w:rPr>
                <w:rFonts w:ascii="Aptos" w:hAnsi="Aptos"/>
                <w:b w:val="0"/>
                <w:bCs w:val="0"/>
                <w:sz w:val="16"/>
                <w:szCs w:val="16"/>
              </w:rPr>
            </w:pPr>
          </w:p>
        </w:tc>
        <w:tc>
          <w:tcPr>
            <w:tcW w:w="1190" w:type="dxa"/>
            <w:vMerge/>
          </w:tcPr>
          <w:p w14:paraId="4C4EF13E" w14:textId="77777777" w:rsidR="00D6797D" w:rsidRPr="00D518FF" w:rsidRDefault="00D6797D" w:rsidP="00D6797D">
            <w:pPr>
              <w:pStyle w:val="Caption1"/>
              <w:spacing w:before="0" w:after="0"/>
              <w:rPr>
                <w:rFonts w:ascii="Aptos" w:hAnsi="Aptos"/>
                <w:b w:val="0"/>
                <w:bCs w:val="0"/>
                <w:sz w:val="16"/>
                <w:szCs w:val="16"/>
              </w:rPr>
            </w:pPr>
          </w:p>
        </w:tc>
        <w:tc>
          <w:tcPr>
            <w:tcW w:w="950" w:type="dxa"/>
            <w:vMerge/>
          </w:tcPr>
          <w:p w14:paraId="0B89C020" w14:textId="77777777" w:rsidR="00D6797D" w:rsidRPr="00D518FF" w:rsidRDefault="00D6797D" w:rsidP="00D6797D">
            <w:pPr>
              <w:pStyle w:val="Caption1"/>
              <w:spacing w:before="0" w:after="0"/>
              <w:rPr>
                <w:rFonts w:ascii="Aptos" w:hAnsi="Aptos"/>
                <w:b w:val="0"/>
                <w:bCs w:val="0"/>
                <w:sz w:val="16"/>
                <w:szCs w:val="16"/>
              </w:rPr>
            </w:pPr>
          </w:p>
        </w:tc>
        <w:tc>
          <w:tcPr>
            <w:tcW w:w="923" w:type="dxa"/>
            <w:vMerge/>
          </w:tcPr>
          <w:p w14:paraId="3E9C54FB" w14:textId="77777777" w:rsidR="00D6797D" w:rsidRPr="00D518FF" w:rsidRDefault="00D6797D" w:rsidP="00D6797D">
            <w:pPr>
              <w:pStyle w:val="Caption1"/>
              <w:spacing w:before="0" w:after="0"/>
              <w:rPr>
                <w:rFonts w:ascii="Aptos" w:hAnsi="Aptos"/>
                <w:b w:val="0"/>
                <w:bCs w:val="0"/>
                <w:sz w:val="16"/>
                <w:szCs w:val="16"/>
              </w:rPr>
            </w:pPr>
          </w:p>
        </w:tc>
        <w:tc>
          <w:tcPr>
            <w:tcW w:w="702" w:type="dxa"/>
          </w:tcPr>
          <w:p w14:paraId="0E74F45B"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37CF125D"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1E00425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 xml:space="preserve">Erythema </w:t>
            </w:r>
            <w:r w:rsidRPr="00D518FF">
              <w:rPr>
                <w:rFonts w:ascii="Aptos" w:hAnsi="Aptos" w:cs="Calibri"/>
                <w:color w:val="000000"/>
                <w:sz w:val="16"/>
                <w:szCs w:val="16"/>
              </w:rPr>
              <w:t>−</w:t>
            </w:r>
            <w:r w:rsidRPr="00D518FF">
              <w:rPr>
                <w:rFonts w:ascii="Aptos" w:hAnsi="Aptos"/>
                <w:b w:val="0"/>
                <w:bCs w:val="0"/>
                <w:sz w:val="16"/>
                <w:szCs w:val="16"/>
              </w:rPr>
              <w:t xml:space="preserve"> 4 weeks</w:t>
            </w:r>
          </w:p>
        </w:tc>
        <w:tc>
          <w:tcPr>
            <w:tcW w:w="1276" w:type="dxa"/>
          </w:tcPr>
          <w:p w14:paraId="0AFCF0AD"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MD = 0.00 (</w:t>
            </w:r>
            <w:r w:rsidRPr="00D518FF">
              <w:rPr>
                <w:rFonts w:ascii="Aptos" w:hAnsi="Aptos" w:cs="Calibri"/>
                <w:color w:val="000000"/>
                <w:sz w:val="16"/>
                <w:szCs w:val="16"/>
              </w:rPr>
              <w:t>−</w:t>
            </w:r>
            <w:r w:rsidRPr="00D518FF">
              <w:rPr>
                <w:rFonts w:ascii="Aptos" w:hAnsi="Aptos"/>
                <w:b w:val="0"/>
                <w:bCs w:val="0"/>
                <w:sz w:val="16"/>
                <w:szCs w:val="16"/>
              </w:rPr>
              <w:t>0.53, 0.53)</w:t>
            </w:r>
          </w:p>
        </w:tc>
        <w:tc>
          <w:tcPr>
            <w:tcW w:w="1319" w:type="dxa"/>
          </w:tcPr>
          <w:p w14:paraId="24A9C8C2" w14:textId="6437A25A"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tcPr>
          <w:p w14:paraId="20877EE3" w14:textId="77777777" w:rsidR="00D6797D" w:rsidRPr="00D518FF" w:rsidRDefault="00D6797D" w:rsidP="00D6797D">
            <w:pPr>
              <w:pStyle w:val="Caption1"/>
              <w:spacing w:before="0" w:after="0"/>
              <w:rPr>
                <w:rFonts w:ascii="Aptos" w:hAnsi="Aptos"/>
                <w:b w:val="0"/>
                <w:bCs w:val="0"/>
                <w:sz w:val="16"/>
                <w:szCs w:val="16"/>
              </w:rPr>
            </w:pPr>
          </w:p>
        </w:tc>
        <w:tc>
          <w:tcPr>
            <w:tcW w:w="917" w:type="dxa"/>
          </w:tcPr>
          <w:p w14:paraId="091B9E17" w14:textId="77777777"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Unclear risk</w:t>
            </w:r>
          </w:p>
        </w:tc>
      </w:tr>
      <w:tr w:rsidR="00D6797D" w:rsidRPr="00D518FF" w14:paraId="05571415" w14:textId="77777777" w:rsidTr="00F614C8">
        <w:trPr>
          <w:trHeight w:val="207"/>
        </w:trPr>
        <w:tc>
          <w:tcPr>
            <w:tcW w:w="598" w:type="dxa"/>
            <w:vMerge/>
          </w:tcPr>
          <w:p w14:paraId="4033CF31" w14:textId="77777777" w:rsidR="00D6797D" w:rsidRPr="00D518FF" w:rsidRDefault="00D6797D" w:rsidP="00D6797D">
            <w:pPr>
              <w:pStyle w:val="Caption1"/>
              <w:spacing w:before="0" w:after="0"/>
              <w:rPr>
                <w:rFonts w:ascii="Aptos" w:hAnsi="Aptos"/>
                <w:b w:val="0"/>
                <w:bCs w:val="0"/>
                <w:sz w:val="16"/>
                <w:szCs w:val="16"/>
              </w:rPr>
            </w:pPr>
          </w:p>
        </w:tc>
        <w:tc>
          <w:tcPr>
            <w:tcW w:w="712" w:type="dxa"/>
          </w:tcPr>
          <w:p w14:paraId="1EA0604C"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28" w:type="dxa"/>
          </w:tcPr>
          <w:p w14:paraId="099B00C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39" w:type="dxa"/>
            <w:vMerge/>
          </w:tcPr>
          <w:p w14:paraId="1A78A7FC" w14:textId="77777777" w:rsidR="00D6797D" w:rsidRPr="00D518FF" w:rsidRDefault="00D6797D" w:rsidP="00D6797D">
            <w:pPr>
              <w:pStyle w:val="Caption1"/>
              <w:spacing w:before="0" w:after="0"/>
              <w:rPr>
                <w:rFonts w:ascii="Aptos" w:hAnsi="Aptos"/>
                <w:b w:val="0"/>
                <w:bCs w:val="0"/>
                <w:sz w:val="16"/>
                <w:szCs w:val="16"/>
              </w:rPr>
            </w:pPr>
          </w:p>
        </w:tc>
        <w:tc>
          <w:tcPr>
            <w:tcW w:w="1190" w:type="dxa"/>
            <w:vMerge/>
          </w:tcPr>
          <w:p w14:paraId="21D1270C" w14:textId="77777777" w:rsidR="00D6797D" w:rsidRPr="00D518FF" w:rsidRDefault="00D6797D" w:rsidP="00D6797D">
            <w:pPr>
              <w:pStyle w:val="Caption1"/>
              <w:spacing w:before="0" w:after="0"/>
              <w:rPr>
                <w:rFonts w:ascii="Aptos" w:hAnsi="Aptos"/>
                <w:b w:val="0"/>
                <w:bCs w:val="0"/>
                <w:sz w:val="16"/>
                <w:szCs w:val="16"/>
              </w:rPr>
            </w:pPr>
          </w:p>
        </w:tc>
        <w:tc>
          <w:tcPr>
            <w:tcW w:w="950" w:type="dxa"/>
            <w:vMerge/>
          </w:tcPr>
          <w:p w14:paraId="6FD3A92F" w14:textId="77777777" w:rsidR="00D6797D" w:rsidRPr="00D518FF" w:rsidRDefault="00D6797D" w:rsidP="00D6797D">
            <w:pPr>
              <w:pStyle w:val="Caption1"/>
              <w:spacing w:before="0" w:after="0"/>
              <w:rPr>
                <w:rFonts w:ascii="Aptos" w:hAnsi="Aptos"/>
                <w:b w:val="0"/>
                <w:bCs w:val="0"/>
                <w:sz w:val="16"/>
                <w:szCs w:val="16"/>
              </w:rPr>
            </w:pPr>
          </w:p>
        </w:tc>
        <w:tc>
          <w:tcPr>
            <w:tcW w:w="923" w:type="dxa"/>
            <w:vMerge/>
          </w:tcPr>
          <w:p w14:paraId="260E6843" w14:textId="77777777" w:rsidR="00D6797D" w:rsidRPr="00D518FF" w:rsidRDefault="00D6797D" w:rsidP="00D6797D">
            <w:pPr>
              <w:pStyle w:val="Caption1"/>
              <w:spacing w:before="0" w:after="0"/>
              <w:rPr>
                <w:rFonts w:ascii="Aptos" w:hAnsi="Aptos"/>
                <w:b w:val="0"/>
                <w:bCs w:val="0"/>
                <w:sz w:val="16"/>
                <w:szCs w:val="16"/>
              </w:rPr>
            </w:pPr>
          </w:p>
        </w:tc>
        <w:tc>
          <w:tcPr>
            <w:tcW w:w="702" w:type="dxa"/>
          </w:tcPr>
          <w:p w14:paraId="11C2934E"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17" w:type="dxa"/>
          </w:tcPr>
          <w:p w14:paraId="7099DD51"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1408" w:type="dxa"/>
          </w:tcPr>
          <w:p w14:paraId="59CC5F4A"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Erythema – 8 weeks</w:t>
            </w:r>
          </w:p>
        </w:tc>
        <w:tc>
          <w:tcPr>
            <w:tcW w:w="1276" w:type="dxa"/>
          </w:tcPr>
          <w:p w14:paraId="10708542" w14:textId="77777777" w:rsidR="00D6797D" w:rsidRPr="00D518FF" w:rsidRDefault="00D6797D" w:rsidP="00D6797D">
            <w:pPr>
              <w:pStyle w:val="Caption1"/>
              <w:spacing w:before="0" w:after="0"/>
              <w:rPr>
                <w:rFonts w:ascii="Aptos" w:hAnsi="Aptos"/>
                <w:b w:val="0"/>
                <w:bCs w:val="0"/>
                <w:sz w:val="16"/>
                <w:szCs w:val="16"/>
              </w:rPr>
            </w:pPr>
            <w:r w:rsidRPr="00D518FF">
              <w:rPr>
                <w:rFonts w:ascii="Aptos" w:hAnsi="Aptos"/>
                <w:b w:val="0"/>
                <w:bCs w:val="0"/>
                <w:sz w:val="16"/>
                <w:szCs w:val="16"/>
              </w:rPr>
              <w:t>MD = 0.50 (</w:t>
            </w:r>
            <w:r w:rsidRPr="00D518FF">
              <w:rPr>
                <w:rFonts w:ascii="Aptos" w:hAnsi="Aptos" w:cs="Calibri"/>
                <w:color w:val="000000"/>
                <w:sz w:val="16"/>
                <w:szCs w:val="16"/>
              </w:rPr>
              <w:t>−</w:t>
            </w:r>
            <w:r w:rsidRPr="00D518FF">
              <w:rPr>
                <w:rFonts w:ascii="Aptos" w:hAnsi="Aptos"/>
                <w:b w:val="0"/>
                <w:bCs w:val="0"/>
                <w:sz w:val="16"/>
                <w:szCs w:val="16"/>
              </w:rPr>
              <w:t>0.04, 1.04)</w:t>
            </w:r>
          </w:p>
        </w:tc>
        <w:tc>
          <w:tcPr>
            <w:tcW w:w="1319" w:type="dxa"/>
          </w:tcPr>
          <w:p w14:paraId="47B4F39E" w14:textId="455C3D32"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NR</w:t>
            </w:r>
          </w:p>
        </w:tc>
        <w:tc>
          <w:tcPr>
            <w:tcW w:w="1666" w:type="dxa"/>
            <w:vMerge/>
          </w:tcPr>
          <w:p w14:paraId="03F2C88C" w14:textId="77777777" w:rsidR="00D6797D" w:rsidRPr="00D518FF" w:rsidRDefault="00D6797D" w:rsidP="00D6797D">
            <w:pPr>
              <w:pStyle w:val="Caption1"/>
              <w:spacing w:before="0" w:after="0"/>
              <w:rPr>
                <w:rFonts w:ascii="Aptos" w:hAnsi="Aptos"/>
                <w:b w:val="0"/>
                <w:bCs w:val="0"/>
                <w:sz w:val="16"/>
                <w:szCs w:val="16"/>
              </w:rPr>
            </w:pPr>
          </w:p>
        </w:tc>
        <w:tc>
          <w:tcPr>
            <w:tcW w:w="917" w:type="dxa"/>
          </w:tcPr>
          <w:p w14:paraId="140455AA" w14:textId="77777777" w:rsidR="00D6797D" w:rsidRPr="00D518FF" w:rsidRDefault="00D6797D" w:rsidP="00D6797D">
            <w:pPr>
              <w:pStyle w:val="Caption1"/>
              <w:spacing w:before="0" w:after="0"/>
              <w:rPr>
                <w:rFonts w:ascii="Aptos" w:hAnsi="Aptos"/>
                <w:b w:val="0"/>
                <w:bCs w:val="0"/>
                <w:sz w:val="16"/>
                <w:szCs w:val="16"/>
              </w:rPr>
            </w:pPr>
            <w:r>
              <w:rPr>
                <w:rFonts w:ascii="Aptos" w:hAnsi="Aptos"/>
                <w:b w:val="0"/>
                <w:bCs w:val="0"/>
                <w:sz w:val="16"/>
                <w:szCs w:val="16"/>
              </w:rPr>
              <w:t>Unclear risk</w:t>
            </w:r>
          </w:p>
        </w:tc>
      </w:tr>
    </w:tbl>
    <w:p w14:paraId="648CF643" w14:textId="0E41CF11" w:rsidR="007A13AB" w:rsidRPr="00D518FF" w:rsidRDefault="007A13AB" w:rsidP="007A13AB">
      <w:pPr>
        <w:pStyle w:val="Caption1"/>
        <w:spacing w:before="0" w:after="0"/>
        <w:rPr>
          <w:rFonts w:ascii="Aptos" w:hAnsi="Aptos"/>
          <w:b w:val="0"/>
          <w:bCs w:val="0"/>
          <w:sz w:val="16"/>
          <w:szCs w:val="16"/>
        </w:rPr>
      </w:pPr>
      <w:r w:rsidRPr="00D518FF">
        <w:rPr>
          <w:rFonts w:ascii="Aptos" w:hAnsi="Aptos"/>
          <w:b w:val="0"/>
          <w:bCs w:val="0"/>
          <w:sz w:val="16"/>
          <w:szCs w:val="16"/>
        </w:rPr>
        <w:t>Abbreviations: AD=atopic dermatitis</w:t>
      </w:r>
      <w:r w:rsidR="003844E0">
        <w:rPr>
          <w:rFonts w:ascii="Aptos" w:hAnsi="Aptos"/>
          <w:b w:val="0"/>
          <w:bCs w:val="0"/>
          <w:sz w:val="16"/>
          <w:szCs w:val="16"/>
        </w:rPr>
        <w:t xml:space="preserve">; </w:t>
      </w:r>
      <w:r w:rsidRPr="00D518FF">
        <w:rPr>
          <w:rFonts w:ascii="Aptos" w:hAnsi="Aptos"/>
          <w:b w:val="0"/>
          <w:bCs w:val="0"/>
          <w:sz w:val="16"/>
          <w:szCs w:val="16"/>
        </w:rPr>
        <w:t>CI=Confidence Interval</w:t>
      </w:r>
      <w:r w:rsidR="003844E0">
        <w:rPr>
          <w:rFonts w:ascii="Aptos" w:hAnsi="Aptos"/>
          <w:b w:val="0"/>
          <w:bCs w:val="0"/>
          <w:sz w:val="16"/>
          <w:szCs w:val="16"/>
        </w:rPr>
        <w:t xml:space="preserve">; MD=mean difference; NS=not significant; </w:t>
      </w:r>
      <w:r w:rsidR="00106ED7">
        <w:rPr>
          <w:rFonts w:ascii="Aptos" w:hAnsi="Aptos"/>
          <w:b w:val="0"/>
          <w:bCs w:val="0"/>
          <w:sz w:val="16"/>
          <w:szCs w:val="16"/>
        </w:rPr>
        <w:t>NR=Not reported</w:t>
      </w:r>
    </w:p>
    <w:p w14:paraId="0ED06313" w14:textId="77777777" w:rsidR="007A13AB" w:rsidRPr="00D518FF" w:rsidRDefault="007A13AB" w:rsidP="007A13AB">
      <w:pPr>
        <w:pStyle w:val="Caption1"/>
        <w:spacing w:before="0" w:after="0"/>
        <w:rPr>
          <w:rFonts w:ascii="Aptos" w:hAnsi="Aptos"/>
          <w:b w:val="0"/>
          <w:bCs w:val="0"/>
          <w:sz w:val="16"/>
          <w:szCs w:val="16"/>
        </w:rPr>
      </w:pPr>
    </w:p>
    <w:p w14:paraId="6B75979B" w14:textId="77777777" w:rsidR="007A13AB" w:rsidRPr="00D518FF" w:rsidRDefault="007A13AB" w:rsidP="007A13AB">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19460EFF" w14:textId="77777777" w:rsidR="007A13AB" w:rsidRPr="00D518FF" w:rsidRDefault="007A13AB" w:rsidP="00A4650A">
      <w:pPr>
        <w:pStyle w:val="ListParagraph"/>
        <w:numPr>
          <w:ilvl w:val="0"/>
          <w:numId w:val="2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severity of condition/improvement of symptoms</w:t>
      </w:r>
    </w:p>
    <w:p w14:paraId="2FB9FF84" w14:textId="77777777" w:rsidR="007A13AB" w:rsidRPr="00D518FF" w:rsidRDefault="007A13AB" w:rsidP="00A4650A">
      <w:pPr>
        <w:pStyle w:val="ListParagraph"/>
        <w:numPr>
          <w:ilvl w:val="0"/>
          <w:numId w:val="2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0D8C2B3F" w14:textId="77777777" w:rsidR="007A13AB" w:rsidRPr="00D518FF" w:rsidRDefault="007A13AB" w:rsidP="00A4650A">
      <w:pPr>
        <w:pStyle w:val="ListParagraph"/>
        <w:numPr>
          <w:ilvl w:val="0"/>
          <w:numId w:val="2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Long-term measure of control of disease</w:t>
      </w:r>
    </w:p>
    <w:p w14:paraId="5563BD84" w14:textId="77777777" w:rsidR="007A13AB" w:rsidRPr="00D518FF" w:rsidRDefault="007A13AB" w:rsidP="00A4650A">
      <w:pPr>
        <w:pStyle w:val="ListParagraph"/>
        <w:numPr>
          <w:ilvl w:val="0"/>
          <w:numId w:val="2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Individual changes in symptoms (including degree of redness of skin, day</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time itch, anterior rhinorrhoea (runny nose): where a study reports 'rhinorrhoea' as the outcome, in the absence of a definition within the paper we assumed that this measured anterior rhinorrhoea. Where the authors reported a combined outcome for anterior and posterior rhinorrhoea and we were not able to obtain individual results, we recorded this as a combined 'anterior and posterior rhinorrhoea' category; posterior rhinorrhoea (post</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nasal drip); nasal blockage or congestion or obstruction; nasal itching; sneezing)</w:t>
      </w:r>
    </w:p>
    <w:p w14:paraId="6E6A628B" w14:textId="77777777" w:rsidR="007A13AB" w:rsidRDefault="007A13AB" w:rsidP="00A4650A">
      <w:pPr>
        <w:pStyle w:val="ListParagraph"/>
        <w:numPr>
          <w:ilvl w:val="0"/>
          <w:numId w:val="2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Physical function/ disability (return to work/school)</w:t>
      </w:r>
    </w:p>
    <w:p w14:paraId="19273B2A" w14:textId="77777777" w:rsidR="0000409D" w:rsidRPr="00D518FF" w:rsidRDefault="0000409D" w:rsidP="0000409D">
      <w:pPr>
        <w:pStyle w:val="ListParagraph"/>
        <w:rPr>
          <w:rFonts w:ascii="Aptos" w:hAnsi="Aptos" w:cs="Arial"/>
          <w:color w:val="000000" w:themeColor="text1"/>
          <w:kern w:val="0"/>
          <w:sz w:val="16"/>
          <w:szCs w:val="16"/>
          <w14:ligatures w14:val="none"/>
        </w:rPr>
      </w:pPr>
    </w:p>
    <w:p w14:paraId="5E0E7486" w14:textId="3F50CCC0" w:rsidR="009E4D3F" w:rsidRPr="00D518FF" w:rsidRDefault="00CC7C3B" w:rsidP="00AA694C">
      <w:pPr>
        <w:pStyle w:val="Caption"/>
        <w:rPr>
          <w:rFonts w:ascii="Aptos" w:hAnsi="Aptos"/>
        </w:rPr>
      </w:pPr>
      <w:bookmarkStart w:id="197" w:name="_Toc185254581"/>
      <w:r w:rsidRPr="00F614C8">
        <w:rPr>
          <w:rFonts w:ascii="Aptos" w:hAnsi="Aptos"/>
        </w:rPr>
        <w:lastRenderedPageBreak/>
        <w:t xml:space="preserve">Table </w:t>
      </w:r>
      <w:r w:rsidR="003B0594" w:rsidRPr="00F614C8">
        <w:rPr>
          <w:rFonts w:ascii="Aptos" w:hAnsi="Aptos"/>
        </w:rPr>
        <w:fldChar w:fldCharType="begin" w:fldLock="1"/>
      </w:r>
      <w:r w:rsidR="003B0594" w:rsidRPr="00F614C8">
        <w:rPr>
          <w:rFonts w:ascii="Aptos" w:hAnsi="Aptos"/>
        </w:rPr>
        <w:instrText xml:space="preserve"> STYLEREF 1 \s </w:instrText>
      </w:r>
      <w:r w:rsidR="003B0594" w:rsidRPr="00F614C8">
        <w:rPr>
          <w:rFonts w:ascii="Aptos" w:hAnsi="Aptos"/>
        </w:rPr>
        <w:fldChar w:fldCharType="separate"/>
      </w:r>
      <w:r w:rsidR="003B0594" w:rsidRPr="00F614C8">
        <w:rPr>
          <w:rFonts w:ascii="Aptos" w:hAnsi="Aptos"/>
        </w:rPr>
        <w:t>E</w:t>
      </w:r>
      <w:r w:rsidR="003B0594"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9</w:t>
      </w:r>
      <w:r w:rsidR="003B0594" w:rsidRPr="00F614C8">
        <w:rPr>
          <w:rFonts w:ascii="Aptos" w:hAnsi="Aptos"/>
        </w:rPr>
        <w:fldChar w:fldCharType="end"/>
      </w:r>
      <w:r w:rsidR="009E4D3F" w:rsidRPr="00D518FF">
        <w:rPr>
          <w:rFonts w:ascii="Aptos" w:hAnsi="Aptos"/>
        </w:rPr>
        <w:t xml:space="preserve">. Results of included </w:t>
      </w:r>
      <w:r w:rsidR="0000409D">
        <w:rPr>
          <w:rFonts w:ascii="Aptos" w:hAnsi="Aptos"/>
        </w:rPr>
        <w:t xml:space="preserve">(non-preferred) </w:t>
      </w:r>
      <w:r w:rsidR="009E4D3F" w:rsidRPr="00D518FF">
        <w:rPr>
          <w:rFonts w:ascii="Aptos" w:hAnsi="Aptos"/>
        </w:rPr>
        <w:t>reviews by outcome domain – atopic disorders (including eczema, dermatitis, allergic rhinitis, allergies), zinc</w:t>
      </w:r>
      <w:r w:rsidR="004E354F">
        <w:rPr>
          <w:rFonts w:ascii="Aptos" w:hAnsi="Aptos"/>
        </w:rPr>
        <w:t>.</w:t>
      </w:r>
      <w:bookmarkEnd w:id="197"/>
      <w:r w:rsidR="004E354F">
        <w:rPr>
          <w:rFonts w:ascii="Aptos" w:hAnsi="Aptos"/>
        </w:rPr>
        <w:t xml:space="preserve"> </w:t>
      </w:r>
    </w:p>
    <w:tbl>
      <w:tblPr>
        <w:tblStyle w:val="TableGrid"/>
        <w:tblW w:w="14245" w:type="dxa"/>
        <w:tblCellMar>
          <w:top w:w="28" w:type="dxa"/>
          <w:left w:w="57" w:type="dxa"/>
          <w:bottom w:w="28" w:type="dxa"/>
          <w:right w:w="0" w:type="dxa"/>
        </w:tblCellMar>
        <w:tblLook w:val="04A0" w:firstRow="1" w:lastRow="0" w:firstColumn="1" w:lastColumn="0" w:noHBand="0" w:noVBand="1"/>
      </w:tblPr>
      <w:tblGrid>
        <w:gridCol w:w="662"/>
        <w:gridCol w:w="736"/>
        <w:gridCol w:w="853"/>
        <w:gridCol w:w="861"/>
        <w:gridCol w:w="1216"/>
        <w:gridCol w:w="993"/>
        <w:gridCol w:w="942"/>
        <w:gridCol w:w="728"/>
        <w:gridCol w:w="943"/>
        <w:gridCol w:w="896"/>
        <w:gridCol w:w="698"/>
        <w:gridCol w:w="2787"/>
        <w:gridCol w:w="984"/>
        <w:gridCol w:w="946"/>
      </w:tblGrid>
      <w:tr w:rsidR="002E26BE" w:rsidRPr="00D518FF" w14:paraId="1E5B18B1" w14:textId="3687B071" w:rsidTr="00F614C8">
        <w:trPr>
          <w:trHeight w:val="97"/>
        </w:trPr>
        <w:tc>
          <w:tcPr>
            <w:tcW w:w="663" w:type="dxa"/>
            <w:vMerge w:val="restart"/>
            <w:shd w:val="clear" w:color="auto" w:fill="D9D9D9" w:themeFill="background1" w:themeFillShade="D9"/>
          </w:tcPr>
          <w:p w14:paraId="6B99325C"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Review ID</w:t>
            </w:r>
          </w:p>
        </w:tc>
        <w:tc>
          <w:tcPr>
            <w:tcW w:w="716" w:type="dxa"/>
            <w:vMerge w:val="restart"/>
            <w:shd w:val="clear" w:color="auto" w:fill="D9D9D9" w:themeFill="background1" w:themeFillShade="D9"/>
          </w:tcPr>
          <w:p w14:paraId="6F2DF306"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Outcome domain</w:t>
            </w:r>
          </w:p>
        </w:tc>
        <w:tc>
          <w:tcPr>
            <w:tcW w:w="835" w:type="dxa"/>
            <w:vMerge w:val="restart"/>
            <w:shd w:val="clear" w:color="auto" w:fill="D9D9D9" w:themeFill="background1" w:themeFillShade="D9"/>
          </w:tcPr>
          <w:p w14:paraId="50D113E8"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Population group</w:t>
            </w:r>
          </w:p>
        </w:tc>
        <w:tc>
          <w:tcPr>
            <w:tcW w:w="862" w:type="dxa"/>
            <w:vMerge w:val="restart"/>
            <w:shd w:val="clear" w:color="auto" w:fill="D9D9D9" w:themeFill="background1" w:themeFillShade="D9"/>
          </w:tcPr>
          <w:p w14:paraId="7FF58651"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Population details</w:t>
            </w:r>
          </w:p>
        </w:tc>
        <w:tc>
          <w:tcPr>
            <w:tcW w:w="1196" w:type="dxa"/>
            <w:vMerge w:val="restart"/>
            <w:shd w:val="clear" w:color="auto" w:fill="D9D9D9" w:themeFill="background1" w:themeFillShade="D9"/>
          </w:tcPr>
          <w:p w14:paraId="092EC5DE"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Type of comparison</w:t>
            </w:r>
          </w:p>
        </w:tc>
        <w:tc>
          <w:tcPr>
            <w:tcW w:w="996" w:type="dxa"/>
            <w:vMerge w:val="restart"/>
            <w:shd w:val="clear" w:color="auto" w:fill="D9D9D9" w:themeFill="background1" w:themeFillShade="D9"/>
          </w:tcPr>
          <w:p w14:paraId="62699376"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Intervention description</w:t>
            </w:r>
          </w:p>
        </w:tc>
        <w:tc>
          <w:tcPr>
            <w:tcW w:w="939" w:type="dxa"/>
            <w:vMerge w:val="restart"/>
            <w:shd w:val="clear" w:color="auto" w:fill="D9D9D9" w:themeFill="background1" w:themeFillShade="D9"/>
          </w:tcPr>
          <w:p w14:paraId="074B1074"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Comparator description</w:t>
            </w:r>
          </w:p>
        </w:tc>
        <w:tc>
          <w:tcPr>
            <w:tcW w:w="708" w:type="dxa"/>
            <w:vMerge w:val="restart"/>
            <w:shd w:val="clear" w:color="auto" w:fill="D9D9D9" w:themeFill="background1" w:themeFillShade="D9"/>
          </w:tcPr>
          <w:p w14:paraId="65C2EBE9"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No/types of included studies</w:t>
            </w:r>
          </w:p>
        </w:tc>
        <w:tc>
          <w:tcPr>
            <w:tcW w:w="923" w:type="dxa"/>
            <w:vMerge w:val="restart"/>
            <w:shd w:val="clear" w:color="auto" w:fill="D9D9D9" w:themeFill="background1" w:themeFillShade="D9"/>
          </w:tcPr>
          <w:p w14:paraId="01E12536"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No of participants (total)</w:t>
            </w:r>
          </w:p>
        </w:tc>
        <w:tc>
          <w:tcPr>
            <w:tcW w:w="897" w:type="dxa"/>
            <w:vMerge w:val="restart"/>
            <w:shd w:val="clear" w:color="auto" w:fill="D9D9D9" w:themeFill="background1" w:themeFillShade="D9"/>
          </w:tcPr>
          <w:p w14:paraId="355D3ABF" w14:textId="77777777"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Outcome measure(s) used</w:t>
            </w:r>
          </w:p>
        </w:tc>
        <w:tc>
          <w:tcPr>
            <w:tcW w:w="4593" w:type="dxa"/>
            <w:gridSpan w:val="3"/>
            <w:shd w:val="clear" w:color="auto" w:fill="D9D9D9" w:themeFill="background1" w:themeFillShade="D9"/>
          </w:tcPr>
          <w:p w14:paraId="54A378B8" w14:textId="08C2A1C9" w:rsidR="002E26BE" w:rsidRPr="00D518FF" w:rsidRDefault="002E26BE" w:rsidP="002E26BE">
            <w:pPr>
              <w:pStyle w:val="Caption1"/>
              <w:spacing w:before="0" w:after="0"/>
              <w:rPr>
                <w:rFonts w:ascii="Aptos" w:hAnsi="Aptos"/>
                <w:sz w:val="16"/>
                <w:szCs w:val="16"/>
              </w:rPr>
            </w:pPr>
            <w:r w:rsidRPr="00D518FF">
              <w:rPr>
                <w:rFonts w:ascii="Aptos" w:hAnsi="Aptos"/>
                <w:sz w:val="16"/>
                <w:szCs w:val="16"/>
              </w:rPr>
              <w:t>Results</w:t>
            </w:r>
          </w:p>
        </w:tc>
        <w:tc>
          <w:tcPr>
            <w:tcW w:w="917" w:type="dxa"/>
            <w:vMerge w:val="restart"/>
            <w:shd w:val="clear" w:color="auto" w:fill="D9D9D9" w:themeFill="background1" w:themeFillShade="D9"/>
          </w:tcPr>
          <w:p w14:paraId="0E88B7FE" w14:textId="0960FF40" w:rsidR="002E26BE" w:rsidRPr="00D518FF" w:rsidRDefault="002E26BE" w:rsidP="002E26BE">
            <w:pPr>
              <w:pStyle w:val="Caption1"/>
              <w:spacing w:before="0" w:after="0"/>
              <w:rPr>
                <w:rFonts w:ascii="Aptos" w:hAnsi="Aptos"/>
                <w:sz w:val="16"/>
                <w:szCs w:val="16"/>
              </w:rPr>
            </w:pPr>
            <w:r w:rsidRPr="00D46B15">
              <w:rPr>
                <w:rFonts w:ascii="Aptos" w:hAnsi="Aptos"/>
                <w:sz w:val="16"/>
                <w:szCs w:val="16"/>
              </w:rPr>
              <w:t>ROBIS assessment (for the review overall)</w:t>
            </w:r>
          </w:p>
        </w:tc>
      </w:tr>
      <w:tr w:rsidR="001B4432" w:rsidRPr="00D518FF" w14:paraId="39931D14" w14:textId="5BA3359E" w:rsidTr="00F614C8">
        <w:trPr>
          <w:trHeight w:val="97"/>
        </w:trPr>
        <w:tc>
          <w:tcPr>
            <w:tcW w:w="663" w:type="dxa"/>
            <w:vMerge/>
            <w:shd w:val="clear" w:color="auto" w:fill="D9D9D9" w:themeFill="background1" w:themeFillShade="D9"/>
          </w:tcPr>
          <w:p w14:paraId="27CEFCB8" w14:textId="77777777" w:rsidR="00D46B15" w:rsidRPr="00D518FF" w:rsidRDefault="00D46B15" w:rsidP="00D46B15">
            <w:pPr>
              <w:pStyle w:val="Caption1"/>
              <w:spacing w:before="0" w:after="0"/>
              <w:rPr>
                <w:rFonts w:ascii="Aptos" w:hAnsi="Aptos"/>
                <w:sz w:val="16"/>
                <w:szCs w:val="16"/>
              </w:rPr>
            </w:pPr>
          </w:p>
        </w:tc>
        <w:tc>
          <w:tcPr>
            <w:tcW w:w="716" w:type="dxa"/>
            <w:vMerge/>
            <w:shd w:val="clear" w:color="auto" w:fill="D9D9D9" w:themeFill="background1" w:themeFillShade="D9"/>
          </w:tcPr>
          <w:p w14:paraId="4AC1DE15" w14:textId="77777777" w:rsidR="00D46B15" w:rsidRPr="00D518FF" w:rsidRDefault="00D46B15" w:rsidP="00D46B15">
            <w:pPr>
              <w:pStyle w:val="Caption1"/>
              <w:spacing w:before="0" w:after="0"/>
              <w:rPr>
                <w:rFonts w:ascii="Aptos" w:hAnsi="Aptos"/>
                <w:sz w:val="16"/>
                <w:szCs w:val="16"/>
              </w:rPr>
            </w:pPr>
          </w:p>
        </w:tc>
        <w:tc>
          <w:tcPr>
            <w:tcW w:w="835" w:type="dxa"/>
            <w:vMerge/>
            <w:shd w:val="clear" w:color="auto" w:fill="D9D9D9" w:themeFill="background1" w:themeFillShade="D9"/>
          </w:tcPr>
          <w:p w14:paraId="0A71B129" w14:textId="77777777" w:rsidR="00D46B15" w:rsidRPr="00D518FF" w:rsidRDefault="00D46B15" w:rsidP="00D46B15">
            <w:pPr>
              <w:pStyle w:val="Caption1"/>
              <w:spacing w:before="0" w:after="0"/>
              <w:rPr>
                <w:rFonts w:ascii="Aptos" w:hAnsi="Aptos"/>
                <w:sz w:val="16"/>
                <w:szCs w:val="16"/>
              </w:rPr>
            </w:pPr>
          </w:p>
        </w:tc>
        <w:tc>
          <w:tcPr>
            <w:tcW w:w="862" w:type="dxa"/>
            <w:vMerge/>
            <w:shd w:val="clear" w:color="auto" w:fill="D9D9D9" w:themeFill="background1" w:themeFillShade="D9"/>
          </w:tcPr>
          <w:p w14:paraId="46A62A17" w14:textId="77777777" w:rsidR="00D46B15" w:rsidRPr="00D518FF" w:rsidRDefault="00D46B15" w:rsidP="00D46B15">
            <w:pPr>
              <w:pStyle w:val="Caption1"/>
              <w:spacing w:before="0" w:after="0"/>
              <w:rPr>
                <w:rFonts w:ascii="Aptos" w:hAnsi="Aptos"/>
                <w:sz w:val="16"/>
                <w:szCs w:val="16"/>
              </w:rPr>
            </w:pPr>
          </w:p>
        </w:tc>
        <w:tc>
          <w:tcPr>
            <w:tcW w:w="1196" w:type="dxa"/>
            <w:vMerge/>
            <w:shd w:val="clear" w:color="auto" w:fill="D9D9D9" w:themeFill="background1" w:themeFillShade="D9"/>
          </w:tcPr>
          <w:p w14:paraId="6FA99709" w14:textId="77777777" w:rsidR="00D46B15" w:rsidRPr="00D518FF" w:rsidRDefault="00D46B15" w:rsidP="00D46B15">
            <w:pPr>
              <w:pStyle w:val="Caption1"/>
              <w:spacing w:before="0" w:after="0"/>
              <w:rPr>
                <w:rFonts w:ascii="Aptos" w:hAnsi="Aptos"/>
                <w:sz w:val="16"/>
                <w:szCs w:val="16"/>
              </w:rPr>
            </w:pPr>
          </w:p>
        </w:tc>
        <w:tc>
          <w:tcPr>
            <w:tcW w:w="996" w:type="dxa"/>
            <w:vMerge/>
            <w:shd w:val="clear" w:color="auto" w:fill="D9D9D9" w:themeFill="background1" w:themeFillShade="D9"/>
          </w:tcPr>
          <w:p w14:paraId="58141693" w14:textId="77777777" w:rsidR="00D46B15" w:rsidRPr="00D518FF" w:rsidRDefault="00D46B15" w:rsidP="00D46B15">
            <w:pPr>
              <w:pStyle w:val="Caption1"/>
              <w:spacing w:before="0" w:after="0"/>
              <w:rPr>
                <w:rFonts w:ascii="Aptos" w:hAnsi="Aptos"/>
                <w:sz w:val="16"/>
                <w:szCs w:val="16"/>
              </w:rPr>
            </w:pPr>
          </w:p>
        </w:tc>
        <w:tc>
          <w:tcPr>
            <w:tcW w:w="939" w:type="dxa"/>
            <w:vMerge/>
            <w:shd w:val="clear" w:color="auto" w:fill="D9D9D9" w:themeFill="background1" w:themeFillShade="D9"/>
          </w:tcPr>
          <w:p w14:paraId="15B2EB3C" w14:textId="77777777" w:rsidR="00D46B15" w:rsidRPr="00D518FF" w:rsidRDefault="00D46B15" w:rsidP="00D46B15">
            <w:pPr>
              <w:pStyle w:val="Caption1"/>
              <w:spacing w:before="0" w:after="0"/>
              <w:rPr>
                <w:rFonts w:ascii="Aptos" w:hAnsi="Aptos"/>
                <w:sz w:val="16"/>
                <w:szCs w:val="16"/>
              </w:rPr>
            </w:pPr>
          </w:p>
        </w:tc>
        <w:tc>
          <w:tcPr>
            <w:tcW w:w="708" w:type="dxa"/>
            <w:vMerge/>
            <w:shd w:val="clear" w:color="auto" w:fill="D9D9D9" w:themeFill="background1" w:themeFillShade="D9"/>
          </w:tcPr>
          <w:p w14:paraId="0BF70A82" w14:textId="77777777" w:rsidR="00D46B15" w:rsidRPr="00D518FF" w:rsidRDefault="00D46B15" w:rsidP="00D46B15">
            <w:pPr>
              <w:pStyle w:val="Caption1"/>
              <w:spacing w:before="0" w:after="0"/>
              <w:rPr>
                <w:rFonts w:ascii="Aptos" w:hAnsi="Aptos"/>
                <w:sz w:val="16"/>
                <w:szCs w:val="16"/>
              </w:rPr>
            </w:pPr>
          </w:p>
        </w:tc>
        <w:tc>
          <w:tcPr>
            <w:tcW w:w="923" w:type="dxa"/>
            <w:vMerge/>
            <w:shd w:val="clear" w:color="auto" w:fill="D9D9D9" w:themeFill="background1" w:themeFillShade="D9"/>
          </w:tcPr>
          <w:p w14:paraId="1F5AC910" w14:textId="77777777" w:rsidR="00D46B15" w:rsidRPr="00D518FF" w:rsidRDefault="00D46B15" w:rsidP="00D46B15">
            <w:pPr>
              <w:pStyle w:val="Caption1"/>
              <w:spacing w:before="0" w:after="0"/>
              <w:rPr>
                <w:rFonts w:ascii="Aptos" w:hAnsi="Aptos"/>
                <w:sz w:val="16"/>
                <w:szCs w:val="16"/>
              </w:rPr>
            </w:pPr>
          </w:p>
        </w:tc>
        <w:tc>
          <w:tcPr>
            <w:tcW w:w="897" w:type="dxa"/>
            <w:vMerge/>
            <w:shd w:val="clear" w:color="auto" w:fill="D9D9D9" w:themeFill="background1" w:themeFillShade="D9"/>
          </w:tcPr>
          <w:p w14:paraId="78E02840" w14:textId="77777777" w:rsidR="00D46B15" w:rsidRPr="00D518FF" w:rsidRDefault="00D46B15" w:rsidP="00D46B15">
            <w:pPr>
              <w:pStyle w:val="Caption1"/>
              <w:spacing w:before="0" w:after="0"/>
              <w:rPr>
                <w:rFonts w:ascii="Aptos" w:hAnsi="Aptos"/>
                <w:sz w:val="16"/>
                <w:szCs w:val="16"/>
              </w:rPr>
            </w:pPr>
          </w:p>
        </w:tc>
        <w:tc>
          <w:tcPr>
            <w:tcW w:w="701" w:type="dxa"/>
            <w:shd w:val="clear" w:color="auto" w:fill="D9D9D9" w:themeFill="background1" w:themeFillShade="D9"/>
          </w:tcPr>
          <w:p w14:paraId="4A751D5B" w14:textId="77777777" w:rsidR="00D46B15" w:rsidRPr="00D518FF" w:rsidRDefault="00D46B15" w:rsidP="00D46B15">
            <w:pPr>
              <w:pStyle w:val="Caption1"/>
              <w:spacing w:before="0" w:after="0"/>
              <w:rPr>
                <w:rFonts w:ascii="Aptos" w:hAnsi="Aptos"/>
                <w:sz w:val="16"/>
                <w:szCs w:val="16"/>
              </w:rPr>
            </w:pPr>
            <w:r w:rsidRPr="00D518FF">
              <w:rPr>
                <w:rFonts w:ascii="Aptos" w:hAnsi="Aptos"/>
                <w:sz w:val="16"/>
                <w:szCs w:val="16"/>
              </w:rPr>
              <w:t>Relative effect (95% CI)</w:t>
            </w:r>
          </w:p>
        </w:tc>
        <w:tc>
          <w:tcPr>
            <w:tcW w:w="2892" w:type="dxa"/>
            <w:shd w:val="clear" w:color="auto" w:fill="D9D9D9" w:themeFill="background1" w:themeFillShade="D9"/>
          </w:tcPr>
          <w:p w14:paraId="09F3FA83" w14:textId="77777777" w:rsidR="00D46B15" w:rsidRPr="00D518FF" w:rsidRDefault="00D46B15" w:rsidP="00D46B15">
            <w:pPr>
              <w:pStyle w:val="Caption1"/>
              <w:spacing w:before="0" w:after="0"/>
              <w:rPr>
                <w:rFonts w:ascii="Aptos" w:hAnsi="Aptos"/>
                <w:sz w:val="16"/>
                <w:szCs w:val="16"/>
              </w:rPr>
            </w:pPr>
            <w:r w:rsidRPr="00D518FF">
              <w:rPr>
                <w:rFonts w:ascii="Aptos" w:hAnsi="Aptos"/>
                <w:sz w:val="16"/>
                <w:szCs w:val="16"/>
              </w:rPr>
              <w:t>Other reported results</w:t>
            </w:r>
          </w:p>
        </w:tc>
        <w:tc>
          <w:tcPr>
            <w:tcW w:w="1000" w:type="dxa"/>
            <w:shd w:val="clear" w:color="auto" w:fill="D9D9D9" w:themeFill="background1" w:themeFillShade="D9"/>
          </w:tcPr>
          <w:p w14:paraId="6FDE2DE2" w14:textId="4D9294B2" w:rsidR="00D46B15" w:rsidRPr="00D518FF" w:rsidRDefault="00D46B15" w:rsidP="00D46B15">
            <w:pPr>
              <w:pStyle w:val="Caption1"/>
              <w:spacing w:before="0" w:after="0"/>
              <w:rPr>
                <w:rFonts w:ascii="Aptos" w:hAnsi="Aptos"/>
                <w:sz w:val="16"/>
                <w:szCs w:val="16"/>
              </w:rPr>
            </w:pPr>
            <w:r w:rsidRPr="00D46B15">
              <w:rPr>
                <w:rFonts w:ascii="Aptos" w:hAnsi="Aptos"/>
                <w:sz w:val="16"/>
                <w:szCs w:val="16"/>
              </w:rPr>
              <w:t>Risk of bias summary (primary studies)</w:t>
            </w:r>
          </w:p>
        </w:tc>
        <w:tc>
          <w:tcPr>
            <w:tcW w:w="917" w:type="dxa"/>
            <w:vMerge/>
            <w:shd w:val="clear" w:color="auto" w:fill="D9D9D9" w:themeFill="background1" w:themeFillShade="D9"/>
          </w:tcPr>
          <w:p w14:paraId="1F4CE46A" w14:textId="77777777" w:rsidR="00D46B15" w:rsidRPr="00D518FF" w:rsidRDefault="00D46B15" w:rsidP="00D46B15">
            <w:pPr>
              <w:pStyle w:val="Caption1"/>
              <w:spacing w:before="0" w:after="0"/>
              <w:rPr>
                <w:rFonts w:ascii="Aptos" w:hAnsi="Aptos"/>
                <w:sz w:val="16"/>
                <w:szCs w:val="16"/>
              </w:rPr>
            </w:pPr>
          </w:p>
        </w:tc>
      </w:tr>
      <w:tr w:rsidR="0087533E" w:rsidRPr="00D518FF" w14:paraId="3FA05DCC" w14:textId="09444B55" w:rsidTr="00F614C8">
        <w:trPr>
          <w:trHeight w:val="207"/>
        </w:trPr>
        <w:tc>
          <w:tcPr>
            <w:tcW w:w="663" w:type="dxa"/>
            <w:vMerge w:val="restart"/>
          </w:tcPr>
          <w:p w14:paraId="2CD6B30A"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Dhaliwal 2020</w:t>
            </w:r>
          </w:p>
        </w:tc>
        <w:tc>
          <w:tcPr>
            <w:tcW w:w="716" w:type="dxa"/>
          </w:tcPr>
          <w:p w14:paraId="439F457F"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35" w:type="dxa"/>
          </w:tcPr>
          <w:p w14:paraId="503A022F" w14:textId="1CAFBDAE"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62" w:type="dxa"/>
            <w:vMerge w:val="restart"/>
          </w:tcPr>
          <w:p w14:paraId="5C72B83D" w14:textId="0161E1E6"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 to 16 years old with AD</w:t>
            </w:r>
          </w:p>
        </w:tc>
        <w:tc>
          <w:tcPr>
            <w:tcW w:w="1196" w:type="dxa"/>
            <w:vMerge w:val="restart"/>
          </w:tcPr>
          <w:p w14:paraId="3812DCF8" w14:textId="3B7A300F"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996" w:type="dxa"/>
            <w:vMerge w:val="restart"/>
          </w:tcPr>
          <w:p w14:paraId="46B3E3A5" w14:textId="534C6D6E"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 xml:space="preserve">Z Span capsules </w:t>
            </w:r>
          </w:p>
        </w:tc>
        <w:tc>
          <w:tcPr>
            <w:tcW w:w="939" w:type="dxa"/>
            <w:vMerge w:val="restart"/>
          </w:tcPr>
          <w:p w14:paraId="7E310AB4" w14:textId="6FA9FBD8"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08" w:type="dxa"/>
          </w:tcPr>
          <w:p w14:paraId="3A748C75"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23" w:type="dxa"/>
          </w:tcPr>
          <w:p w14:paraId="243D4217"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897" w:type="dxa"/>
          </w:tcPr>
          <w:p w14:paraId="5D1D412C"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Severity</w:t>
            </w:r>
          </w:p>
        </w:tc>
        <w:tc>
          <w:tcPr>
            <w:tcW w:w="701" w:type="dxa"/>
          </w:tcPr>
          <w:p w14:paraId="465A2680" w14:textId="77777777" w:rsidR="0087533E" w:rsidRPr="00D518FF" w:rsidRDefault="0087533E" w:rsidP="0087533E">
            <w:pPr>
              <w:pStyle w:val="Caption1"/>
              <w:spacing w:before="0" w:after="0"/>
              <w:rPr>
                <w:rFonts w:ascii="Aptos" w:hAnsi="Aptos"/>
                <w:b w:val="0"/>
                <w:bCs w:val="0"/>
                <w:sz w:val="16"/>
                <w:szCs w:val="16"/>
              </w:rPr>
            </w:pPr>
          </w:p>
        </w:tc>
        <w:tc>
          <w:tcPr>
            <w:tcW w:w="2892" w:type="dxa"/>
          </w:tcPr>
          <w:p w14:paraId="0B83DD76"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Between the two groups there were no significant differences in severity scores (p = 0.60).</w:t>
            </w:r>
          </w:p>
        </w:tc>
        <w:tc>
          <w:tcPr>
            <w:tcW w:w="1000" w:type="dxa"/>
          </w:tcPr>
          <w:p w14:paraId="5CD3ACFD" w14:textId="44DA1501"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NA</w:t>
            </w:r>
          </w:p>
        </w:tc>
        <w:tc>
          <w:tcPr>
            <w:tcW w:w="917" w:type="dxa"/>
          </w:tcPr>
          <w:p w14:paraId="1C0AC04A" w14:textId="2CD65765"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Unclear risk</w:t>
            </w:r>
          </w:p>
        </w:tc>
      </w:tr>
      <w:tr w:rsidR="0087533E" w:rsidRPr="00D518FF" w14:paraId="324C0C93" w14:textId="70C18E33" w:rsidTr="00F614C8">
        <w:trPr>
          <w:trHeight w:val="207"/>
        </w:trPr>
        <w:tc>
          <w:tcPr>
            <w:tcW w:w="663" w:type="dxa"/>
            <w:vMerge/>
          </w:tcPr>
          <w:p w14:paraId="063B2691" w14:textId="77777777" w:rsidR="0087533E" w:rsidRPr="00D518FF" w:rsidRDefault="0087533E" w:rsidP="0087533E">
            <w:pPr>
              <w:pStyle w:val="Caption1"/>
              <w:spacing w:before="0" w:after="0"/>
              <w:rPr>
                <w:rFonts w:ascii="Aptos" w:hAnsi="Aptos"/>
                <w:b w:val="0"/>
                <w:bCs w:val="0"/>
                <w:sz w:val="16"/>
                <w:szCs w:val="16"/>
              </w:rPr>
            </w:pPr>
          </w:p>
        </w:tc>
        <w:tc>
          <w:tcPr>
            <w:tcW w:w="716" w:type="dxa"/>
          </w:tcPr>
          <w:p w14:paraId="264338C8"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35" w:type="dxa"/>
          </w:tcPr>
          <w:p w14:paraId="7BE61BA8" w14:textId="2323DDC4"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62" w:type="dxa"/>
            <w:vMerge/>
          </w:tcPr>
          <w:p w14:paraId="45BFF56A" w14:textId="77777777" w:rsidR="0087533E" w:rsidRPr="00D518FF" w:rsidRDefault="0087533E" w:rsidP="0087533E">
            <w:pPr>
              <w:pStyle w:val="Caption1"/>
              <w:spacing w:before="0" w:after="0"/>
              <w:rPr>
                <w:rFonts w:ascii="Aptos" w:hAnsi="Aptos"/>
                <w:b w:val="0"/>
                <w:bCs w:val="0"/>
                <w:sz w:val="16"/>
                <w:szCs w:val="16"/>
              </w:rPr>
            </w:pPr>
          </w:p>
        </w:tc>
        <w:tc>
          <w:tcPr>
            <w:tcW w:w="1196" w:type="dxa"/>
            <w:vMerge/>
          </w:tcPr>
          <w:p w14:paraId="7036C73C" w14:textId="77777777" w:rsidR="0087533E" w:rsidRPr="00D518FF" w:rsidRDefault="0087533E" w:rsidP="0087533E">
            <w:pPr>
              <w:pStyle w:val="Caption1"/>
              <w:spacing w:before="0" w:after="0"/>
              <w:rPr>
                <w:rFonts w:ascii="Aptos" w:hAnsi="Aptos"/>
                <w:b w:val="0"/>
                <w:bCs w:val="0"/>
                <w:sz w:val="16"/>
                <w:szCs w:val="16"/>
              </w:rPr>
            </w:pPr>
          </w:p>
        </w:tc>
        <w:tc>
          <w:tcPr>
            <w:tcW w:w="996" w:type="dxa"/>
            <w:vMerge/>
          </w:tcPr>
          <w:p w14:paraId="00863FF0" w14:textId="77777777" w:rsidR="0087533E" w:rsidRPr="00D518FF" w:rsidRDefault="0087533E" w:rsidP="0087533E">
            <w:pPr>
              <w:pStyle w:val="Caption1"/>
              <w:spacing w:before="0" w:after="0"/>
              <w:rPr>
                <w:rFonts w:ascii="Aptos" w:hAnsi="Aptos"/>
                <w:b w:val="0"/>
                <w:bCs w:val="0"/>
                <w:sz w:val="16"/>
                <w:szCs w:val="16"/>
              </w:rPr>
            </w:pPr>
          </w:p>
        </w:tc>
        <w:tc>
          <w:tcPr>
            <w:tcW w:w="939" w:type="dxa"/>
            <w:vMerge/>
          </w:tcPr>
          <w:p w14:paraId="394F8652" w14:textId="31FF7E4C" w:rsidR="0087533E" w:rsidRPr="00D518FF" w:rsidRDefault="0087533E" w:rsidP="0087533E">
            <w:pPr>
              <w:pStyle w:val="Caption1"/>
              <w:spacing w:before="0" w:after="0"/>
              <w:rPr>
                <w:rFonts w:ascii="Aptos" w:hAnsi="Aptos"/>
                <w:b w:val="0"/>
                <w:bCs w:val="0"/>
                <w:sz w:val="16"/>
                <w:szCs w:val="16"/>
              </w:rPr>
            </w:pPr>
          </w:p>
        </w:tc>
        <w:tc>
          <w:tcPr>
            <w:tcW w:w="708" w:type="dxa"/>
          </w:tcPr>
          <w:p w14:paraId="3AE0D11B"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23" w:type="dxa"/>
          </w:tcPr>
          <w:p w14:paraId="5DC2CB87"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897" w:type="dxa"/>
          </w:tcPr>
          <w:p w14:paraId="1506E844"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 xml:space="preserve">Mean itch score </w:t>
            </w:r>
          </w:p>
        </w:tc>
        <w:tc>
          <w:tcPr>
            <w:tcW w:w="701" w:type="dxa"/>
          </w:tcPr>
          <w:p w14:paraId="45093399" w14:textId="77777777" w:rsidR="0087533E" w:rsidRPr="00D518FF" w:rsidRDefault="0087533E" w:rsidP="0087533E">
            <w:pPr>
              <w:pStyle w:val="Caption1"/>
              <w:spacing w:before="0" w:after="0"/>
              <w:rPr>
                <w:rFonts w:ascii="Aptos" w:hAnsi="Aptos"/>
                <w:b w:val="0"/>
                <w:bCs w:val="0"/>
                <w:sz w:val="16"/>
                <w:szCs w:val="16"/>
              </w:rPr>
            </w:pPr>
          </w:p>
        </w:tc>
        <w:tc>
          <w:tcPr>
            <w:tcW w:w="2892" w:type="dxa"/>
          </w:tcPr>
          <w:p w14:paraId="0D0D4595" w14:textId="6FA15420"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The results showed that at 8 weeks, the mean itch score was significantly higher in the zinc group (p = 0.01).</w:t>
            </w:r>
          </w:p>
        </w:tc>
        <w:tc>
          <w:tcPr>
            <w:tcW w:w="1000" w:type="dxa"/>
          </w:tcPr>
          <w:p w14:paraId="5133262A" w14:textId="1268D107" w:rsidR="0087533E" w:rsidRPr="00D518FF" w:rsidRDefault="00D136F8" w:rsidP="0087533E">
            <w:pPr>
              <w:pStyle w:val="Caption1"/>
              <w:spacing w:before="0" w:after="0"/>
              <w:rPr>
                <w:rFonts w:ascii="Aptos" w:hAnsi="Aptos"/>
                <w:b w:val="0"/>
                <w:bCs w:val="0"/>
                <w:sz w:val="16"/>
                <w:szCs w:val="16"/>
              </w:rPr>
            </w:pPr>
            <w:r>
              <w:rPr>
                <w:rFonts w:ascii="Aptos" w:hAnsi="Aptos"/>
                <w:b w:val="0"/>
                <w:bCs w:val="0"/>
                <w:sz w:val="16"/>
                <w:szCs w:val="16"/>
              </w:rPr>
              <w:t>NA</w:t>
            </w:r>
          </w:p>
        </w:tc>
        <w:tc>
          <w:tcPr>
            <w:tcW w:w="917" w:type="dxa"/>
          </w:tcPr>
          <w:p w14:paraId="4C793662" w14:textId="35E38925"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Unclear risk</w:t>
            </w:r>
          </w:p>
        </w:tc>
      </w:tr>
      <w:tr w:rsidR="0087533E" w:rsidRPr="00D518FF" w14:paraId="34B87D70" w14:textId="658AB761" w:rsidTr="00F614C8">
        <w:trPr>
          <w:trHeight w:val="207"/>
        </w:trPr>
        <w:tc>
          <w:tcPr>
            <w:tcW w:w="663" w:type="dxa"/>
            <w:vMerge/>
          </w:tcPr>
          <w:p w14:paraId="2A8B2BC9" w14:textId="77777777" w:rsidR="0087533E" w:rsidRPr="00D518FF" w:rsidRDefault="0087533E" w:rsidP="0087533E">
            <w:pPr>
              <w:pStyle w:val="Caption1"/>
              <w:spacing w:before="0" w:after="0"/>
              <w:rPr>
                <w:rFonts w:ascii="Aptos" w:hAnsi="Aptos"/>
                <w:b w:val="0"/>
                <w:bCs w:val="0"/>
                <w:sz w:val="16"/>
                <w:szCs w:val="16"/>
              </w:rPr>
            </w:pPr>
          </w:p>
        </w:tc>
        <w:tc>
          <w:tcPr>
            <w:tcW w:w="716" w:type="dxa"/>
          </w:tcPr>
          <w:p w14:paraId="381B8354"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35" w:type="dxa"/>
          </w:tcPr>
          <w:p w14:paraId="128A0808" w14:textId="1B2531E5"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62" w:type="dxa"/>
            <w:vMerge/>
          </w:tcPr>
          <w:p w14:paraId="5462DE91" w14:textId="77777777" w:rsidR="0087533E" w:rsidRPr="00D518FF" w:rsidRDefault="0087533E" w:rsidP="0087533E">
            <w:pPr>
              <w:pStyle w:val="Caption1"/>
              <w:spacing w:before="0" w:after="0"/>
              <w:rPr>
                <w:rFonts w:ascii="Aptos" w:hAnsi="Aptos"/>
                <w:b w:val="0"/>
                <w:bCs w:val="0"/>
                <w:sz w:val="16"/>
                <w:szCs w:val="16"/>
              </w:rPr>
            </w:pPr>
          </w:p>
        </w:tc>
        <w:tc>
          <w:tcPr>
            <w:tcW w:w="1196" w:type="dxa"/>
            <w:vMerge/>
          </w:tcPr>
          <w:p w14:paraId="70013B56" w14:textId="77777777" w:rsidR="0087533E" w:rsidRPr="00D518FF" w:rsidRDefault="0087533E" w:rsidP="0087533E">
            <w:pPr>
              <w:pStyle w:val="Caption1"/>
              <w:spacing w:before="0" w:after="0"/>
              <w:rPr>
                <w:rFonts w:ascii="Aptos" w:hAnsi="Aptos"/>
                <w:b w:val="0"/>
                <w:bCs w:val="0"/>
                <w:sz w:val="16"/>
                <w:szCs w:val="16"/>
              </w:rPr>
            </w:pPr>
          </w:p>
        </w:tc>
        <w:tc>
          <w:tcPr>
            <w:tcW w:w="996" w:type="dxa"/>
            <w:vMerge/>
          </w:tcPr>
          <w:p w14:paraId="7A4E4A33" w14:textId="77777777" w:rsidR="0087533E" w:rsidRPr="00D518FF" w:rsidRDefault="0087533E" w:rsidP="0087533E">
            <w:pPr>
              <w:pStyle w:val="Caption1"/>
              <w:spacing w:before="0" w:after="0"/>
              <w:rPr>
                <w:rFonts w:ascii="Aptos" w:hAnsi="Aptos"/>
                <w:b w:val="0"/>
                <w:bCs w:val="0"/>
                <w:sz w:val="16"/>
                <w:szCs w:val="16"/>
              </w:rPr>
            </w:pPr>
          </w:p>
        </w:tc>
        <w:tc>
          <w:tcPr>
            <w:tcW w:w="939" w:type="dxa"/>
            <w:vMerge/>
          </w:tcPr>
          <w:p w14:paraId="28817F63" w14:textId="7CF7ED63" w:rsidR="0087533E" w:rsidRPr="00D518FF" w:rsidRDefault="0087533E" w:rsidP="0087533E">
            <w:pPr>
              <w:pStyle w:val="Caption1"/>
              <w:spacing w:before="0" w:after="0"/>
              <w:rPr>
                <w:rFonts w:ascii="Aptos" w:hAnsi="Aptos"/>
                <w:b w:val="0"/>
                <w:bCs w:val="0"/>
                <w:sz w:val="16"/>
                <w:szCs w:val="16"/>
              </w:rPr>
            </w:pPr>
          </w:p>
        </w:tc>
        <w:tc>
          <w:tcPr>
            <w:tcW w:w="708" w:type="dxa"/>
          </w:tcPr>
          <w:p w14:paraId="0B00D25C"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23" w:type="dxa"/>
          </w:tcPr>
          <w:p w14:paraId="3992BB49"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897" w:type="dxa"/>
          </w:tcPr>
          <w:p w14:paraId="4D27AB46"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 xml:space="preserve">Daytime itch </w:t>
            </w:r>
          </w:p>
        </w:tc>
        <w:tc>
          <w:tcPr>
            <w:tcW w:w="701" w:type="dxa"/>
          </w:tcPr>
          <w:p w14:paraId="05E26869" w14:textId="77777777" w:rsidR="0087533E" w:rsidRPr="00D518FF" w:rsidRDefault="0087533E" w:rsidP="0087533E">
            <w:pPr>
              <w:pStyle w:val="Caption1"/>
              <w:spacing w:before="0" w:after="0"/>
              <w:rPr>
                <w:rFonts w:ascii="Aptos" w:hAnsi="Aptos"/>
                <w:b w:val="0"/>
                <w:bCs w:val="0"/>
                <w:sz w:val="16"/>
                <w:szCs w:val="16"/>
              </w:rPr>
            </w:pPr>
          </w:p>
        </w:tc>
        <w:tc>
          <w:tcPr>
            <w:tcW w:w="2892" w:type="dxa"/>
          </w:tcPr>
          <w:p w14:paraId="59CC3EAA"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 xml:space="preserve">No significant changes in other mean symptom scores </w:t>
            </w:r>
          </w:p>
        </w:tc>
        <w:tc>
          <w:tcPr>
            <w:tcW w:w="1000" w:type="dxa"/>
          </w:tcPr>
          <w:p w14:paraId="0B8CD448" w14:textId="01B1C499"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NA</w:t>
            </w:r>
          </w:p>
        </w:tc>
        <w:tc>
          <w:tcPr>
            <w:tcW w:w="917" w:type="dxa"/>
          </w:tcPr>
          <w:p w14:paraId="15AA032B" w14:textId="751126E8"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Unclear risk</w:t>
            </w:r>
          </w:p>
        </w:tc>
      </w:tr>
      <w:tr w:rsidR="0087533E" w:rsidRPr="00D518FF" w14:paraId="0F9BD965" w14:textId="5309465C" w:rsidTr="00F614C8">
        <w:trPr>
          <w:trHeight w:val="207"/>
        </w:trPr>
        <w:tc>
          <w:tcPr>
            <w:tcW w:w="663" w:type="dxa"/>
            <w:vMerge w:val="restart"/>
          </w:tcPr>
          <w:p w14:paraId="24B0FCC5"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Gray 2019</w:t>
            </w:r>
          </w:p>
        </w:tc>
        <w:tc>
          <w:tcPr>
            <w:tcW w:w="716" w:type="dxa"/>
          </w:tcPr>
          <w:p w14:paraId="34DDC531"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35" w:type="dxa"/>
          </w:tcPr>
          <w:p w14:paraId="3AE2C869" w14:textId="4E5AEEF1"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62" w:type="dxa"/>
            <w:vMerge w:val="restart"/>
          </w:tcPr>
          <w:p w14:paraId="292F354B" w14:textId="7B0ED6F6"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 to 16 years old with AD</w:t>
            </w:r>
          </w:p>
        </w:tc>
        <w:tc>
          <w:tcPr>
            <w:tcW w:w="1196" w:type="dxa"/>
            <w:vMerge w:val="restart"/>
          </w:tcPr>
          <w:p w14:paraId="131C4D39" w14:textId="635F47EF"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996" w:type="dxa"/>
            <w:vMerge w:val="restart"/>
          </w:tcPr>
          <w:p w14:paraId="3FCB486B"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Z Span capsules</w:t>
            </w:r>
          </w:p>
        </w:tc>
        <w:tc>
          <w:tcPr>
            <w:tcW w:w="939" w:type="dxa"/>
            <w:vMerge w:val="restart"/>
          </w:tcPr>
          <w:p w14:paraId="74A5FA00" w14:textId="7D220F23"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08" w:type="dxa"/>
          </w:tcPr>
          <w:p w14:paraId="1E74B6A2"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23" w:type="dxa"/>
          </w:tcPr>
          <w:p w14:paraId="7E8F163A"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897" w:type="dxa"/>
          </w:tcPr>
          <w:p w14:paraId="5254A3CF"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Surface area of body affected by eczema</w:t>
            </w:r>
          </w:p>
        </w:tc>
        <w:tc>
          <w:tcPr>
            <w:tcW w:w="701" w:type="dxa"/>
          </w:tcPr>
          <w:p w14:paraId="141D15E4" w14:textId="77777777" w:rsidR="0087533E" w:rsidRPr="00D518FF" w:rsidRDefault="0087533E" w:rsidP="0087533E">
            <w:pPr>
              <w:pStyle w:val="Caption1"/>
              <w:spacing w:before="0" w:after="0"/>
              <w:rPr>
                <w:rFonts w:ascii="Aptos" w:hAnsi="Aptos"/>
                <w:b w:val="0"/>
                <w:bCs w:val="0"/>
                <w:sz w:val="16"/>
                <w:szCs w:val="16"/>
              </w:rPr>
            </w:pPr>
          </w:p>
        </w:tc>
        <w:tc>
          <w:tcPr>
            <w:tcW w:w="2892" w:type="dxa"/>
          </w:tcPr>
          <w:p w14:paraId="3ADD8F90" w14:textId="03598ED6"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No significant difference between groups.</w:t>
            </w:r>
          </w:p>
        </w:tc>
        <w:tc>
          <w:tcPr>
            <w:tcW w:w="1000" w:type="dxa"/>
          </w:tcPr>
          <w:p w14:paraId="60D968F1" w14:textId="1BCFCA32"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NA</w:t>
            </w:r>
          </w:p>
        </w:tc>
        <w:tc>
          <w:tcPr>
            <w:tcW w:w="917" w:type="dxa"/>
          </w:tcPr>
          <w:p w14:paraId="25DD18AE" w14:textId="2E0E83A6"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Unclear risk</w:t>
            </w:r>
          </w:p>
        </w:tc>
      </w:tr>
      <w:tr w:rsidR="0087533E" w:rsidRPr="00D518FF" w14:paraId="24FA748B" w14:textId="6DB6EDFB" w:rsidTr="00F614C8">
        <w:trPr>
          <w:trHeight w:val="207"/>
        </w:trPr>
        <w:tc>
          <w:tcPr>
            <w:tcW w:w="663" w:type="dxa"/>
            <w:vMerge/>
          </w:tcPr>
          <w:p w14:paraId="68EFA41F" w14:textId="77777777" w:rsidR="0087533E" w:rsidRPr="00D518FF" w:rsidRDefault="0087533E" w:rsidP="0087533E">
            <w:pPr>
              <w:pStyle w:val="Caption1"/>
              <w:spacing w:before="0" w:after="0"/>
              <w:rPr>
                <w:rFonts w:ascii="Aptos" w:hAnsi="Aptos"/>
                <w:b w:val="0"/>
                <w:bCs w:val="0"/>
                <w:sz w:val="16"/>
                <w:szCs w:val="16"/>
              </w:rPr>
            </w:pPr>
          </w:p>
        </w:tc>
        <w:tc>
          <w:tcPr>
            <w:tcW w:w="716" w:type="dxa"/>
          </w:tcPr>
          <w:p w14:paraId="4C782E73"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35" w:type="dxa"/>
          </w:tcPr>
          <w:p w14:paraId="399ACEEA" w14:textId="1DC957C6"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62" w:type="dxa"/>
            <w:vMerge/>
          </w:tcPr>
          <w:p w14:paraId="0300B862" w14:textId="77777777" w:rsidR="0087533E" w:rsidRPr="00D518FF" w:rsidRDefault="0087533E" w:rsidP="0087533E">
            <w:pPr>
              <w:pStyle w:val="Caption1"/>
              <w:spacing w:before="0" w:after="0"/>
              <w:rPr>
                <w:rFonts w:ascii="Aptos" w:hAnsi="Aptos"/>
                <w:b w:val="0"/>
                <w:bCs w:val="0"/>
                <w:sz w:val="16"/>
                <w:szCs w:val="16"/>
              </w:rPr>
            </w:pPr>
          </w:p>
        </w:tc>
        <w:tc>
          <w:tcPr>
            <w:tcW w:w="1196" w:type="dxa"/>
            <w:vMerge/>
          </w:tcPr>
          <w:p w14:paraId="4DAE451E" w14:textId="77777777" w:rsidR="0087533E" w:rsidRPr="00D518FF" w:rsidRDefault="0087533E" w:rsidP="0087533E">
            <w:pPr>
              <w:pStyle w:val="Caption1"/>
              <w:spacing w:before="0" w:after="0"/>
              <w:rPr>
                <w:rFonts w:ascii="Aptos" w:hAnsi="Aptos"/>
                <w:b w:val="0"/>
                <w:bCs w:val="0"/>
                <w:sz w:val="16"/>
                <w:szCs w:val="16"/>
              </w:rPr>
            </w:pPr>
          </w:p>
        </w:tc>
        <w:tc>
          <w:tcPr>
            <w:tcW w:w="996" w:type="dxa"/>
            <w:vMerge/>
          </w:tcPr>
          <w:p w14:paraId="319E6E9D" w14:textId="77777777" w:rsidR="0087533E" w:rsidRPr="00D518FF" w:rsidRDefault="0087533E" w:rsidP="0087533E">
            <w:pPr>
              <w:pStyle w:val="Caption1"/>
              <w:spacing w:before="0" w:after="0"/>
              <w:rPr>
                <w:rFonts w:ascii="Aptos" w:hAnsi="Aptos"/>
                <w:b w:val="0"/>
                <w:bCs w:val="0"/>
                <w:sz w:val="16"/>
                <w:szCs w:val="16"/>
              </w:rPr>
            </w:pPr>
          </w:p>
        </w:tc>
        <w:tc>
          <w:tcPr>
            <w:tcW w:w="939" w:type="dxa"/>
            <w:vMerge/>
          </w:tcPr>
          <w:p w14:paraId="260637EE" w14:textId="50390AF7" w:rsidR="0087533E" w:rsidRPr="00D518FF" w:rsidRDefault="0087533E" w:rsidP="0087533E">
            <w:pPr>
              <w:pStyle w:val="Caption1"/>
              <w:spacing w:before="0" w:after="0"/>
              <w:rPr>
                <w:rFonts w:ascii="Aptos" w:hAnsi="Aptos"/>
                <w:b w:val="0"/>
                <w:bCs w:val="0"/>
                <w:sz w:val="16"/>
                <w:szCs w:val="16"/>
              </w:rPr>
            </w:pPr>
          </w:p>
        </w:tc>
        <w:tc>
          <w:tcPr>
            <w:tcW w:w="708" w:type="dxa"/>
          </w:tcPr>
          <w:p w14:paraId="579C7675"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23" w:type="dxa"/>
          </w:tcPr>
          <w:p w14:paraId="28794DE8"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897" w:type="dxa"/>
          </w:tcPr>
          <w:p w14:paraId="50AE8A3B"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Combined disease severity score</w:t>
            </w:r>
          </w:p>
        </w:tc>
        <w:tc>
          <w:tcPr>
            <w:tcW w:w="701" w:type="dxa"/>
          </w:tcPr>
          <w:p w14:paraId="52F9E82D" w14:textId="77777777" w:rsidR="0087533E" w:rsidRPr="00D518FF" w:rsidRDefault="0087533E" w:rsidP="0087533E">
            <w:pPr>
              <w:pStyle w:val="Caption1"/>
              <w:spacing w:before="0" w:after="0"/>
              <w:rPr>
                <w:rFonts w:ascii="Aptos" w:hAnsi="Aptos"/>
                <w:b w:val="0"/>
                <w:bCs w:val="0"/>
                <w:sz w:val="16"/>
                <w:szCs w:val="16"/>
              </w:rPr>
            </w:pPr>
          </w:p>
        </w:tc>
        <w:tc>
          <w:tcPr>
            <w:tcW w:w="2892" w:type="dxa"/>
          </w:tcPr>
          <w:p w14:paraId="584CF205" w14:textId="37667CDF"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No significant difference between groups.</w:t>
            </w:r>
          </w:p>
        </w:tc>
        <w:tc>
          <w:tcPr>
            <w:tcW w:w="1000" w:type="dxa"/>
          </w:tcPr>
          <w:p w14:paraId="1AED8455" w14:textId="0D8CA4E1"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NA</w:t>
            </w:r>
          </w:p>
        </w:tc>
        <w:tc>
          <w:tcPr>
            <w:tcW w:w="917" w:type="dxa"/>
          </w:tcPr>
          <w:p w14:paraId="1DD4A4EE" w14:textId="7DDD4A66"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Unclear risk</w:t>
            </w:r>
          </w:p>
        </w:tc>
      </w:tr>
      <w:tr w:rsidR="0087533E" w:rsidRPr="00D518FF" w14:paraId="58DE8EC1" w14:textId="10F6244B" w:rsidTr="00F614C8">
        <w:trPr>
          <w:trHeight w:val="207"/>
        </w:trPr>
        <w:tc>
          <w:tcPr>
            <w:tcW w:w="663" w:type="dxa"/>
            <w:vMerge/>
          </w:tcPr>
          <w:p w14:paraId="3755ACCC" w14:textId="77777777" w:rsidR="0087533E" w:rsidRPr="00D518FF" w:rsidRDefault="0087533E" w:rsidP="0087533E">
            <w:pPr>
              <w:pStyle w:val="Caption1"/>
              <w:spacing w:before="0" w:after="0"/>
              <w:rPr>
                <w:rFonts w:ascii="Aptos" w:hAnsi="Aptos"/>
                <w:b w:val="0"/>
                <w:bCs w:val="0"/>
                <w:sz w:val="16"/>
                <w:szCs w:val="16"/>
              </w:rPr>
            </w:pPr>
          </w:p>
        </w:tc>
        <w:tc>
          <w:tcPr>
            <w:tcW w:w="716" w:type="dxa"/>
          </w:tcPr>
          <w:p w14:paraId="6CD2DFB4"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35" w:type="dxa"/>
          </w:tcPr>
          <w:p w14:paraId="70DCF52C" w14:textId="71D15A5D"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62" w:type="dxa"/>
            <w:vMerge/>
          </w:tcPr>
          <w:p w14:paraId="67B691B1" w14:textId="77777777" w:rsidR="0087533E" w:rsidRPr="00D518FF" w:rsidRDefault="0087533E" w:rsidP="0087533E">
            <w:pPr>
              <w:pStyle w:val="Caption1"/>
              <w:spacing w:before="0" w:after="0"/>
              <w:rPr>
                <w:rFonts w:ascii="Aptos" w:hAnsi="Aptos"/>
                <w:b w:val="0"/>
                <w:bCs w:val="0"/>
                <w:sz w:val="16"/>
                <w:szCs w:val="16"/>
              </w:rPr>
            </w:pPr>
          </w:p>
        </w:tc>
        <w:tc>
          <w:tcPr>
            <w:tcW w:w="1196" w:type="dxa"/>
            <w:vMerge/>
          </w:tcPr>
          <w:p w14:paraId="6200251D" w14:textId="77777777" w:rsidR="0087533E" w:rsidRPr="00D518FF" w:rsidRDefault="0087533E" w:rsidP="0087533E">
            <w:pPr>
              <w:pStyle w:val="Caption1"/>
              <w:spacing w:before="0" w:after="0"/>
              <w:rPr>
                <w:rFonts w:ascii="Aptos" w:hAnsi="Aptos"/>
                <w:b w:val="0"/>
                <w:bCs w:val="0"/>
                <w:sz w:val="16"/>
                <w:szCs w:val="16"/>
              </w:rPr>
            </w:pPr>
          </w:p>
        </w:tc>
        <w:tc>
          <w:tcPr>
            <w:tcW w:w="996" w:type="dxa"/>
            <w:vMerge/>
          </w:tcPr>
          <w:p w14:paraId="3A9CC65E" w14:textId="77777777" w:rsidR="0087533E" w:rsidRPr="00D518FF" w:rsidRDefault="0087533E" w:rsidP="0087533E">
            <w:pPr>
              <w:pStyle w:val="Caption1"/>
              <w:spacing w:before="0" w:after="0"/>
              <w:rPr>
                <w:rFonts w:ascii="Aptos" w:hAnsi="Aptos"/>
                <w:b w:val="0"/>
                <w:bCs w:val="0"/>
                <w:sz w:val="16"/>
                <w:szCs w:val="16"/>
              </w:rPr>
            </w:pPr>
          </w:p>
        </w:tc>
        <w:tc>
          <w:tcPr>
            <w:tcW w:w="939" w:type="dxa"/>
            <w:vMerge/>
          </w:tcPr>
          <w:p w14:paraId="2B72CF27" w14:textId="07849C72" w:rsidR="0087533E" w:rsidRPr="00D518FF" w:rsidRDefault="0087533E" w:rsidP="0087533E">
            <w:pPr>
              <w:pStyle w:val="Caption1"/>
              <w:spacing w:before="0" w:after="0"/>
              <w:rPr>
                <w:rFonts w:ascii="Aptos" w:hAnsi="Aptos"/>
                <w:b w:val="0"/>
                <w:bCs w:val="0"/>
                <w:sz w:val="16"/>
                <w:szCs w:val="16"/>
              </w:rPr>
            </w:pPr>
          </w:p>
        </w:tc>
        <w:tc>
          <w:tcPr>
            <w:tcW w:w="708" w:type="dxa"/>
          </w:tcPr>
          <w:p w14:paraId="6E81DE30"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23" w:type="dxa"/>
          </w:tcPr>
          <w:p w14:paraId="0735BB2C"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897" w:type="dxa"/>
          </w:tcPr>
          <w:p w14:paraId="335A3178"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 xml:space="preserve">Mean itch score </w:t>
            </w:r>
          </w:p>
        </w:tc>
        <w:tc>
          <w:tcPr>
            <w:tcW w:w="701" w:type="dxa"/>
          </w:tcPr>
          <w:p w14:paraId="2628A20F" w14:textId="77777777" w:rsidR="0087533E" w:rsidRPr="00D518FF" w:rsidRDefault="0087533E" w:rsidP="0087533E">
            <w:pPr>
              <w:pStyle w:val="Caption1"/>
              <w:spacing w:before="0" w:after="0"/>
              <w:rPr>
                <w:rFonts w:ascii="Aptos" w:hAnsi="Aptos"/>
                <w:b w:val="0"/>
                <w:bCs w:val="0"/>
                <w:sz w:val="16"/>
                <w:szCs w:val="16"/>
              </w:rPr>
            </w:pPr>
          </w:p>
        </w:tc>
        <w:tc>
          <w:tcPr>
            <w:tcW w:w="2892" w:type="dxa"/>
          </w:tcPr>
          <w:p w14:paraId="7FDDEEA4"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 xml:space="preserve">Itch scores at 8 weeks were significantly higher in children receiving zinc supplementation (P = 0.01). </w:t>
            </w:r>
          </w:p>
        </w:tc>
        <w:tc>
          <w:tcPr>
            <w:tcW w:w="1000" w:type="dxa"/>
          </w:tcPr>
          <w:p w14:paraId="0018F794" w14:textId="679E0582"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NA</w:t>
            </w:r>
          </w:p>
        </w:tc>
        <w:tc>
          <w:tcPr>
            <w:tcW w:w="917" w:type="dxa"/>
          </w:tcPr>
          <w:p w14:paraId="4DDB1C8C" w14:textId="2D7C15C1"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Unclear risk</w:t>
            </w:r>
          </w:p>
        </w:tc>
      </w:tr>
      <w:tr w:rsidR="0087533E" w:rsidRPr="00D518FF" w14:paraId="12D7BFBD" w14:textId="206B7BB2" w:rsidTr="00F614C8">
        <w:trPr>
          <w:trHeight w:val="31"/>
        </w:trPr>
        <w:tc>
          <w:tcPr>
            <w:tcW w:w="663" w:type="dxa"/>
            <w:vMerge/>
          </w:tcPr>
          <w:p w14:paraId="6D175F79" w14:textId="77777777" w:rsidR="0087533E" w:rsidRPr="00D518FF" w:rsidRDefault="0087533E" w:rsidP="0087533E">
            <w:pPr>
              <w:pStyle w:val="Caption1"/>
              <w:spacing w:before="0" w:after="0"/>
              <w:rPr>
                <w:rFonts w:ascii="Aptos" w:hAnsi="Aptos"/>
                <w:b w:val="0"/>
                <w:bCs w:val="0"/>
                <w:sz w:val="16"/>
                <w:szCs w:val="16"/>
              </w:rPr>
            </w:pPr>
          </w:p>
        </w:tc>
        <w:tc>
          <w:tcPr>
            <w:tcW w:w="716" w:type="dxa"/>
          </w:tcPr>
          <w:p w14:paraId="34B698DF"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35" w:type="dxa"/>
          </w:tcPr>
          <w:p w14:paraId="5C137CD9" w14:textId="0572823B"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862" w:type="dxa"/>
            <w:vMerge/>
          </w:tcPr>
          <w:p w14:paraId="72A988DD" w14:textId="77777777" w:rsidR="0087533E" w:rsidRPr="00D518FF" w:rsidRDefault="0087533E" w:rsidP="0087533E">
            <w:pPr>
              <w:pStyle w:val="Caption1"/>
              <w:spacing w:before="0" w:after="0"/>
              <w:rPr>
                <w:rFonts w:ascii="Aptos" w:hAnsi="Aptos"/>
                <w:b w:val="0"/>
                <w:bCs w:val="0"/>
                <w:sz w:val="16"/>
                <w:szCs w:val="16"/>
              </w:rPr>
            </w:pPr>
          </w:p>
        </w:tc>
        <w:tc>
          <w:tcPr>
            <w:tcW w:w="1196" w:type="dxa"/>
            <w:vMerge/>
          </w:tcPr>
          <w:p w14:paraId="6CF48609" w14:textId="77777777" w:rsidR="0087533E" w:rsidRPr="00D518FF" w:rsidRDefault="0087533E" w:rsidP="0087533E">
            <w:pPr>
              <w:pStyle w:val="Caption1"/>
              <w:spacing w:before="0" w:after="0"/>
              <w:rPr>
                <w:rFonts w:ascii="Aptos" w:hAnsi="Aptos"/>
                <w:b w:val="0"/>
                <w:bCs w:val="0"/>
                <w:sz w:val="16"/>
                <w:szCs w:val="16"/>
              </w:rPr>
            </w:pPr>
          </w:p>
        </w:tc>
        <w:tc>
          <w:tcPr>
            <w:tcW w:w="996" w:type="dxa"/>
            <w:vMerge/>
          </w:tcPr>
          <w:p w14:paraId="7BC6FBEE" w14:textId="77777777" w:rsidR="0087533E" w:rsidRPr="00D518FF" w:rsidRDefault="0087533E" w:rsidP="0087533E">
            <w:pPr>
              <w:pStyle w:val="Caption1"/>
              <w:spacing w:before="0" w:after="0"/>
              <w:rPr>
                <w:rFonts w:ascii="Aptos" w:hAnsi="Aptos"/>
                <w:b w:val="0"/>
                <w:bCs w:val="0"/>
                <w:sz w:val="16"/>
                <w:szCs w:val="16"/>
              </w:rPr>
            </w:pPr>
          </w:p>
        </w:tc>
        <w:tc>
          <w:tcPr>
            <w:tcW w:w="939" w:type="dxa"/>
            <w:vMerge/>
          </w:tcPr>
          <w:p w14:paraId="1BBBD29F" w14:textId="14FAC97C" w:rsidR="0087533E" w:rsidRPr="00D518FF" w:rsidRDefault="0087533E" w:rsidP="0087533E">
            <w:pPr>
              <w:pStyle w:val="Caption1"/>
              <w:spacing w:before="0" w:after="0"/>
              <w:rPr>
                <w:rFonts w:ascii="Aptos" w:hAnsi="Aptos"/>
                <w:b w:val="0"/>
                <w:bCs w:val="0"/>
                <w:sz w:val="16"/>
                <w:szCs w:val="16"/>
              </w:rPr>
            </w:pPr>
          </w:p>
        </w:tc>
        <w:tc>
          <w:tcPr>
            <w:tcW w:w="708" w:type="dxa"/>
          </w:tcPr>
          <w:p w14:paraId="0F8BECAA"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23" w:type="dxa"/>
          </w:tcPr>
          <w:p w14:paraId="0602F381"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50</w:t>
            </w:r>
          </w:p>
        </w:tc>
        <w:tc>
          <w:tcPr>
            <w:tcW w:w="897" w:type="dxa"/>
          </w:tcPr>
          <w:p w14:paraId="3A4442C0" w14:textId="77777777"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 xml:space="preserve">Erythema </w:t>
            </w:r>
          </w:p>
        </w:tc>
        <w:tc>
          <w:tcPr>
            <w:tcW w:w="701" w:type="dxa"/>
          </w:tcPr>
          <w:p w14:paraId="67C1A400" w14:textId="77777777" w:rsidR="0087533E" w:rsidRPr="00D518FF" w:rsidRDefault="0087533E" w:rsidP="0087533E">
            <w:pPr>
              <w:pStyle w:val="Caption1"/>
              <w:spacing w:before="0" w:after="0"/>
              <w:rPr>
                <w:rFonts w:ascii="Aptos" w:hAnsi="Aptos"/>
                <w:b w:val="0"/>
                <w:bCs w:val="0"/>
                <w:sz w:val="16"/>
                <w:szCs w:val="16"/>
              </w:rPr>
            </w:pPr>
          </w:p>
        </w:tc>
        <w:tc>
          <w:tcPr>
            <w:tcW w:w="2892" w:type="dxa"/>
          </w:tcPr>
          <w:p w14:paraId="0ABD958E" w14:textId="7410486D" w:rsidR="0087533E" w:rsidRPr="00D518FF" w:rsidRDefault="0087533E" w:rsidP="0087533E">
            <w:pPr>
              <w:pStyle w:val="Caption1"/>
              <w:spacing w:before="0" w:after="0"/>
              <w:rPr>
                <w:rFonts w:ascii="Aptos" w:hAnsi="Aptos"/>
                <w:b w:val="0"/>
                <w:bCs w:val="0"/>
                <w:sz w:val="16"/>
                <w:szCs w:val="16"/>
              </w:rPr>
            </w:pPr>
            <w:r w:rsidRPr="00D518FF">
              <w:rPr>
                <w:rFonts w:ascii="Aptos" w:hAnsi="Aptos"/>
                <w:b w:val="0"/>
                <w:bCs w:val="0"/>
                <w:sz w:val="16"/>
                <w:szCs w:val="16"/>
              </w:rPr>
              <w:t>No significant difference between groups.</w:t>
            </w:r>
          </w:p>
        </w:tc>
        <w:tc>
          <w:tcPr>
            <w:tcW w:w="1000" w:type="dxa"/>
          </w:tcPr>
          <w:p w14:paraId="261F1E3D" w14:textId="344627CA"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NA</w:t>
            </w:r>
          </w:p>
        </w:tc>
        <w:tc>
          <w:tcPr>
            <w:tcW w:w="917" w:type="dxa"/>
          </w:tcPr>
          <w:p w14:paraId="56752013" w14:textId="0C5B59C5" w:rsidR="0087533E" w:rsidRPr="00D518FF" w:rsidRDefault="0087533E" w:rsidP="0087533E">
            <w:pPr>
              <w:pStyle w:val="Caption1"/>
              <w:spacing w:before="0" w:after="0"/>
              <w:rPr>
                <w:rFonts w:ascii="Aptos" w:hAnsi="Aptos"/>
                <w:b w:val="0"/>
                <w:bCs w:val="0"/>
                <w:sz w:val="16"/>
                <w:szCs w:val="16"/>
              </w:rPr>
            </w:pPr>
            <w:r>
              <w:rPr>
                <w:rFonts w:ascii="Aptos" w:hAnsi="Aptos"/>
                <w:b w:val="0"/>
                <w:bCs w:val="0"/>
                <w:sz w:val="16"/>
                <w:szCs w:val="16"/>
              </w:rPr>
              <w:t>Unclear risk</w:t>
            </w:r>
          </w:p>
        </w:tc>
      </w:tr>
    </w:tbl>
    <w:p w14:paraId="79E36443" w14:textId="5705BF2F"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sidR="00106ED7" w:rsidRPr="00D518FF">
        <w:rPr>
          <w:rFonts w:ascii="Aptos" w:hAnsi="Aptos"/>
          <w:b w:val="0"/>
          <w:bCs w:val="0"/>
          <w:sz w:val="16"/>
          <w:szCs w:val="16"/>
        </w:rPr>
        <w:t>AD=atopic dermatitis</w:t>
      </w:r>
      <w:r w:rsidR="00106ED7">
        <w:rPr>
          <w:rFonts w:ascii="Aptos" w:hAnsi="Aptos"/>
          <w:b w:val="0"/>
          <w:bCs w:val="0"/>
          <w:sz w:val="16"/>
          <w:szCs w:val="16"/>
        </w:rPr>
        <w:t xml:space="preserve">; </w:t>
      </w:r>
      <w:r w:rsidR="00106ED7" w:rsidRPr="00D518FF">
        <w:rPr>
          <w:rFonts w:ascii="Aptos" w:hAnsi="Aptos"/>
          <w:b w:val="0"/>
          <w:bCs w:val="0"/>
          <w:sz w:val="16"/>
          <w:szCs w:val="16"/>
        </w:rPr>
        <w:t>CI=Confidence Interval</w:t>
      </w:r>
      <w:r w:rsidR="00106ED7">
        <w:rPr>
          <w:rFonts w:ascii="Aptos" w:hAnsi="Aptos"/>
          <w:b w:val="0"/>
          <w:bCs w:val="0"/>
          <w:sz w:val="16"/>
          <w:szCs w:val="16"/>
        </w:rPr>
        <w:t>; MD=mean difference; NS=not significant; NA=Not applicable</w:t>
      </w:r>
    </w:p>
    <w:p w14:paraId="238A5DCC" w14:textId="77777777" w:rsidR="009E4D3F" w:rsidRPr="00D518FF" w:rsidRDefault="009E4D3F" w:rsidP="00AA72BD">
      <w:pPr>
        <w:pStyle w:val="Caption1"/>
        <w:spacing w:before="0" w:after="0"/>
        <w:rPr>
          <w:rFonts w:ascii="Aptos" w:hAnsi="Aptos"/>
          <w:b w:val="0"/>
          <w:bCs w:val="0"/>
          <w:sz w:val="16"/>
          <w:szCs w:val="16"/>
        </w:rPr>
      </w:pPr>
    </w:p>
    <w:p w14:paraId="0E3D0D8A"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573D23F9" w14:textId="77777777" w:rsidR="009E4D3F" w:rsidRPr="00D518FF" w:rsidRDefault="009E4D3F" w:rsidP="00A4650A">
      <w:pPr>
        <w:pStyle w:val="ListParagraph"/>
        <w:numPr>
          <w:ilvl w:val="0"/>
          <w:numId w:val="4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severity of condition/improvement of symptoms</w:t>
      </w:r>
    </w:p>
    <w:p w14:paraId="5F99F42D" w14:textId="77777777" w:rsidR="009E4D3F" w:rsidRPr="00D518FF" w:rsidRDefault="009E4D3F" w:rsidP="00A4650A">
      <w:pPr>
        <w:pStyle w:val="ListParagraph"/>
        <w:numPr>
          <w:ilvl w:val="0"/>
          <w:numId w:val="4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303951B1" w14:textId="77777777" w:rsidR="009E4D3F" w:rsidRPr="00D518FF" w:rsidRDefault="009E4D3F" w:rsidP="00A4650A">
      <w:pPr>
        <w:pStyle w:val="ListParagraph"/>
        <w:numPr>
          <w:ilvl w:val="0"/>
          <w:numId w:val="4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Long-term measure of control of disease</w:t>
      </w:r>
    </w:p>
    <w:p w14:paraId="21FFC9FF" w14:textId="77777777" w:rsidR="009E4D3F" w:rsidRPr="00D518FF" w:rsidRDefault="009E4D3F" w:rsidP="00A4650A">
      <w:pPr>
        <w:pStyle w:val="ListParagraph"/>
        <w:numPr>
          <w:ilvl w:val="0"/>
          <w:numId w:val="4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Individual changes in symptoms (including degree of redness of skin, day</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time itch, anterior rhinorrhoea (runny nose): where a study reports 'rhinorrhoea' as the outcome, in the absence of a definition within the paper we assumed that this measured anterior rhinorrhoea. Where the authors reported a combined outcome for anterior and posterior rhinorrhoea and we were not able to obtain individual results, we recorded this as a combined 'anterior and posterior rhinorrhoea' category; posterior rhinorrhoea (post</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nasal drip); nasal blockage or congestion or obstruction; nasal itching; sneezing)</w:t>
      </w:r>
    </w:p>
    <w:p w14:paraId="6CF4F52E" w14:textId="77777777" w:rsidR="009E4D3F" w:rsidRPr="00D518FF" w:rsidRDefault="009E4D3F" w:rsidP="00A4650A">
      <w:pPr>
        <w:pStyle w:val="ListParagraph"/>
        <w:numPr>
          <w:ilvl w:val="0"/>
          <w:numId w:val="40"/>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Physical function/ disability (return to work/school)</w:t>
      </w:r>
    </w:p>
    <w:p w14:paraId="0C6ED2BC" w14:textId="2DE4B8A2" w:rsidR="009E4D3F" w:rsidRPr="00B53559" w:rsidRDefault="009E4D3F" w:rsidP="00B53559">
      <w:pPr>
        <w:pStyle w:val="heading2numbers"/>
        <w:rPr>
          <w:rStyle w:val="Heading1Char"/>
          <w:rFonts w:ascii="Aptos" w:eastAsia="Calibri" w:hAnsi="Aptos"/>
          <w:bCs w:val="0"/>
          <w:color w:val="C00000"/>
          <w:sz w:val="28"/>
          <w:szCs w:val="26"/>
        </w:rPr>
      </w:pPr>
      <w:bookmarkStart w:id="198" w:name="_Toc185254668"/>
      <w:r w:rsidRPr="00B53559">
        <w:rPr>
          <w:rStyle w:val="Heading1Char"/>
          <w:rFonts w:ascii="Aptos" w:eastAsia="Calibri" w:hAnsi="Aptos"/>
          <w:bCs w:val="0"/>
          <w:color w:val="C00000"/>
          <w:sz w:val="28"/>
          <w:szCs w:val="26"/>
        </w:rPr>
        <w:lastRenderedPageBreak/>
        <w:t>Fatigue (general) (including myalgic encephalomyelitis (ME) and Chronic Fatigue Syndrome (CFS)), antioxidants (specifically coq10 and alpha-lipoic acid)</w:t>
      </w:r>
      <w:bookmarkEnd w:id="198"/>
    </w:p>
    <w:p w14:paraId="3B65B9D8" w14:textId="55414419" w:rsidR="0020186D" w:rsidRPr="00AA694C" w:rsidRDefault="00447B3F" w:rsidP="00AA694C">
      <w:pPr>
        <w:pStyle w:val="Caption"/>
        <w:rPr>
          <w:rFonts w:ascii="Aptos" w:hAnsi="Aptos"/>
        </w:rPr>
      </w:pPr>
      <w:bookmarkStart w:id="199" w:name="_Toc185254582"/>
      <w:r w:rsidRPr="00F614C8">
        <w:rPr>
          <w:rFonts w:ascii="Aptos" w:hAnsi="Aptos"/>
        </w:rPr>
        <w:t xml:space="preserve">Table </w:t>
      </w:r>
      <w:r w:rsidR="00DC4767" w:rsidRPr="00F614C8">
        <w:rPr>
          <w:rFonts w:ascii="Aptos" w:hAnsi="Aptos"/>
        </w:rPr>
        <w:fldChar w:fldCharType="begin" w:fldLock="1"/>
      </w:r>
      <w:r w:rsidR="00DC4767" w:rsidRPr="00F614C8">
        <w:rPr>
          <w:rFonts w:ascii="Aptos" w:hAnsi="Aptos"/>
        </w:rPr>
        <w:instrText xml:space="preserve"> STYLEREF 1 \s </w:instrText>
      </w:r>
      <w:r w:rsidR="00DC4767" w:rsidRPr="00F614C8">
        <w:rPr>
          <w:rFonts w:ascii="Aptos" w:hAnsi="Aptos"/>
        </w:rPr>
        <w:fldChar w:fldCharType="separate"/>
      </w:r>
      <w:r w:rsidR="00DC4767" w:rsidRPr="00F614C8">
        <w:rPr>
          <w:rFonts w:ascii="Aptos" w:hAnsi="Aptos"/>
        </w:rPr>
        <w:t>E</w:t>
      </w:r>
      <w:r w:rsidR="00DC4767"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10</w:t>
      </w:r>
      <w:r w:rsidR="003B0594" w:rsidRPr="00F614C8">
        <w:rPr>
          <w:rFonts w:ascii="Aptos" w:hAnsi="Aptos"/>
        </w:rPr>
        <w:fldChar w:fldCharType="end"/>
      </w:r>
      <w:r w:rsidR="009E4D3F" w:rsidRPr="00D518FF">
        <w:rPr>
          <w:rFonts w:ascii="Aptos" w:hAnsi="Aptos"/>
        </w:rPr>
        <w:t xml:space="preserve">. Results of </w:t>
      </w:r>
      <w:r w:rsidR="0020186D">
        <w:rPr>
          <w:rFonts w:ascii="Aptos" w:hAnsi="Aptos"/>
        </w:rPr>
        <w:t>preferred</w:t>
      </w:r>
      <w:r w:rsidR="009E4D3F" w:rsidRPr="00D518FF">
        <w:rPr>
          <w:rFonts w:ascii="Aptos" w:hAnsi="Aptos"/>
        </w:rPr>
        <w:t xml:space="preserve"> reviews by outcome domain – fatigue (general) (including myalgic encephalomyelitis (ME) and Chronic Fatigue Syndrome (CFS)), antioxidants (specifically coq10 and alpha-lipoic acid)</w:t>
      </w:r>
      <w:bookmarkEnd w:id="199"/>
    </w:p>
    <w:tbl>
      <w:tblPr>
        <w:tblStyle w:val="TableGrid"/>
        <w:tblW w:w="0" w:type="auto"/>
        <w:tblLayout w:type="fixed"/>
        <w:tblCellMar>
          <w:top w:w="28" w:type="dxa"/>
          <w:left w:w="57" w:type="dxa"/>
          <w:bottom w:w="28" w:type="dxa"/>
          <w:right w:w="28" w:type="dxa"/>
        </w:tblCellMar>
        <w:tblLook w:val="04A0" w:firstRow="1" w:lastRow="0" w:firstColumn="1" w:lastColumn="0" w:noHBand="0" w:noVBand="1"/>
      </w:tblPr>
      <w:tblGrid>
        <w:gridCol w:w="600"/>
        <w:gridCol w:w="753"/>
        <w:gridCol w:w="868"/>
        <w:gridCol w:w="870"/>
        <w:gridCol w:w="944"/>
        <w:gridCol w:w="960"/>
        <w:gridCol w:w="956"/>
        <w:gridCol w:w="745"/>
        <w:gridCol w:w="670"/>
        <w:gridCol w:w="1341"/>
        <w:gridCol w:w="669"/>
        <w:gridCol w:w="2101"/>
        <w:gridCol w:w="1809"/>
        <w:gridCol w:w="959"/>
      </w:tblGrid>
      <w:tr w:rsidR="0020186D" w:rsidRPr="00D518FF" w14:paraId="1CE86B28" w14:textId="77777777" w:rsidTr="00106ED7">
        <w:trPr>
          <w:trHeight w:val="153"/>
        </w:trPr>
        <w:tc>
          <w:tcPr>
            <w:tcW w:w="600" w:type="dxa"/>
            <w:vMerge w:val="restart"/>
            <w:shd w:val="clear" w:color="auto" w:fill="D9D9D9" w:themeFill="background1" w:themeFillShade="D9"/>
          </w:tcPr>
          <w:p w14:paraId="48976331"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Review ID</w:t>
            </w:r>
          </w:p>
        </w:tc>
        <w:tc>
          <w:tcPr>
            <w:tcW w:w="753" w:type="dxa"/>
            <w:vMerge w:val="restart"/>
            <w:shd w:val="clear" w:color="auto" w:fill="D9D9D9" w:themeFill="background1" w:themeFillShade="D9"/>
          </w:tcPr>
          <w:p w14:paraId="72C532D4"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Outcome domain</w:t>
            </w:r>
          </w:p>
        </w:tc>
        <w:tc>
          <w:tcPr>
            <w:tcW w:w="868" w:type="dxa"/>
            <w:vMerge w:val="restart"/>
            <w:shd w:val="clear" w:color="auto" w:fill="D9D9D9" w:themeFill="background1" w:themeFillShade="D9"/>
          </w:tcPr>
          <w:p w14:paraId="123BDBAA"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Population group</w:t>
            </w:r>
          </w:p>
        </w:tc>
        <w:tc>
          <w:tcPr>
            <w:tcW w:w="870" w:type="dxa"/>
            <w:vMerge w:val="restart"/>
            <w:shd w:val="clear" w:color="auto" w:fill="D9D9D9" w:themeFill="background1" w:themeFillShade="D9"/>
          </w:tcPr>
          <w:p w14:paraId="1D66CAEC"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Population details</w:t>
            </w:r>
          </w:p>
        </w:tc>
        <w:tc>
          <w:tcPr>
            <w:tcW w:w="944" w:type="dxa"/>
            <w:vMerge w:val="restart"/>
            <w:shd w:val="clear" w:color="auto" w:fill="D9D9D9" w:themeFill="background1" w:themeFillShade="D9"/>
          </w:tcPr>
          <w:p w14:paraId="0B838220"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Type of comparison</w:t>
            </w:r>
          </w:p>
        </w:tc>
        <w:tc>
          <w:tcPr>
            <w:tcW w:w="960" w:type="dxa"/>
            <w:vMerge w:val="restart"/>
            <w:shd w:val="clear" w:color="auto" w:fill="D9D9D9" w:themeFill="background1" w:themeFillShade="D9"/>
          </w:tcPr>
          <w:p w14:paraId="4F23B68D"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Intervention description</w:t>
            </w:r>
          </w:p>
        </w:tc>
        <w:tc>
          <w:tcPr>
            <w:tcW w:w="956" w:type="dxa"/>
            <w:vMerge w:val="restart"/>
            <w:shd w:val="clear" w:color="auto" w:fill="D9D9D9" w:themeFill="background1" w:themeFillShade="D9"/>
          </w:tcPr>
          <w:p w14:paraId="281F3084"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Comparator description</w:t>
            </w:r>
          </w:p>
        </w:tc>
        <w:tc>
          <w:tcPr>
            <w:tcW w:w="745" w:type="dxa"/>
            <w:vMerge w:val="restart"/>
            <w:shd w:val="clear" w:color="auto" w:fill="D9D9D9" w:themeFill="background1" w:themeFillShade="D9"/>
          </w:tcPr>
          <w:p w14:paraId="4F950401"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No/types of included studies</w:t>
            </w:r>
          </w:p>
        </w:tc>
        <w:tc>
          <w:tcPr>
            <w:tcW w:w="670" w:type="dxa"/>
            <w:vMerge w:val="restart"/>
            <w:shd w:val="clear" w:color="auto" w:fill="D9D9D9" w:themeFill="background1" w:themeFillShade="D9"/>
          </w:tcPr>
          <w:p w14:paraId="22C78237"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No of participants (total)</w:t>
            </w:r>
          </w:p>
        </w:tc>
        <w:tc>
          <w:tcPr>
            <w:tcW w:w="1341" w:type="dxa"/>
            <w:vMerge w:val="restart"/>
            <w:shd w:val="clear" w:color="auto" w:fill="D9D9D9" w:themeFill="background1" w:themeFillShade="D9"/>
          </w:tcPr>
          <w:p w14:paraId="5ADB4861"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Outcome measure(s) used</w:t>
            </w:r>
          </w:p>
        </w:tc>
        <w:tc>
          <w:tcPr>
            <w:tcW w:w="4579" w:type="dxa"/>
            <w:gridSpan w:val="3"/>
            <w:shd w:val="clear" w:color="auto" w:fill="D9D9D9" w:themeFill="background1" w:themeFillShade="D9"/>
          </w:tcPr>
          <w:p w14:paraId="29748742" w14:textId="2DC55EB5"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Results</w:t>
            </w:r>
          </w:p>
        </w:tc>
        <w:tc>
          <w:tcPr>
            <w:tcW w:w="959" w:type="dxa"/>
            <w:vMerge w:val="restart"/>
            <w:shd w:val="clear" w:color="auto" w:fill="D9D9D9" w:themeFill="background1" w:themeFillShade="D9"/>
          </w:tcPr>
          <w:p w14:paraId="7675B688" w14:textId="77777777" w:rsidR="0020186D" w:rsidRPr="00D518FF" w:rsidRDefault="0020186D" w:rsidP="00CF6EDC">
            <w:pPr>
              <w:pStyle w:val="Caption1"/>
              <w:spacing w:before="0" w:after="0"/>
              <w:rPr>
                <w:rFonts w:ascii="Aptos" w:hAnsi="Aptos"/>
                <w:sz w:val="16"/>
                <w:szCs w:val="16"/>
              </w:rPr>
            </w:pPr>
            <w:r w:rsidRPr="00847147">
              <w:rPr>
                <w:rFonts w:ascii="Aptos" w:hAnsi="Aptos"/>
                <w:sz w:val="16"/>
                <w:szCs w:val="16"/>
              </w:rPr>
              <w:t xml:space="preserve">ROBIS assessment (for </w:t>
            </w:r>
            <w:r w:rsidRPr="00573661">
              <w:rPr>
                <w:rFonts w:ascii="Aptos" w:hAnsi="Aptos"/>
                <w:sz w:val="16"/>
                <w:szCs w:val="16"/>
              </w:rPr>
              <w:t>the</w:t>
            </w:r>
            <w:r w:rsidRPr="00847147">
              <w:rPr>
                <w:rFonts w:ascii="Aptos" w:hAnsi="Aptos"/>
                <w:sz w:val="16"/>
                <w:szCs w:val="16"/>
              </w:rPr>
              <w:t xml:space="preserve"> review overall)</w:t>
            </w:r>
          </w:p>
        </w:tc>
      </w:tr>
      <w:tr w:rsidR="0020186D" w:rsidRPr="00D518FF" w14:paraId="2055D71F" w14:textId="77777777" w:rsidTr="00106ED7">
        <w:trPr>
          <w:trHeight w:val="153"/>
        </w:trPr>
        <w:tc>
          <w:tcPr>
            <w:tcW w:w="600" w:type="dxa"/>
            <w:vMerge/>
            <w:shd w:val="clear" w:color="auto" w:fill="D9D9D9" w:themeFill="background1" w:themeFillShade="D9"/>
          </w:tcPr>
          <w:p w14:paraId="1B6398CD" w14:textId="77777777" w:rsidR="0020186D" w:rsidRPr="00D518FF" w:rsidRDefault="0020186D" w:rsidP="00CF6EDC">
            <w:pPr>
              <w:pStyle w:val="Caption1"/>
              <w:spacing w:before="0" w:after="0"/>
              <w:rPr>
                <w:rFonts w:ascii="Aptos" w:hAnsi="Aptos"/>
                <w:sz w:val="16"/>
                <w:szCs w:val="16"/>
              </w:rPr>
            </w:pPr>
          </w:p>
        </w:tc>
        <w:tc>
          <w:tcPr>
            <w:tcW w:w="753" w:type="dxa"/>
            <w:vMerge/>
            <w:shd w:val="clear" w:color="auto" w:fill="D9D9D9" w:themeFill="background1" w:themeFillShade="D9"/>
          </w:tcPr>
          <w:p w14:paraId="56E9BDF3" w14:textId="77777777" w:rsidR="0020186D" w:rsidRPr="00D518FF" w:rsidRDefault="0020186D" w:rsidP="00CF6EDC">
            <w:pPr>
              <w:pStyle w:val="Caption1"/>
              <w:spacing w:before="0" w:after="0"/>
              <w:rPr>
                <w:rFonts w:ascii="Aptos" w:hAnsi="Aptos"/>
                <w:sz w:val="16"/>
                <w:szCs w:val="16"/>
              </w:rPr>
            </w:pPr>
          </w:p>
        </w:tc>
        <w:tc>
          <w:tcPr>
            <w:tcW w:w="868" w:type="dxa"/>
            <w:vMerge/>
            <w:shd w:val="clear" w:color="auto" w:fill="D9D9D9" w:themeFill="background1" w:themeFillShade="D9"/>
          </w:tcPr>
          <w:p w14:paraId="6028E612" w14:textId="77777777" w:rsidR="0020186D" w:rsidRPr="00D518FF" w:rsidRDefault="0020186D" w:rsidP="00CF6EDC">
            <w:pPr>
              <w:pStyle w:val="Caption1"/>
              <w:spacing w:before="0" w:after="0"/>
              <w:rPr>
                <w:rFonts w:ascii="Aptos" w:hAnsi="Aptos"/>
                <w:sz w:val="16"/>
                <w:szCs w:val="16"/>
              </w:rPr>
            </w:pPr>
          </w:p>
        </w:tc>
        <w:tc>
          <w:tcPr>
            <w:tcW w:w="870" w:type="dxa"/>
            <w:vMerge/>
            <w:shd w:val="clear" w:color="auto" w:fill="D9D9D9" w:themeFill="background1" w:themeFillShade="D9"/>
          </w:tcPr>
          <w:p w14:paraId="1C0F35BB" w14:textId="77777777" w:rsidR="0020186D" w:rsidRPr="00D518FF" w:rsidRDefault="0020186D" w:rsidP="00CF6EDC">
            <w:pPr>
              <w:pStyle w:val="Caption1"/>
              <w:spacing w:before="0" w:after="0"/>
              <w:rPr>
                <w:rFonts w:ascii="Aptos" w:hAnsi="Aptos"/>
                <w:sz w:val="16"/>
                <w:szCs w:val="16"/>
              </w:rPr>
            </w:pPr>
          </w:p>
        </w:tc>
        <w:tc>
          <w:tcPr>
            <w:tcW w:w="944" w:type="dxa"/>
            <w:vMerge/>
            <w:shd w:val="clear" w:color="auto" w:fill="D9D9D9" w:themeFill="background1" w:themeFillShade="D9"/>
          </w:tcPr>
          <w:p w14:paraId="0E8CFDB6" w14:textId="77777777" w:rsidR="0020186D" w:rsidRPr="00D518FF" w:rsidRDefault="0020186D" w:rsidP="00CF6EDC">
            <w:pPr>
              <w:pStyle w:val="Caption1"/>
              <w:spacing w:before="0" w:after="0"/>
              <w:rPr>
                <w:rFonts w:ascii="Aptos" w:hAnsi="Aptos"/>
                <w:sz w:val="16"/>
                <w:szCs w:val="16"/>
              </w:rPr>
            </w:pPr>
          </w:p>
        </w:tc>
        <w:tc>
          <w:tcPr>
            <w:tcW w:w="960" w:type="dxa"/>
            <w:vMerge/>
            <w:shd w:val="clear" w:color="auto" w:fill="D9D9D9" w:themeFill="background1" w:themeFillShade="D9"/>
          </w:tcPr>
          <w:p w14:paraId="51EDDA20" w14:textId="77777777" w:rsidR="0020186D" w:rsidRPr="00D518FF" w:rsidRDefault="0020186D" w:rsidP="00CF6EDC">
            <w:pPr>
              <w:pStyle w:val="Caption1"/>
              <w:spacing w:before="0" w:after="0"/>
              <w:rPr>
                <w:rFonts w:ascii="Aptos" w:hAnsi="Aptos"/>
                <w:sz w:val="16"/>
                <w:szCs w:val="16"/>
              </w:rPr>
            </w:pPr>
          </w:p>
        </w:tc>
        <w:tc>
          <w:tcPr>
            <w:tcW w:w="956" w:type="dxa"/>
            <w:vMerge/>
            <w:shd w:val="clear" w:color="auto" w:fill="D9D9D9" w:themeFill="background1" w:themeFillShade="D9"/>
          </w:tcPr>
          <w:p w14:paraId="2CD5E182" w14:textId="77777777" w:rsidR="0020186D" w:rsidRPr="00D518FF" w:rsidRDefault="0020186D" w:rsidP="00CF6EDC">
            <w:pPr>
              <w:pStyle w:val="Caption1"/>
              <w:spacing w:before="0" w:after="0"/>
              <w:rPr>
                <w:rFonts w:ascii="Aptos" w:hAnsi="Aptos"/>
                <w:sz w:val="16"/>
                <w:szCs w:val="16"/>
              </w:rPr>
            </w:pPr>
          </w:p>
        </w:tc>
        <w:tc>
          <w:tcPr>
            <w:tcW w:w="745" w:type="dxa"/>
            <w:vMerge/>
            <w:shd w:val="clear" w:color="auto" w:fill="D9D9D9" w:themeFill="background1" w:themeFillShade="D9"/>
          </w:tcPr>
          <w:p w14:paraId="2438F093" w14:textId="77777777" w:rsidR="0020186D" w:rsidRPr="00D518FF" w:rsidRDefault="0020186D" w:rsidP="00CF6EDC">
            <w:pPr>
              <w:pStyle w:val="Caption1"/>
              <w:spacing w:before="0" w:after="0"/>
              <w:rPr>
                <w:rFonts w:ascii="Aptos" w:hAnsi="Aptos"/>
                <w:sz w:val="16"/>
                <w:szCs w:val="16"/>
              </w:rPr>
            </w:pPr>
          </w:p>
        </w:tc>
        <w:tc>
          <w:tcPr>
            <w:tcW w:w="670" w:type="dxa"/>
            <w:vMerge/>
            <w:shd w:val="clear" w:color="auto" w:fill="D9D9D9" w:themeFill="background1" w:themeFillShade="D9"/>
          </w:tcPr>
          <w:p w14:paraId="377201A8" w14:textId="77777777" w:rsidR="0020186D" w:rsidRPr="00D518FF" w:rsidRDefault="0020186D" w:rsidP="00CF6EDC">
            <w:pPr>
              <w:pStyle w:val="Caption1"/>
              <w:spacing w:before="0" w:after="0"/>
              <w:rPr>
                <w:rFonts w:ascii="Aptos" w:hAnsi="Aptos"/>
                <w:sz w:val="16"/>
                <w:szCs w:val="16"/>
              </w:rPr>
            </w:pPr>
          </w:p>
        </w:tc>
        <w:tc>
          <w:tcPr>
            <w:tcW w:w="1341" w:type="dxa"/>
            <w:vMerge/>
            <w:shd w:val="clear" w:color="auto" w:fill="D9D9D9" w:themeFill="background1" w:themeFillShade="D9"/>
          </w:tcPr>
          <w:p w14:paraId="2BB66419" w14:textId="77777777" w:rsidR="0020186D" w:rsidRPr="00D518FF" w:rsidRDefault="0020186D" w:rsidP="00CF6EDC">
            <w:pPr>
              <w:pStyle w:val="Caption1"/>
              <w:spacing w:before="0" w:after="0"/>
              <w:rPr>
                <w:rFonts w:ascii="Aptos" w:hAnsi="Aptos"/>
                <w:sz w:val="16"/>
                <w:szCs w:val="16"/>
              </w:rPr>
            </w:pPr>
          </w:p>
        </w:tc>
        <w:tc>
          <w:tcPr>
            <w:tcW w:w="669" w:type="dxa"/>
            <w:shd w:val="clear" w:color="auto" w:fill="D9D9D9" w:themeFill="background1" w:themeFillShade="D9"/>
          </w:tcPr>
          <w:p w14:paraId="0F2AD34D"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Relative effect (95% CI)</w:t>
            </w:r>
          </w:p>
        </w:tc>
        <w:tc>
          <w:tcPr>
            <w:tcW w:w="2101" w:type="dxa"/>
            <w:shd w:val="clear" w:color="auto" w:fill="D9D9D9" w:themeFill="background1" w:themeFillShade="D9"/>
          </w:tcPr>
          <w:p w14:paraId="78F8D7A2" w14:textId="77777777" w:rsidR="0020186D" w:rsidRPr="00D518FF" w:rsidRDefault="0020186D" w:rsidP="00CF6EDC">
            <w:pPr>
              <w:pStyle w:val="Caption1"/>
              <w:spacing w:before="0" w:after="0"/>
              <w:rPr>
                <w:rFonts w:ascii="Aptos" w:hAnsi="Aptos"/>
                <w:sz w:val="16"/>
                <w:szCs w:val="16"/>
              </w:rPr>
            </w:pPr>
            <w:r w:rsidRPr="00D518FF">
              <w:rPr>
                <w:rFonts w:ascii="Aptos" w:hAnsi="Aptos"/>
                <w:sz w:val="16"/>
                <w:szCs w:val="16"/>
              </w:rPr>
              <w:t>Other reported results</w:t>
            </w:r>
          </w:p>
        </w:tc>
        <w:tc>
          <w:tcPr>
            <w:tcW w:w="1809" w:type="dxa"/>
            <w:shd w:val="clear" w:color="auto" w:fill="D9D9D9" w:themeFill="background1" w:themeFillShade="D9"/>
          </w:tcPr>
          <w:p w14:paraId="7D75578F" w14:textId="77777777" w:rsidR="0020186D" w:rsidRPr="00D518FF" w:rsidRDefault="0020186D" w:rsidP="00CF6EDC">
            <w:pPr>
              <w:pStyle w:val="Caption1"/>
              <w:spacing w:before="0" w:after="0"/>
              <w:rPr>
                <w:rFonts w:ascii="Aptos" w:hAnsi="Aptos"/>
                <w:sz w:val="16"/>
                <w:szCs w:val="16"/>
              </w:rPr>
            </w:pPr>
            <w:r w:rsidRPr="005072A2">
              <w:rPr>
                <w:rFonts w:ascii="Aptos" w:hAnsi="Aptos"/>
                <w:sz w:val="16"/>
                <w:szCs w:val="16"/>
              </w:rPr>
              <w:t>Risk of bias summary (primary studies)</w:t>
            </w:r>
          </w:p>
        </w:tc>
        <w:tc>
          <w:tcPr>
            <w:tcW w:w="959" w:type="dxa"/>
            <w:vMerge/>
            <w:shd w:val="clear" w:color="auto" w:fill="D9D9D9" w:themeFill="background1" w:themeFillShade="D9"/>
          </w:tcPr>
          <w:p w14:paraId="19AD16F1" w14:textId="77777777" w:rsidR="0020186D" w:rsidRPr="00D518FF" w:rsidRDefault="0020186D" w:rsidP="00CF6EDC">
            <w:pPr>
              <w:pStyle w:val="Caption1"/>
              <w:spacing w:before="0" w:after="0"/>
              <w:rPr>
                <w:rFonts w:ascii="Aptos" w:hAnsi="Aptos"/>
                <w:sz w:val="16"/>
                <w:szCs w:val="16"/>
              </w:rPr>
            </w:pPr>
          </w:p>
        </w:tc>
      </w:tr>
      <w:tr w:rsidR="0020186D" w:rsidRPr="00D518FF" w14:paraId="32D33080" w14:textId="77777777" w:rsidTr="00106ED7">
        <w:trPr>
          <w:trHeight w:val="326"/>
        </w:trPr>
        <w:tc>
          <w:tcPr>
            <w:tcW w:w="600" w:type="dxa"/>
          </w:tcPr>
          <w:p w14:paraId="65E046F0"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Marx 2019</w:t>
            </w:r>
          </w:p>
        </w:tc>
        <w:tc>
          <w:tcPr>
            <w:tcW w:w="753" w:type="dxa"/>
          </w:tcPr>
          <w:p w14:paraId="680E61F1"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868" w:type="dxa"/>
          </w:tcPr>
          <w:p w14:paraId="0AD044F4"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870" w:type="dxa"/>
          </w:tcPr>
          <w:p w14:paraId="72F1F56B"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Secondary progressive multiple sclerosis</w:t>
            </w:r>
          </w:p>
        </w:tc>
        <w:tc>
          <w:tcPr>
            <w:tcW w:w="944" w:type="dxa"/>
          </w:tcPr>
          <w:p w14:paraId="4760ED3A"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960" w:type="dxa"/>
          </w:tcPr>
          <w:p w14:paraId="6C799E83"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ALA (1200 mg per day)</w:t>
            </w:r>
          </w:p>
        </w:tc>
        <w:tc>
          <w:tcPr>
            <w:tcW w:w="956" w:type="dxa"/>
          </w:tcPr>
          <w:p w14:paraId="10C2FCA2"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45" w:type="dxa"/>
          </w:tcPr>
          <w:p w14:paraId="23627BD7"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670" w:type="dxa"/>
          </w:tcPr>
          <w:p w14:paraId="1435A84C"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54</w:t>
            </w:r>
          </w:p>
        </w:tc>
        <w:tc>
          <w:tcPr>
            <w:tcW w:w="1341" w:type="dxa"/>
          </w:tcPr>
          <w:p w14:paraId="69862022"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SF-36</w:t>
            </w:r>
          </w:p>
        </w:tc>
        <w:tc>
          <w:tcPr>
            <w:tcW w:w="669" w:type="dxa"/>
          </w:tcPr>
          <w:p w14:paraId="598B9EDA"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101" w:type="dxa"/>
          </w:tcPr>
          <w:p w14:paraId="5C59FD9D"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No significant effect on quality of life</w:t>
            </w:r>
          </w:p>
        </w:tc>
        <w:tc>
          <w:tcPr>
            <w:tcW w:w="1809" w:type="dxa"/>
          </w:tcPr>
          <w:p w14:paraId="036369DF"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Jadad score=5</w:t>
            </w:r>
          </w:p>
        </w:tc>
        <w:tc>
          <w:tcPr>
            <w:tcW w:w="959" w:type="dxa"/>
          </w:tcPr>
          <w:p w14:paraId="17E150D4" w14:textId="77777777" w:rsidR="0020186D" w:rsidRPr="00D518FF" w:rsidRDefault="0020186D" w:rsidP="00CF6EDC">
            <w:pPr>
              <w:pStyle w:val="Caption1"/>
              <w:spacing w:before="0" w:after="0"/>
              <w:rPr>
                <w:rFonts w:ascii="Aptos" w:hAnsi="Aptos"/>
                <w:b w:val="0"/>
                <w:bCs w:val="0"/>
                <w:sz w:val="16"/>
                <w:szCs w:val="16"/>
              </w:rPr>
            </w:pPr>
            <w:r>
              <w:rPr>
                <w:rFonts w:ascii="Aptos" w:hAnsi="Aptos"/>
                <w:b w:val="0"/>
                <w:bCs w:val="0"/>
                <w:sz w:val="16"/>
                <w:szCs w:val="16"/>
              </w:rPr>
              <w:t>Unclear risk</w:t>
            </w:r>
          </w:p>
        </w:tc>
      </w:tr>
      <w:tr w:rsidR="0020186D" w:rsidRPr="00D518FF" w14:paraId="4AC6714C" w14:textId="77777777" w:rsidTr="00106ED7">
        <w:trPr>
          <w:trHeight w:val="326"/>
        </w:trPr>
        <w:tc>
          <w:tcPr>
            <w:tcW w:w="600" w:type="dxa"/>
          </w:tcPr>
          <w:p w14:paraId="5CBE738E"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Marx 2019</w:t>
            </w:r>
          </w:p>
        </w:tc>
        <w:tc>
          <w:tcPr>
            <w:tcW w:w="753" w:type="dxa"/>
          </w:tcPr>
          <w:p w14:paraId="1163F923"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68" w:type="dxa"/>
          </w:tcPr>
          <w:p w14:paraId="4359726E"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870" w:type="dxa"/>
          </w:tcPr>
          <w:p w14:paraId="5987C113"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Relapse remitting multiple sclerosis</w:t>
            </w:r>
          </w:p>
        </w:tc>
        <w:tc>
          <w:tcPr>
            <w:tcW w:w="944" w:type="dxa"/>
          </w:tcPr>
          <w:p w14:paraId="4806CAF2"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960" w:type="dxa"/>
          </w:tcPr>
          <w:p w14:paraId="47A485F9"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ALA (1200 mg per day)</w:t>
            </w:r>
          </w:p>
        </w:tc>
        <w:tc>
          <w:tcPr>
            <w:tcW w:w="956" w:type="dxa"/>
          </w:tcPr>
          <w:p w14:paraId="0DB4760E"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45" w:type="dxa"/>
          </w:tcPr>
          <w:p w14:paraId="5F21AD55"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670" w:type="dxa"/>
          </w:tcPr>
          <w:p w14:paraId="2A038333"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39</w:t>
            </w:r>
          </w:p>
        </w:tc>
        <w:tc>
          <w:tcPr>
            <w:tcW w:w="1341" w:type="dxa"/>
          </w:tcPr>
          <w:p w14:paraId="63CD15E4"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FSS</w:t>
            </w:r>
          </w:p>
        </w:tc>
        <w:tc>
          <w:tcPr>
            <w:tcW w:w="669" w:type="dxa"/>
          </w:tcPr>
          <w:p w14:paraId="4DCDA7EA"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101" w:type="dxa"/>
          </w:tcPr>
          <w:p w14:paraId="65AF9EE9"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No significant between-group difference in fatigue</w:t>
            </w:r>
          </w:p>
        </w:tc>
        <w:tc>
          <w:tcPr>
            <w:tcW w:w="1809" w:type="dxa"/>
          </w:tcPr>
          <w:p w14:paraId="1D7047DC"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Jadad score=4</w:t>
            </w:r>
          </w:p>
        </w:tc>
        <w:tc>
          <w:tcPr>
            <w:tcW w:w="959" w:type="dxa"/>
          </w:tcPr>
          <w:p w14:paraId="77817605" w14:textId="77777777" w:rsidR="0020186D" w:rsidRPr="00D518FF" w:rsidRDefault="0020186D" w:rsidP="00CF6EDC">
            <w:pPr>
              <w:pStyle w:val="Caption1"/>
              <w:spacing w:before="0" w:after="0"/>
              <w:rPr>
                <w:rFonts w:ascii="Aptos" w:hAnsi="Aptos"/>
                <w:b w:val="0"/>
                <w:bCs w:val="0"/>
                <w:sz w:val="16"/>
                <w:szCs w:val="16"/>
              </w:rPr>
            </w:pPr>
            <w:r>
              <w:rPr>
                <w:rFonts w:ascii="Aptos" w:hAnsi="Aptos"/>
                <w:b w:val="0"/>
                <w:bCs w:val="0"/>
                <w:sz w:val="16"/>
                <w:szCs w:val="16"/>
              </w:rPr>
              <w:t>Unclear risk</w:t>
            </w:r>
          </w:p>
        </w:tc>
      </w:tr>
      <w:tr w:rsidR="0020186D" w:rsidRPr="00D518FF" w14:paraId="159937B1" w14:textId="77777777" w:rsidTr="00106ED7">
        <w:trPr>
          <w:trHeight w:val="326"/>
        </w:trPr>
        <w:tc>
          <w:tcPr>
            <w:tcW w:w="600" w:type="dxa"/>
          </w:tcPr>
          <w:p w14:paraId="6B9DBF94"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Marx 2019</w:t>
            </w:r>
          </w:p>
        </w:tc>
        <w:tc>
          <w:tcPr>
            <w:tcW w:w="753" w:type="dxa"/>
          </w:tcPr>
          <w:p w14:paraId="1DCB8A74"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68" w:type="dxa"/>
          </w:tcPr>
          <w:p w14:paraId="248B3705"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870" w:type="dxa"/>
          </w:tcPr>
          <w:p w14:paraId="0BCA7B1C"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Relapse remitting multiple sclerosis</w:t>
            </w:r>
          </w:p>
        </w:tc>
        <w:tc>
          <w:tcPr>
            <w:tcW w:w="944" w:type="dxa"/>
          </w:tcPr>
          <w:p w14:paraId="71E18ECD"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960" w:type="dxa"/>
          </w:tcPr>
          <w:p w14:paraId="75304010"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CoQ10 500mg/day</w:t>
            </w:r>
          </w:p>
        </w:tc>
        <w:tc>
          <w:tcPr>
            <w:tcW w:w="956" w:type="dxa"/>
          </w:tcPr>
          <w:p w14:paraId="57168DBD"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45" w:type="dxa"/>
          </w:tcPr>
          <w:p w14:paraId="1748631B"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670" w:type="dxa"/>
          </w:tcPr>
          <w:p w14:paraId="4F0EB54F"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48</w:t>
            </w:r>
          </w:p>
        </w:tc>
        <w:tc>
          <w:tcPr>
            <w:tcW w:w="1341" w:type="dxa"/>
          </w:tcPr>
          <w:p w14:paraId="024E81E0"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FSS</w:t>
            </w:r>
          </w:p>
        </w:tc>
        <w:tc>
          <w:tcPr>
            <w:tcW w:w="669" w:type="dxa"/>
          </w:tcPr>
          <w:p w14:paraId="18D9309D"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2101" w:type="dxa"/>
          </w:tcPr>
          <w:p w14:paraId="5F2AC064"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Participants reported reduced fatigue (using the Fatigue Severity Scale) (p &lt; 0.001) after 12 weeks</w:t>
            </w:r>
          </w:p>
        </w:tc>
        <w:tc>
          <w:tcPr>
            <w:tcW w:w="1809" w:type="dxa"/>
          </w:tcPr>
          <w:p w14:paraId="0623A681"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Jadad score=3</w:t>
            </w:r>
          </w:p>
        </w:tc>
        <w:tc>
          <w:tcPr>
            <w:tcW w:w="959" w:type="dxa"/>
          </w:tcPr>
          <w:p w14:paraId="20B7651A" w14:textId="77777777" w:rsidR="0020186D" w:rsidRPr="00D518FF" w:rsidRDefault="0020186D" w:rsidP="00CF6EDC">
            <w:pPr>
              <w:pStyle w:val="Caption1"/>
              <w:spacing w:before="0" w:after="0"/>
              <w:rPr>
                <w:rFonts w:ascii="Aptos" w:hAnsi="Aptos"/>
                <w:b w:val="0"/>
                <w:bCs w:val="0"/>
                <w:sz w:val="16"/>
                <w:szCs w:val="16"/>
              </w:rPr>
            </w:pPr>
            <w:r>
              <w:rPr>
                <w:rFonts w:ascii="Aptos" w:hAnsi="Aptos"/>
                <w:b w:val="0"/>
                <w:bCs w:val="0"/>
                <w:sz w:val="16"/>
                <w:szCs w:val="16"/>
              </w:rPr>
              <w:t>Unclear risk</w:t>
            </w:r>
          </w:p>
        </w:tc>
      </w:tr>
      <w:tr w:rsidR="0020186D" w:rsidRPr="00D518FF" w14:paraId="54961707" w14:textId="77777777" w:rsidTr="00106ED7">
        <w:trPr>
          <w:trHeight w:val="326"/>
        </w:trPr>
        <w:tc>
          <w:tcPr>
            <w:tcW w:w="600" w:type="dxa"/>
          </w:tcPr>
          <w:p w14:paraId="3E210533"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Tsai 2022</w:t>
            </w:r>
          </w:p>
        </w:tc>
        <w:tc>
          <w:tcPr>
            <w:tcW w:w="753" w:type="dxa"/>
          </w:tcPr>
          <w:p w14:paraId="13D14867"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68" w:type="dxa"/>
          </w:tcPr>
          <w:p w14:paraId="5ED346D9"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870" w:type="dxa"/>
          </w:tcPr>
          <w:p w14:paraId="6A51CBD8"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Fatigue-associated diseases</w:t>
            </w:r>
          </w:p>
        </w:tc>
        <w:tc>
          <w:tcPr>
            <w:tcW w:w="944" w:type="dxa"/>
          </w:tcPr>
          <w:p w14:paraId="5F061594"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960" w:type="dxa"/>
          </w:tcPr>
          <w:p w14:paraId="0776AF21"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CoQ10 60-500mg/day</w:t>
            </w:r>
          </w:p>
        </w:tc>
        <w:tc>
          <w:tcPr>
            <w:tcW w:w="956" w:type="dxa"/>
          </w:tcPr>
          <w:p w14:paraId="6F2928BA"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45" w:type="dxa"/>
          </w:tcPr>
          <w:p w14:paraId="190C5A10"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10</w:t>
            </w:r>
          </w:p>
        </w:tc>
        <w:tc>
          <w:tcPr>
            <w:tcW w:w="670" w:type="dxa"/>
          </w:tcPr>
          <w:p w14:paraId="09E7E046"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899</w:t>
            </w:r>
          </w:p>
        </w:tc>
        <w:tc>
          <w:tcPr>
            <w:tcW w:w="1341" w:type="dxa"/>
          </w:tcPr>
          <w:p w14:paraId="1F938359"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Minnesota Living with Heart Failure Questionnaire fatigue score (0-5), FSS (9-63), FIQ fatigue score (0-10), POMS-F (0-4), FIS (0-160), Fatigue Scale (0-32), MAF (1-50), FACIT-F (0-44)</w:t>
            </w:r>
          </w:p>
        </w:tc>
        <w:tc>
          <w:tcPr>
            <w:tcW w:w="669" w:type="dxa"/>
          </w:tcPr>
          <w:p w14:paraId="79229D5C"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Hedges’ g = −0.433 (−0.732, −0.133)</w:t>
            </w:r>
          </w:p>
        </w:tc>
        <w:tc>
          <w:tcPr>
            <w:tcW w:w="2101" w:type="dxa"/>
          </w:tcPr>
          <w:p w14:paraId="3FFBBCD2" w14:textId="77777777" w:rsidR="0020186D" w:rsidRPr="00D518FF" w:rsidRDefault="0020186D" w:rsidP="00CF6EDC">
            <w:pPr>
              <w:pStyle w:val="Caption1"/>
              <w:spacing w:before="0" w:after="0"/>
              <w:rPr>
                <w:rFonts w:ascii="Aptos" w:hAnsi="Aptos"/>
                <w:b w:val="0"/>
                <w:bCs w:val="0"/>
                <w:sz w:val="16"/>
                <w:szCs w:val="16"/>
              </w:rPr>
            </w:pPr>
          </w:p>
        </w:tc>
        <w:tc>
          <w:tcPr>
            <w:tcW w:w="1809" w:type="dxa"/>
          </w:tcPr>
          <w:p w14:paraId="37879B6E" w14:textId="77777777" w:rsidR="0020186D" w:rsidRPr="00D518FF" w:rsidRDefault="0020186D" w:rsidP="00CF6EDC">
            <w:pPr>
              <w:pStyle w:val="Caption1"/>
              <w:spacing w:before="0" w:after="0"/>
              <w:rPr>
                <w:rFonts w:ascii="Aptos" w:hAnsi="Aptos"/>
                <w:b w:val="0"/>
                <w:bCs w:val="0"/>
                <w:sz w:val="16"/>
                <w:szCs w:val="16"/>
              </w:rPr>
            </w:pPr>
            <w:r w:rsidRPr="00D518FF">
              <w:rPr>
                <w:rFonts w:ascii="Aptos" w:hAnsi="Aptos"/>
                <w:b w:val="0"/>
                <w:bCs w:val="0"/>
                <w:sz w:val="16"/>
                <w:szCs w:val="16"/>
              </w:rPr>
              <w:t>5 studies assessed as low risk of bias; 5 studies assessed as some risk of bias</w:t>
            </w:r>
          </w:p>
        </w:tc>
        <w:tc>
          <w:tcPr>
            <w:tcW w:w="959" w:type="dxa"/>
          </w:tcPr>
          <w:p w14:paraId="6862AE50" w14:textId="77777777" w:rsidR="0020186D" w:rsidRPr="00D518FF" w:rsidRDefault="0020186D" w:rsidP="00CF6EDC">
            <w:pPr>
              <w:pStyle w:val="Caption1"/>
              <w:spacing w:before="0" w:after="0"/>
              <w:rPr>
                <w:rFonts w:ascii="Aptos" w:hAnsi="Aptos"/>
                <w:b w:val="0"/>
                <w:bCs w:val="0"/>
                <w:sz w:val="16"/>
                <w:szCs w:val="16"/>
              </w:rPr>
            </w:pPr>
            <w:r>
              <w:rPr>
                <w:rFonts w:ascii="Aptos" w:hAnsi="Aptos"/>
                <w:b w:val="0"/>
                <w:bCs w:val="0"/>
                <w:sz w:val="16"/>
                <w:szCs w:val="16"/>
              </w:rPr>
              <w:t>Low risk</w:t>
            </w:r>
          </w:p>
        </w:tc>
      </w:tr>
    </w:tbl>
    <w:p w14:paraId="49D4D2F2" w14:textId="618D63A2" w:rsidR="0020186D" w:rsidRPr="00D518FF" w:rsidRDefault="0020186D" w:rsidP="0020186D">
      <w:pPr>
        <w:pStyle w:val="Caption1"/>
        <w:spacing w:before="0" w:after="0"/>
        <w:rPr>
          <w:rFonts w:ascii="Aptos" w:hAnsi="Aptos"/>
          <w:b w:val="0"/>
          <w:bCs w:val="0"/>
          <w:sz w:val="16"/>
          <w:szCs w:val="16"/>
        </w:rPr>
      </w:pPr>
      <w:r w:rsidRPr="00D518FF">
        <w:rPr>
          <w:rFonts w:ascii="Aptos" w:hAnsi="Aptos"/>
          <w:b w:val="0"/>
          <w:bCs w:val="0"/>
          <w:sz w:val="16"/>
          <w:szCs w:val="16"/>
        </w:rPr>
        <w:t>Abbreviations: CFS=Chronic Fatigue Syndrome</w:t>
      </w:r>
      <w:r w:rsidR="00106ED7">
        <w:rPr>
          <w:rFonts w:ascii="Aptos" w:hAnsi="Aptos"/>
          <w:b w:val="0"/>
          <w:bCs w:val="0"/>
          <w:sz w:val="16"/>
          <w:szCs w:val="16"/>
        </w:rPr>
        <w:t>;</w:t>
      </w:r>
      <w:r w:rsidRPr="00D518FF">
        <w:rPr>
          <w:rFonts w:ascii="Aptos" w:hAnsi="Aptos"/>
          <w:b w:val="0"/>
          <w:bCs w:val="0"/>
          <w:sz w:val="16"/>
          <w:szCs w:val="16"/>
        </w:rPr>
        <w:t xml:space="preserve"> CoQ10=Coenzyme Q10</w:t>
      </w:r>
      <w:r w:rsidR="00106ED7">
        <w:rPr>
          <w:rFonts w:ascii="Aptos" w:hAnsi="Aptos"/>
          <w:b w:val="0"/>
          <w:bCs w:val="0"/>
          <w:sz w:val="16"/>
          <w:szCs w:val="16"/>
        </w:rPr>
        <w:t>;</w:t>
      </w:r>
      <w:r w:rsidRPr="00D518FF">
        <w:rPr>
          <w:rFonts w:ascii="Aptos" w:hAnsi="Aptos"/>
          <w:b w:val="0"/>
          <w:bCs w:val="0"/>
          <w:sz w:val="16"/>
          <w:szCs w:val="16"/>
        </w:rPr>
        <w:t xml:space="preserve"> FSS=Fatigue Severity Scale</w:t>
      </w:r>
      <w:r w:rsidR="00106ED7">
        <w:rPr>
          <w:rFonts w:ascii="Aptos" w:hAnsi="Aptos"/>
          <w:b w:val="0"/>
          <w:bCs w:val="0"/>
          <w:sz w:val="16"/>
          <w:szCs w:val="16"/>
        </w:rPr>
        <w:t>;</w:t>
      </w:r>
      <w:r w:rsidRPr="00D518FF">
        <w:rPr>
          <w:rFonts w:ascii="Aptos" w:hAnsi="Aptos"/>
          <w:b w:val="0"/>
          <w:bCs w:val="0"/>
          <w:sz w:val="16"/>
          <w:szCs w:val="16"/>
        </w:rPr>
        <w:t xml:space="preserve"> FACIT-F= Functional Assessment of Chronic Illness Therapy-Fatigue</w:t>
      </w:r>
      <w:r w:rsidR="00106ED7">
        <w:rPr>
          <w:rFonts w:ascii="Aptos" w:hAnsi="Aptos"/>
          <w:b w:val="0"/>
          <w:bCs w:val="0"/>
          <w:sz w:val="16"/>
          <w:szCs w:val="16"/>
        </w:rPr>
        <w:t>;</w:t>
      </w:r>
      <w:r w:rsidRPr="00D518FF">
        <w:rPr>
          <w:rFonts w:ascii="Aptos" w:hAnsi="Aptos"/>
          <w:b w:val="0"/>
          <w:bCs w:val="0"/>
          <w:sz w:val="16"/>
          <w:szCs w:val="16"/>
        </w:rPr>
        <w:t xml:space="preserve"> FIS= Fatigue Impact Scale</w:t>
      </w:r>
      <w:r w:rsidR="00106ED7">
        <w:rPr>
          <w:rFonts w:ascii="Aptos" w:hAnsi="Aptos"/>
          <w:b w:val="0"/>
          <w:bCs w:val="0"/>
          <w:sz w:val="16"/>
          <w:szCs w:val="16"/>
        </w:rPr>
        <w:t>;</w:t>
      </w:r>
      <w:r w:rsidRPr="00D518FF">
        <w:rPr>
          <w:rFonts w:ascii="Aptos" w:hAnsi="Aptos"/>
          <w:b w:val="0"/>
          <w:bCs w:val="0"/>
          <w:sz w:val="16"/>
          <w:szCs w:val="16"/>
        </w:rPr>
        <w:t xml:space="preserve"> FIQ= Fibromyalgia Impact Questionnaire</w:t>
      </w:r>
      <w:r w:rsidR="00106ED7">
        <w:rPr>
          <w:rFonts w:ascii="Aptos" w:hAnsi="Aptos"/>
          <w:b w:val="0"/>
          <w:bCs w:val="0"/>
          <w:sz w:val="16"/>
          <w:szCs w:val="16"/>
        </w:rPr>
        <w:t xml:space="preserve">; </w:t>
      </w:r>
      <w:r w:rsidR="00106ED7" w:rsidRPr="00D518FF">
        <w:rPr>
          <w:rFonts w:ascii="Aptos" w:hAnsi="Aptos"/>
          <w:b w:val="0"/>
          <w:bCs w:val="0"/>
          <w:sz w:val="16"/>
          <w:szCs w:val="16"/>
        </w:rPr>
        <w:t>ME=myalgic encephalomyelitis</w:t>
      </w:r>
      <w:r w:rsidR="00106ED7">
        <w:rPr>
          <w:rFonts w:ascii="Aptos" w:hAnsi="Aptos"/>
          <w:b w:val="0"/>
          <w:bCs w:val="0"/>
          <w:sz w:val="16"/>
          <w:szCs w:val="16"/>
        </w:rPr>
        <w:t>;</w:t>
      </w:r>
      <w:r w:rsidR="00106ED7" w:rsidRPr="00D518FF">
        <w:rPr>
          <w:rFonts w:ascii="Aptos" w:hAnsi="Aptos"/>
          <w:b w:val="0"/>
          <w:bCs w:val="0"/>
          <w:sz w:val="16"/>
          <w:szCs w:val="16"/>
        </w:rPr>
        <w:t xml:space="preserve"> </w:t>
      </w:r>
      <w:r w:rsidR="00106ED7">
        <w:rPr>
          <w:rFonts w:ascii="Aptos" w:hAnsi="Aptos"/>
          <w:b w:val="0"/>
          <w:bCs w:val="0"/>
          <w:sz w:val="16"/>
          <w:szCs w:val="16"/>
        </w:rPr>
        <w:t xml:space="preserve">NR=not reported; </w:t>
      </w:r>
      <w:r w:rsidRPr="00D518FF">
        <w:rPr>
          <w:rFonts w:ascii="Aptos" w:hAnsi="Aptos"/>
          <w:b w:val="0"/>
          <w:bCs w:val="0"/>
          <w:sz w:val="16"/>
          <w:szCs w:val="16"/>
        </w:rPr>
        <w:t>POMS-F=Profile of Mood States-Fatigue, LASA-F= Linear Analog Scale Assessment – Fatigue, MAF= Multidimensional Assessment of Fatigue</w:t>
      </w:r>
      <w:r w:rsidR="00106ED7">
        <w:rPr>
          <w:rFonts w:ascii="Aptos" w:hAnsi="Aptos"/>
          <w:b w:val="0"/>
          <w:bCs w:val="0"/>
          <w:sz w:val="16"/>
          <w:szCs w:val="16"/>
        </w:rPr>
        <w:t>;</w:t>
      </w:r>
      <w:r w:rsidRPr="00D518FF">
        <w:rPr>
          <w:rFonts w:ascii="Aptos" w:hAnsi="Aptos"/>
          <w:b w:val="0"/>
          <w:bCs w:val="0"/>
          <w:sz w:val="16"/>
          <w:szCs w:val="16"/>
        </w:rPr>
        <w:t xml:space="preserve"> SF-36= RAND 36-Item Short Form Health Survey</w:t>
      </w:r>
    </w:p>
    <w:p w14:paraId="04AD655C" w14:textId="77777777" w:rsidR="0020186D" w:rsidRPr="00D518FF" w:rsidRDefault="0020186D" w:rsidP="0020186D">
      <w:pPr>
        <w:pStyle w:val="Caption1"/>
        <w:spacing w:before="0" w:after="0"/>
        <w:rPr>
          <w:rFonts w:ascii="Aptos" w:hAnsi="Aptos"/>
          <w:b w:val="0"/>
          <w:bCs w:val="0"/>
          <w:sz w:val="16"/>
          <w:szCs w:val="16"/>
        </w:rPr>
      </w:pPr>
    </w:p>
    <w:p w14:paraId="0B162CED" w14:textId="77777777" w:rsidR="0020186D" w:rsidRPr="00D518FF" w:rsidRDefault="0020186D" w:rsidP="0020186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6CC643E8" w14:textId="77777777" w:rsidR="0020186D" w:rsidRPr="00D518FF" w:rsidRDefault="0020186D" w:rsidP="00A4650A">
      <w:pPr>
        <w:pStyle w:val="ListParagraph"/>
        <w:numPr>
          <w:ilvl w:val="0"/>
          <w:numId w:val="2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improvement in fatigue severity/burden</w:t>
      </w:r>
    </w:p>
    <w:p w14:paraId="0D2803E2" w14:textId="77777777" w:rsidR="0020186D" w:rsidRPr="00D518FF" w:rsidRDefault="0020186D" w:rsidP="00A4650A">
      <w:pPr>
        <w:pStyle w:val="ListParagraph"/>
        <w:numPr>
          <w:ilvl w:val="0"/>
          <w:numId w:val="2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Clinical recovery or improvement (dichotomous)</w:t>
      </w:r>
    </w:p>
    <w:p w14:paraId="5329BE75" w14:textId="77777777" w:rsidR="0020186D" w:rsidRPr="00D518FF" w:rsidRDefault="0020186D" w:rsidP="00A4650A">
      <w:pPr>
        <w:pStyle w:val="ListParagraph"/>
        <w:numPr>
          <w:ilvl w:val="0"/>
          <w:numId w:val="2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Self-perceived change in overall health</w:t>
      </w:r>
    </w:p>
    <w:p w14:paraId="037C61AE" w14:textId="77777777" w:rsidR="0020186D" w:rsidRPr="00D518FF" w:rsidRDefault="0020186D" w:rsidP="00A4650A">
      <w:pPr>
        <w:pStyle w:val="ListParagraph"/>
        <w:numPr>
          <w:ilvl w:val="0"/>
          <w:numId w:val="2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Physical function burden from fatigue</w:t>
      </w:r>
    </w:p>
    <w:p w14:paraId="55BBF526" w14:textId="77777777" w:rsidR="0020186D" w:rsidRPr="00D518FF" w:rsidRDefault="0020186D" w:rsidP="00A4650A">
      <w:pPr>
        <w:pStyle w:val="ListParagraph"/>
        <w:numPr>
          <w:ilvl w:val="0"/>
          <w:numId w:val="2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lastRenderedPageBreak/>
        <w:t>HRQoL</w:t>
      </w:r>
    </w:p>
    <w:p w14:paraId="26B8A1B3" w14:textId="77777777" w:rsidR="0020186D" w:rsidRPr="00D518FF" w:rsidRDefault="0020186D" w:rsidP="00A4650A">
      <w:pPr>
        <w:pStyle w:val="ListParagraph"/>
        <w:numPr>
          <w:ilvl w:val="0"/>
          <w:numId w:val="2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 from fatigue</w:t>
      </w:r>
    </w:p>
    <w:p w14:paraId="14202347" w14:textId="77777777" w:rsidR="0020186D" w:rsidRDefault="0020186D" w:rsidP="00A4650A">
      <w:pPr>
        <w:pStyle w:val="ListParagraph"/>
        <w:numPr>
          <w:ilvl w:val="0"/>
          <w:numId w:val="2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Sleep quality/quantity</w:t>
      </w:r>
    </w:p>
    <w:p w14:paraId="129734DD" w14:textId="1D3364AE" w:rsidR="009E4D3F" w:rsidRPr="00AA694C" w:rsidRDefault="00447B3F" w:rsidP="00447B3F">
      <w:pPr>
        <w:pStyle w:val="Caption"/>
        <w:rPr>
          <w:rFonts w:ascii="Aptos" w:hAnsi="Aptos"/>
        </w:rPr>
      </w:pPr>
      <w:bookmarkStart w:id="200" w:name="_Toc185254583"/>
      <w:r w:rsidRPr="00F614C8">
        <w:rPr>
          <w:rFonts w:ascii="Aptos" w:hAnsi="Aptos"/>
        </w:rPr>
        <w:lastRenderedPageBreak/>
        <w:t xml:space="preserve">Table </w:t>
      </w:r>
      <w:r w:rsidR="003B0594" w:rsidRPr="00F614C8">
        <w:rPr>
          <w:rFonts w:ascii="Aptos" w:hAnsi="Aptos"/>
        </w:rPr>
        <w:fldChar w:fldCharType="begin" w:fldLock="1"/>
      </w:r>
      <w:r w:rsidR="003B0594" w:rsidRPr="00F614C8">
        <w:rPr>
          <w:rFonts w:ascii="Aptos" w:hAnsi="Aptos"/>
        </w:rPr>
        <w:instrText xml:space="preserve"> STYLEREF 1 \s </w:instrText>
      </w:r>
      <w:r w:rsidR="003B0594" w:rsidRPr="00F614C8">
        <w:rPr>
          <w:rFonts w:ascii="Aptos" w:hAnsi="Aptos"/>
        </w:rPr>
        <w:fldChar w:fldCharType="separate"/>
      </w:r>
      <w:r w:rsidR="003B0594" w:rsidRPr="00F614C8">
        <w:rPr>
          <w:rFonts w:ascii="Aptos" w:hAnsi="Aptos"/>
        </w:rPr>
        <w:t>E</w:t>
      </w:r>
      <w:r w:rsidR="003B0594"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11</w:t>
      </w:r>
      <w:r w:rsidR="003B0594" w:rsidRPr="00F614C8">
        <w:rPr>
          <w:rFonts w:ascii="Aptos" w:hAnsi="Aptos"/>
        </w:rPr>
        <w:fldChar w:fldCharType="end"/>
      </w:r>
      <w:r w:rsidR="009E4D3F" w:rsidRPr="00D518FF">
        <w:rPr>
          <w:rFonts w:ascii="Aptos" w:hAnsi="Aptos"/>
        </w:rPr>
        <w:t xml:space="preserve">. Results of included </w:t>
      </w:r>
      <w:r w:rsidR="00932ABC">
        <w:rPr>
          <w:rFonts w:ascii="Aptos" w:hAnsi="Aptos"/>
        </w:rPr>
        <w:t xml:space="preserve">(non-preferred) </w:t>
      </w:r>
      <w:r w:rsidR="009E4D3F" w:rsidRPr="00D518FF">
        <w:rPr>
          <w:rFonts w:ascii="Aptos" w:hAnsi="Aptos"/>
        </w:rPr>
        <w:t>reviews by outcome domain – fatigue (general) (including myalgic encephalomyelitis (ME) and Chronic Fatigue Syndrome (CFS)), antioxidants (specifically coq10 and alpha-lipoic acid)</w:t>
      </w:r>
      <w:bookmarkEnd w:id="200"/>
    </w:p>
    <w:tbl>
      <w:tblPr>
        <w:tblStyle w:val="TableGrid"/>
        <w:tblW w:w="0" w:type="auto"/>
        <w:tblLayout w:type="fixed"/>
        <w:tblCellMar>
          <w:top w:w="28" w:type="dxa"/>
          <w:left w:w="57" w:type="dxa"/>
          <w:bottom w:w="28" w:type="dxa"/>
          <w:right w:w="0" w:type="dxa"/>
        </w:tblCellMar>
        <w:tblLook w:val="04A0" w:firstRow="1" w:lastRow="0" w:firstColumn="1" w:lastColumn="0" w:noHBand="0" w:noVBand="1"/>
      </w:tblPr>
      <w:tblGrid>
        <w:gridCol w:w="910"/>
        <w:gridCol w:w="713"/>
        <w:gridCol w:w="822"/>
        <w:gridCol w:w="1803"/>
        <w:gridCol w:w="850"/>
        <w:gridCol w:w="1134"/>
        <w:gridCol w:w="709"/>
        <w:gridCol w:w="851"/>
        <w:gridCol w:w="567"/>
        <w:gridCol w:w="1134"/>
        <w:gridCol w:w="850"/>
        <w:gridCol w:w="1985"/>
        <w:gridCol w:w="1009"/>
        <w:gridCol w:w="908"/>
      </w:tblGrid>
      <w:tr w:rsidR="005072A2" w:rsidRPr="00D518FF" w14:paraId="3AABF54E" w14:textId="39F8D9FD" w:rsidTr="00714CCE">
        <w:trPr>
          <w:trHeight w:val="153"/>
        </w:trPr>
        <w:tc>
          <w:tcPr>
            <w:tcW w:w="910" w:type="dxa"/>
            <w:vMerge w:val="restart"/>
            <w:shd w:val="clear" w:color="auto" w:fill="D9D9D9" w:themeFill="background1" w:themeFillShade="D9"/>
          </w:tcPr>
          <w:p w14:paraId="4DD3CF76"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lastRenderedPageBreak/>
              <w:t>Review ID</w:t>
            </w:r>
          </w:p>
        </w:tc>
        <w:tc>
          <w:tcPr>
            <w:tcW w:w="713" w:type="dxa"/>
            <w:vMerge w:val="restart"/>
            <w:shd w:val="clear" w:color="auto" w:fill="D9D9D9" w:themeFill="background1" w:themeFillShade="D9"/>
          </w:tcPr>
          <w:p w14:paraId="51CABF27"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Outcome domain</w:t>
            </w:r>
          </w:p>
        </w:tc>
        <w:tc>
          <w:tcPr>
            <w:tcW w:w="822" w:type="dxa"/>
            <w:vMerge w:val="restart"/>
            <w:shd w:val="clear" w:color="auto" w:fill="D9D9D9" w:themeFill="background1" w:themeFillShade="D9"/>
          </w:tcPr>
          <w:p w14:paraId="6A141A79"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Population group</w:t>
            </w:r>
          </w:p>
        </w:tc>
        <w:tc>
          <w:tcPr>
            <w:tcW w:w="1803" w:type="dxa"/>
            <w:vMerge w:val="restart"/>
            <w:shd w:val="clear" w:color="auto" w:fill="D9D9D9" w:themeFill="background1" w:themeFillShade="D9"/>
          </w:tcPr>
          <w:p w14:paraId="204895F6"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Population details</w:t>
            </w:r>
          </w:p>
        </w:tc>
        <w:tc>
          <w:tcPr>
            <w:tcW w:w="850" w:type="dxa"/>
            <w:vMerge w:val="restart"/>
            <w:shd w:val="clear" w:color="auto" w:fill="D9D9D9" w:themeFill="background1" w:themeFillShade="D9"/>
          </w:tcPr>
          <w:p w14:paraId="1BADB777"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Type of comparison</w:t>
            </w:r>
          </w:p>
        </w:tc>
        <w:tc>
          <w:tcPr>
            <w:tcW w:w="1134" w:type="dxa"/>
            <w:vMerge w:val="restart"/>
            <w:shd w:val="clear" w:color="auto" w:fill="D9D9D9" w:themeFill="background1" w:themeFillShade="D9"/>
          </w:tcPr>
          <w:p w14:paraId="72641370"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Intervention description</w:t>
            </w:r>
          </w:p>
        </w:tc>
        <w:tc>
          <w:tcPr>
            <w:tcW w:w="709" w:type="dxa"/>
            <w:vMerge w:val="restart"/>
            <w:shd w:val="clear" w:color="auto" w:fill="D9D9D9" w:themeFill="background1" w:themeFillShade="D9"/>
          </w:tcPr>
          <w:p w14:paraId="044AAD45"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Comparator description</w:t>
            </w:r>
          </w:p>
        </w:tc>
        <w:tc>
          <w:tcPr>
            <w:tcW w:w="851" w:type="dxa"/>
            <w:vMerge w:val="restart"/>
            <w:shd w:val="clear" w:color="auto" w:fill="D9D9D9" w:themeFill="background1" w:themeFillShade="D9"/>
          </w:tcPr>
          <w:p w14:paraId="3FE5F407"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No/types of included studies</w:t>
            </w:r>
          </w:p>
        </w:tc>
        <w:tc>
          <w:tcPr>
            <w:tcW w:w="567" w:type="dxa"/>
            <w:vMerge w:val="restart"/>
            <w:shd w:val="clear" w:color="auto" w:fill="D9D9D9" w:themeFill="background1" w:themeFillShade="D9"/>
          </w:tcPr>
          <w:p w14:paraId="73CF80B7"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No of participants (total)</w:t>
            </w:r>
          </w:p>
        </w:tc>
        <w:tc>
          <w:tcPr>
            <w:tcW w:w="1134" w:type="dxa"/>
            <w:vMerge w:val="restart"/>
            <w:shd w:val="clear" w:color="auto" w:fill="D9D9D9" w:themeFill="background1" w:themeFillShade="D9"/>
          </w:tcPr>
          <w:p w14:paraId="7A89D3F4" w14:textId="77777777" w:rsidR="005072A2" w:rsidRPr="00D518FF" w:rsidRDefault="005072A2" w:rsidP="002E26BE">
            <w:pPr>
              <w:pStyle w:val="Caption1"/>
              <w:spacing w:before="0" w:after="0"/>
              <w:rPr>
                <w:rFonts w:ascii="Aptos" w:hAnsi="Aptos"/>
                <w:sz w:val="16"/>
                <w:szCs w:val="16"/>
              </w:rPr>
            </w:pPr>
            <w:r w:rsidRPr="00D518FF">
              <w:rPr>
                <w:rFonts w:ascii="Aptos" w:hAnsi="Aptos"/>
                <w:sz w:val="16"/>
                <w:szCs w:val="16"/>
              </w:rPr>
              <w:t>Outcome measure(s) used</w:t>
            </w:r>
          </w:p>
        </w:tc>
        <w:tc>
          <w:tcPr>
            <w:tcW w:w="3844" w:type="dxa"/>
            <w:gridSpan w:val="3"/>
            <w:shd w:val="clear" w:color="auto" w:fill="D9D9D9" w:themeFill="background1" w:themeFillShade="D9"/>
          </w:tcPr>
          <w:p w14:paraId="442539DE" w14:textId="6445660A" w:rsidR="005072A2" w:rsidRPr="00847147" w:rsidRDefault="005072A2" w:rsidP="002E26BE">
            <w:pPr>
              <w:pStyle w:val="Caption1"/>
              <w:spacing w:before="0" w:after="0"/>
              <w:rPr>
                <w:rFonts w:ascii="Aptos" w:hAnsi="Aptos"/>
                <w:sz w:val="16"/>
                <w:szCs w:val="16"/>
              </w:rPr>
            </w:pPr>
            <w:r w:rsidRPr="00D518FF">
              <w:rPr>
                <w:rFonts w:ascii="Aptos" w:hAnsi="Aptos"/>
                <w:sz w:val="16"/>
                <w:szCs w:val="16"/>
              </w:rPr>
              <w:t>Results</w:t>
            </w:r>
          </w:p>
        </w:tc>
        <w:tc>
          <w:tcPr>
            <w:tcW w:w="908" w:type="dxa"/>
            <w:vMerge w:val="restart"/>
            <w:shd w:val="clear" w:color="auto" w:fill="D9D9D9" w:themeFill="background1" w:themeFillShade="D9"/>
          </w:tcPr>
          <w:p w14:paraId="1ACF9AED" w14:textId="2A8ED244" w:rsidR="005072A2" w:rsidRPr="00D518FF" w:rsidRDefault="005072A2" w:rsidP="002E26BE">
            <w:pPr>
              <w:pStyle w:val="Caption1"/>
              <w:spacing w:before="0" w:after="0"/>
              <w:rPr>
                <w:rFonts w:ascii="Aptos" w:hAnsi="Aptos"/>
                <w:sz w:val="16"/>
                <w:szCs w:val="16"/>
              </w:rPr>
            </w:pPr>
            <w:r w:rsidRPr="00847147">
              <w:rPr>
                <w:rFonts w:ascii="Aptos" w:hAnsi="Aptos"/>
                <w:sz w:val="16"/>
                <w:szCs w:val="16"/>
              </w:rPr>
              <w:t xml:space="preserve">ROBIS assessment (for </w:t>
            </w:r>
            <w:r w:rsidRPr="00573661">
              <w:rPr>
                <w:rFonts w:ascii="Aptos" w:hAnsi="Aptos"/>
                <w:sz w:val="16"/>
                <w:szCs w:val="16"/>
              </w:rPr>
              <w:t>the</w:t>
            </w:r>
            <w:r w:rsidRPr="00847147">
              <w:rPr>
                <w:rFonts w:ascii="Aptos" w:hAnsi="Aptos"/>
                <w:sz w:val="16"/>
                <w:szCs w:val="16"/>
              </w:rPr>
              <w:t xml:space="preserve"> review overall)</w:t>
            </w:r>
          </w:p>
        </w:tc>
      </w:tr>
      <w:tr w:rsidR="005072A2" w:rsidRPr="00D518FF" w14:paraId="4D87717E" w14:textId="51764D3B" w:rsidTr="00106ED7">
        <w:trPr>
          <w:trHeight w:val="153"/>
        </w:trPr>
        <w:tc>
          <w:tcPr>
            <w:tcW w:w="910" w:type="dxa"/>
            <w:vMerge/>
            <w:shd w:val="clear" w:color="auto" w:fill="D9D9D9" w:themeFill="background1" w:themeFillShade="D9"/>
          </w:tcPr>
          <w:p w14:paraId="2D5074A2" w14:textId="77777777" w:rsidR="005072A2" w:rsidRPr="00D518FF" w:rsidRDefault="005072A2" w:rsidP="005072A2">
            <w:pPr>
              <w:pStyle w:val="Caption1"/>
              <w:spacing w:before="0" w:after="0"/>
              <w:rPr>
                <w:rFonts w:ascii="Aptos" w:hAnsi="Aptos"/>
                <w:sz w:val="16"/>
                <w:szCs w:val="16"/>
              </w:rPr>
            </w:pPr>
          </w:p>
        </w:tc>
        <w:tc>
          <w:tcPr>
            <w:tcW w:w="713" w:type="dxa"/>
            <w:vMerge/>
            <w:shd w:val="clear" w:color="auto" w:fill="D9D9D9" w:themeFill="background1" w:themeFillShade="D9"/>
          </w:tcPr>
          <w:p w14:paraId="029730B1" w14:textId="77777777" w:rsidR="005072A2" w:rsidRPr="00D518FF" w:rsidRDefault="005072A2" w:rsidP="005072A2">
            <w:pPr>
              <w:pStyle w:val="Caption1"/>
              <w:spacing w:before="0" w:after="0"/>
              <w:rPr>
                <w:rFonts w:ascii="Aptos" w:hAnsi="Aptos"/>
                <w:sz w:val="16"/>
                <w:szCs w:val="16"/>
              </w:rPr>
            </w:pPr>
          </w:p>
        </w:tc>
        <w:tc>
          <w:tcPr>
            <w:tcW w:w="822" w:type="dxa"/>
            <w:vMerge/>
            <w:shd w:val="clear" w:color="auto" w:fill="D9D9D9" w:themeFill="background1" w:themeFillShade="D9"/>
          </w:tcPr>
          <w:p w14:paraId="7D339A00" w14:textId="77777777" w:rsidR="005072A2" w:rsidRPr="00D518FF" w:rsidRDefault="005072A2" w:rsidP="005072A2">
            <w:pPr>
              <w:pStyle w:val="Caption1"/>
              <w:spacing w:before="0" w:after="0"/>
              <w:rPr>
                <w:rFonts w:ascii="Aptos" w:hAnsi="Aptos"/>
                <w:sz w:val="16"/>
                <w:szCs w:val="16"/>
              </w:rPr>
            </w:pPr>
          </w:p>
        </w:tc>
        <w:tc>
          <w:tcPr>
            <w:tcW w:w="1803" w:type="dxa"/>
            <w:vMerge/>
            <w:shd w:val="clear" w:color="auto" w:fill="D9D9D9" w:themeFill="background1" w:themeFillShade="D9"/>
          </w:tcPr>
          <w:p w14:paraId="3FA7F431" w14:textId="77777777" w:rsidR="005072A2" w:rsidRPr="00D518FF" w:rsidRDefault="005072A2" w:rsidP="005072A2">
            <w:pPr>
              <w:pStyle w:val="Caption1"/>
              <w:spacing w:before="0" w:after="0"/>
              <w:rPr>
                <w:rFonts w:ascii="Aptos" w:hAnsi="Aptos"/>
                <w:sz w:val="16"/>
                <w:szCs w:val="16"/>
              </w:rPr>
            </w:pPr>
          </w:p>
        </w:tc>
        <w:tc>
          <w:tcPr>
            <w:tcW w:w="850" w:type="dxa"/>
            <w:vMerge/>
            <w:shd w:val="clear" w:color="auto" w:fill="D9D9D9" w:themeFill="background1" w:themeFillShade="D9"/>
          </w:tcPr>
          <w:p w14:paraId="294FCA1A" w14:textId="77777777" w:rsidR="005072A2" w:rsidRPr="00D518FF" w:rsidRDefault="005072A2" w:rsidP="005072A2">
            <w:pPr>
              <w:pStyle w:val="Caption1"/>
              <w:spacing w:before="0" w:after="0"/>
              <w:rPr>
                <w:rFonts w:ascii="Aptos" w:hAnsi="Aptos"/>
                <w:sz w:val="16"/>
                <w:szCs w:val="16"/>
              </w:rPr>
            </w:pPr>
          </w:p>
        </w:tc>
        <w:tc>
          <w:tcPr>
            <w:tcW w:w="1134" w:type="dxa"/>
            <w:vMerge/>
            <w:shd w:val="clear" w:color="auto" w:fill="D9D9D9" w:themeFill="background1" w:themeFillShade="D9"/>
          </w:tcPr>
          <w:p w14:paraId="75091A2A" w14:textId="77777777" w:rsidR="005072A2" w:rsidRPr="00D518FF" w:rsidRDefault="005072A2" w:rsidP="005072A2">
            <w:pPr>
              <w:pStyle w:val="Caption1"/>
              <w:spacing w:before="0" w:after="0"/>
              <w:rPr>
                <w:rFonts w:ascii="Aptos" w:hAnsi="Aptos"/>
                <w:sz w:val="16"/>
                <w:szCs w:val="16"/>
              </w:rPr>
            </w:pPr>
          </w:p>
        </w:tc>
        <w:tc>
          <w:tcPr>
            <w:tcW w:w="709" w:type="dxa"/>
            <w:vMerge/>
            <w:shd w:val="clear" w:color="auto" w:fill="D9D9D9" w:themeFill="background1" w:themeFillShade="D9"/>
          </w:tcPr>
          <w:p w14:paraId="793DAB79" w14:textId="77777777" w:rsidR="005072A2" w:rsidRPr="00D518FF" w:rsidRDefault="005072A2" w:rsidP="005072A2">
            <w:pPr>
              <w:pStyle w:val="Caption1"/>
              <w:spacing w:before="0" w:after="0"/>
              <w:rPr>
                <w:rFonts w:ascii="Aptos" w:hAnsi="Aptos"/>
                <w:sz w:val="16"/>
                <w:szCs w:val="16"/>
              </w:rPr>
            </w:pPr>
          </w:p>
        </w:tc>
        <w:tc>
          <w:tcPr>
            <w:tcW w:w="851" w:type="dxa"/>
            <w:vMerge/>
            <w:shd w:val="clear" w:color="auto" w:fill="D9D9D9" w:themeFill="background1" w:themeFillShade="D9"/>
          </w:tcPr>
          <w:p w14:paraId="4DE848A7" w14:textId="77777777" w:rsidR="005072A2" w:rsidRPr="00D518FF" w:rsidRDefault="005072A2" w:rsidP="005072A2">
            <w:pPr>
              <w:pStyle w:val="Caption1"/>
              <w:spacing w:before="0" w:after="0"/>
              <w:rPr>
                <w:rFonts w:ascii="Aptos" w:hAnsi="Aptos"/>
                <w:sz w:val="16"/>
                <w:szCs w:val="16"/>
              </w:rPr>
            </w:pPr>
          </w:p>
        </w:tc>
        <w:tc>
          <w:tcPr>
            <w:tcW w:w="567" w:type="dxa"/>
            <w:vMerge/>
            <w:shd w:val="clear" w:color="auto" w:fill="D9D9D9" w:themeFill="background1" w:themeFillShade="D9"/>
          </w:tcPr>
          <w:p w14:paraId="633806B5" w14:textId="77777777" w:rsidR="005072A2" w:rsidRPr="00D518FF" w:rsidRDefault="005072A2" w:rsidP="005072A2">
            <w:pPr>
              <w:pStyle w:val="Caption1"/>
              <w:spacing w:before="0" w:after="0"/>
              <w:rPr>
                <w:rFonts w:ascii="Aptos" w:hAnsi="Aptos"/>
                <w:sz w:val="16"/>
                <w:szCs w:val="16"/>
              </w:rPr>
            </w:pPr>
          </w:p>
        </w:tc>
        <w:tc>
          <w:tcPr>
            <w:tcW w:w="1134" w:type="dxa"/>
            <w:vMerge/>
            <w:shd w:val="clear" w:color="auto" w:fill="D9D9D9" w:themeFill="background1" w:themeFillShade="D9"/>
          </w:tcPr>
          <w:p w14:paraId="77663800" w14:textId="77777777" w:rsidR="005072A2" w:rsidRPr="00D518FF" w:rsidRDefault="005072A2" w:rsidP="005072A2">
            <w:pPr>
              <w:pStyle w:val="Caption1"/>
              <w:spacing w:before="0" w:after="0"/>
              <w:rPr>
                <w:rFonts w:ascii="Aptos" w:hAnsi="Aptos"/>
                <w:sz w:val="16"/>
                <w:szCs w:val="16"/>
              </w:rPr>
            </w:pPr>
          </w:p>
        </w:tc>
        <w:tc>
          <w:tcPr>
            <w:tcW w:w="850" w:type="dxa"/>
            <w:shd w:val="clear" w:color="auto" w:fill="D9D9D9" w:themeFill="background1" w:themeFillShade="D9"/>
          </w:tcPr>
          <w:p w14:paraId="277F4792" w14:textId="77777777" w:rsidR="005072A2" w:rsidRPr="00D518FF" w:rsidRDefault="005072A2" w:rsidP="005072A2">
            <w:pPr>
              <w:pStyle w:val="Caption1"/>
              <w:spacing w:before="0" w:after="0"/>
              <w:rPr>
                <w:rFonts w:ascii="Aptos" w:hAnsi="Aptos"/>
                <w:sz w:val="16"/>
                <w:szCs w:val="16"/>
              </w:rPr>
            </w:pPr>
            <w:r w:rsidRPr="00D518FF">
              <w:rPr>
                <w:rFonts w:ascii="Aptos" w:hAnsi="Aptos"/>
                <w:sz w:val="16"/>
                <w:szCs w:val="16"/>
              </w:rPr>
              <w:t>Relative effect (95% CI)</w:t>
            </w:r>
          </w:p>
        </w:tc>
        <w:tc>
          <w:tcPr>
            <w:tcW w:w="1985" w:type="dxa"/>
            <w:shd w:val="clear" w:color="auto" w:fill="D9D9D9" w:themeFill="background1" w:themeFillShade="D9"/>
          </w:tcPr>
          <w:p w14:paraId="58E97159" w14:textId="77777777" w:rsidR="005072A2" w:rsidRPr="00D518FF" w:rsidRDefault="005072A2" w:rsidP="005072A2">
            <w:pPr>
              <w:pStyle w:val="Caption1"/>
              <w:spacing w:before="0" w:after="0"/>
              <w:rPr>
                <w:rFonts w:ascii="Aptos" w:hAnsi="Aptos"/>
                <w:sz w:val="16"/>
                <w:szCs w:val="16"/>
              </w:rPr>
            </w:pPr>
            <w:r w:rsidRPr="00D518FF">
              <w:rPr>
                <w:rFonts w:ascii="Aptos" w:hAnsi="Aptos"/>
                <w:sz w:val="16"/>
                <w:szCs w:val="16"/>
              </w:rPr>
              <w:t>Other reported results</w:t>
            </w:r>
          </w:p>
        </w:tc>
        <w:tc>
          <w:tcPr>
            <w:tcW w:w="1009" w:type="dxa"/>
            <w:shd w:val="clear" w:color="auto" w:fill="D9D9D9" w:themeFill="background1" w:themeFillShade="D9"/>
          </w:tcPr>
          <w:p w14:paraId="6F06C1D0" w14:textId="7C6CF0EA" w:rsidR="005072A2" w:rsidRPr="00D518FF" w:rsidRDefault="005072A2" w:rsidP="005072A2">
            <w:pPr>
              <w:pStyle w:val="Caption1"/>
              <w:spacing w:before="0" w:after="0"/>
              <w:rPr>
                <w:rFonts w:ascii="Aptos" w:hAnsi="Aptos"/>
                <w:sz w:val="16"/>
                <w:szCs w:val="16"/>
              </w:rPr>
            </w:pPr>
            <w:r w:rsidRPr="005072A2">
              <w:rPr>
                <w:rFonts w:ascii="Aptos" w:hAnsi="Aptos"/>
                <w:sz w:val="16"/>
                <w:szCs w:val="16"/>
              </w:rPr>
              <w:t>Risk of bias summary (primary studies)</w:t>
            </w:r>
          </w:p>
        </w:tc>
        <w:tc>
          <w:tcPr>
            <w:tcW w:w="908" w:type="dxa"/>
            <w:vMerge/>
            <w:shd w:val="clear" w:color="auto" w:fill="D9D9D9" w:themeFill="background1" w:themeFillShade="D9"/>
          </w:tcPr>
          <w:p w14:paraId="427DA926" w14:textId="7165F221" w:rsidR="005072A2" w:rsidRPr="00D518FF" w:rsidRDefault="005072A2" w:rsidP="005072A2">
            <w:pPr>
              <w:pStyle w:val="Caption1"/>
              <w:spacing w:before="0" w:after="0"/>
              <w:rPr>
                <w:rFonts w:ascii="Aptos" w:hAnsi="Aptos"/>
                <w:sz w:val="16"/>
                <w:szCs w:val="16"/>
              </w:rPr>
            </w:pPr>
          </w:p>
        </w:tc>
      </w:tr>
      <w:tr w:rsidR="005072A2" w:rsidRPr="00D518FF" w14:paraId="27297928" w14:textId="3DE18BED" w:rsidTr="00106ED7">
        <w:trPr>
          <w:trHeight w:val="326"/>
        </w:trPr>
        <w:tc>
          <w:tcPr>
            <w:tcW w:w="910" w:type="dxa"/>
          </w:tcPr>
          <w:p w14:paraId="3360C04E"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Campagnolo 2017</w:t>
            </w:r>
          </w:p>
        </w:tc>
        <w:tc>
          <w:tcPr>
            <w:tcW w:w="713" w:type="dxa"/>
          </w:tcPr>
          <w:p w14:paraId="21BE51D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1D55A4D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1803" w:type="dxa"/>
          </w:tcPr>
          <w:p w14:paraId="79A1340D" w14:textId="4240FEF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CFS/ME diagnosis according to Fukuda (2), Canadian (2003) (14) or International Consensus Criteria (ICC) (2011) (1); (iii) adults aged 18 years and over;</w:t>
            </w:r>
          </w:p>
        </w:tc>
        <w:tc>
          <w:tcPr>
            <w:tcW w:w="850" w:type="dxa"/>
          </w:tcPr>
          <w:p w14:paraId="3856CB2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74BCC81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NADH (200 mg day) + CoQ10 (20 mg day)</w:t>
            </w:r>
          </w:p>
        </w:tc>
        <w:tc>
          <w:tcPr>
            <w:tcW w:w="709" w:type="dxa"/>
          </w:tcPr>
          <w:p w14:paraId="0954552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03526666"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567" w:type="dxa"/>
          </w:tcPr>
          <w:p w14:paraId="0B2F0C4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73</w:t>
            </w:r>
          </w:p>
        </w:tc>
        <w:tc>
          <w:tcPr>
            <w:tcW w:w="1134" w:type="dxa"/>
          </w:tcPr>
          <w:p w14:paraId="26F5F21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Fatigue Index Symptom Questionnaire</w:t>
            </w:r>
          </w:p>
        </w:tc>
        <w:tc>
          <w:tcPr>
            <w:tcW w:w="850" w:type="dxa"/>
          </w:tcPr>
          <w:p w14:paraId="4455D42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2BB8013E" w14:textId="7D19BD68"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Significant reduction of fatigue after 8 weeks of treatment compared to placebo (p &lt; 0.05)</w:t>
            </w:r>
          </w:p>
        </w:tc>
        <w:tc>
          <w:tcPr>
            <w:tcW w:w="1009" w:type="dxa"/>
          </w:tcPr>
          <w:p w14:paraId="129341C8" w14:textId="7C190290"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10C1DD51" w14:textId="0B13D306"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696E3953" w14:textId="08DF9D4E" w:rsidTr="00106ED7">
        <w:trPr>
          <w:trHeight w:val="326"/>
        </w:trPr>
        <w:tc>
          <w:tcPr>
            <w:tcW w:w="910" w:type="dxa"/>
          </w:tcPr>
          <w:p w14:paraId="1EEE2A7B"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Campagnolo 2017</w:t>
            </w:r>
          </w:p>
        </w:tc>
        <w:tc>
          <w:tcPr>
            <w:tcW w:w="713" w:type="dxa"/>
          </w:tcPr>
          <w:p w14:paraId="31E0737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0AB9B03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1803" w:type="dxa"/>
          </w:tcPr>
          <w:p w14:paraId="10A8D7C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CFS/ME diagnosis according to Fukuda (2), Canadian (2003) (14) or International Consensus Criteria (ICC) (2011) (1); (iii) adults aged 18 years and over;</w:t>
            </w:r>
          </w:p>
        </w:tc>
        <w:tc>
          <w:tcPr>
            <w:tcW w:w="850" w:type="dxa"/>
          </w:tcPr>
          <w:p w14:paraId="386A21C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5A9E327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Ubiquinol-10 (150 mg day post meal)</w:t>
            </w:r>
          </w:p>
        </w:tc>
        <w:tc>
          <w:tcPr>
            <w:tcW w:w="709" w:type="dxa"/>
          </w:tcPr>
          <w:p w14:paraId="02021BE1"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25F43FC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567" w:type="dxa"/>
          </w:tcPr>
          <w:p w14:paraId="263ED816"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31</w:t>
            </w:r>
          </w:p>
        </w:tc>
        <w:tc>
          <w:tcPr>
            <w:tcW w:w="1134" w:type="dxa"/>
          </w:tcPr>
          <w:p w14:paraId="53F48FF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Chalder Fatigue Scale</w:t>
            </w:r>
          </w:p>
        </w:tc>
        <w:tc>
          <w:tcPr>
            <w:tcW w:w="850" w:type="dxa"/>
          </w:tcPr>
          <w:p w14:paraId="6843FDF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1373345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No significant difference.</w:t>
            </w:r>
          </w:p>
        </w:tc>
        <w:tc>
          <w:tcPr>
            <w:tcW w:w="1009" w:type="dxa"/>
          </w:tcPr>
          <w:p w14:paraId="15FC4E64" w14:textId="10FF3C1D"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05A2737C" w14:textId="198171ED"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3389DDBA" w14:textId="6C53BDB5" w:rsidTr="00106ED7">
        <w:trPr>
          <w:trHeight w:val="326"/>
        </w:trPr>
        <w:tc>
          <w:tcPr>
            <w:tcW w:w="910" w:type="dxa"/>
          </w:tcPr>
          <w:p w14:paraId="0FF1DC71"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Kim 2020</w:t>
            </w:r>
          </w:p>
        </w:tc>
        <w:tc>
          <w:tcPr>
            <w:tcW w:w="713" w:type="dxa"/>
          </w:tcPr>
          <w:p w14:paraId="4CA281DD"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115CD89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1803" w:type="dxa"/>
          </w:tcPr>
          <w:p w14:paraId="31ED385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Patients with CFS/ME</w:t>
            </w:r>
          </w:p>
        </w:tc>
        <w:tc>
          <w:tcPr>
            <w:tcW w:w="850" w:type="dxa"/>
          </w:tcPr>
          <w:p w14:paraId="749789F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7494CE8D"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NADH (200 mg day) + CoQ10 (20 mg day)</w:t>
            </w:r>
          </w:p>
        </w:tc>
        <w:tc>
          <w:tcPr>
            <w:tcW w:w="709" w:type="dxa"/>
          </w:tcPr>
          <w:p w14:paraId="0BC4E0CD"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1AF0C96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567" w:type="dxa"/>
          </w:tcPr>
          <w:p w14:paraId="226B3F5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73</w:t>
            </w:r>
          </w:p>
        </w:tc>
        <w:tc>
          <w:tcPr>
            <w:tcW w:w="1134" w:type="dxa"/>
          </w:tcPr>
          <w:p w14:paraId="076A056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Fatigue Index Symptom Questionnaire</w:t>
            </w:r>
          </w:p>
        </w:tc>
        <w:tc>
          <w:tcPr>
            <w:tcW w:w="850" w:type="dxa"/>
          </w:tcPr>
          <w:p w14:paraId="095D687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5F7CFA89" w14:textId="4B0BEDF4"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Significant reduction of fatigue after 8 weeks of treatment compared to placebo (p &lt; 0.05)</w:t>
            </w:r>
          </w:p>
        </w:tc>
        <w:tc>
          <w:tcPr>
            <w:tcW w:w="1009" w:type="dxa"/>
          </w:tcPr>
          <w:p w14:paraId="1B0DA50D" w14:textId="6C39A052"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63A1B459" w14:textId="72E37508"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73D81FD9" w14:textId="5AFCFB1F" w:rsidTr="00106ED7">
        <w:trPr>
          <w:trHeight w:val="326"/>
        </w:trPr>
        <w:tc>
          <w:tcPr>
            <w:tcW w:w="910" w:type="dxa"/>
          </w:tcPr>
          <w:p w14:paraId="04D4C07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Mehrabani 2019</w:t>
            </w:r>
          </w:p>
        </w:tc>
        <w:tc>
          <w:tcPr>
            <w:tcW w:w="713" w:type="dxa"/>
          </w:tcPr>
          <w:p w14:paraId="70E8FAA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34E5064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1803" w:type="dxa"/>
          </w:tcPr>
          <w:p w14:paraId="512EA66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Fibromyalgia</w:t>
            </w:r>
          </w:p>
        </w:tc>
        <w:tc>
          <w:tcPr>
            <w:tcW w:w="850" w:type="dxa"/>
          </w:tcPr>
          <w:p w14:paraId="05B2009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18CCF4BA"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(100-400mg/day)</w:t>
            </w:r>
          </w:p>
        </w:tc>
        <w:tc>
          <w:tcPr>
            <w:tcW w:w="709" w:type="dxa"/>
          </w:tcPr>
          <w:p w14:paraId="09D5379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53C1B82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4 RCT and 1 quasi-experimental study</w:t>
            </w:r>
          </w:p>
        </w:tc>
        <w:tc>
          <w:tcPr>
            <w:tcW w:w="567" w:type="dxa"/>
          </w:tcPr>
          <w:p w14:paraId="49C1868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35 (quasi), 154 in RCTs</w:t>
            </w:r>
          </w:p>
        </w:tc>
        <w:tc>
          <w:tcPr>
            <w:tcW w:w="1134" w:type="dxa"/>
          </w:tcPr>
          <w:p w14:paraId="2052E04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FIQ, Chalder Fatigue Scale, VAS</w:t>
            </w:r>
          </w:p>
        </w:tc>
        <w:tc>
          <w:tcPr>
            <w:tcW w:w="850" w:type="dxa"/>
          </w:tcPr>
          <w:p w14:paraId="2671F71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7D208F7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Fatigue reduced significantly in all trials (ps &lt; 0.05)</w:t>
            </w:r>
          </w:p>
        </w:tc>
        <w:tc>
          <w:tcPr>
            <w:tcW w:w="1009" w:type="dxa"/>
          </w:tcPr>
          <w:p w14:paraId="37328464" w14:textId="79C867E4"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363AADE0" w14:textId="3E50A764"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451CF828" w14:textId="6AE0017F" w:rsidTr="00106ED7">
        <w:trPr>
          <w:trHeight w:val="326"/>
        </w:trPr>
        <w:tc>
          <w:tcPr>
            <w:tcW w:w="910" w:type="dxa"/>
          </w:tcPr>
          <w:p w14:paraId="401BD5C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Mehrabani 2019</w:t>
            </w:r>
          </w:p>
        </w:tc>
        <w:tc>
          <w:tcPr>
            <w:tcW w:w="713" w:type="dxa"/>
          </w:tcPr>
          <w:p w14:paraId="06E5B7F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35CF7C2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1803" w:type="dxa"/>
          </w:tcPr>
          <w:p w14:paraId="73DB0D4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Statin-associated myopathy</w:t>
            </w:r>
          </w:p>
        </w:tc>
        <w:tc>
          <w:tcPr>
            <w:tcW w:w="850" w:type="dxa"/>
          </w:tcPr>
          <w:p w14:paraId="35995B9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575AD6C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CoQ10 200mg/day</w:t>
            </w:r>
          </w:p>
        </w:tc>
        <w:tc>
          <w:tcPr>
            <w:tcW w:w="709" w:type="dxa"/>
          </w:tcPr>
          <w:p w14:paraId="52EDF82A"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0E5650BB"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 RCT</w:t>
            </w:r>
          </w:p>
        </w:tc>
        <w:tc>
          <w:tcPr>
            <w:tcW w:w="567" w:type="dxa"/>
          </w:tcPr>
          <w:p w14:paraId="2063D7DF"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60</w:t>
            </w:r>
          </w:p>
        </w:tc>
        <w:tc>
          <w:tcPr>
            <w:tcW w:w="1134" w:type="dxa"/>
          </w:tcPr>
          <w:p w14:paraId="315D59D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VAS</w:t>
            </w:r>
          </w:p>
        </w:tc>
        <w:tc>
          <w:tcPr>
            <w:tcW w:w="850" w:type="dxa"/>
          </w:tcPr>
          <w:p w14:paraId="654D0A36"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578DA9C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Fatigue reduced significantly, p &lt; 0.01</w:t>
            </w:r>
          </w:p>
        </w:tc>
        <w:tc>
          <w:tcPr>
            <w:tcW w:w="1009" w:type="dxa"/>
          </w:tcPr>
          <w:p w14:paraId="626C3CAB" w14:textId="18468AA5"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2EA661D2" w14:textId="6755D228"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57FC1E48" w14:textId="3E4B74C5" w:rsidTr="00106ED7">
        <w:trPr>
          <w:trHeight w:val="326"/>
        </w:trPr>
        <w:tc>
          <w:tcPr>
            <w:tcW w:w="910" w:type="dxa"/>
          </w:tcPr>
          <w:p w14:paraId="529B8A2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Mehrabani 2019</w:t>
            </w:r>
          </w:p>
        </w:tc>
        <w:tc>
          <w:tcPr>
            <w:tcW w:w="713" w:type="dxa"/>
          </w:tcPr>
          <w:p w14:paraId="340F9D4F"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5612C0CE"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1803" w:type="dxa"/>
          </w:tcPr>
          <w:p w14:paraId="287B884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 xml:space="preserve">Poliomyelitis </w:t>
            </w:r>
          </w:p>
        </w:tc>
        <w:tc>
          <w:tcPr>
            <w:tcW w:w="850" w:type="dxa"/>
          </w:tcPr>
          <w:p w14:paraId="26273B9F"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4A270EF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CoQ10 100mg/day</w:t>
            </w:r>
          </w:p>
        </w:tc>
        <w:tc>
          <w:tcPr>
            <w:tcW w:w="709" w:type="dxa"/>
          </w:tcPr>
          <w:p w14:paraId="5775E92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617E6BAF"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 RCT</w:t>
            </w:r>
          </w:p>
        </w:tc>
        <w:tc>
          <w:tcPr>
            <w:tcW w:w="567" w:type="dxa"/>
          </w:tcPr>
          <w:p w14:paraId="49F615B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101</w:t>
            </w:r>
          </w:p>
        </w:tc>
        <w:tc>
          <w:tcPr>
            <w:tcW w:w="1134" w:type="dxa"/>
          </w:tcPr>
          <w:p w14:paraId="00AB814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FSS, MAF</w:t>
            </w:r>
          </w:p>
        </w:tc>
        <w:tc>
          <w:tcPr>
            <w:tcW w:w="850" w:type="dxa"/>
          </w:tcPr>
          <w:p w14:paraId="4E8AF69A"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4423572D" w14:textId="7E22A69D"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Both measures failed to show any statistically significant (p &gt; 0.05) reduction in fatigue</w:t>
            </w:r>
          </w:p>
        </w:tc>
        <w:tc>
          <w:tcPr>
            <w:tcW w:w="1009" w:type="dxa"/>
          </w:tcPr>
          <w:p w14:paraId="7657E1C5" w14:textId="6541964F"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6FCB8161" w14:textId="0B1316A1"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68C7DB00" w14:textId="597E771A" w:rsidTr="00106ED7">
        <w:trPr>
          <w:trHeight w:val="326"/>
        </w:trPr>
        <w:tc>
          <w:tcPr>
            <w:tcW w:w="910" w:type="dxa"/>
          </w:tcPr>
          <w:p w14:paraId="0D02A516"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Mehrabani 2019</w:t>
            </w:r>
          </w:p>
        </w:tc>
        <w:tc>
          <w:tcPr>
            <w:tcW w:w="713" w:type="dxa"/>
          </w:tcPr>
          <w:p w14:paraId="3983F1AB"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15DAFB3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1803" w:type="dxa"/>
          </w:tcPr>
          <w:p w14:paraId="0CE3915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 xml:space="preserve">Multiple sclerosis </w:t>
            </w:r>
          </w:p>
        </w:tc>
        <w:tc>
          <w:tcPr>
            <w:tcW w:w="850" w:type="dxa"/>
          </w:tcPr>
          <w:p w14:paraId="114BB131"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1FD95E9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CoQ10 500mg/day</w:t>
            </w:r>
          </w:p>
        </w:tc>
        <w:tc>
          <w:tcPr>
            <w:tcW w:w="709" w:type="dxa"/>
          </w:tcPr>
          <w:p w14:paraId="710DE29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3CBB067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 RCT</w:t>
            </w:r>
          </w:p>
        </w:tc>
        <w:tc>
          <w:tcPr>
            <w:tcW w:w="567" w:type="dxa"/>
          </w:tcPr>
          <w:p w14:paraId="6DF2BE1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45</w:t>
            </w:r>
          </w:p>
        </w:tc>
        <w:tc>
          <w:tcPr>
            <w:tcW w:w="1134" w:type="dxa"/>
          </w:tcPr>
          <w:p w14:paraId="14737C8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FSS</w:t>
            </w:r>
          </w:p>
        </w:tc>
        <w:tc>
          <w:tcPr>
            <w:tcW w:w="850" w:type="dxa"/>
          </w:tcPr>
          <w:p w14:paraId="2D7D30C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36C4B45B"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Fatigue symptoms had a significant reduction, p &lt; 0.001</w:t>
            </w:r>
          </w:p>
        </w:tc>
        <w:tc>
          <w:tcPr>
            <w:tcW w:w="1009" w:type="dxa"/>
          </w:tcPr>
          <w:p w14:paraId="5AB90719" w14:textId="203041A6"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63AC0167" w14:textId="1C6B4815"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4D5D313B" w14:textId="138EEA4B" w:rsidTr="00106ED7">
        <w:trPr>
          <w:trHeight w:val="326"/>
        </w:trPr>
        <w:tc>
          <w:tcPr>
            <w:tcW w:w="910" w:type="dxa"/>
          </w:tcPr>
          <w:p w14:paraId="4DB08A16"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Mehrabani 2019</w:t>
            </w:r>
          </w:p>
        </w:tc>
        <w:tc>
          <w:tcPr>
            <w:tcW w:w="713" w:type="dxa"/>
          </w:tcPr>
          <w:p w14:paraId="08AE570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234E0DCD"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1803" w:type="dxa"/>
          </w:tcPr>
          <w:p w14:paraId="04742BE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 xml:space="preserve">End-stage heart failure </w:t>
            </w:r>
          </w:p>
        </w:tc>
        <w:tc>
          <w:tcPr>
            <w:tcW w:w="850" w:type="dxa"/>
          </w:tcPr>
          <w:p w14:paraId="77C5A3EB"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742E6E7F"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60mg/day</w:t>
            </w:r>
          </w:p>
        </w:tc>
        <w:tc>
          <w:tcPr>
            <w:tcW w:w="709" w:type="dxa"/>
          </w:tcPr>
          <w:p w14:paraId="3451EF3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46527B7A"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 RCT</w:t>
            </w:r>
          </w:p>
        </w:tc>
        <w:tc>
          <w:tcPr>
            <w:tcW w:w="567" w:type="dxa"/>
          </w:tcPr>
          <w:p w14:paraId="6557CC2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32</w:t>
            </w:r>
          </w:p>
        </w:tc>
        <w:tc>
          <w:tcPr>
            <w:tcW w:w="1134" w:type="dxa"/>
          </w:tcPr>
          <w:p w14:paraId="743F4C3A"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FSS</w:t>
            </w:r>
          </w:p>
        </w:tc>
        <w:tc>
          <w:tcPr>
            <w:tcW w:w="850" w:type="dxa"/>
          </w:tcPr>
          <w:p w14:paraId="3B5C546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601E5BD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Significant reduction (p &lt; 0.001) in fatigue symptoms in the intervention group compared with control</w:t>
            </w:r>
          </w:p>
        </w:tc>
        <w:tc>
          <w:tcPr>
            <w:tcW w:w="1009" w:type="dxa"/>
          </w:tcPr>
          <w:p w14:paraId="6BF36042" w14:textId="765334D3"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6CBEEF59" w14:textId="59C16959"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12007564" w14:textId="499C4809" w:rsidTr="00106ED7">
        <w:trPr>
          <w:trHeight w:val="326"/>
        </w:trPr>
        <w:tc>
          <w:tcPr>
            <w:tcW w:w="910" w:type="dxa"/>
          </w:tcPr>
          <w:p w14:paraId="6B153F1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lastRenderedPageBreak/>
              <w:t>Mehrabani 2019</w:t>
            </w:r>
          </w:p>
        </w:tc>
        <w:tc>
          <w:tcPr>
            <w:tcW w:w="713" w:type="dxa"/>
          </w:tcPr>
          <w:p w14:paraId="2921D64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1225734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With condition</w:t>
            </w:r>
          </w:p>
        </w:tc>
        <w:tc>
          <w:tcPr>
            <w:tcW w:w="1803" w:type="dxa"/>
          </w:tcPr>
          <w:p w14:paraId="41C42157" w14:textId="77777777" w:rsidR="005072A2" w:rsidRPr="00C8112A" w:rsidRDefault="005072A2" w:rsidP="005072A2">
            <w:pPr>
              <w:pStyle w:val="Caption1"/>
              <w:spacing w:before="0" w:after="0"/>
              <w:rPr>
                <w:rFonts w:ascii="Aptos" w:hAnsi="Aptos"/>
                <w:b w:val="0"/>
                <w:bCs w:val="0"/>
                <w:sz w:val="16"/>
                <w:szCs w:val="16"/>
              </w:rPr>
            </w:pPr>
            <w:r w:rsidRPr="00102851">
              <w:rPr>
                <w:rFonts w:ascii="Aptos" w:hAnsi="Aptos"/>
                <w:b w:val="0"/>
              </w:rPr>
              <w:t xml:space="preserve">CFS </w:t>
            </w:r>
          </w:p>
        </w:tc>
        <w:tc>
          <w:tcPr>
            <w:tcW w:w="850" w:type="dxa"/>
          </w:tcPr>
          <w:p w14:paraId="1C3FE97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5AEB3791"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CoQ10 150mg/day</w:t>
            </w:r>
          </w:p>
        </w:tc>
        <w:tc>
          <w:tcPr>
            <w:tcW w:w="709" w:type="dxa"/>
          </w:tcPr>
          <w:p w14:paraId="0CBF934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2C81462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 RCT</w:t>
            </w:r>
          </w:p>
        </w:tc>
        <w:tc>
          <w:tcPr>
            <w:tcW w:w="567" w:type="dxa"/>
          </w:tcPr>
          <w:p w14:paraId="766D5E0B"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32</w:t>
            </w:r>
          </w:p>
        </w:tc>
        <w:tc>
          <w:tcPr>
            <w:tcW w:w="1134" w:type="dxa"/>
          </w:tcPr>
          <w:p w14:paraId="5CBDD351"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FSS</w:t>
            </w:r>
          </w:p>
        </w:tc>
        <w:tc>
          <w:tcPr>
            <w:tcW w:w="850" w:type="dxa"/>
          </w:tcPr>
          <w:p w14:paraId="7960A5E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0BC9D389"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Failed to reveal any significant improvements (p &gt; 0.05) in fatigue after supplementation with CoQ10</w:t>
            </w:r>
          </w:p>
        </w:tc>
        <w:tc>
          <w:tcPr>
            <w:tcW w:w="1009" w:type="dxa"/>
          </w:tcPr>
          <w:p w14:paraId="59C0EE1A" w14:textId="711E7358"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0B8454E5" w14:textId="37DAA38B"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61C61C39" w14:textId="4D46E251" w:rsidTr="00106ED7">
        <w:trPr>
          <w:trHeight w:val="326"/>
        </w:trPr>
        <w:tc>
          <w:tcPr>
            <w:tcW w:w="910" w:type="dxa"/>
          </w:tcPr>
          <w:p w14:paraId="16EAC07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Mehrabani 2019</w:t>
            </w:r>
          </w:p>
        </w:tc>
        <w:tc>
          <w:tcPr>
            <w:tcW w:w="713" w:type="dxa"/>
          </w:tcPr>
          <w:p w14:paraId="46E5963A"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70C10D7A"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1803" w:type="dxa"/>
          </w:tcPr>
          <w:p w14:paraId="392EFC6E"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 xml:space="preserve">Breast cancer </w:t>
            </w:r>
          </w:p>
        </w:tc>
        <w:tc>
          <w:tcPr>
            <w:tcW w:w="850" w:type="dxa"/>
          </w:tcPr>
          <w:p w14:paraId="5A96CC3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w:t>
            </w:r>
          </w:p>
        </w:tc>
        <w:tc>
          <w:tcPr>
            <w:tcW w:w="1134" w:type="dxa"/>
          </w:tcPr>
          <w:p w14:paraId="66256C6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CoQ10 300mg/day</w:t>
            </w:r>
          </w:p>
        </w:tc>
        <w:tc>
          <w:tcPr>
            <w:tcW w:w="709" w:type="dxa"/>
          </w:tcPr>
          <w:p w14:paraId="44BC0F5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1" w:type="dxa"/>
          </w:tcPr>
          <w:p w14:paraId="7DA4923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 RCT</w:t>
            </w:r>
          </w:p>
        </w:tc>
        <w:tc>
          <w:tcPr>
            <w:tcW w:w="567" w:type="dxa"/>
          </w:tcPr>
          <w:p w14:paraId="2D89D7CB"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236</w:t>
            </w:r>
          </w:p>
        </w:tc>
        <w:tc>
          <w:tcPr>
            <w:tcW w:w="1134" w:type="dxa"/>
          </w:tcPr>
          <w:p w14:paraId="1C2846D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POMS-F, FACIT-F, LASA-F</w:t>
            </w:r>
          </w:p>
        </w:tc>
        <w:tc>
          <w:tcPr>
            <w:tcW w:w="850" w:type="dxa"/>
          </w:tcPr>
          <w:p w14:paraId="503158A7"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1022D64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Did not show any significant efficacy (p &gt; 0.05) for CoQ10 supplementation in fatigue reduction in newly diagnosed patients with breast cancer</w:t>
            </w:r>
          </w:p>
        </w:tc>
        <w:tc>
          <w:tcPr>
            <w:tcW w:w="1009" w:type="dxa"/>
          </w:tcPr>
          <w:p w14:paraId="70579214" w14:textId="71A00224" w:rsidR="005072A2" w:rsidRDefault="005072A2" w:rsidP="005072A2">
            <w:pPr>
              <w:pStyle w:val="Caption1"/>
              <w:spacing w:before="0" w:after="0"/>
              <w:rPr>
                <w:rFonts w:ascii="Aptos" w:hAnsi="Aptos"/>
                <w:b w:val="0"/>
                <w:bCs w:val="0"/>
                <w:sz w:val="16"/>
                <w:szCs w:val="16"/>
              </w:rPr>
            </w:pPr>
            <w:r>
              <w:rPr>
                <w:rFonts w:ascii="Aptos" w:hAnsi="Aptos"/>
                <w:b w:val="0"/>
                <w:bCs w:val="0"/>
                <w:sz w:val="16"/>
                <w:szCs w:val="16"/>
              </w:rPr>
              <w:t>NA</w:t>
            </w:r>
          </w:p>
        </w:tc>
        <w:tc>
          <w:tcPr>
            <w:tcW w:w="908" w:type="dxa"/>
          </w:tcPr>
          <w:p w14:paraId="336520EF" w14:textId="59DF8E01" w:rsidR="005072A2" w:rsidRPr="00D518FF" w:rsidRDefault="005072A2" w:rsidP="005072A2">
            <w:pPr>
              <w:pStyle w:val="Caption1"/>
              <w:spacing w:before="0" w:after="0"/>
              <w:rPr>
                <w:rFonts w:ascii="Aptos" w:hAnsi="Aptos"/>
                <w:b w:val="0"/>
                <w:bCs w:val="0"/>
                <w:sz w:val="16"/>
                <w:szCs w:val="16"/>
              </w:rPr>
            </w:pPr>
            <w:r>
              <w:rPr>
                <w:rFonts w:ascii="Aptos" w:hAnsi="Aptos"/>
                <w:b w:val="0"/>
                <w:bCs w:val="0"/>
                <w:sz w:val="16"/>
                <w:szCs w:val="16"/>
              </w:rPr>
              <w:t>Unclear risk</w:t>
            </w:r>
          </w:p>
        </w:tc>
      </w:tr>
      <w:tr w:rsidR="005072A2" w:rsidRPr="00D518FF" w14:paraId="1E276533" w14:textId="57D43A16" w:rsidTr="00106ED7">
        <w:trPr>
          <w:trHeight w:val="326"/>
        </w:trPr>
        <w:tc>
          <w:tcPr>
            <w:tcW w:w="910" w:type="dxa"/>
          </w:tcPr>
          <w:p w14:paraId="478D90C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Pereira 2018</w:t>
            </w:r>
          </w:p>
        </w:tc>
        <w:tc>
          <w:tcPr>
            <w:tcW w:w="713" w:type="dxa"/>
          </w:tcPr>
          <w:p w14:paraId="1CF813BD"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2" w:type="dxa"/>
          </w:tcPr>
          <w:p w14:paraId="7419ED4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At-risk of condition</w:t>
            </w:r>
          </w:p>
        </w:tc>
        <w:tc>
          <w:tcPr>
            <w:tcW w:w="1803" w:type="dxa"/>
          </w:tcPr>
          <w:p w14:paraId="21B0E921"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 xml:space="preserve">Patients aged 18 years and older diagnosed with breast cancer </w:t>
            </w:r>
          </w:p>
        </w:tc>
        <w:tc>
          <w:tcPr>
            <w:tcW w:w="850" w:type="dxa"/>
          </w:tcPr>
          <w:p w14:paraId="1AEC6823"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Eligible supplement + naturopathy co-intervention VS naturopathy co-intervention</w:t>
            </w:r>
          </w:p>
        </w:tc>
        <w:tc>
          <w:tcPr>
            <w:tcW w:w="1134" w:type="dxa"/>
          </w:tcPr>
          <w:p w14:paraId="7A63D5B0"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300 mg CoQ10 combined with 300 IU vitamin E (divided into 3 doses with meals)</w:t>
            </w:r>
          </w:p>
        </w:tc>
        <w:tc>
          <w:tcPr>
            <w:tcW w:w="709" w:type="dxa"/>
          </w:tcPr>
          <w:p w14:paraId="6309AC02"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Placebo combined with 300 IU vitamin E (divided into 3 doses with meals)</w:t>
            </w:r>
          </w:p>
        </w:tc>
        <w:tc>
          <w:tcPr>
            <w:tcW w:w="851" w:type="dxa"/>
          </w:tcPr>
          <w:p w14:paraId="0518B84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567" w:type="dxa"/>
          </w:tcPr>
          <w:p w14:paraId="206300D8"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236</w:t>
            </w:r>
          </w:p>
        </w:tc>
        <w:tc>
          <w:tcPr>
            <w:tcW w:w="1134" w:type="dxa"/>
          </w:tcPr>
          <w:p w14:paraId="11243204"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POMS-F, FACT-F, LASA-F</w:t>
            </w:r>
          </w:p>
        </w:tc>
        <w:tc>
          <w:tcPr>
            <w:tcW w:w="850" w:type="dxa"/>
          </w:tcPr>
          <w:p w14:paraId="349F8B3C"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985" w:type="dxa"/>
          </w:tcPr>
          <w:p w14:paraId="67AD5715" w14:textId="77777777" w:rsidR="005072A2" w:rsidRPr="00D518FF" w:rsidRDefault="005072A2" w:rsidP="005072A2">
            <w:pPr>
              <w:pStyle w:val="Caption1"/>
              <w:spacing w:before="0" w:after="0"/>
              <w:rPr>
                <w:rFonts w:ascii="Aptos" w:hAnsi="Aptos"/>
                <w:b w:val="0"/>
                <w:bCs w:val="0"/>
                <w:sz w:val="16"/>
                <w:szCs w:val="16"/>
              </w:rPr>
            </w:pPr>
            <w:r w:rsidRPr="00D518FF">
              <w:rPr>
                <w:rFonts w:ascii="Aptos" w:hAnsi="Aptos"/>
                <w:b w:val="0"/>
                <w:bCs w:val="0"/>
                <w:sz w:val="16"/>
                <w:szCs w:val="16"/>
              </w:rPr>
              <w:t>CoQ10 was not associated with improvement of fatigue after 24 weeks or at any time during the study</w:t>
            </w:r>
          </w:p>
        </w:tc>
        <w:tc>
          <w:tcPr>
            <w:tcW w:w="1009" w:type="dxa"/>
          </w:tcPr>
          <w:p w14:paraId="577CFFBF" w14:textId="1AFEE49D" w:rsidR="005072A2" w:rsidRDefault="005072A2" w:rsidP="005072A2">
            <w:pPr>
              <w:pStyle w:val="Caption1"/>
              <w:spacing w:before="0" w:after="0"/>
              <w:rPr>
                <w:rFonts w:ascii="Cambria Math" w:hAnsi="Cambria Math" w:cs="Cambria Math"/>
                <w:b w:val="0"/>
                <w:bCs w:val="0"/>
                <w:sz w:val="16"/>
                <w:szCs w:val="16"/>
              </w:rPr>
            </w:pPr>
            <w:r>
              <w:rPr>
                <w:rFonts w:ascii="Aptos" w:hAnsi="Aptos"/>
                <w:b w:val="0"/>
                <w:bCs w:val="0"/>
                <w:sz w:val="16"/>
                <w:szCs w:val="16"/>
              </w:rPr>
              <w:t>NA</w:t>
            </w:r>
          </w:p>
        </w:tc>
        <w:tc>
          <w:tcPr>
            <w:tcW w:w="908" w:type="dxa"/>
          </w:tcPr>
          <w:p w14:paraId="03C52FD1" w14:textId="7CB56F55" w:rsidR="005072A2" w:rsidRPr="00D518FF" w:rsidRDefault="005072A2" w:rsidP="005072A2">
            <w:pPr>
              <w:pStyle w:val="Caption1"/>
              <w:spacing w:before="0" w:after="0"/>
              <w:rPr>
                <w:rFonts w:ascii="Cambria Math" w:hAnsi="Cambria Math" w:cs="Cambria Math"/>
                <w:b w:val="0"/>
                <w:bCs w:val="0"/>
                <w:sz w:val="16"/>
                <w:szCs w:val="16"/>
              </w:rPr>
            </w:pPr>
            <w:r>
              <w:rPr>
                <w:rFonts w:ascii="Cambria Math" w:hAnsi="Cambria Math" w:cs="Cambria Math"/>
                <w:b w:val="0"/>
                <w:bCs w:val="0"/>
                <w:sz w:val="16"/>
                <w:szCs w:val="16"/>
              </w:rPr>
              <w:t>Low risk</w:t>
            </w:r>
          </w:p>
        </w:tc>
      </w:tr>
    </w:tbl>
    <w:p w14:paraId="17860F5E" w14:textId="662A0B1C"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sidR="00690207" w:rsidRPr="00D518FF">
        <w:rPr>
          <w:rFonts w:ascii="Aptos" w:hAnsi="Aptos"/>
          <w:b w:val="0"/>
          <w:bCs w:val="0"/>
          <w:sz w:val="16"/>
          <w:szCs w:val="16"/>
        </w:rPr>
        <w:t xml:space="preserve">CFS=Chronic Fatigue Syndrome, </w:t>
      </w:r>
      <w:r w:rsidR="0040129C" w:rsidRPr="00D518FF">
        <w:rPr>
          <w:rFonts w:ascii="Aptos" w:hAnsi="Aptos"/>
          <w:b w:val="0"/>
          <w:bCs w:val="0"/>
          <w:sz w:val="16"/>
          <w:szCs w:val="16"/>
        </w:rPr>
        <w:t xml:space="preserve">CoQ10=Coenzyme Q10, FSS=Fatigue Severity Scale, </w:t>
      </w:r>
      <w:r w:rsidR="00E14B2E" w:rsidRPr="00D518FF">
        <w:rPr>
          <w:rFonts w:ascii="Aptos" w:hAnsi="Aptos"/>
          <w:b w:val="0"/>
          <w:bCs w:val="0"/>
          <w:sz w:val="16"/>
          <w:szCs w:val="16"/>
        </w:rPr>
        <w:t xml:space="preserve">FACIT-F= Functional Assessment of Chronic Illness Therapy-Fatigue, </w:t>
      </w:r>
      <w:r w:rsidR="0040129C" w:rsidRPr="00D518FF">
        <w:rPr>
          <w:rFonts w:ascii="Aptos" w:hAnsi="Aptos"/>
          <w:b w:val="0"/>
          <w:bCs w:val="0"/>
          <w:sz w:val="16"/>
          <w:szCs w:val="16"/>
        </w:rPr>
        <w:t>FIS= Fatigue Impact Scale, FIQ= Fibromyalgia Impact Questionnaire, POMS-F=Profile of Mood States-Fatigue,</w:t>
      </w:r>
      <w:r w:rsidR="00E14B2E" w:rsidRPr="00D518FF">
        <w:rPr>
          <w:rFonts w:ascii="Aptos" w:hAnsi="Aptos"/>
          <w:b w:val="0"/>
          <w:bCs w:val="0"/>
          <w:sz w:val="16"/>
          <w:szCs w:val="16"/>
        </w:rPr>
        <w:t xml:space="preserve"> LASA-F= Linear Analog Scale Assessment – Fatigue,</w:t>
      </w:r>
      <w:r w:rsidR="0040129C" w:rsidRPr="00D518FF">
        <w:rPr>
          <w:rFonts w:ascii="Aptos" w:hAnsi="Aptos"/>
          <w:b w:val="0"/>
          <w:bCs w:val="0"/>
          <w:sz w:val="16"/>
          <w:szCs w:val="16"/>
        </w:rPr>
        <w:t xml:space="preserve"> MAF= Multidimensional Assessment of Fatigue</w:t>
      </w:r>
      <w:r w:rsidR="00012372" w:rsidRPr="00D518FF">
        <w:rPr>
          <w:rFonts w:ascii="Aptos" w:hAnsi="Aptos"/>
          <w:b w:val="0"/>
          <w:bCs w:val="0"/>
          <w:sz w:val="16"/>
          <w:szCs w:val="16"/>
        </w:rPr>
        <w:t xml:space="preserve">, </w:t>
      </w:r>
      <w:r w:rsidR="00106ED7" w:rsidRPr="00D518FF">
        <w:rPr>
          <w:rFonts w:ascii="Aptos" w:hAnsi="Aptos"/>
          <w:b w:val="0"/>
          <w:bCs w:val="0"/>
          <w:sz w:val="16"/>
          <w:szCs w:val="16"/>
        </w:rPr>
        <w:t xml:space="preserve">ME=myalgic encephalomyelitis, </w:t>
      </w:r>
      <w:r w:rsidR="00106ED7">
        <w:rPr>
          <w:rFonts w:ascii="Aptos" w:hAnsi="Aptos"/>
          <w:b w:val="0"/>
          <w:bCs w:val="0"/>
          <w:sz w:val="16"/>
          <w:szCs w:val="16"/>
        </w:rPr>
        <w:t xml:space="preserve">NR=Not reported; NA=not applicable; </w:t>
      </w:r>
      <w:r w:rsidR="00012372" w:rsidRPr="00D518FF">
        <w:rPr>
          <w:rFonts w:ascii="Aptos" w:hAnsi="Aptos"/>
          <w:b w:val="0"/>
          <w:bCs w:val="0"/>
          <w:sz w:val="16"/>
          <w:szCs w:val="16"/>
        </w:rPr>
        <w:t>SF-36= RAND 36-Item Short Form Health Survey</w:t>
      </w:r>
    </w:p>
    <w:p w14:paraId="0D084F82" w14:textId="77777777" w:rsidR="009E4D3F" w:rsidRPr="00D518FF" w:rsidRDefault="009E4D3F" w:rsidP="00AA72BD">
      <w:pPr>
        <w:pStyle w:val="Caption1"/>
        <w:spacing w:before="0" w:after="0"/>
        <w:rPr>
          <w:rFonts w:ascii="Aptos" w:hAnsi="Aptos"/>
          <w:b w:val="0"/>
          <w:bCs w:val="0"/>
          <w:sz w:val="16"/>
          <w:szCs w:val="16"/>
        </w:rPr>
      </w:pPr>
    </w:p>
    <w:p w14:paraId="12DEF736"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0EBE82F3" w14:textId="77777777" w:rsidR="009E4D3F" w:rsidRPr="00D518FF" w:rsidRDefault="009E4D3F" w:rsidP="00106ED7">
      <w:pPr>
        <w:pStyle w:val="ListParagraph"/>
        <w:numPr>
          <w:ilvl w:val="0"/>
          <w:numId w:val="6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improvement in fatigue severity/burden</w:t>
      </w:r>
    </w:p>
    <w:p w14:paraId="3DB25DD3" w14:textId="77777777" w:rsidR="009E4D3F" w:rsidRPr="00D518FF" w:rsidRDefault="009E4D3F" w:rsidP="00106ED7">
      <w:pPr>
        <w:pStyle w:val="ListParagraph"/>
        <w:numPr>
          <w:ilvl w:val="0"/>
          <w:numId w:val="6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Clinical recovery or improvement (dichotomous)</w:t>
      </w:r>
    </w:p>
    <w:p w14:paraId="7EC62E4E" w14:textId="77777777" w:rsidR="009E4D3F" w:rsidRPr="00D518FF" w:rsidRDefault="009E4D3F" w:rsidP="00106ED7">
      <w:pPr>
        <w:pStyle w:val="ListParagraph"/>
        <w:numPr>
          <w:ilvl w:val="0"/>
          <w:numId w:val="6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Self-perceived change in overall health</w:t>
      </w:r>
    </w:p>
    <w:p w14:paraId="13EB718E" w14:textId="77777777" w:rsidR="009E4D3F" w:rsidRPr="00D518FF" w:rsidRDefault="009E4D3F" w:rsidP="00106ED7">
      <w:pPr>
        <w:pStyle w:val="ListParagraph"/>
        <w:numPr>
          <w:ilvl w:val="0"/>
          <w:numId w:val="6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Physical function burden from fatigue</w:t>
      </w:r>
    </w:p>
    <w:p w14:paraId="4A701ACB" w14:textId="32024627" w:rsidR="009E4D3F" w:rsidRPr="00D518FF" w:rsidRDefault="00690207" w:rsidP="00106ED7">
      <w:pPr>
        <w:pStyle w:val="ListParagraph"/>
        <w:numPr>
          <w:ilvl w:val="0"/>
          <w:numId w:val="6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49C0BF27" w14:textId="77777777" w:rsidR="009E4D3F" w:rsidRPr="00D518FF" w:rsidRDefault="009E4D3F" w:rsidP="00106ED7">
      <w:pPr>
        <w:pStyle w:val="ListParagraph"/>
        <w:numPr>
          <w:ilvl w:val="0"/>
          <w:numId w:val="6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 from fatigue</w:t>
      </w:r>
    </w:p>
    <w:p w14:paraId="02721A1B" w14:textId="77777777" w:rsidR="009E4D3F" w:rsidRPr="00D518FF" w:rsidRDefault="009E4D3F" w:rsidP="00106ED7">
      <w:pPr>
        <w:pStyle w:val="ListParagraph"/>
        <w:numPr>
          <w:ilvl w:val="0"/>
          <w:numId w:val="6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Sleep quality/quantity</w:t>
      </w:r>
    </w:p>
    <w:p w14:paraId="6E60369A" w14:textId="39D58563" w:rsidR="009E4D3F" w:rsidRPr="00B53559" w:rsidRDefault="009E4D3F" w:rsidP="00447B3F">
      <w:pPr>
        <w:pStyle w:val="heading2numbers"/>
        <w:keepLines w:val="0"/>
        <w:ind w:left="578" w:hanging="578"/>
        <w:rPr>
          <w:rStyle w:val="Heading1Char"/>
          <w:rFonts w:ascii="Aptos" w:eastAsia="Calibri" w:hAnsi="Aptos"/>
          <w:bCs w:val="0"/>
          <w:color w:val="C00000"/>
          <w:sz w:val="28"/>
          <w:szCs w:val="26"/>
        </w:rPr>
      </w:pPr>
      <w:bookmarkStart w:id="201" w:name="_Toc185254669"/>
      <w:r w:rsidRPr="00B53559">
        <w:rPr>
          <w:rStyle w:val="Heading1Char"/>
          <w:rFonts w:ascii="Aptos" w:eastAsia="Calibri" w:hAnsi="Aptos"/>
          <w:bCs w:val="0"/>
          <w:color w:val="C00000"/>
          <w:sz w:val="28"/>
          <w:szCs w:val="26"/>
        </w:rPr>
        <w:t>Headache and migraine, magnesium</w:t>
      </w:r>
      <w:bookmarkEnd w:id="201"/>
    </w:p>
    <w:p w14:paraId="74F395F3" w14:textId="7805BC78" w:rsidR="001E35E3" w:rsidRPr="00D518FF" w:rsidRDefault="00447B3F" w:rsidP="001E35E3">
      <w:pPr>
        <w:pStyle w:val="Caption"/>
        <w:keepNext w:val="0"/>
        <w:rPr>
          <w:rFonts w:ascii="Aptos" w:hAnsi="Aptos"/>
        </w:rPr>
      </w:pPr>
      <w:bookmarkStart w:id="202" w:name="_Toc185254584"/>
      <w:r>
        <w:t xml:space="preserve">Table </w:t>
      </w:r>
      <w:r w:rsidR="00DC4767">
        <w:fldChar w:fldCharType="begin" w:fldLock="1"/>
      </w:r>
      <w:r w:rsidR="00DC4767">
        <w:instrText xml:space="preserve"> STYLEREF 1 \s </w:instrText>
      </w:r>
      <w:r w:rsidR="00DC4767">
        <w:fldChar w:fldCharType="separate"/>
      </w:r>
      <w:r w:rsidR="00DC4767">
        <w:rPr>
          <w:noProof/>
        </w:rPr>
        <w:t>E</w:t>
      </w:r>
      <w:r w:rsidR="00DC4767">
        <w:rPr>
          <w:noProof/>
        </w:rPr>
        <w:fldChar w:fldCharType="end"/>
      </w:r>
      <w:r w:rsidR="00DC4767">
        <w:noBreakHyphen/>
      </w:r>
      <w:r w:rsidR="003B0594">
        <w:fldChar w:fldCharType="begin"/>
      </w:r>
      <w:r w:rsidR="003B0594">
        <w:instrText xml:space="preserve"> SEQ Table \* ARABIC \s 1 </w:instrText>
      </w:r>
      <w:r w:rsidR="003B0594">
        <w:fldChar w:fldCharType="separate"/>
      </w:r>
      <w:r w:rsidR="00C426C6">
        <w:rPr>
          <w:noProof/>
        </w:rPr>
        <w:t>12</w:t>
      </w:r>
      <w:r w:rsidR="003B0594">
        <w:rPr>
          <w:noProof/>
        </w:rPr>
        <w:fldChar w:fldCharType="end"/>
      </w:r>
      <w:r w:rsidR="009E4D3F" w:rsidRPr="00D518FF">
        <w:rPr>
          <w:rFonts w:ascii="Aptos" w:hAnsi="Aptos"/>
        </w:rPr>
        <w:t xml:space="preserve">. Results of </w:t>
      </w:r>
      <w:r w:rsidR="001E35E3">
        <w:rPr>
          <w:rFonts w:ascii="Aptos" w:hAnsi="Aptos"/>
        </w:rPr>
        <w:t>preferred</w:t>
      </w:r>
      <w:r w:rsidR="009E4D3F" w:rsidRPr="00D518FF">
        <w:rPr>
          <w:rFonts w:ascii="Aptos" w:hAnsi="Aptos"/>
        </w:rPr>
        <w:t xml:space="preserve"> reviews by outcome domain – headache and migraine, magnesium</w:t>
      </w:r>
      <w:r>
        <w:rPr>
          <w:rFonts w:ascii="Aptos" w:hAnsi="Aptos"/>
        </w:rPr>
        <w:t>.</w:t>
      </w:r>
      <w:bookmarkEnd w:id="202"/>
    </w:p>
    <w:tbl>
      <w:tblPr>
        <w:tblStyle w:val="TableGrid"/>
        <w:tblW w:w="14454" w:type="dxa"/>
        <w:tblLayout w:type="fixed"/>
        <w:tblCellMar>
          <w:top w:w="28" w:type="dxa"/>
          <w:left w:w="57" w:type="dxa"/>
          <w:bottom w:w="28" w:type="dxa"/>
          <w:right w:w="0" w:type="dxa"/>
        </w:tblCellMar>
        <w:tblLook w:val="04A0" w:firstRow="1" w:lastRow="0" w:firstColumn="1" w:lastColumn="0" w:noHBand="0" w:noVBand="1"/>
      </w:tblPr>
      <w:tblGrid>
        <w:gridCol w:w="872"/>
        <w:gridCol w:w="742"/>
        <w:gridCol w:w="872"/>
        <w:gridCol w:w="1428"/>
        <w:gridCol w:w="1308"/>
        <w:gridCol w:w="1195"/>
        <w:gridCol w:w="1056"/>
        <w:gridCol w:w="811"/>
        <w:gridCol w:w="642"/>
        <w:gridCol w:w="992"/>
        <w:gridCol w:w="1134"/>
        <w:gridCol w:w="709"/>
        <w:gridCol w:w="1559"/>
        <w:gridCol w:w="1134"/>
      </w:tblGrid>
      <w:tr w:rsidR="005072A2" w:rsidRPr="00D518FF" w14:paraId="3F5E1789" w14:textId="77777777" w:rsidTr="00F614C8">
        <w:trPr>
          <w:trHeight w:val="164"/>
        </w:trPr>
        <w:tc>
          <w:tcPr>
            <w:tcW w:w="872" w:type="dxa"/>
            <w:vMerge w:val="restart"/>
            <w:shd w:val="clear" w:color="auto" w:fill="D9D9D9" w:themeFill="background1" w:themeFillShade="D9"/>
          </w:tcPr>
          <w:p w14:paraId="3FCC8BA1"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lastRenderedPageBreak/>
              <w:t>Review ID</w:t>
            </w:r>
          </w:p>
        </w:tc>
        <w:tc>
          <w:tcPr>
            <w:tcW w:w="742" w:type="dxa"/>
            <w:vMerge w:val="restart"/>
            <w:shd w:val="clear" w:color="auto" w:fill="D9D9D9" w:themeFill="background1" w:themeFillShade="D9"/>
          </w:tcPr>
          <w:p w14:paraId="25157F2C"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Outcome domain</w:t>
            </w:r>
          </w:p>
        </w:tc>
        <w:tc>
          <w:tcPr>
            <w:tcW w:w="872" w:type="dxa"/>
            <w:vMerge w:val="restart"/>
            <w:shd w:val="clear" w:color="auto" w:fill="D9D9D9" w:themeFill="background1" w:themeFillShade="D9"/>
          </w:tcPr>
          <w:p w14:paraId="44BC931A"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Population group</w:t>
            </w:r>
          </w:p>
        </w:tc>
        <w:tc>
          <w:tcPr>
            <w:tcW w:w="1428" w:type="dxa"/>
            <w:vMerge w:val="restart"/>
            <w:shd w:val="clear" w:color="auto" w:fill="D9D9D9" w:themeFill="background1" w:themeFillShade="D9"/>
          </w:tcPr>
          <w:p w14:paraId="1164174D"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Population details</w:t>
            </w:r>
          </w:p>
        </w:tc>
        <w:tc>
          <w:tcPr>
            <w:tcW w:w="1308" w:type="dxa"/>
            <w:vMerge w:val="restart"/>
            <w:shd w:val="clear" w:color="auto" w:fill="D9D9D9" w:themeFill="background1" w:themeFillShade="D9"/>
          </w:tcPr>
          <w:p w14:paraId="47DEAA0E"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Type of comparison</w:t>
            </w:r>
          </w:p>
        </w:tc>
        <w:tc>
          <w:tcPr>
            <w:tcW w:w="1195" w:type="dxa"/>
            <w:vMerge w:val="restart"/>
            <w:shd w:val="clear" w:color="auto" w:fill="D9D9D9" w:themeFill="background1" w:themeFillShade="D9"/>
          </w:tcPr>
          <w:p w14:paraId="442EC70F"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Intervention description</w:t>
            </w:r>
          </w:p>
        </w:tc>
        <w:tc>
          <w:tcPr>
            <w:tcW w:w="1056" w:type="dxa"/>
            <w:vMerge w:val="restart"/>
            <w:shd w:val="clear" w:color="auto" w:fill="D9D9D9" w:themeFill="background1" w:themeFillShade="D9"/>
          </w:tcPr>
          <w:p w14:paraId="51975A79"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Comparator description</w:t>
            </w:r>
          </w:p>
        </w:tc>
        <w:tc>
          <w:tcPr>
            <w:tcW w:w="811" w:type="dxa"/>
            <w:vMerge w:val="restart"/>
            <w:shd w:val="clear" w:color="auto" w:fill="D9D9D9" w:themeFill="background1" w:themeFillShade="D9"/>
          </w:tcPr>
          <w:p w14:paraId="3676AD7F"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No/types of included studies</w:t>
            </w:r>
          </w:p>
        </w:tc>
        <w:tc>
          <w:tcPr>
            <w:tcW w:w="642" w:type="dxa"/>
            <w:vMerge w:val="restart"/>
            <w:shd w:val="clear" w:color="auto" w:fill="D9D9D9" w:themeFill="background1" w:themeFillShade="D9"/>
          </w:tcPr>
          <w:p w14:paraId="01EABD4D"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No of participants (total)</w:t>
            </w:r>
          </w:p>
        </w:tc>
        <w:tc>
          <w:tcPr>
            <w:tcW w:w="992" w:type="dxa"/>
            <w:vMerge w:val="restart"/>
            <w:shd w:val="clear" w:color="auto" w:fill="D9D9D9" w:themeFill="background1" w:themeFillShade="D9"/>
          </w:tcPr>
          <w:p w14:paraId="256CF67C"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Outcome measure(s) used</w:t>
            </w:r>
          </w:p>
        </w:tc>
        <w:tc>
          <w:tcPr>
            <w:tcW w:w="3402" w:type="dxa"/>
            <w:gridSpan w:val="3"/>
            <w:shd w:val="clear" w:color="auto" w:fill="D9D9D9" w:themeFill="background1" w:themeFillShade="D9"/>
          </w:tcPr>
          <w:p w14:paraId="6038BFC6" w14:textId="6EA9B231"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Results</w:t>
            </w:r>
          </w:p>
        </w:tc>
        <w:tc>
          <w:tcPr>
            <w:tcW w:w="1134" w:type="dxa"/>
            <w:vMerge w:val="restart"/>
            <w:shd w:val="clear" w:color="auto" w:fill="D9D9D9" w:themeFill="background1" w:themeFillShade="D9"/>
          </w:tcPr>
          <w:p w14:paraId="7C21FFC5" w14:textId="77777777" w:rsidR="005072A2" w:rsidRPr="00D518FF" w:rsidRDefault="005072A2" w:rsidP="00CF6EDC">
            <w:pPr>
              <w:pStyle w:val="Caption1"/>
              <w:spacing w:before="0" w:after="0"/>
              <w:rPr>
                <w:rFonts w:ascii="Aptos" w:hAnsi="Aptos"/>
                <w:sz w:val="16"/>
                <w:szCs w:val="16"/>
              </w:rPr>
            </w:pPr>
            <w:r w:rsidRPr="00CE11E7">
              <w:rPr>
                <w:rFonts w:ascii="Aptos" w:hAnsi="Aptos"/>
                <w:sz w:val="16"/>
                <w:szCs w:val="16"/>
              </w:rPr>
              <w:t>ROBIS assessment (for the review overall)</w:t>
            </w:r>
          </w:p>
        </w:tc>
      </w:tr>
      <w:tr w:rsidR="005072A2" w:rsidRPr="00D518FF" w14:paraId="5F2A733B" w14:textId="77777777" w:rsidTr="00714CCE">
        <w:trPr>
          <w:trHeight w:val="164"/>
        </w:trPr>
        <w:tc>
          <w:tcPr>
            <w:tcW w:w="872" w:type="dxa"/>
            <w:vMerge/>
            <w:shd w:val="clear" w:color="auto" w:fill="D9D9D9" w:themeFill="background1" w:themeFillShade="D9"/>
          </w:tcPr>
          <w:p w14:paraId="17B9BD10" w14:textId="77777777" w:rsidR="005072A2" w:rsidRPr="00D518FF" w:rsidRDefault="005072A2" w:rsidP="00CF6EDC">
            <w:pPr>
              <w:pStyle w:val="Caption1"/>
              <w:spacing w:before="0" w:after="0"/>
              <w:rPr>
                <w:rFonts w:ascii="Aptos" w:hAnsi="Aptos"/>
                <w:sz w:val="16"/>
                <w:szCs w:val="16"/>
              </w:rPr>
            </w:pPr>
          </w:p>
        </w:tc>
        <w:tc>
          <w:tcPr>
            <w:tcW w:w="742" w:type="dxa"/>
            <w:vMerge/>
            <w:shd w:val="clear" w:color="auto" w:fill="D9D9D9" w:themeFill="background1" w:themeFillShade="D9"/>
          </w:tcPr>
          <w:p w14:paraId="4B96BD91" w14:textId="77777777" w:rsidR="005072A2" w:rsidRPr="00D518FF" w:rsidRDefault="005072A2" w:rsidP="00CF6EDC">
            <w:pPr>
              <w:pStyle w:val="Caption1"/>
              <w:spacing w:before="0" w:after="0"/>
              <w:rPr>
                <w:rFonts w:ascii="Aptos" w:hAnsi="Aptos"/>
                <w:sz w:val="16"/>
                <w:szCs w:val="16"/>
              </w:rPr>
            </w:pPr>
          </w:p>
        </w:tc>
        <w:tc>
          <w:tcPr>
            <w:tcW w:w="872" w:type="dxa"/>
            <w:vMerge/>
            <w:shd w:val="clear" w:color="auto" w:fill="D9D9D9" w:themeFill="background1" w:themeFillShade="D9"/>
          </w:tcPr>
          <w:p w14:paraId="70F34AB3" w14:textId="77777777" w:rsidR="005072A2" w:rsidRPr="00D518FF" w:rsidRDefault="005072A2" w:rsidP="00CF6EDC">
            <w:pPr>
              <w:pStyle w:val="Caption1"/>
              <w:spacing w:before="0" w:after="0"/>
              <w:rPr>
                <w:rFonts w:ascii="Aptos" w:hAnsi="Aptos"/>
                <w:sz w:val="16"/>
                <w:szCs w:val="16"/>
              </w:rPr>
            </w:pPr>
          </w:p>
        </w:tc>
        <w:tc>
          <w:tcPr>
            <w:tcW w:w="1428" w:type="dxa"/>
            <w:vMerge/>
            <w:shd w:val="clear" w:color="auto" w:fill="D9D9D9" w:themeFill="background1" w:themeFillShade="D9"/>
          </w:tcPr>
          <w:p w14:paraId="4085ABDD" w14:textId="77777777" w:rsidR="005072A2" w:rsidRPr="00D518FF" w:rsidRDefault="005072A2" w:rsidP="00CF6EDC">
            <w:pPr>
              <w:pStyle w:val="Caption1"/>
              <w:spacing w:before="0" w:after="0"/>
              <w:rPr>
                <w:rFonts w:ascii="Aptos" w:hAnsi="Aptos"/>
                <w:sz w:val="16"/>
                <w:szCs w:val="16"/>
              </w:rPr>
            </w:pPr>
          </w:p>
        </w:tc>
        <w:tc>
          <w:tcPr>
            <w:tcW w:w="1308" w:type="dxa"/>
            <w:vMerge/>
            <w:shd w:val="clear" w:color="auto" w:fill="D9D9D9" w:themeFill="background1" w:themeFillShade="D9"/>
          </w:tcPr>
          <w:p w14:paraId="631F1A6B" w14:textId="77777777" w:rsidR="005072A2" w:rsidRPr="00D518FF" w:rsidRDefault="005072A2" w:rsidP="00CF6EDC">
            <w:pPr>
              <w:pStyle w:val="Caption1"/>
              <w:spacing w:before="0" w:after="0"/>
              <w:rPr>
                <w:rFonts w:ascii="Aptos" w:hAnsi="Aptos"/>
                <w:sz w:val="16"/>
                <w:szCs w:val="16"/>
              </w:rPr>
            </w:pPr>
          </w:p>
        </w:tc>
        <w:tc>
          <w:tcPr>
            <w:tcW w:w="1195" w:type="dxa"/>
            <w:vMerge/>
            <w:shd w:val="clear" w:color="auto" w:fill="D9D9D9" w:themeFill="background1" w:themeFillShade="D9"/>
          </w:tcPr>
          <w:p w14:paraId="3B45729B" w14:textId="77777777" w:rsidR="005072A2" w:rsidRPr="00D518FF" w:rsidRDefault="005072A2" w:rsidP="00CF6EDC">
            <w:pPr>
              <w:pStyle w:val="Caption1"/>
              <w:spacing w:before="0" w:after="0"/>
              <w:rPr>
                <w:rFonts w:ascii="Aptos" w:hAnsi="Aptos"/>
                <w:sz w:val="16"/>
                <w:szCs w:val="16"/>
              </w:rPr>
            </w:pPr>
          </w:p>
        </w:tc>
        <w:tc>
          <w:tcPr>
            <w:tcW w:w="1056" w:type="dxa"/>
            <w:vMerge/>
            <w:shd w:val="clear" w:color="auto" w:fill="D9D9D9" w:themeFill="background1" w:themeFillShade="D9"/>
          </w:tcPr>
          <w:p w14:paraId="724A882F" w14:textId="77777777" w:rsidR="005072A2" w:rsidRPr="00D518FF" w:rsidRDefault="005072A2" w:rsidP="00CF6EDC">
            <w:pPr>
              <w:pStyle w:val="Caption1"/>
              <w:spacing w:before="0" w:after="0"/>
              <w:rPr>
                <w:rFonts w:ascii="Aptos" w:hAnsi="Aptos"/>
                <w:sz w:val="16"/>
                <w:szCs w:val="16"/>
              </w:rPr>
            </w:pPr>
          </w:p>
        </w:tc>
        <w:tc>
          <w:tcPr>
            <w:tcW w:w="811" w:type="dxa"/>
            <w:vMerge/>
            <w:shd w:val="clear" w:color="auto" w:fill="D9D9D9" w:themeFill="background1" w:themeFillShade="D9"/>
          </w:tcPr>
          <w:p w14:paraId="30577826" w14:textId="77777777" w:rsidR="005072A2" w:rsidRPr="00D518FF" w:rsidRDefault="005072A2" w:rsidP="00CF6EDC">
            <w:pPr>
              <w:pStyle w:val="Caption1"/>
              <w:spacing w:before="0" w:after="0"/>
              <w:rPr>
                <w:rFonts w:ascii="Aptos" w:hAnsi="Aptos"/>
                <w:sz w:val="16"/>
                <w:szCs w:val="16"/>
              </w:rPr>
            </w:pPr>
          </w:p>
        </w:tc>
        <w:tc>
          <w:tcPr>
            <w:tcW w:w="642" w:type="dxa"/>
            <w:vMerge/>
            <w:shd w:val="clear" w:color="auto" w:fill="D9D9D9" w:themeFill="background1" w:themeFillShade="D9"/>
          </w:tcPr>
          <w:p w14:paraId="26A9140F" w14:textId="77777777" w:rsidR="005072A2" w:rsidRPr="00D518FF" w:rsidRDefault="005072A2" w:rsidP="00CF6EDC">
            <w:pPr>
              <w:pStyle w:val="Caption1"/>
              <w:spacing w:before="0" w:after="0"/>
              <w:rPr>
                <w:rFonts w:ascii="Aptos" w:hAnsi="Aptos"/>
                <w:sz w:val="16"/>
                <w:szCs w:val="16"/>
              </w:rPr>
            </w:pPr>
          </w:p>
        </w:tc>
        <w:tc>
          <w:tcPr>
            <w:tcW w:w="992" w:type="dxa"/>
            <w:vMerge/>
            <w:shd w:val="clear" w:color="auto" w:fill="D9D9D9" w:themeFill="background1" w:themeFillShade="D9"/>
          </w:tcPr>
          <w:p w14:paraId="3F735D83" w14:textId="77777777" w:rsidR="005072A2" w:rsidRPr="00D518FF" w:rsidRDefault="005072A2" w:rsidP="00CF6EDC">
            <w:pPr>
              <w:pStyle w:val="Caption1"/>
              <w:spacing w:before="0" w:after="0"/>
              <w:rPr>
                <w:rFonts w:ascii="Aptos" w:hAnsi="Aptos"/>
                <w:sz w:val="16"/>
                <w:szCs w:val="16"/>
              </w:rPr>
            </w:pPr>
          </w:p>
        </w:tc>
        <w:tc>
          <w:tcPr>
            <w:tcW w:w="1134" w:type="dxa"/>
            <w:shd w:val="clear" w:color="auto" w:fill="D9D9D9" w:themeFill="background1" w:themeFillShade="D9"/>
          </w:tcPr>
          <w:p w14:paraId="47D7512B"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Relative effect (95% CI)</w:t>
            </w:r>
          </w:p>
        </w:tc>
        <w:tc>
          <w:tcPr>
            <w:tcW w:w="709" w:type="dxa"/>
            <w:shd w:val="clear" w:color="auto" w:fill="D9D9D9" w:themeFill="background1" w:themeFillShade="D9"/>
          </w:tcPr>
          <w:p w14:paraId="2A51ABA6" w14:textId="77777777" w:rsidR="005072A2" w:rsidRPr="00D518FF" w:rsidRDefault="005072A2" w:rsidP="00CF6EDC">
            <w:pPr>
              <w:pStyle w:val="Caption1"/>
              <w:spacing w:before="0" w:after="0"/>
              <w:rPr>
                <w:rFonts w:ascii="Aptos" w:hAnsi="Aptos"/>
                <w:sz w:val="16"/>
                <w:szCs w:val="16"/>
              </w:rPr>
            </w:pPr>
            <w:r w:rsidRPr="00D518FF">
              <w:rPr>
                <w:rFonts w:ascii="Aptos" w:hAnsi="Aptos"/>
                <w:sz w:val="16"/>
                <w:szCs w:val="16"/>
              </w:rPr>
              <w:t>Other reported results</w:t>
            </w:r>
          </w:p>
        </w:tc>
        <w:tc>
          <w:tcPr>
            <w:tcW w:w="1559" w:type="dxa"/>
            <w:shd w:val="clear" w:color="auto" w:fill="D9D9D9" w:themeFill="background1" w:themeFillShade="D9"/>
          </w:tcPr>
          <w:p w14:paraId="1A32CEA8" w14:textId="77777777" w:rsidR="005072A2" w:rsidRPr="00D518FF" w:rsidRDefault="005072A2" w:rsidP="00CF6EDC">
            <w:pPr>
              <w:pStyle w:val="Caption1"/>
              <w:spacing w:before="0" w:after="0"/>
              <w:rPr>
                <w:rFonts w:ascii="Aptos" w:hAnsi="Aptos"/>
                <w:sz w:val="16"/>
                <w:szCs w:val="16"/>
              </w:rPr>
            </w:pPr>
            <w:r w:rsidRPr="005072A2">
              <w:rPr>
                <w:rFonts w:ascii="Aptos" w:hAnsi="Aptos"/>
                <w:sz w:val="16"/>
                <w:szCs w:val="16"/>
              </w:rPr>
              <w:t>Risk of bias summary (primary studies)</w:t>
            </w:r>
          </w:p>
        </w:tc>
        <w:tc>
          <w:tcPr>
            <w:tcW w:w="1134" w:type="dxa"/>
            <w:vMerge/>
            <w:shd w:val="clear" w:color="auto" w:fill="D9D9D9" w:themeFill="background1" w:themeFillShade="D9"/>
          </w:tcPr>
          <w:p w14:paraId="2A2EC438" w14:textId="77777777" w:rsidR="005072A2" w:rsidRPr="00D518FF" w:rsidRDefault="005072A2" w:rsidP="00CF6EDC">
            <w:pPr>
              <w:pStyle w:val="Caption1"/>
              <w:spacing w:before="0" w:after="0"/>
              <w:rPr>
                <w:rFonts w:ascii="Aptos" w:hAnsi="Aptos"/>
                <w:sz w:val="16"/>
                <w:szCs w:val="16"/>
              </w:rPr>
            </w:pPr>
          </w:p>
        </w:tc>
      </w:tr>
      <w:tr w:rsidR="001E35E3" w:rsidRPr="00D518FF" w14:paraId="16ABF146" w14:textId="77777777" w:rsidTr="00714CCE">
        <w:trPr>
          <w:trHeight w:val="347"/>
        </w:trPr>
        <w:tc>
          <w:tcPr>
            <w:tcW w:w="872" w:type="dxa"/>
          </w:tcPr>
          <w:p w14:paraId="09C9FB26"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Okoli 2019</w:t>
            </w:r>
          </w:p>
        </w:tc>
        <w:tc>
          <w:tcPr>
            <w:tcW w:w="742" w:type="dxa"/>
          </w:tcPr>
          <w:p w14:paraId="24B4910F"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72" w:type="dxa"/>
          </w:tcPr>
          <w:p w14:paraId="3E2DC564" w14:textId="77777777" w:rsidR="001E35E3" w:rsidRPr="00D518FF" w:rsidRDefault="001E35E3" w:rsidP="00CF6ED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428" w:type="dxa"/>
            <w:vMerge w:val="restart"/>
          </w:tcPr>
          <w:p w14:paraId="7CFA581A"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average-risk individuals (no history of head trauma or neurological disease), irrespective of health status, with a history of migraines</w:t>
            </w:r>
          </w:p>
        </w:tc>
        <w:tc>
          <w:tcPr>
            <w:tcW w:w="1308" w:type="dxa"/>
          </w:tcPr>
          <w:p w14:paraId="2B12E84A"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95" w:type="dxa"/>
          </w:tcPr>
          <w:p w14:paraId="0F6628B1" w14:textId="2C27FBDB" w:rsidR="001E35E3" w:rsidRPr="00D518FF" w:rsidRDefault="00106ED7" w:rsidP="00CF6EDC">
            <w:pPr>
              <w:pStyle w:val="Caption1"/>
              <w:spacing w:before="0" w:after="0"/>
              <w:rPr>
                <w:rFonts w:ascii="Aptos" w:hAnsi="Aptos"/>
                <w:b w:val="0"/>
                <w:bCs w:val="0"/>
                <w:sz w:val="16"/>
                <w:szCs w:val="16"/>
              </w:rPr>
            </w:pPr>
            <w:r>
              <w:rPr>
                <w:rFonts w:ascii="Aptos" w:hAnsi="Aptos"/>
                <w:b w:val="0"/>
                <w:bCs w:val="0"/>
                <w:sz w:val="16"/>
                <w:szCs w:val="16"/>
              </w:rPr>
              <w:t>M</w:t>
            </w:r>
            <w:r w:rsidR="005072A2" w:rsidRPr="00D518FF">
              <w:rPr>
                <w:rFonts w:ascii="Aptos" w:hAnsi="Aptos"/>
                <w:b w:val="0"/>
                <w:bCs w:val="0"/>
                <w:sz w:val="16"/>
                <w:szCs w:val="16"/>
              </w:rPr>
              <w:t>agnesium</w:t>
            </w:r>
            <w:r w:rsidR="001E35E3" w:rsidRPr="00D518FF">
              <w:rPr>
                <w:rFonts w:ascii="Aptos" w:hAnsi="Aptos"/>
                <w:b w:val="0"/>
                <w:bCs w:val="0"/>
                <w:sz w:val="16"/>
                <w:szCs w:val="16"/>
              </w:rPr>
              <w:t xml:space="preserve"> (600mg per day)</w:t>
            </w:r>
          </w:p>
        </w:tc>
        <w:tc>
          <w:tcPr>
            <w:tcW w:w="1056" w:type="dxa"/>
          </w:tcPr>
          <w:p w14:paraId="5D33BE8E"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11" w:type="dxa"/>
          </w:tcPr>
          <w:p w14:paraId="25222687"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642" w:type="dxa"/>
          </w:tcPr>
          <w:p w14:paraId="2A2CD3D3"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81</w:t>
            </w:r>
          </w:p>
        </w:tc>
        <w:tc>
          <w:tcPr>
            <w:tcW w:w="992" w:type="dxa"/>
          </w:tcPr>
          <w:p w14:paraId="14C703C5" w14:textId="77777777"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Migraine duration (hours)</w:t>
            </w:r>
          </w:p>
        </w:tc>
        <w:tc>
          <w:tcPr>
            <w:tcW w:w="1134" w:type="dxa"/>
          </w:tcPr>
          <w:p w14:paraId="31E8664C" w14:textId="53015250" w:rsidR="001E35E3" w:rsidRPr="00D518FF" w:rsidRDefault="001E35E3" w:rsidP="00CF6EDC">
            <w:pPr>
              <w:pStyle w:val="Caption1"/>
              <w:spacing w:before="0" w:after="0"/>
              <w:rPr>
                <w:rFonts w:ascii="Aptos" w:hAnsi="Aptos"/>
                <w:b w:val="0"/>
                <w:bCs w:val="0"/>
                <w:sz w:val="16"/>
                <w:szCs w:val="16"/>
              </w:rPr>
            </w:pPr>
            <w:r w:rsidRPr="00D518FF">
              <w:rPr>
                <w:rFonts w:ascii="Aptos" w:hAnsi="Aptos"/>
                <w:b w:val="0"/>
                <w:bCs w:val="0"/>
                <w:sz w:val="16"/>
                <w:szCs w:val="16"/>
              </w:rPr>
              <w:t xml:space="preserve">MD </w:t>
            </w:r>
            <w:r w:rsidR="00106ED7">
              <w:rPr>
                <w:rFonts w:ascii="Aptos" w:hAnsi="Aptos"/>
                <w:b w:val="0"/>
                <w:bCs w:val="0"/>
                <w:sz w:val="16"/>
                <w:szCs w:val="16"/>
              </w:rPr>
              <w:t xml:space="preserve">= </w:t>
            </w:r>
            <w:r w:rsidRPr="00D518FF">
              <w:rPr>
                <w:rFonts w:ascii="Aptos" w:hAnsi="Aptos"/>
                <w:b w:val="0"/>
                <w:bCs w:val="0"/>
                <w:sz w:val="16"/>
                <w:szCs w:val="16"/>
              </w:rPr>
              <w:t>−0.21 (−0.70 to 0.28)</w:t>
            </w:r>
          </w:p>
        </w:tc>
        <w:tc>
          <w:tcPr>
            <w:tcW w:w="709" w:type="dxa"/>
          </w:tcPr>
          <w:p w14:paraId="3BA94142" w14:textId="7355377F" w:rsidR="001E35E3" w:rsidRPr="00D518FF" w:rsidRDefault="001E35E3" w:rsidP="00CF6EDC">
            <w:pPr>
              <w:pStyle w:val="Caption1"/>
              <w:spacing w:before="0" w:after="0"/>
              <w:rPr>
                <w:rFonts w:ascii="Aptos" w:hAnsi="Aptos"/>
                <w:b w:val="0"/>
                <w:bCs w:val="0"/>
                <w:sz w:val="16"/>
                <w:szCs w:val="16"/>
              </w:rPr>
            </w:pPr>
          </w:p>
        </w:tc>
        <w:tc>
          <w:tcPr>
            <w:tcW w:w="1559" w:type="dxa"/>
          </w:tcPr>
          <w:p w14:paraId="67395E09" w14:textId="77777777" w:rsidR="001E35E3" w:rsidRPr="00D518FF" w:rsidRDefault="001E35E3" w:rsidP="00CF6EDC">
            <w:pPr>
              <w:pStyle w:val="Caption1"/>
              <w:spacing w:before="0" w:after="0"/>
              <w:rPr>
                <w:rFonts w:ascii="Aptos" w:hAnsi="Aptos"/>
                <w:b w:val="0"/>
                <w:bCs w:val="0"/>
                <w:sz w:val="16"/>
                <w:szCs w:val="16"/>
              </w:rPr>
            </w:pPr>
            <w:r>
              <w:rPr>
                <w:rFonts w:ascii="Aptos" w:hAnsi="Aptos"/>
                <w:b w:val="0"/>
                <w:bCs w:val="0"/>
                <w:sz w:val="16"/>
                <w:szCs w:val="16"/>
              </w:rPr>
              <w:t>Moderate to high risk of bias for 5/6 domains in primary study.</w:t>
            </w:r>
          </w:p>
        </w:tc>
        <w:tc>
          <w:tcPr>
            <w:tcW w:w="1134" w:type="dxa"/>
          </w:tcPr>
          <w:p w14:paraId="1ED9700A" w14:textId="77777777" w:rsidR="001E35E3" w:rsidRPr="00D518FF" w:rsidRDefault="001E35E3" w:rsidP="00CF6EDC">
            <w:pPr>
              <w:pStyle w:val="Caption1"/>
              <w:spacing w:before="0" w:after="0"/>
              <w:rPr>
                <w:rFonts w:ascii="Aptos" w:hAnsi="Aptos"/>
                <w:b w:val="0"/>
                <w:bCs w:val="0"/>
                <w:sz w:val="16"/>
                <w:szCs w:val="16"/>
              </w:rPr>
            </w:pPr>
            <w:r w:rsidRPr="00191143">
              <w:rPr>
                <w:rFonts w:ascii="Aptos" w:hAnsi="Aptos"/>
                <w:b w:val="0"/>
                <w:bCs w:val="0"/>
                <w:sz w:val="16"/>
                <w:szCs w:val="16"/>
              </w:rPr>
              <w:t>High risk</w:t>
            </w:r>
          </w:p>
        </w:tc>
      </w:tr>
      <w:tr w:rsidR="00714CCE" w:rsidRPr="00D518FF" w14:paraId="2CE93D5C" w14:textId="77777777" w:rsidTr="00714CCE">
        <w:trPr>
          <w:trHeight w:val="347"/>
        </w:trPr>
        <w:tc>
          <w:tcPr>
            <w:tcW w:w="872" w:type="dxa"/>
          </w:tcPr>
          <w:p w14:paraId="5D53C266"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Okoli 2019</w:t>
            </w:r>
          </w:p>
        </w:tc>
        <w:tc>
          <w:tcPr>
            <w:tcW w:w="742" w:type="dxa"/>
          </w:tcPr>
          <w:p w14:paraId="7155B731"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72" w:type="dxa"/>
          </w:tcPr>
          <w:p w14:paraId="0061C179" w14:textId="77777777" w:rsidR="00714CCE" w:rsidRDefault="00714CCE" w:rsidP="00CF6ED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428" w:type="dxa"/>
            <w:vMerge/>
          </w:tcPr>
          <w:p w14:paraId="4147FD5F" w14:textId="77777777" w:rsidR="00714CCE" w:rsidRPr="00D518FF" w:rsidRDefault="00714CCE" w:rsidP="00CF6EDC">
            <w:pPr>
              <w:pStyle w:val="Caption1"/>
              <w:spacing w:before="0" w:after="0"/>
              <w:rPr>
                <w:rFonts w:ascii="Aptos" w:hAnsi="Aptos"/>
                <w:b w:val="0"/>
                <w:bCs w:val="0"/>
                <w:sz w:val="16"/>
                <w:szCs w:val="16"/>
              </w:rPr>
            </w:pPr>
          </w:p>
        </w:tc>
        <w:tc>
          <w:tcPr>
            <w:tcW w:w="1308" w:type="dxa"/>
          </w:tcPr>
          <w:p w14:paraId="01D00B1F"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95" w:type="dxa"/>
          </w:tcPr>
          <w:p w14:paraId="25474B74" w14:textId="3D026DE8" w:rsidR="00714CCE" w:rsidRPr="00D518FF" w:rsidRDefault="00106ED7" w:rsidP="00CF6EDC">
            <w:pPr>
              <w:pStyle w:val="Caption1"/>
              <w:spacing w:before="0" w:after="0"/>
              <w:rPr>
                <w:rFonts w:ascii="Aptos" w:hAnsi="Aptos"/>
                <w:b w:val="0"/>
                <w:bCs w:val="0"/>
                <w:sz w:val="16"/>
                <w:szCs w:val="16"/>
              </w:rPr>
            </w:pPr>
            <w:r>
              <w:rPr>
                <w:rFonts w:ascii="Aptos" w:hAnsi="Aptos"/>
                <w:b w:val="0"/>
                <w:bCs w:val="0"/>
                <w:sz w:val="16"/>
                <w:szCs w:val="16"/>
              </w:rPr>
              <w:t>M</w:t>
            </w:r>
            <w:r w:rsidRPr="00D518FF">
              <w:rPr>
                <w:rFonts w:ascii="Aptos" w:hAnsi="Aptos"/>
                <w:b w:val="0"/>
                <w:bCs w:val="0"/>
                <w:sz w:val="16"/>
                <w:szCs w:val="16"/>
              </w:rPr>
              <w:t xml:space="preserve">agnesium </w:t>
            </w:r>
            <w:r w:rsidR="00714CCE" w:rsidRPr="00D518FF">
              <w:rPr>
                <w:rFonts w:ascii="Aptos" w:hAnsi="Aptos"/>
                <w:b w:val="0"/>
                <w:bCs w:val="0"/>
                <w:sz w:val="16"/>
                <w:szCs w:val="16"/>
              </w:rPr>
              <w:t>(250-600mg per day)</w:t>
            </w:r>
          </w:p>
        </w:tc>
        <w:tc>
          <w:tcPr>
            <w:tcW w:w="1056" w:type="dxa"/>
          </w:tcPr>
          <w:p w14:paraId="3B26548B"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11" w:type="dxa"/>
          </w:tcPr>
          <w:p w14:paraId="48863A34" w14:textId="77777777" w:rsidR="00714CCE" w:rsidRPr="00D518FF" w:rsidRDefault="00714CCE" w:rsidP="00CF6EDC">
            <w:pPr>
              <w:pStyle w:val="Caption1"/>
              <w:spacing w:before="0" w:after="0"/>
              <w:rPr>
                <w:rFonts w:ascii="Aptos" w:hAnsi="Aptos"/>
                <w:b w:val="0"/>
                <w:bCs w:val="0"/>
                <w:sz w:val="16"/>
                <w:szCs w:val="16"/>
              </w:rPr>
            </w:pPr>
            <w:r>
              <w:rPr>
                <w:rFonts w:ascii="Aptos" w:hAnsi="Aptos"/>
                <w:b w:val="0"/>
                <w:bCs w:val="0"/>
                <w:sz w:val="16"/>
                <w:szCs w:val="16"/>
              </w:rPr>
              <w:t>3</w:t>
            </w:r>
          </w:p>
        </w:tc>
        <w:tc>
          <w:tcPr>
            <w:tcW w:w="642" w:type="dxa"/>
          </w:tcPr>
          <w:p w14:paraId="6073B155" w14:textId="77777777" w:rsidR="00714CCE" w:rsidRPr="00D518FF" w:rsidRDefault="00714CCE" w:rsidP="00CF6EDC">
            <w:pPr>
              <w:pStyle w:val="Caption1"/>
              <w:spacing w:before="0" w:after="0"/>
              <w:rPr>
                <w:rFonts w:ascii="Aptos" w:hAnsi="Aptos"/>
                <w:b w:val="0"/>
                <w:bCs w:val="0"/>
                <w:sz w:val="16"/>
                <w:szCs w:val="16"/>
              </w:rPr>
            </w:pPr>
            <w:r>
              <w:rPr>
                <w:rFonts w:ascii="Aptos" w:hAnsi="Aptos"/>
                <w:b w:val="0"/>
                <w:bCs w:val="0"/>
                <w:sz w:val="16"/>
                <w:szCs w:val="16"/>
              </w:rPr>
              <w:t>226</w:t>
            </w:r>
          </w:p>
        </w:tc>
        <w:tc>
          <w:tcPr>
            <w:tcW w:w="992" w:type="dxa"/>
          </w:tcPr>
          <w:p w14:paraId="5166FEEB" w14:textId="77777777" w:rsidR="00714CCE" w:rsidRPr="008D308E" w:rsidRDefault="00714CCE" w:rsidP="00CF6EDC">
            <w:pPr>
              <w:pStyle w:val="Caption1"/>
              <w:spacing w:before="0" w:after="0"/>
              <w:rPr>
                <w:rFonts w:ascii="Aptos" w:hAnsi="Aptos"/>
                <w:b w:val="0"/>
                <w:bCs w:val="0"/>
                <w:sz w:val="16"/>
                <w:szCs w:val="16"/>
              </w:rPr>
            </w:pPr>
            <w:r w:rsidRPr="008D308E">
              <w:rPr>
                <w:rFonts w:ascii="Aptos" w:hAnsi="Aptos"/>
                <w:b w:val="0"/>
                <w:bCs w:val="0"/>
                <w:sz w:val="16"/>
                <w:szCs w:val="16"/>
              </w:rPr>
              <w:t>Days with migraine</w:t>
            </w:r>
          </w:p>
          <w:p w14:paraId="774E4C91" w14:textId="77777777" w:rsidR="00714CCE" w:rsidRPr="00D518FF" w:rsidRDefault="00714CCE" w:rsidP="00CF6EDC">
            <w:pPr>
              <w:pStyle w:val="Caption1"/>
              <w:spacing w:before="0" w:after="0"/>
              <w:rPr>
                <w:rFonts w:ascii="Aptos" w:hAnsi="Aptos"/>
                <w:b w:val="0"/>
                <w:bCs w:val="0"/>
                <w:sz w:val="16"/>
                <w:szCs w:val="16"/>
              </w:rPr>
            </w:pPr>
          </w:p>
        </w:tc>
        <w:tc>
          <w:tcPr>
            <w:tcW w:w="1134" w:type="dxa"/>
          </w:tcPr>
          <w:p w14:paraId="11DC56A8" w14:textId="77777777" w:rsidR="00714CCE" w:rsidRPr="00D518FF" w:rsidRDefault="00714CCE" w:rsidP="00CF6EDC">
            <w:pPr>
              <w:pStyle w:val="Caption1"/>
              <w:spacing w:before="0" w:after="0"/>
              <w:rPr>
                <w:rFonts w:ascii="Aptos" w:hAnsi="Aptos"/>
                <w:b w:val="0"/>
                <w:bCs w:val="0"/>
                <w:sz w:val="16"/>
                <w:szCs w:val="16"/>
              </w:rPr>
            </w:pPr>
            <w:r w:rsidRPr="008D308E">
              <w:rPr>
                <w:rFonts w:ascii="Aptos" w:hAnsi="Aptos"/>
                <w:b w:val="0"/>
                <w:bCs w:val="0"/>
                <w:sz w:val="16"/>
                <w:szCs w:val="16"/>
              </w:rPr>
              <w:t>MD = −3.00 (−5.02 to −0.98)</w:t>
            </w:r>
          </w:p>
        </w:tc>
        <w:tc>
          <w:tcPr>
            <w:tcW w:w="709" w:type="dxa"/>
          </w:tcPr>
          <w:p w14:paraId="4CF527CC" w14:textId="77777777" w:rsidR="00714CCE" w:rsidRPr="00D518FF" w:rsidRDefault="00714CCE" w:rsidP="00CF6EDC">
            <w:pPr>
              <w:pStyle w:val="Caption1"/>
              <w:spacing w:before="0" w:after="0"/>
              <w:rPr>
                <w:rFonts w:ascii="Aptos" w:hAnsi="Aptos"/>
                <w:b w:val="0"/>
                <w:bCs w:val="0"/>
                <w:sz w:val="16"/>
                <w:szCs w:val="16"/>
              </w:rPr>
            </w:pPr>
          </w:p>
        </w:tc>
        <w:tc>
          <w:tcPr>
            <w:tcW w:w="1559" w:type="dxa"/>
            <w:vMerge w:val="restart"/>
          </w:tcPr>
          <w:p w14:paraId="7404A2DC" w14:textId="77777777" w:rsidR="00714CCE" w:rsidRPr="00D518FF" w:rsidRDefault="00714CCE" w:rsidP="00CF6EDC">
            <w:pPr>
              <w:pStyle w:val="Caption1"/>
              <w:spacing w:before="0" w:after="0"/>
              <w:rPr>
                <w:rFonts w:ascii="Aptos" w:hAnsi="Aptos"/>
                <w:b w:val="0"/>
                <w:bCs w:val="0"/>
                <w:sz w:val="16"/>
                <w:szCs w:val="16"/>
              </w:rPr>
            </w:pPr>
            <w:r>
              <w:rPr>
                <w:rFonts w:ascii="Aptos" w:hAnsi="Aptos"/>
                <w:b w:val="0"/>
                <w:bCs w:val="0"/>
                <w:sz w:val="16"/>
                <w:szCs w:val="16"/>
              </w:rPr>
              <w:t xml:space="preserve">All trials judged as unclear risk of bias overall. </w:t>
            </w:r>
            <w:r w:rsidRPr="006B2255">
              <w:rPr>
                <w:rFonts w:ascii="Aptos" w:hAnsi="Aptos"/>
                <w:b w:val="0"/>
                <w:bCs w:val="0"/>
                <w:sz w:val="16"/>
                <w:szCs w:val="16"/>
              </w:rPr>
              <w:t>unclear risk of bias for sequence generation, bias for allocation concealment, incomplete outcome reporting, blinding of participants and personnel, and outcome assessment</w:t>
            </w:r>
            <w:r>
              <w:rPr>
                <w:rFonts w:ascii="Aptos" w:hAnsi="Aptos"/>
                <w:b w:val="0"/>
                <w:bCs w:val="0"/>
                <w:sz w:val="16"/>
                <w:szCs w:val="16"/>
              </w:rPr>
              <w:t>.</w:t>
            </w:r>
            <w:r w:rsidRPr="006B2255">
              <w:rPr>
                <w:rFonts w:ascii="Aptos" w:hAnsi="Aptos"/>
                <w:b w:val="0"/>
                <w:bCs w:val="0"/>
                <w:sz w:val="16"/>
                <w:szCs w:val="16"/>
              </w:rPr>
              <w:t xml:space="preserve"> </w:t>
            </w:r>
          </w:p>
        </w:tc>
        <w:tc>
          <w:tcPr>
            <w:tcW w:w="1134" w:type="dxa"/>
          </w:tcPr>
          <w:p w14:paraId="70E8C562" w14:textId="77777777" w:rsidR="00714CCE" w:rsidRPr="00D518FF" w:rsidRDefault="00714CCE" w:rsidP="00CF6EDC">
            <w:pPr>
              <w:pStyle w:val="Caption1"/>
              <w:spacing w:before="0" w:after="0"/>
              <w:rPr>
                <w:rFonts w:ascii="Aptos" w:hAnsi="Aptos"/>
                <w:b w:val="0"/>
                <w:bCs w:val="0"/>
                <w:sz w:val="16"/>
                <w:szCs w:val="16"/>
              </w:rPr>
            </w:pPr>
            <w:r w:rsidRPr="00191143">
              <w:rPr>
                <w:rFonts w:ascii="Aptos" w:hAnsi="Aptos"/>
                <w:b w:val="0"/>
                <w:bCs w:val="0"/>
                <w:sz w:val="16"/>
                <w:szCs w:val="16"/>
              </w:rPr>
              <w:t>High risk</w:t>
            </w:r>
          </w:p>
        </w:tc>
      </w:tr>
      <w:tr w:rsidR="00714CCE" w:rsidRPr="00D518FF" w14:paraId="5E34A4DF" w14:textId="77777777" w:rsidTr="00714CCE">
        <w:trPr>
          <w:trHeight w:val="347"/>
        </w:trPr>
        <w:tc>
          <w:tcPr>
            <w:tcW w:w="872" w:type="dxa"/>
          </w:tcPr>
          <w:p w14:paraId="0AE3B689"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Okoli 2019</w:t>
            </w:r>
          </w:p>
        </w:tc>
        <w:tc>
          <w:tcPr>
            <w:tcW w:w="742" w:type="dxa"/>
          </w:tcPr>
          <w:p w14:paraId="5CDE5D84"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872" w:type="dxa"/>
          </w:tcPr>
          <w:p w14:paraId="59B67030" w14:textId="77777777" w:rsidR="00714CCE" w:rsidRPr="00D518FF" w:rsidRDefault="00714CCE" w:rsidP="00CF6ED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428" w:type="dxa"/>
            <w:vMerge/>
          </w:tcPr>
          <w:p w14:paraId="46FAB61B" w14:textId="77777777" w:rsidR="00714CCE" w:rsidRPr="00D518FF" w:rsidRDefault="00714CCE" w:rsidP="00CF6EDC">
            <w:pPr>
              <w:pStyle w:val="Caption1"/>
              <w:spacing w:before="0" w:after="0"/>
              <w:rPr>
                <w:rFonts w:ascii="Aptos" w:hAnsi="Aptos"/>
                <w:b w:val="0"/>
                <w:bCs w:val="0"/>
                <w:sz w:val="16"/>
                <w:szCs w:val="16"/>
              </w:rPr>
            </w:pPr>
          </w:p>
        </w:tc>
        <w:tc>
          <w:tcPr>
            <w:tcW w:w="1308" w:type="dxa"/>
          </w:tcPr>
          <w:p w14:paraId="1B290D64"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95" w:type="dxa"/>
          </w:tcPr>
          <w:p w14:paraId="10F3782B" w14:textId="797A3014" w:rsidR="00714CCE" w:rsidRPr="00D518FF" w:rsidRDefault="00106ED7" w:rsidP="00CF6EDC">
            <w:pPr>
              <w:pStyle w:val="Caption1"/>
              <w:spacing w:before="0" w:after="0"/>
              <w:rPr>
                <w:rFonts w:ascii="Aptos" w:hAnsi="Aptos"/>
                <w:b w:val="0"/>
                <w:bCs w:val="0"/>
                <w:sz w:val="16"/>
                <w:szCs w:val="16"/>
              </w:rPr>
            </w:pPr>
            <w:r>
              <w:rPr>
                <w:rFonts w:ascii="Aptos" w:hAnsi="Aptos"/>
                <w:b w:val="0"/>
                <w:bCs w:val="0"/>
                <w:sz w:val="16"/>
                <w:szCs w:val="16"/>
              </w:rPr>
              <w:t>M</w:t>
            </w:r>
            <w:r w:rsidRPr="00D518FF">
              <w:rPr>
                <w:rFonts w:ascii="Aptos" w:hAnsi="Aptos"/>
                <w:b w:val="0"/>
                <w:bCs w:val="0"/>
                <w:sz w:val="16"/>
                <w:szCs w:val="16"/>
              </w:rPr>
              <w:t xml:space="preserve">agnesium </w:t>
            </w:r>
            <w:r w:rsidR="00714CCE" w:rsidRPr="00D518FF">
              <w:rPr>
                <w:rFonts w:ascii="Aptos" w:hAnsi="Aptos"/>
                <w:b w:val="0"/>
                <w:bCs w:val="0"/>
                <w:sz w:val="16"/>
                <w:szCs w:val="16"/>
              </w:rPr>
              <w:t>(250-600mg per day)</w:t>
            </w:r>
          </w:p>
        </w:tc>
        <w:tc>
          <w:tcPr>
            <w:tcW w:w="1056" w:type="dxa"/>
          </w:tcPr>
          <w:p w14:paraId="6755BDFE"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11" w:type="dxa"/>
          </w:tcPr>
          <w:p w14:paraId="5F66B833"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642" w:type="dxa"/>
          </w:tcPr>
          <w:p w14:paraId="02B57132"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226</w:t>
            </w:r>
          </w:p>
        </w:tc>
        <w:tc>
          <w:tcPr>
            <w:tcW w:w="992" w:type="dxa"/>
          </w:tcPr>
          <w:p w14:paraId="05C43787" w14:textId="081AD4F0"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Migraine severity (intensity)</w:t>
            </w:r>
          </w:p>
        </w:tc>
        <w:tc>
          <w:tcPr>
            <w:tcW w:w="1134" w:type="dxa"/>
          </w:tcPr>
          <w:p w14:paraId="5392D78A"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R</w:t>
            </w:r>
            <w:r>
              <w:rPr>
                <w:rFonts w:ascii="Aptos" w:hAnsi="Aptos"/>
                <w:b w:val="0"/>
                <w:bCs w:val="0"/>
                <w:sz w:val="16"/>
                <w:szCs w:val="16"/>
              </w:rPr>
              <w:t>o</w:t>
            </w:r>
            <w:r w:rsidRPr="00D518FF">
              <w:rPr>
                <w:rFonts w:ascii="Aptos" w:hAnsi="Aptos"/>
                <w:b w:val="0"/>
                <w:bCs w:val="0"/>
                <w:sz w:val="16"/>
                <w:szCs w:val="16"/>
              </w:rPr>
              <w:t>M</w:t>
            </w:r>
            <w:r>
              <w:rPr>
                <w:rFonts w:ascii="Aptos" w:hAnsi="Aptos"/>
                <w:b w:val="0"/>
                <w:bCs w:val="0"/>
                <w:sz w:val="16"/>
                <w:szCs w:val="16"/>
              </w:rPr>
              <w:t xml:space="preserve"> =</w:t>
            </w:r>
            <w:r w:rsidRPr="00D518FF">
              <w:rPr>
                <w:rFonts w:ascii="Aptos" w:hAnsi="Aptos"/>
                <w:b w:val="0"/>
                <w:bCs w:val="0"/>
                <w:sz w:val="16"/>
                <w:szCs w:val="16"/>
              </w:rPr>
              <w:t xml:space="preserve"> −0.17 (−0.36 to 0.02); </w:t>
            </w:r>
          </w:p>
        </w:tc>
        <w:tc>
          <w:tcPr>
            <w:tcW w:w="709" w:type="dxa"/>
          </w:tcPr>
          <w:p w14:paraId="43639B05" w14:textId="77777777" w:rsidR="00714CCE" w:rsidRPr="00D518FF" w:rsidRDefault="00714CCE" w:rsidP="00CF6EDC">
            <w:pPr>
              <w:rPr>
                <w:rFonts w:ascii="Aptos" w:eastAsiaTheme="minorHAnsi" w:hAnsi="Aptos" w:cs="Arial"/>
                <w:color w:val="000000" w:themeColor="text1"/>
                <w:sz w:val="16"/>
                <w:szCs w:val="16"/>
                <w:lang w:eastAsia="en-US"/>
              </w:rPr>
            </w:pPr>
            <w:r>
              <w:rPr>
                <w:rFonts w:ascii="Aptos" w:eastAsiaTheme="minorHAnsi" w:hAnsi="Aptos" w:cs="Arial"/>
                <w:color w:val="000000" w:themeColor="text1"/>
                <w:sz w:val="16"/>
                <w:szCs w:val="16"/>
                <w:lang w:eastAsia="en-US"/>
              </w:rPr>
              <w:t>I² =</w:t>
            </w:r>
            <w:r w:rsidRPr="00D518FF">
              <w:rPr>
                <w:rFonts w:ascii="Aptos" w:eastAsiaTheme="minorHAnsi" w:hAnsi="Aptos" w:cs="Arial"/>
                <w:color w:val="000000" w:themeColor="text1"/>
                <w:sz w:val="16"/>
                <w:szCs w:val="16"/>
                <w:lang w:eastAsia="en-US"/>
              </w:rPr>
              <w:t xml:space="preserve"> 48%</w:t>
            </w:r>
          </w:p>
          <w:p w14:paraId="5F3EEDD3" w14:textId="77777777" w:rsidR="00714CCE" w:rsidRPr="00D518FF" w:rsidRDefault="00714CCE" w:rsidP="00CF6EDC">
            <w:pPr>
              <w:pStyle w:val="Caption1"/>
              <w:spacing w:before="0" w:after="0"/>
              <w:rPr>
                <w:rFonts w:ascii="Aptos" w:hAnsi="Aptos"/>
                <w:b w:val="0"/>
                <w:bCs w:val="0"/>
                <w:sz w:val="16"/>
                <w:szCs w:val="16"/>
              </w:rPr>
            </w:pPr>
          </w:p>
        </w:tc>
        <w:tc>
          <w:tcPr>
            <w:tcW w:w="1559" w:type="dxa"/>
            <w:vMerge/>
          </w:tcPr>
          <w:p w14:paraId="0C369DC8" w14:textId="53F3A4A9" w:rsidR="00714CCE" w:rsidRPr="006B2255" w:rsidRDefault="00714CCE" w:rsidP="00CF6EDC">
            <w:pPr>
              <w:pStyle w:val="Caption1"/>
              <w:spacing w:before="0" w:after="0"/>
              <w:rPr>
                <w:rFonts w:ascii="Aptos" w:hAnsi="Aptos"/>
                <w:b w:val="0"/>
                <w:bCs w:val="0"/>
                <w:sz w:val="16"/>
                <w:szCs w:val="16"/>
              </w:rPr>
            </w:pPr>
          </w:p>
        </w:tc>
        <w:tc>
          <w:tcPr>
            <w:tcW w:w="1134" w:type="dxa"/>
          </w:tcPr>
          <w:p w14:paraId="264FCB3D" w14:textId="77777777" w:rsidR="00714CCE" w:rsidRPr="00191143" w:rsidDel="00536387" w:rsidRDefault="00714CCE" w:rsidP="00CF6EDC">
            <w:pPr>
              <w:pStyle w:val="Caption1"/>
              <w:spacing w:before="0" w:after="0"/>
              <w:rPr>
                <w:rFonts w:ascii="Aptos" w:hAnsi="Aptos"/>
                <w:b w:val="0"/>
                <w:bCs w:val="0"/>
                <w:sz w:val="16"/>
                <w:szCs w:val="16"/>
              </w:rPr>
            </w:pPr>
            <w:r w:rsidRPr="00191143">
              <w:rPr>
                <w:rFonts w:ascii="Aptos" w:hAnsi="Aptos"/>
                <w:b w:val="0"/>
                <w:bCs w:val="0"/>
                <w:sz w:val="16"/>
                <w:szCs w:val="16"/>
              </w:rPr>
              <w:t>High risk</w:t>
            </w:r>
          </w:p>
        </w:tc>
      </w:tr>
      <w:tr w:rsidR="00714CCE" w:rsidRPr="00D518FF" w14:paraId="448B0503" w14:textId="77777777" w:rsidTr="00714CCE">
        <w:trPr>
          <w:trHeight w:val="347"/>
        </w:trPr>
        <w:tc>
          <w:tcPr>
            <w:tcW w:w="872" w:type="dxa"/>
          </w:tcPr>
          <w:p w14:paraId="24A5E451"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Okoli 2019</w:t>
            </w:r>
          </w:p>
        </w:tc>
        <w:tc>
          <w:tcPr>
            <w:tcW w:w="742" w:type="dxa"/>
          </w:tcPr>
          <w:p w14:paraId="0B34C115"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872" w:type="dxa"/>
          </w:tcPr>
          <w:p w14:paraId="01E00B50" w14:textId="77777777" w:rsidR="00714CCE" w:rsidRPr="00D518FF" w:rsidRDefault="00714CCE" w:rsidP="00CF6ED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428" w:type="dxa"/>
            <w:vMerge/>
          </w:tcPr>
          <w:p w14:paraId="0B1EB6E3" w14:textId="77777777" w:rsidR="00714CCE" w:rsidRPr="00D518FF" w:rsidRDefault="00714CCE" w:rsidP="00CF6EDC">
            <w:pPr>
              <w:pStyle w:val="Caption1"/>
              <w:spacing w:before="0" w:after="0"/>
              <w:rPr>
                <w:rFonts w:ascii="Aptos" w:hAnsi="Aptos"/>
                <w:b w:val="0"/>
                <w:bCs w:val="0"/>
                <w:sz w:val="16"/>
                <w:szCs w:val="16"/>
              </w:rPr>
            </w:pPr>
          </w:p>
        </w:tc>
        <w:tc>
          <w:tcPr>
            <w:tcW w:w="1308" w:type="dxa"/>
          </w:tcPr>
          <w:p w14:paraId="345AC622"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95" w:type="dxa"/>
          </w:tcPr>
          <w:p w14:paraId="196FE282" w14:textId="2563A08A" w:rsidR="00714CCE" w:rsidRPr="00D518FF" w:rsidRDefault="00106ED7" w:rsidP="00CF6EDC">
            <w:pPr>
              <w:pStyle w:val="Caption1"/>
              <w:spacing w:before="0" w:after="0"/>
              <w:rPr>
                <w:rFonts w:ascii="Aptos" w:hAnsi="Aptos"/>
                <w:b w:val="0"/>
                <w:bCs w:val="0"/>
                <w:sz w:val="16"/>
                <w:szCs w:val="16"/>
              </w:rPr>
            </w:pPr>
            <w:r>
              <w:rPr>
                <w:rFonts w:ascii="Aptos" w:hAnsi="Aptos"/>
                <w:b w:val="0"/>
                <w:bCs w:val="0"/>
                <w:sz w:val="16"/>
                <w:szCs w:val="16"/>
              </w:rPr>
              <w:t>M</w:t>
            </w:r>
            <w:r w:rsidRPr="00D518FF">
              <w:rPr>
                <w:rFonts w:ascii="Aptos" w:hAnsi="Aptos"/>
                <w:b w:val="0"/>
                <w:bCs w:val="0"/>
                <w:sz w:val="16"/>
                <w:szCs w:val="16"/>
              </w:rPr>
              <w:t xml:space="preserve">agnesium </w:t>
            </w:r>
            <w:r w:rsidR="00714CCE" w:rsidRPr="00D518FF">
              <w:rPr>
                <w:rFonts w:ascii="Aptos" w:hAnsi="Aptos"/>
                <w:b w:val="0"/>
                <w:bCs w:val="0"/>
                <w:sz w:val="16"/>
                <w:szCs w:val="16"/>
              </w:rPr>
              <w:t>(250-600mg per day)</w:t>
            </w:r>
          </w:p>
        </w:tc>
        <w:tc>
          <w:tcPr>
            <w:tcW w:w="1056" w:type="dxa"/>
          </w:tcPr>
          <w:p w14:paraId="7451497C"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11" w:type="dxa"/>
          </w:tcPr>
          <w:p w14:paraId="6D7D21B4"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642" w:type="dxa"/>
          </w:tcPr>
          <w:p w14:paraId="7482DE2A"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266</w:t>
            </w:r>
          </w:p>
        </w:tc>
        <w:tc>
          <w:tcPr>
            <w:tcW w:w="992" w:type="dxa"/>
          </w:tcPr>
          <w:p w14:paraId="5B91E120"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Migraine frequency</w:t>
            </w:r>
          </w:p>
        </w:tc>
        <w:tc>
          <w:tcPr>
            <w:tcW w:w="1134" w:type="dxa"/>
          </w:tcPr>
          <w:p w14:paraId="067669D0" w14:textId="77777777" w:rsidR="00714CCE" w:rsidRPr="00D518FF" w:rsidRDefault="00714CCE" w:rsidP="00CF6EDC">
            <w:pPr>
              <w:pStyle w:val="Caption1"/>
              <w:spacing w:before="0" w:after="0"/>
              <w:rPr>
                <w:rFonts w:ascii="Aptos" w:hAnsi="Aptos"/>
                <w:b w:val="0"/>
                <w:bCs w:val="0"/>
                <w:sz w:val="16"/>
                <w:szCs w:val="16"/>
              </w:rPr>
            </w:pPr>
            <w:r w:rsidRPr="00D518FF">
              <w:rPr>
                <w:rFonts w:ascii="Aptos" w:hAnsi="Aptos"/>
                <w:b w:val="0"/>
                <w:bCs w:val="0"/>
                <w:sz w:val="16"/>
                <w:szCs w:val="16"/>
              </w:rPr>
              <w:t>MD −2.57 (−4.21 to -0.94)</w:t>
            </w:r>
          </w:p>
        </w:tc>
        <w:tc>
          <w:tcPr>
            <w:tcW w:w="709" w:type="dxa"/>
          </w:tcPr>
          <w:p w14:paraId="07C5F43B" w14:textId="77777777" w:rsidR="00714CCE" w:rsidRPr="00536387" w:rsidRDefault="00714CCE" w:rsidP="00CF6EDC">
            <w:pPr>
              <w:rPr>
                <w:rFonts w:ascii="Aptos" w:eastAsiaTheme="minorHAnsi" w:hAnsi="Aptos"/>
                <w:sz w:val="16"/>
                <w:szCs w:val="16"/>
              </w:rPr>
            </w:pPr>
            <w:r>
              <w:rPr>
                <w:rFonts w:ascii="Aptos" w:eastAsiaTheme="minorHAnsi" w:hAnsi="Aptos" w:cs="Arial"/>
                <w:color w:val="000000" w:themeColor="text1"/>
                <w:sz w:val="16"/>
                <w:szCs w:val="16"/>
                <w:lang w:eastAsia="en-US"/>
              </w:rPr>
              <w:t xml:space="preserve">I² </w:t>
            </w:r>
            <w:r w:rsidRPr="00D518FF">
              <w:rPr>
                <w:rFonts w:ascii="Aptos" w:eastAsiaTheme="minorHAnsi" w:hAnsi="Aptos" w:cs="Arial"/>
                <w:color w:val="000000" w:themeColor="text1"/>
                <w:sz w:val="16"/>
                <w:szCs w:val="16"/>
                <w:lang w:eastAsia="en-US"/>
              </w:rPr>
              <w:t>=</w:t>
            </w:r>
            <w:r>
              <w:rPr>
                <w:rFonts w:ascii="Aptos" w:eastAsiaTheme="minorHAnsi" w:hAnsi="Aptos" w:cs="Arial"/>
                <w:color w:val="000000" w:themeColor="text1"/>
                <w:sz w:val="16"/>
                <w:szCs w:val="16"/>
                <w:lang w:eastAsia="en-US"/>
              </w:rPr>
              <w:t xml:space="preserve"> </w:t>
            </w:r>
            <w:r w:rsidRPr="00D518FF">
              <w:rPr>
                <w:rFonts w:ascii="Aptos" w:eastAsiaTheme="minorHAnsi" w:hAnsi="Aptos" w:cs="Arial"/>
                <w:color w:val="000000" w:themeColor="text1"/>
                <w:sz w:val="16"/>
                <w:szCs w:val="16"/>
                <w:lang w:eastAsia="en-US"/>
              </w:rPr>
              <w:t>88%</w:t>
            </w:r>
          </w:p>
        </w:tc>
        <w:tc>
          <w:tcPr>
            <w:tcW w:w="1559" w:type="dxa"/>
            <w:vMerge/>
          </w:tcPr>
          <w:p w14:paraId="50374097" w14:textId="4500B924" w:rsidR="00714CCE" w:rsidRPr="00D518FF" w:rsidRDefault="00714CCE" w:rsidP="00CF6EDC">
            <w:pPr>
              <w:pStyle w:val="Caption1"/>
              <w:spacing w:before="0" w:after="0"/>
              <w:rPr>
                <w:rFonts w:ascii="Aptos" w:hAnsi="Aptos"/>
                <w:b w:val="0"/>
                <w:bCs w:val="0"/>
                <w:sz w:val="16"/>
                <w:szCs w:val="16"/>
              </w:rPr>
            </w:pPr>
          </w:p>
        </w:tc>
        <w:tc>
          <w:tcPr>
            <w:tcW w:w="1134" w:type="dxa"/>
          </w:tcPr>
          <w:p w14:paraId="72B5D3CB" w14:textId="77777777" w:rsidR="00714CCE" w:rsidRPr="002140B7" w:rsidDel="00536387" w:rsidRDefault="00714CCE" w:rsidP="00CF6EDC">
            <w:pPr>
              <w:pStyle w:val="Caption1"/>
              <w:spacing w:before="0" w:after="0"/>
              <w:rPr>
                <w:rFonts w:ascii="Aptos" w:hAnsi="Aptos"/>
                <w:b w:val="0"/>
                <w:bCs w:val="0"/>
                <w:sz w:val="16"/>
                <w:szCs w:val="16"/>
              </w:rPr>
            </w:pPr>
            <w:r w:rsidRPr="002140B7">
              <w:rPr>
                <w:rFonts w:ascii="Aptos" w:hAnsi="Aptos"/>
                <w:b w:val="0"/>
                <w:bCs w:val="0"/>
                <w:sz w:val="16"/>
                <w:szCs w:val="16"/>
              </w:rPr>
              <w:t>High risk</w:t>
            </w:r>
          </w:p>
        </w:tc>
      </w:tr>
    </w:tbl>
    <w:p w14:paraId="6E8BC852" w14:textId="6B24A916" w:rsidR="001E35E3" w:rsidRPr="00D518FF" w:rsidRDefault="001E35E3" w:rsidP="001E35E3">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sidR="00106ED7">
        <w:rPr>
          <w:rFonts w:ascii="Aptos" w:hAnsi="Aptos"/>
          <w:b w:val="0"/>
          <w:bCs w:val="0"/>
          <w:sz w:val="16"/>
          <w:szCs w:val="16"/>
        </w:rPr>
        <w:t>MD=mean difference; RoM=ratio of means;</w:t>
      </w:r>
    </w:p>
    <w:p w14:paraId="0390DD2A" w14:textId="77777777" w:rsidR="001E35E3" w:rsidRPr="00D518FF" w:rsidRDefault="001E35E3" w:rsidP="001E35E3">
      <w:pPr>
        <w:pStyle w:val="Caption1"/>
        <w:spacing w:before="0" w:after="0"/>
        <w:rPr>
          <w:rFonts w:ascii="Aptos" w:hAnsi="Aptos"/>
          <w:b w:val="0"/>
          <w:bCs w:val="0"/>
          <w:sz w:val="16"/>
          <w:szCs w:val="16"/>
        </w:rPr>
      </w:pPr>
    </w:p>
    <w:p w14:paraId="678152F9" w14:textId="77777777" w:rsidR="001E35E3" w:rsidRPr="00D518FF" w:rsidRDefault="001E35E3" w:rsidP="001E35E3">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6758F591" w14:textId="77777777" w:rsidR="001E35E3" w:rsidRPr="00D518FF" w:rsidRDefault="001E35E3" w:rsidP="00A4650A">
      <w:pPr>
        <w:pStyle w:val="ListParagraph"/>
        <w:numPr>
          <w:ilvl w:val="0"/>
          <w:numId w:val="4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improvement in headache/migraine</w:t>
      </w:r>
    </w:p>
    <w:p w14:paraId="5AD1B715" w14:textId="77777777" w:rsidR="001E35E3" w:rsidRPr="00D518FF" w:rsidRDefault="001E35E3" w:rsidP="00A4650A">
      <w:pPr>
        <w:pStyle w:val="ListParagraph"/>
        <w:numPr>
          <w:ilvl w:val="0"/>
          <w:numId w:val="4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 pain intensity</w:t>
      </w:r>
    </w:p>
    <w:p w14:paraId="3A6980B0" w14:textId="77777777" w:rsidR="001E35E3" w:rsidRPr="00D518FF" w:rsidRDefault="001E35E3" w:rsidP="00A4650A">
      <w:pPr>
        <w:pStyle w:val="ListParagraph"/>
        <w:numPr>
          <w:ilvl w:val="0"/>
          <w:numId w:val="4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 pain frequency</w:t>
      </w:r>
    </w:p>
    <w:p w14:paraId="7C7AB487" w14:textId="77777777" w:rsidR="001E35E3" w:rsidRPr="00D518FF" w:rsidRDefault="001E35E3" w:rsidP="00A4650A">
      <w:pPr>
        <w:pStyle w:val="ListParagraph"/>
        <w:numPr>
          <w:ilvl w:val="0"/>
          <w:numId w:val="4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Headache/migraine</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associated symptoms (nausea and vomiting, photophobia and phonophobia, visual aura)</w:t>
      </w:r>
    </w:p>
    <w:p w14:paraId="0A6CA205" w14:textId="77777777" w:rsidR="001E35E3" w:rsidRPr="00D518FF" w:rsidRDefault="001E35E3" w:rsidP="00A4650A">
      <w:pPr>
        <w:pStyle w:val="ListParagraph"/>
        <w:numPr>
          <w:ilvl w:val="0"/>
          <w:numId w:val="4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Qol</w:t>
      </w:r>
    </w:p>
    <w:p w14:paraId="049060C7" w14:textId="77777777" w:rsidR="001E35E3" w:rsidRPr="00D518FF" w:rsidRDefault="001E35E3" w:rsidP="00A4650A">
      <w:pPr>
        <w:pStyle w:val="ListParagraph"/>
        <w:numPr>
          <w:ilvl w:val="0"/>
          <w:numId w:val="4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w:t>
      </w:r>
    </w:p>
    <w:p w14:paraId="31DD664B" w14:textId="77777777" w:rsidR="001E35E3" w:rsidRPr="00D518FF" w:rsidRDefault="001E35E3" w:rsidP="00A4650A">
      <w:pPr>
        <w:pStyle w:val="ListParagraph"/>
        <w:numPr>
          <w:ilvl w:val="0"/>
          <w:numId w:val="4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Medication use</w:t>
      </w:r>
    </w:p>
    <w:p w14:paraId="72FC0443" w14:textId="77777777" w:rsidR="003923EF" w:rsidRDefault="003923EF" w:rsidP="00447B3F">
      <w:pPr>
        <w:pStyle w:val="Caption"/>
        <w:keepNext w:val="0"/>
      </w:pPr>
    </w:p>
    <w:p w14:paraId="7C1BA602" w14:textId="61C4CAF6" w:rsidR="009E4D3F" w:rsidRPr="00D518FF" w:rsidRDefault="00447B3F" w:rsidP="00447B3F">
      <w:pPr>
        <w:pStyle w:val="Caption"/>
        <w:keepNext w:val="0"/>
        <w:rPr>
          <w:rFonts w:ascii="Aptos" w:hAnsi="Aptos"/>
        </w:rPr>
      </w:pPr>
      <w:bookmarkStart w:id="203" w:name="_Toc185254585"/>
      <w:r w:rsidRPr="00B56A8E">
        <w:rPr>
          <w:rFonts w:ascii="Aptos" w:hAnsi="Aptos"/>
        </w:rPr>
        <w:t xml:space="preserve">Table </w:t>
      </w:r>
      <w:r w:rsidR="003B0594" w:rsidRPr="00B56A8E">
        <w:rPr>
          <w:rFonts w:ascii="Aptos" w:hAnsi="Aptos"/>
        </w:rPr>
        <w:fldChar w:fldCharType="begin" w:fldLock="1"/>
      </w:r>
      <w:r w:rsidR="003B0594" w:rsidRPr="00B56A8E">
        <w:rPr>
          <w:rFonts w:ascii="Aptos" w:hAnsi="Aptos"/>
        </w:rPr>
        <w:instrText xml:space="preserve"> STYLEREF 1 \s </w:instrText>
      </w:r>
      <w:r w:rsidR="003B0594" w:rsidRPr="00B56A8E">
        <w:rPr>
          <w:rFonts w:ascii="Aptos" w:hAnsi="Aptos"/>
        </w:rPr>
        <w:fldChar w:fldCharType="separate"/>
      </w:r>
      <w:r w:rsidR="003B0594" w:rsidRPr="00B56A8E">
        <w:rPr>
          <w:rFonts w:ascii="Aptos" w:hAnsi="Aptos"/>
        </w:rPr>
        <w:t>E</w:t>
      </w:r>
      <w:r w:rsidR="003B0594" w:rsidRPr="00B56A8E">
        <w:rPr>
          <w:rFonts w:ascii="Aptos" w:hAnsi="Aptos"/>
        </w:rPr>
        <w:fldChar w:fldCharType="end"/>
      </w:r>
      <w:r w:rsidR="00DC4767" w:rsidRPr="00B56A8E">
        <w:rPr>
          <w:rFonts w:ascii="Aptos" w:hAnsi="Aptos"/>
        </w:rPr>
        <w:noBreakHyphen/>
      </w:r>
      <w:r w:rsidR="003B0594" w:rsidRPr="00B56A8E">
        <w:rPr>
          <w:rFonts w:ascii="Aptos" w:hAnsi="Aptos"/>
        </w:rPr>
        <w:fldChar w:fldCharType="begin"/>
      </w:r>
      <w:r w:rsidR="003B0594" w:rsidRPr="00B56A8E">
        <w:rPr>
          <w:rFonts w:ascii="Aptos" w:hAnsi="Aptos"/>
        </w:rPr>
        <w:instrText xml:space="preserve"> SEQ Table \* ARABIC \s 1 </w:instrText>
      </w:r>
      <w:r w:rsidR="003B0594" w:rsidRPr="00B56A8E">
        <w:rPr>
          <w:rFonts w:ascii="Aptos" w:hAnsi="Aptos"/>
        </w:rPr>
        <w:fldChar w:fldCharType="separate"/>
      </w:r>
      <w:r w:rsidR="00C426C6">
        <w:rPr>
          <w:rFonts w:ascii="Aptos" w:hAnsi="Aptos"/>
          <w:noProof/>
        </w:rPr>
        <w:t>13</w:t>
      </w:r>
      <w:r w:rsidR="003B0594" w:rsidRPr="00B56A8E">
        <w:rPr>
          <w:rFonts w:ascii="Aptos" w:hAnsi="Aptos"/>
        </w:rPr>
        <w:fldChar w:fldCharType="end"/>
      </w:r>
      <w:r w:rsidR="009E4D3F" w:rsidRPr="00D518FF">
        <w:rPr>
          <w:rFonts w:ascii="Aptos" w:hAnsi="Aptos"/>
        </w:rPr>
        <w:t xml:space="preserve">. Results of included </w:t>
      </w:r>
      <w:r w:rsidR="006D437E">
        <w:rPr>
          <w:rFonts w:ascii="Aptos" w:hAnsi="Aptos"/>
        </w:rPr>
        <w:t xml:space="preserve">(non-preferred) </w:t>
      </w:r>
      <w:r w:rsidR="009E4D3F" w:rsidRPr="00D518FF">
        <w:rPr>
          <w:rFonts w:ascii="Aptos" w:hAnsi="Aptos"/>
        </w:rPr>
        <w:t>reviews by outcome domain – headache and migraine, magnesium</w:t>
      </w:r>
      <w:r>
        <w:rPr>
          <w:rFonts w:ascii="Aptos" w:hAnsi="Aptos"/>
        </w:rPr>
        <w:t>.</w:t>
      </w:r>
      <w:bookmarkEnd w:id="203"/>
    </w:p>
    <w:tbl>
      <w:tblPr>
        <w:tblStyle w:val="TableGrid"/>
        <w:tblpPr w:leftFromText="180" w:rightFromText="180" w:vertAnchor="text" w:tblpY="1"/>
        <w:tblOverlap w:val="never"/>
        <w:tblW w:w="14454" w:type="dxa"/>
        <w:tblLayout w:type="fixed"/>
        <w:tblCellMar>
          <w:top w:w="28" w:type="dxa"/>
          <w:left w:w="57" w:type="dxa"/>
          <w:bottom w:w="28" w:type="dxa"/>
          <w:right w:w="0" w:type="dxa"/>
        </w:tblCellMar>
        <w:tblLook w:val="04A0" w:firstRow="1" w:lastRow="0" w:firstColumn="1" w:lastColumn="0" w:noHBand="0" w:noVBand="1"/>
      </w:tblPr>
      <w:tblGrid>
        <w:gridCol w:w="847"/>
        <w:gridCol w:w="526"/>
        <w:gridCol w:w="825"/>
        <w:gridCol w:w="1058"/>
        <w:gridCol w:w="1275"/>
        <w:gridCol w:w="1134"/>
        <w:gridCol w:w="993"/>
        <w:gridCol w:w="850"/>
        <w:gridCol w:w="992"/>
        <w:gridCol w:w="993"/>
        <w:gridCol w:w="992"/>
        <w:gridCol w:w="1984"/>
        <w:gridCol w:w="993"/>
        <w:gridCol w:w="992"/>
      </w:tblGrid>
      <w:tr w:rsidR="00D136F8" w:rsidRPr="00D518FF" w14:paraId="519AAD35" w14:textId="177457CF" w:rsidTr="00AA694C">
        <w:trPr>
          <w:trHeight w:val="164"/>
        </w:trPr>
        <w:tc>
          <w:tcPr>
            <w:tcW w:w="847" w:type="dxa"/>
            <w:vMerge w:val="restart"/>
            <w:shd w:val="clear" w:color="auto" w:fill="D9D9D9" w:themeFill="background1" w:themeFillShade="D9"/>
          </w:tcPr>
          <w:p w14:paraId="4BBC996E"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Review ID</w:t>
            </w:r>
          </w:p>
        </w:tc>
        <w:tc>
          <w:tcPr>
            <w:tcW w:w="526" w:type="dxa"/>
            <w:vMerge w:val="restart"/>
            <w:shd w:val="clear" w:color="auto" w:fill="D9D9D9" w:themeFill="background1" w:themeFillShade="D9"/>
            <w:textDirection w:val="btLr"/>
          </w:tcPr>
          <w:p w14:paraId="1D56F0CC" w14:textId="77777777" w:rsidR="00D136F8" w:rsidRPr="00D518FF" w:rsidRDefault="00D136F8" w:rsidP="00AA694C">
            <w:pPr>
              <w:pStyle w:val="Caption1"/>
              <w:spacing w:before="0" w:after="0"/>
              <w:ind w:left="113" w:right="113"/>
              <w:rPr>
                <w:rFonts w:ascii="Aptos" w:hAnsi="Aptos"/>
                <w:sz w:val="16"/>
                <w:szCs w:val="16"/>
              </w:rPr>
            </w:pPr>
            <w:r w:rsidRPr="00D518FF">
              <w:rPr>
                <w:rFonts w:ascii="Aptos" w:hAnsi="Aptos"/>
                <w:sz w:val="16"/>
                <w:szCs w:val="16"/>
              </w:rPr>
              <w:t>Outcome domain</w:t>
            </w:r>
          </w:p>
        </w:tc>
        <w:tc>
          <w:tcPr>
            <w:tcW w:w="825" w:type="dxa"/>
            <w:vMerge w:val="restart"/>
            <w:shd w:val="clear" w:color="auto" w:fill="D9D9D9" w:themeFill="background1" w:themeFillShade="D9"/>
          </w:tcPr>
          <w:p w14:paraId="2B6081CD"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Population group</w:t>
            </w:r>
          </w:p>
        </w:tc>
        <w:tc>
          <w:tcPr>
            <w:tcW w:w="1058" w:type="dxa"/>
            <w:vMerge w:val="restart"/>
            <w:shd w:val="clear" w:color="auto" w:fill="D9D9D9" w:themeFill="background1" w:themeFillShade="D9"/>
          </w:tcPr>
          <w:p w14:paraId="30605816"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Population details</w:t>
            </w:r>
          </w:p>
        </w:tc>
        <w:tc>
          <w:tcPr>
            <w:tcW w:w="1275" w:type="dxa"/>
            <w:vMerge w:val="restart"/>
            <w:shd w:val="clear" w:color="auto" w:fill="D9D9D9" w:themeFill="background1" w:themeFillShade="D9"/>
          </w:tcPr>
          <w:p w14:paraId="7B2009D2"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Type of comparison</w:t>
            </w:r>
          </w:p>
        </w:tc>
        <w:tc>
          <w:tcPr>
            <w:tcW w:w="1134" w:type="dxa"/>
            <w:vMerge w:val="restart"/>
            <w:shd w:val="clear" w:color="auto" w:fill="D9D9D9" w:themeFill="background1" w:themeFillShade="D9"/>
          </w:tcPr>
          <w:p w14:paraId="1725C895"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Intervention description</w:t>
            </w:r>
          </w:p>
        </w:tc>
        <w:tc>
          <w:tcPr>
            <w:tcW w:w="993" w:type="dxa"/>
            <w:vMerge w:val="restart"/>
            <w:shd w:val="clear" w:color="auto" w:fill="D9D9D9" w:themeFill="background1" w:themeFillShade="D9"/>
          </w:tcPr>
          <w:p w14:paraId="1F8CC962"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Comparator description</w:t>
            </w:r>
          </w:p>
        </w:tc>
        <w:tc>
          <w:tcPr>
            <w:tcW w:w="850" w:type="dxa"/>
            <w:vMerge w:val="restart"/>
            <w:shd w:val="clear" w:color="auto" w:fill="D9D9D9" w:themeFill="background1" w:themeFillShade="D9"/>
          </w:tcPr>
          <w:p w14:paraId="7716727D"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No/types of included studies</w:t>
            </w:r>
          </w:p>
        </w:tc>
        <w:tc>
          <w:tcPr>
            <w:tcW w:w="992" w:type="dxa"/>
            <w:vMerge w:val="restart"/>
            <w:shd w:val="clear" w:color="auto" w:fill="D9D9D9" w:themeFill="background1" w:themeFillShade="D9"/>
          </w:tcPr>
          <w:p w14:paraId="333326F6"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No of participants (total)</w:t>
            </w:r>
          </w:p>
        </w:tc>
        <w:tc>
          <w:tcPr>
            <w:tcW w:w="993" w:type="dxa"/>
            <w:vMerge w:val="restart"/>
            <w:shd w:val="clear" w:color="auto" w:fill="D9D9D9" w:themeFill="background1" w:themeFillShade="D9"/>
          </w:tcPr>
          <w:p w14:paraId="4C6A8774"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Outcome measure(s) used</w:t>
            </w:r>
          </w:p>
        </w:tc>
        <w:tc>
          <w:tcPr>
            <w:tcW w:w="3969" w:type="dxa"/>
            <w:gridSpan w:val="3"/>
            <w:shd w:val="clear" w:color="auto" w:fill="D9D9D9" w:themeFill="background1" w:themeFillShade="D9"/>
          </w:tcPr>
          <w:p w14:paraId="7BC27AB3" w14:textId="4A99428B" w:rsidR="00D136F8" w:rsidRPr="00CE11E7" w:rsidRDefault="00D136F8" w:rsidP="00AA694C">
            <w:pPr>
              <w:pStyle w:val="Caption1"/>
              <w:spacing w:before="0" w:after="0"/>
              <w:rPr>
                <w:rFonts w:ascii="Aptos" w:hAnsi="Aptos"/>
                <w:sz w:val="16"/>
                <w:szCs w:val="16"/>
              </w:rPr>
            </w:pPr>
            <w:r w:rsidRPr="00D518FF">
              <w:rPr>
                <w:rFonts w:ascii="Aptos" w:hAnsi="Aptos"/>
                <w:sz w:val="16"/>
                <w:szCs w:val="16"/>
              </w:rPr>
              <w:t>Results</w:t>
            </w:r>
          </w:p>
        </w:tc>
        <w:tc>
          <w:tcPr>
            <w:tcW w:w="992" w:type="dxa"/>
            <w:vMerge w:val="restart"/>
            <w:shd w:val="clear" w:color="auto" w:fill="D9D9D9" w:themeFill="background1" w:themeFillShade="D9"/>
          </w:tcPr>
          <w:p w14:paraId="65596EF2" w14:textId="05D29C4A" w:rsidR="00D136F8" w:rsidRPr="00D518FF" w:rsidRDefault="00D136F8" w:rsidP="00AA694C">
            <w:pPr>
              <w:pStyle w:val="Caption1"/>
              <w:spacing w:before="0" w:after="0"/>
              <w:rPr>
                <w:rFonts w:ascii="Aptos" w:hAnsi="Aptos"/>
                <w:sz w:val="16"/>
                <w:szCs w:val="16"/>
              </w:rPr>
            </w:pPr>
            <w:r w:rsidRPr="00CE11E7">
              <w:rPr>
                <w:rFonts w:ascii="Aptos" w:hAnsi="Aptos"/>
                <w:sz w:val="16"/>
                <w:szCs w:val="16"/>
              </w:rPr>
              <w:t>ROBIS assessment (for the review overall)</w:t>
            </w:r>
          </w:p>
        </w:tc>
      </w:tr>
      <w:tr w:rsidR="00D136F8" w:rsidRPr="00D518FF" w14:paraId="736B6BBD" w14:textId="5E640FC9" w:rsidTr="00AA694C">
        <w:trPr>
          <w:trHeight w:val="838"/>
        </w:trPr>
        <w:tc>
          <w:tcPr>
            <w:tcW w:w="847" w:type="dxa"/>
            <w:vMerge/>
            <w:shd w:val="clear" w:color="auto" w:fill="D9D9D9" w:themeFill="background1" w:themeFillShade="D9"/>
          </w:tcPr>
          <w:p w14:paraId="35F3A3B8" w14:textId="77777777" w:rsidR="00D136F8" w:rsidRPr="00D518FF" w:rsidRDefault="00D136F8" w:rsidP="00AA694C">
            <w:pPr>
              <w:pStyle w:val="Caption1"/>
              <w:spacing w:before="0" w:after="0"/>
              <w:rPr>
                <w:rFonts w:ascii="Aptos" w:hAnsi="Aptos"/>
                <w:sz w:val="16"/>
                <w:szCs w:val="16"/>
              </w:rPr>
            </w:pPr>
          </w:p>
        </w:tc>
        <w:tc>
          <w:tcPr>
            <w:tcW w:w="526" w:type="dxa"/>
            <w:vMerge/>
            <w:shd w:val="clear" w:color="auto" w:fill="D9D9D9" w:themeFill="background1" w:themeFillShade="D9"/>
          </w:tcPr>
          <w:p w14:paraId="5EDC9F09" w14:textId="77777777" w:rsidR="00D136F8" w:rsidRPr="00D518FF" w:rsidRDefault="00D136F8" w:rsidP="00AA694C">
            <w:pPr>
              <w:pStyle w:val="Caption1"/>
              <w:spacing w:before="0" w:after="0"/>
              <w:rPr>
                <w:rFonts w:ascii="Aptos" w:hAnsi="Aptos"/>
                <w:sz w:val="16"/>
                <w:szCs w:val="16"/>
              </w:rPr>
            </w:pPr>
          </w:p>
        </w:tc>
        <w:tc>
          <w:tcPr>
            <w:tcW w:w="825" w:type="dxa"/>
            <w:vMerge/>
            <w:shd w:val="clear" w:color="auto" w:fill="D9D9D9" w:themeFill="background1" w:themeFillShade="D9"/>
          </w:tcPr>
          <w:p w14:paraId="50CE0A43" w14:textId="77777777" w:rsidR="00D136F8" w:rsidRPr="00D518FF" w:rsidRDefault="00D136F8" w:rsidP="00AA694C">
            <w:pPr>
              <w:pStyle w:val="Caption1"/>
              <w:spacing w:before="0" w:after="0"/>
              <w:rPr>
                <w:rFonts w:ascii="Aptos" w:hAnsi="Aptos"/>
                <w:sz w:val="16"/>
                <w:szCs w:val="16"/>
              </w:rPr>
            </w:pPr>
          </w:p>
        </w:tc>
        <w:tc>
          <w:tcPr>
            <w:tcW w:w="1058" w:type="dxa"/>
            <w:vMerge/>
            <w:shd w:val="clear" w:color="auto" w:fill="D9D9D9" w:themeFill="background1" w:themeFillShade="D9"/>
          </w:tcPr>
          <w:p w14:paraId="0B6C9F0F" w14:textId="77777777" w:rsidR="00D136F8" w:rsidRPr="00D518FF" w:rsidRDefault="00D136F8" w:rsidP="00AA694C">
            <w:pPr>
              <w:pStyle w:val="Caption1"/>
              <w:spacing w:before="0" w:after="0"/>
              <w:rPr>
                <w:rFonts w:ascii="Aptos" w:hAnsi="Aptos"/>
                <w:sz w:val="16"/>
                <w:szCs w:val="16"/>
              </w:rPr>
            </w:pPr>
          </w:p>
        </w:tc>
        <w:tc>
          <w:tcPr>
            <w:tcW w:w="1275" w:type="dxa"/>
            <w:vMerge/>
            <w:shd w:val="clear" w:color="auto" w:fill="D9D9D9" w:themeFill="background1" w:themeFillShade="D9"/>
          </w:tcPr>
          <w:p w14:paraId="611EB972" w14:textId="77777777" w:rsidR="00D136F8" w:rsidRPr="00D518FF" w:rsidRDefault="00D136F8" w:rsidP="00AA694C">
            <w:pPr>
              <w:pStyle w:val="Caption1"/>
              <w:spacing w:before="0" w:after="0"/>
              <w:rPr>
                <w:rFonts w:ascii="Aptos" w:hAnsi="Aptos"/>
                <w:sz w:val="16"/>
                <w:szCs w:val="16"/>
              </w:rPr>
            </w:pPr>
          </w:p>
        </w:tc>
        <w:tc>
          <w:tcPr>
            <w:tcW w:w="1134" w:type="dxa"/>
            <w:vMerge/>
            <w:shd w:val="clear" w:color="auto" w:fill="D9D9D9" w:themeFill="background1" w:themeFillShade="D9"/>
          </w:tcPr>
          <w:p w14:paraId="72BD30B0" w14:textId="77777777" w:rsidR="00D136F8" w:rsidRPr="00D518FF" w:rsidRDefault="00D136F8" w:rsidP="00AA694C">
            <w:pPr>
              <w:pStyle w:val="Caption1"/>
              <w:spacing w:before="0" w:after="0"/>
              <w:rPr>
                <w:rFonts w:ascii="Aptos" w:hAnsi="Aptos"/>
                <w:sz w:val="16"/>
                <w:szCs w:val="16"/>
              </w:rPr>
            </w:pPr>
          </w:p>
        </w:tc>
        <w:tc>
          <w:tcPr>
            <w:tcW w:w="993" w:type="dxa"/>
            <w:vMerge/>
            <w:shd w:val="clear" w:color="auto" w:fill="D9D9D9" w:themeFill="background1" w:themeFillShade="D9"/>
          </w:tcPr>
          <w:p w14:paraId="5F01CDD1" w14:textId="77777777" w:rsidR="00D136F8" w:rsidRPr="00D518FF" w:rsidRDefault="00D136F8" w:rsidP="00AA694C">
            <w:pPr>
              <w:pStyle w:val="Caption1"/>
              <w:spacing w:before="0" w:after="0"/>
              <w:rPr>
                <w:rFonts w:ascii="Aptos" w:hAnsi="Aptos"/>
                <w:sz w:val="16"/>
                <w:szCs w:val="16"/>
              </w:rPr>
            </w:pPr>
          </w:p>
        </w:tc>
        <w:tc>
          <w:tcPr>
            <w:tcW w:w="850" w:type="dxa"/>
            <w:vMerge/>
            <w:shd w:val="clear" w:color="auto" w:fill="D9D9D9" w:themeFill="background1" w:themeFillShade="D9"/>
          </w:tcPr>
          <w:p w14:paraId="6341AAC2" w14:textId="77777777" w:rsidR="00D136F8" w:rsidRPr="00D518FF" w:rsidRDefault="00D136F8" w:rsidP="00AA694C">
            <w:pPr>
              <w:pStyle w:val="Caption1"/>
              <w:spacing w:before="0" w:after="0"/>
              <w:rPr>
                <w:rFonts w:ascii="Aptos" w:hAnsi="Aptos"/>
                <w:sz w:val="16"/>
                <w:szCs w:val="16"/>
              </w:rPr>
            </w:pPr>
          </w:p>
        </w:tc>
        <w:tc>
          <w:tcPr>
            <w:tcW w:w="992" w:type="dxa"/>
            <w:vMerge/>
            <w:shd w:val="clear" w:color="auto" w:fill="D9D9D9" w:themeFill="background1" w:themeFillShade="D9"/>
          </w:tcPr>
          <w:p w14:paraId="6940BA87" w14:textId="77777777" w:rsidR="00D136F8" w:rsidRPr="00D518FF" w:rsidRDefault="00D136F8" w:rsidP="00AA694C">
            <w:pPr>
              <w:pStyle w:val="Caption1"/>
              <w:spacing w:before="0" w:after="0"/>
              <w:rPr>
                <w:rFonts w:ascii="Aptos" w:hAnsi="Aptos"/>
                <w:sz w:val="16"/>
                <w:szCs w:val="16"/>
              </w:rPr>
            </w:pPr>
          </w:p>
        </w:tc>
        <w:tc>
          <w:tcPr>
            <w:tcW w:w="993" w:type="dxa"/>
            <w:vMerge/>
            <w:shd w:val="clear" w:color="auto" w:fill="D9D9D9" w:themeFill="background1" w:themeFillShade="D9"/>
          </w:tcPr>
          <w:p w14:paraId="7340B604" w14:textId="77777777" w:rsidR="00D136F8" w:rsidRPr="00D518FF" w:rsidRDefault="00D136F8" w:rsidP="00AA694C">
            <w:pPr>
              <w:pStyle w:val="Caption1"/>
              <w:spacing w:before="0" w:after="0"/>
              <w:rPr>
                <w:rFonts w:ascii="Aptos" w:hAnsi="Aptos"/>
                <w:sz w:val="16"/>
                <w:szCs w:val="16"/>
              </w:rPr>
            </w:pPr>
          </w:p>
        </w:tc>
        <w:tc>
          <w:tcPr>
            <w:tcW w:w="992" w:type="dxa"/>
            <w:shd w:val="clear" w:color="auto" w:fill="D9D9D9" w:themeFill="background1" w:themeFillShade="D9"/>
          </w:tcPr>
          <w:p w14:paraId="1493A3A7"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Relative effect (95% CI)</w:t>
            </w:r>
          </w:p>
        </w:tc>
        <w:tc>
          <w:tcPr>
            <w:tcW w:w="1984" w:type="dxa"/>
            <w:shd w:val="clear" w:color="auto" w:fill="D9D9D9" w:themeFill="background1" w:themeFillShade="D9"/>
          </w:tcPr>
          <w:p w14:paraId="7EF9FC3B" w14:textId="77777777" w:rsidR="00D136F8" w:rsidRPr="00D518FF" w:rsidRDefault="00D136F8" w:rsidP="00AA694C">
            <w:pPr>
              <w:pStyle w:val="Caption1"/>
              <w:spacing w:before="0" w:after="0"/>
              <w:rPr>
                <w:rFonts w:ascii="Aptos" w:hAnsi="Aptos"/>
                <w:sz w:val="16"/>
                <w:szCs w:val="16"/>
              </w:rPr>
            </w:pPr>
            <w:r w:rsidRPr="00D518FF">
              <w:rPr>
                <w:rFonts w:ascii="Aptos" w:hAnsi="Aptos"/>
                <w:sz w:val="16"/>
                <w:szCs w:val="16"/>
              </w:rPr>
              <w:t>Other reported results</w:t>
            </w:r>
          </w:p>
        </w:tc>
        <w:tc>
          <w:tcPr>
            <w:tcW w:w="993" w:type="dxa"/>
            <w:shd w:val="clear" w:color="auto" w:fill="D9D9D9" w:themeFill="background1" w:themeFillShade="D9"/>
          </w:tcPr>
          <w:p w14:paraId="01A99F15" w14:textId="30A6DE0B" w:rsidR="00D136F8" w:rsidRPr="00D518FF" w:rsidRDefault="00D136F8" w:rsidP="00AA694C">
            <w:pPr>
              <w:pStyle w:val="Caption1"/>
              <w:spacing w:before="0" w:after="0"/>
              <w:rPr>
                <w:rFonts w:ascii="Aptos" w:hAnsi="Aptos"/>
                <w:sz w:val="16"/>
                <w:szCs w:val="16"/>
              </w:rPr>
            </w:pPr>
            <w:r w:rsidRPr="005072A2">
              <w:rPr>
                <w:rFonts w:ascii="Aptos" w:hAnsi="Aptos"/>
                <w:sz w:val="16"/>
                <w:szCs w:val="16"/>
              </w:rPr>
              <w:t>Risk of bias summary (primary studies)</w:t>
            </w:r>
          </w:p>
        </w:tc>
        <w:tc>
          <w:tcPr>
            <w:tcW w:w="992" w:type="dxa"/>
            <w:vMerge/>
            <w:shd w:val="clear" w:color="auto" w:fill="D9D9D9" w:themeFill="background1" w:themeFillShade="D9"/>
          </w:tcPr>
          <w:p w14:paraId="3FBE7440" w14:textId="4A8F973B" w:rsidR="00D136F8" w:rsidRPr="00D518FF" w:rsidRDefault="00D136F8" w:rsidP="00AA694C">
            <w:pPr>
              <w:pStyle w:val="Caption1"/>
              <w:spacing w:before="0" w:after="0"/>
              <w:rPr>
                <w:rFonts w:ascii="Aptos" w:hAnsi="Aptos"/>
                <w:sz w:val="16"/>
                <w:szCs w:val="16"/>
              </w:rPr>
            </w:pPr>
          </w:p>
        </w:tc>
      </w:tr>
      <w:tr w:rsidR="00D136F8" w:rsidRPr="00D518FF" w14:paraId="638F9DCD" w14:textId="00E04D9C" w:rsidTr="00AA694C">
        <w:trPr>
          <w:trHeight w:val="347"/>
        </w:trPr>
        <w:tc>
          <w:tcPr>
            <w:tcW w:w="847" w:type="dxa"/>
          </w:tcPr>
          <w:p w14:paraId="7B113754"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Chiu 2016</w:t>
            </w:r>
          </w:p>
        </w:tc>
        <w:tc>
          <w:tcPr>
            <w:tcW w:w="526" w:type="dxa"/>
          </w:tcPr>
          <w:p w14:paraId="5E849384"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825" w:type="dxa"/>
          </w:tcPr>
          <w:p w14:paraId="1F1C0E7D" w14:textId="797F5B3A"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58" w:type="dxa"/>
            <w:vMerge w:val="restart"/>
          </w:tcPr>
          <w:p w14:paraId="12649B98"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participants ≥ 17 years diagnosed </w:t>
            </w:r>
            <w:r w:rsidRPr="00D518FF">
              <w:rPr>
                <w:rFonts w:ascii="Aptos" w:hAnsi="Aptos"/>
                <w:b w:val="0"/>
                <w:bCs w:val="0"/>
                <w:sz w:val="16"/>
                <w:szCs w:val="16"/>
              </w:rPr>
              <w:lastRenderedPageBreak/>
              <w:t>with migraine, exclude MRM</w:t>
            </w:r>
          </w:p>
        </w:tc>
        <w:tc>
          <w:tcPr>
            <w:tcW w:w="1275" w:type="dxa"/>
          </w:tcPr>
          <w:p w14:paraId="38B1C2F4" w14:textId="1079D0AF"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lastRenderedPageBreak/>
              <w:t xml:space="preserve">Eligible supplement VS </w:t>
            </w:r>
            <w:r w:rsidRPr="00D518FF">
              <w:rPr>
                <w:rFonts w:ascii="Aptos" w:hAnsi="Aptos"/>
                <w:b w:val="0"/>
                <w:bCs w:val="0"/>
                <w:sz w:val="16"/>
                <w:szCs w:val="16"/>
              </w:rPr>
              <w:lastRenderedPageBreak/>
              <w:t>placebo/inactive control</w:t>
            </w:r>
          </w:p>
        </w:tc>
        <w:tc>
          <w:tcPr>
            <w:tcW w:w="1134" w:type="dxa"/>
          </w:tcPr>
          <w:p w14:paraId="1690CEFA" w14:textId="6342BA32"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lastRenderedPageBreak/>
              <w:t>magnesium (500-600mg per day)</w:t>
            </w:r>
          </w:p>
        </w:tc>
        <w:tc>
          <w:tcPr>
            <w:tcW w:w="993" w:type="dxa"/>
          </w:tcPr>
          <w:p w14:paraId="4C611979"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placebo/usual care</w:t>
            </w:r>
          </w:p>
        </w:tc>
        <w:tc>
          <w:tcPr>
            <w:tcW w:w="850" w:type="dxa"/>
          </w:tcPr>
          <w:p w14:paraId="441B09D4"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992" w:type="dxa"/>
          </w:tcPr>
          <w:p w14:paraId="5C54DFCF"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189</w:t>
            </w:r>
          </w:p>
        </w:tc>
        <w:tc>
          <w:tcPr>
            <w:tcW w:w="993" w:type="dxa"/>
          </w:tcPr>
          <w:p w14:paraId="3F1AE137"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VAS</w:t>
            </w:r>
          </w:p>
        </w:tc>
        <w:tc>
          <w:tcPr>
            <w:tcW w:w="992" w:type="dxa"/>
          </w:tcPr>
          <w:p w14:paraId="053ECCBB"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PE = 0.10 (0.01 to 1.07), ns</w:t>
            </w:r>
          </w:p>
        </w:tc>
        <w:tc>
          <w:tcPr>
            <w:tcW w:w="1984" w:type="dxa"/>
          </w:tcPr>
          <w:p w14:paraId="5540DBED" w14:textId="77777777" w:rsidR="00D136F8" w:rsidRPr="00D518FF" w:rsidRDefault="00D136F8" w:rsidP="00AA694C">
            <w:pPr>
              <w:pStyle w:val="Caption1"/>
              <w:spacing w:before="0" w:after="0"/>
              <w:rPr>
                <w:rFonts w:ascii="Aptos" w:hAnsi="Aptos"/>
                <w:b w:val="0"/>
                <w:bCs w:val="0"/>
                <w:sz w:val="16"/>
                <w:szCs w:val="16"/>
              </w:rPr>
            </w:pPr>
          </w:p>
        </w:tc>
        <w:tc>
          <w:tcPr>
            <w:tcW w:w="993" w:type="dxa"/>
          </w:tcPr>
          <w:p w14:paraId="705AF3AD" w14:textId="38F570C6" w:rsidR="00D136F8" w:rsidRDefault="00D136F8"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992" w:type="dxa"/>
          </w:tcPr>
          <w:p w14:paraId="380E1AA3" w14:textId="75985753"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Low risk</w:t>
            </w:r>
          </w:p>
        </w:tc>
      </w:tr>
      <w:tr w:rsidR="00D136F8" w:rsidRPr="00D518FF" w14:paraId="47AF6822" w14:textId="5A6B5E0D" w:rsidTr="00AA694C">
        <w:trPr>
          <w:trHeight w:val="347"/>
        </w:trPr>
        <w:tc>
          <w:tcPr>
            <w:tcW w:w="847" w:type="dxa"/>
          </w:tcPr>
          <w:p w14:paraId="17A5B04B"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Chiu 2016</w:t>
            </w:r>
          </w:p>
        </w:tc>
        <w:tc>
          <w:tcPr>
            <w:tcW w:w="526" w:type="dxa"/>
          </w:tcPr>
          <w:p w14:paraId="4A68F986"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825" w:type="dxa"/>
          </w:tcPr>
          <w:p w14:paraId="38396013" w14:textId="25DBB3FC"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58" w:type="dxa"/>
            <w:vMerge/>
          </w:tcPr>
          <w:p w14:paraId="0C277CF1" w14:textId="77777777" w:rsidR="00D136F8" w:rsidRPr="00D518FF" w:rsidRDefault="00D136F8" w:rsidP="00AA694C">
            <w:pPr>
              <w:pStyle w:val="Caption1"/>
              <w:spacing w:before="0" w:after="0"/>
              <w:rPr>
                <w:rFonts w:ascii="Aptos" w:hAnsi="Aptos"/>
                <w:b w:val="0"/>
                <w:bCs w:val="0"/>
                <w:sz w:val="16"/>
                <w:szCs w:val="16"/>
              </w:rPr>
            </w:pPr>
          </w:p>
        </w:tc>
        <w:tc>
          <w:tcPr>
            <w:tcW w:w="1275" w:type="dxa"/>
          </w:tcPr>
          <w:p w14:paraId="61F0DA54" w14:textId="4FA61599"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34" w:type="dxa"/>
          </w:tcPr>
          <w:p w14:paraId="6FF4ABDE" w14:textId="5B715278"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magnesium (500-600mg per day)</w:t>
            </w:r>
          </w:p>
        </w:tc>
        <w:tc>
          <w:tcPr>
            <w:tcW w:w="993" w:type="dxa"/>
          </w:tcPr>
          <w:p w14:paraId="18725E4F"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placebo/usual care</w:t>
            </w:r>
          </w:p>
        </w:tc>
        <w:tc>
          <w:tcPr>
            <w:tcW w:w="850" w:type="dxa"/>
          </w:tcPr>
          <w:p w14:paraId="7698BD82"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992" w:type="dxa"/>
          </w:tcPr>
          <w:p w14:paraId="5CAB2900"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189</w:t>
            </w:r>
          </w:p>
        </w:tc>
        <w:tc>
          <w:tcPr>
            <w:tcW w:w="993" w:type="dxa"/>
          </w:tcPr>
          <w:p w14:paraId="2D50B9BF"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VAS</w:t>
            </w:r>
          </w:p>
        </w:tc>
        <w:tc>
          <w:tcPr>
            <w:tcW w:w="992" w:type="dxa"/>
          </w:tcPr>
          <w:p w14:paraId="0CF29893"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PE = 0.02 (0.00 to 2.33), ns</w:t>
            </w:r>
          </w:p>
        </w:tc>
        <w:tc>
          <w:tcPr>
            <w:tcW w:w="1984" w:type="dxa"/>
          </w:tcPr>
          <w:p w14:paraId="51D3FE1E" w14:textId="77777777" w:rsidR="00D136F8" w:rsidRPr="00D518FF" w:rsidRDefault="00D136F8" w:rsidP="00AA694C">
            <w:pPr>
              <w:pStyle w:val="Caption1"/>
              <w:spacing w:before="0" w:after="0"/>
              <w:rPr>
                <w:rFonts w:ascii="Aptos" w:hAnsi="Aptos"/>
                <w:b w:val="0"/>
                <w:bCs w:val="0"/>
                <w:sz w:val="16"/>
                <w:szCs w:val="16"/>
              </w:rPr>
            </w:pPr>
          </w:p>
        </w:tc>
        <w:tc>
          <w:tcPr>
            <w:tcW w:w="993" w:type="dxa"/>
          </w:tcPr>
          <w:p w14:paraId="6025F25A" w14:textId="3B64DD9E" w:rsidR="00D136F8" w:rsidRDefault="00D136F8"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992" w:type="dxa"/>
          </w:tcPr>
          <w:p w14:paraId="64040C69" w14:textId="24EAD624"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Low risk</w:t>
            </w:r>
          </w:p>
        </w:tc>
      </w:tr>
      <w:tr w:rsidR="00D136F8" w:rsidRPr="00D518FF" w14:paraId="156F1900" w14:textId="2C47AF18" w:rsidTr="00AA694C">
        <w:trPr>
          <w:trHeight w:val="347"/>
        </w:trPr>
        <w:tc>
          <w:tcPr>
            <w:tcW w:w="847" w:type="dxa"/>
          </w:tcPr>
          <w:p w14:paraId="329638C0"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Park 2020</w:t>
            </w:r>
          </w:p>
        </w:tc>
        <w:tc>
          <w:tcPr>
            <w:tcW w:w="526" w:type="dxa"/>
          </w:tcPr>
          <w:p w14:paraId="480BE981"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825" w:type="dxa"/>
          </w:tcPr>
          <w:p w14:paraId="0C09C5D8" w14:textId="731AC99B"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58" w:type="dxa"/>
          </w:tcPr>
          <w:p w14:paraId="6DF7A9FC"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participants with migraine</w:t>
            </w:r>
          </w:p>
        </w:tc>
        <w:tc>
          <w:tcPr>
            <w:tcW w:w="1275" w:type="dxa"/>
          </w:tcPr>
          <w:p w14:paraId="5141236E" w14:textId="13901381"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34" w:type="dxa"/>
          </w:tcPr>
          <w:p w14:paraId="4AF9089B" w14:textId="0AAC008D"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oral magnesium administered for 3 months</w:t>
            </w:r>
          </w:p>
        </w:tc>
        <w:tc>
          <w:tcPr>
            <w:tcW w:w="993" w:type="dxa"/>
          </w:tcPr>
          <w:p w14:paraId="4ECBED63"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0" w:type="dxa"/>
          </w:tcPr>
          <w:p w14:paraId="005EC8F5"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992" w:type="dxa"/>
          </w:tcPr>
          <w:p w14:paraId="4F501840"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190</w:t>
            </w:r>
          </w:p>
        </w:tc>
        <w:tc>
          <w:tcPr>
            <w:tcW w:w="993" w:type="dxa"/>
          </w:tcPr>
          <w:p w14:paraId="4EBF2066" w14:textId="426378AA"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Migraine severity/intensity, VAS</w:t>
            </w:r>
          </w:p>
        </w:tc>
        <w:tc>
          <w:tcPr>
            <w:tcW w:w="992" w:type="dxa"/>
          </w:tcPr>
          <w:p w14:paraId="154AC66B" w14:textId="77777777" w:rsidR="00D136F8" w:rsidRPr="00D518FF" w:rsidRDefault="00D136F8" w:rsidP="00AA694C">
            <w:pPr>
              <w:pStyle w:val="Caption1"/>
              <w:spacing w:before="0" w:after="0"/>
              <w:rPr>
                <w:rFonts w:ascii="Aptos" w:hAnsi="Aptos"/>
                <w:b w:val="0"/>
                <w:bCs w:val="0"/>
                <w:sz w:val="16"/>
                <w:szCs w:val="16"/>
              </w:rPr>
            </w:pPr>
          </w:p>
        </w:tc>
        <w:tc>
          <w:tcPr>
            <w:tcW w:w="1984" w:type="dxa"/>
          </w:tcPr>
          <w:p w14:paraId="70AAB6C8" w14:textId="702524D5" w:rsidR="00D136F8" w:rsidRPr="00536387" w:rsidRDefault="00D136F8" w:rsidP="00AA694C">
            <w:pPr>
              <w:rPr>
                <w:rFonts w:ascii="Aptos" w:eastAsiaTheme="minorHAnsi" w:hAnsi="Aptos"/>
                <w:sz w:val="16"/>
                <w:szCs w:val="16"/>
              </w:rPr>
            </w:pPr>
            <w:r w:rsidRPr="00D518FF">
              <w:rPr>
                <w:rFonts w:ascii="Aptos" w:eastAsiaTheme="minorHAnsi" w:hAnsi="Aptos" w:cs="Arial"/>
                <w:color w:val="000000" w:themeColor="text1"/>
                <w:sz w:val="16"/>
                <w:szCs w:val="16"/>
                <w:lang w:eastAsia="en-US"/>
              </w:rPr>
              <w:t>All 3 studies investigated oral magnesium administered for 3 months compared to placebo. One study found some benefit, where magnesium demonstrated a lower median post/pretreatment ratio for migraine severity compared to placebo. Two studies found no significant difference between magnesium and placebo in reducing pain intensity.</w:t>
            </w:r>
          </w:p>
        </w:tc>
        <w:tc>
          <w:tcPr>
            <w:tcW w:w="993" w:type="dxa"/>
          </w:tcPr>
          <w:p w14:paraId="5C63B899" w14:textId="2796D6AF" w:rsidR="00D136F8" w:rsidRPr="002140B7" w:rsidRDefault="00D136F8"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992" w:type="dxa"/>
          </w:tcPr>
          <w:p w14:paraId="5514F1ED" w14:textId="0D2B979A" w:rsidR="00D136F8" w:rsidRPr="002140B7" w:rsidDel="00536387" w:rsidRDefault="00D136F8" w:rsidP="00AA694C">
            <w:pPr>
              <w:pStyle w:val="Caption1"/>
              <w:spacing w:before="0" w:after="0"/>
              <w:rPr>
                <w:rFonts w:ascii="Aptos" w:hAnsi="Aptos"/>
                <w:b w:val="0"/>
                <w:bCs w:val="0"/>
                <w:sz w:val="16"/>
                <w:szCs w:val="16"/>
              </w:rPr>
            </w:pPr>
            <w:r w:rsidRPr="002140B7">
              <w:rPr>
                <w:rFonts w:ascii="Aptos" w:hAnsi="Aptos"/>
                <w:b w:val="0"/>
                <w:bCs w:val="0"/>
                <w:sz w:val="16"/>
                <w:szCs w:val="16"/>
              </w:rPr>
              <w:t>Unclear risk</w:t>
            </w:r>
          </w:p>
        </w:tc>
      </w:tr>
      <w:tr w:rsidR="00D136F8" w:rsidRPr="00D518FF" w14:paraId="0D6FE48B" w14:textId="54B0FA44" w:rsidTr="00AA694C">
        <w:trPr>
          <w:trHeight w:val="347"/>
        </w:trPr>
        <w:tc>
          <w:tcPr>
            <w:tcW w:w="847" w:type="dxa"/>
          </w:tcPr>
          <w:p w14:paraId="621ED79C"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Pringsheim 2008</w:t>
            </w:r>
          </w:p>
        </w:tc>
        <w:tc>
          <w:tcPr>
            <w:tcW w:w="526" w:type="dxa"/>
          </w:tcPr>
          <w:p w14:paraId="544267DE"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25" w:type="dxa"/>
          </w:tcPr>
          <w:p w14:paraId="12979494" w14:textId="65B53864"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58" w:type="dxa"/>
          </w:tcPr>
          <w:p w14:paraId="5C2BBEF1"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women (18 or older) with MRM or PMM</w:t>
            </w:r>
          </w:p>
        </w:tc>
        <w:tc>
          <w:tcPr>
            <w:tcW w:w="1275" w:type="dxa"/>
          </w:tcPr>
          <w:p w14:paraId="154900D7" w14:textId="1C917F9C"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34" w:type="dxa"/>
          </w:tcPr>
          <w:p w14:paraId="2CB1F10D"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Magnesium 120 mg TID for last 2 weeks of</w:t>
            </w:r>
            <w:r w:rsidRPr="00D518FF">
              <w:rPr>
                <w:rFonts w:ascii="Aptos" w:hAnsi="Aptos"/>
                <w:b w:val="0"/>
                <w:bCs w:val="0"/>
                <w:sz w:val="16"/>
                <w:szCs w:val="16"/>
              </w:rPr>
              <w:br/>
              <w:t>menstrual cycle vs placebo, 2 cycles assessed</w:t>
            </w:r>
          </w:p>
        </w:tc>
        <w:tc>
          <w:tcPr>
            <w:tcW w:w="993" w:type="dxa"/>
          </w:tcPr>
          <w:p w14:paraId="41795B5C"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0" w:type="dxa"/>
          </w:tcPr>
          <w:p w14:paraId="67B2B7E1"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92" w:type="dxa"/>
          </w:tcPr>
          <w:p w14:paraId="4E451C50"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110</w:t>
            </w:r>
          </w:p>
        </w:tc>
        <w:tc>
          <w:tcPr>
            <w:tcW w:w="993" w:type="dxa"/>
          </w:tcPr>
          <w:p w14:paraId="4C5C0047"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Pain Total Index</w:t>
            </w:r>
          </w:p>
        </w:tc>
        <w:tc>
          <w:tcPr>
            <w:tcW w:w="992" w:type="dxa"/>
          </w:tcPr>
          <w:p w14:paraId="00838E1F" w14:textId="77777777" w:rsidR="00D136F8" w:rsidRPr="00D518FF" w:rsidRDefault="00D136F8" w:rsidP="00AA694C">
            <w:pPr>
              <w:rPr>
                <w:rFonts w:ascii="Aptos" w:eastAsiaTheme="minorHAnsi" w:hAnsi="Aptos" w:cs="Arial"/>
                <w:color w:val="000000" w:themeColor="text1"/>
                <w:sz w:val="16"/>
                <w:szCs w:val="16"/>
                <w:lang w:eastAsia="en-US"/>
              </w:rPr>
            </w:pPr>
            <w:r w:rsidRPr="00D518FF">
              <w:rPr>
                <w:rFonts w:ascii="Aptos" w:eastAsiaTheme="minorHAnsi" w:hAnsi="Aptos" w:cs="Arial"/>
                <w:color w:val="000000" w:themeColor="text1"/>
                <w:sz w:val="16"/>
                <w:szCs w:val="16"/>
                <w:lang w:eastAsia="en-US"/>
              </w:rPr>
              <w:t>p&lt;0.03</w:t>
            </w:r>
          </w:p>
          <w:p w14:paraId="51EFE512" w14:textId="77777777" w:rsidR="00D136F8" w:rsidRPr="00D518FF" w:rsidRDefault="00D136F8" w:rsidP="00AA694C">
            <w:pPr>
              <w:pStyle w:val="Caption1"/>
              <w:spacing w:before="0" w:after="0"/>
              <w:rPr>
                <w:rFonts w:ascii="Aptos" w:hAnsi="Aptos"/>
                <w:b w:val="0"/>
                <w:bCs w:val="0"/>
                <w:sz w:val="16"/>
                <w:szCs w:val="16"/>
              </w:rPr>
            </w:pPr>
          </w:p>
        </w:tc>
        <w:tc>
          <w:tcPr>
            <w:tcW w:w="1984" w:type="dxa"/>
          </w:tcPr>
          <w:p w14:paraId="7B33CB03" w14:textId="5686815D" w:rsidR="00D136F8" w:rsidRPr="00536387" w:rsidRDefault="00D136F8" w:rsidP="00AA694C">
            <w:pPr>
              <w:rPr>
                <w:rFonts w:ascii="Aptos" w:eastAsiaTheme="minorHAnsi" w:hAnsi="Aptos"/>
                <w:sz w:val="16"/>
                <w:szCs w:val="16"/>
              </w:rPr>
            </w:pPr>
            <w:r>
              <w:rPr>
                <w:rFonts w:ascii="Aptos" w:eastAsiaTheme="minorHAnsi" w:hAnsi="Aptos" w:cs="Arial"/>
                <w:color w:val="000000" w:themeColor="text1"/>
                <w:sz w:val="16"/>
                <w:szCs w:val="16"/>
                <w:lang w:eastAsia="en-US"/>
              </w:rPr>
              <w:t>S</w:t>
            </w:r>
            <w:r w:rsidRPr="00D518FF">
              <w:rPr>
                <w:rFonts w:ascii="Aptos" w:eastAsiaTheme="minorHAnsi" w:hAnsi="Aptos" w:cs="Arial"/>
                <w:color w:val="000000" w:themeColor="text1"/>
                <w:sz w:val="16"/>
                <w:szCs w:val="16"/>
                <w:lang w:eastAsia="en-US"/>
              </w:rPr>
              <w:t xml:space="preserve">hort-term prevention of </w:t>
            </w:r>
            <w:r>
              <w:rPr>
                <w:rFonts w:ascii="Aptos" w:eastAsiaTheme="minorHAnsi" w:hAnsi="Aptos" w:cs="Arial"/>
                <w:color w:val="000000" w:themeColor="text1"/>
                <w:sz w:val="16"/>
                <w:szCs w:val="16"/>
                <w:lang w:eastAsia="en-US"/>
              </w:rPr>
              <w:t>MRM.</w:t>
            </w:r>
          </w:p>
        </w:tc>
        <w:tc>
          <w:tcPr>
            <w:tcW w:w="993" w:type="dxa"/>
          </w:tcPr>
          <w:p w14:paraId="718141F6" w14:textId="60B6BAB5" w:rsidR="00D136F8" w:rsidRPr="002140B7" w:rsidRDefault="00D136F8"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992" w:type="dxa"/>
          </w:tcPr>
          <w:p w14:paraId="247DF6C5" w14:textId="3A4483CE" w:rsidR="00D136F8" w:rsidRPr="00D518FF" w:rsidDel="00536387" w:rsidRDefault="00D136F8" w:rsidP="00AA694C">
            <w:pPr>
              <w:pStyle w:val="Caption1"/>
              <w:spacing w:before="0" w:after="0"/>
              <w:rPr>
                <w:rFonts w:ascii="Aptos" w:hAnsi="Aptos"/>
                <w:sz w:val="16"/>
                <w:szCs w:val="16"/>
              </w:rPr>
            </w:pPr>
            <w:r w:rsidRPr="002140B7">
              <w:rPr>
                <w:rFonts w:ascii="Aptos" w:hAnsi="Aptos"/>
                <w:b w:val="0"/>
                <w:bCs w:val="0"/>
                <w:sz w:val="16"/>
                <w:szCs w:val="16"/>
              </w:rPr>
              <w:t>High risk</w:t>
            </w:r>
          </w:p>
        </w:tc>
      </w:tr>
      <w:tr w:rsidR="00D136F8" w:rsidRPr="00D518FF" w14:paraId="23295B81" w14:textId="2DD5C949" w:rsidTr="00AA694C">
        <w:trPr>
          <w:trHeight w:val="347"/>
        </w:trPr>
        <w:tc>
          <w:tcPr>
            <w:tcW w:w="847" w:type="dxa"/>
          </w:tcPr>
          <w:p w14:paraId="189F67F7"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Pringsheim 2012</w:t>
            </w:r>
          </w:p>
        </w:tc>
        <w:tc>
          <w:tcPr>
            <w:tcW w:w="526" w:type="dxa"/>
          </w:tcPr>
          <w:p w14:paraId="36641C70"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825" w:type="dxa"/>
          </w:tcPr>
          <w:p w14:paraId="39A3C6E2" w14:textId="7441428B"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58" w:type="dxa"/>
          </w:tcPr>
          <w:p w14:paraId="5B11AFE8"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adults meeting criteria for the diagnosis of migraine headache, or trial publications had to provide sufficient detail of the headache characteristics to support the diagnosis of migraine </w:t>
            </w:r>
          </w:p>
        </w:tc>
        <w:tc>
          <w:tcPr>
            <w:tcW w:w="1275" w:type="dxa"/>
          </w:tcPr>
          <w:p w14:paraId="50962F06" w14:textId="6E58E520"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34" w:type="dxa"/>
          </w:tcPr>
          <w:p w14:paraId="2C96C78E"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magensium 243mg twice daily</w:t>
            </w:r>
          </w:p>
        </w:tc>
        <w:tc>
          <w:tcPr>
            <w:tcW w:w="993" w:type="dxa"/>
          </w:tcPr>
          <w:p w14:paraId="2F726C47"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0" w:type="dxa"/>
          </w:tcPr>
          <w:p w14:paraId="53B0A387"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92" w:type="dxa"/>
          </w:tcPr>
          <w:p w14:paraId="3A7E53AD"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69</w:t>
            </w:r>
          </w:p>
        </w:tc>
        <w:tc>
          <w:tcPr>
            <w:tcW w:w="993" w:type="dxa"/>
          </w:tcPr>
          <w:p w14:paraId="1B5CE153"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992" w:type="dxa"/>
          </w:tcPr>
          <w:p w14:paraId="553CFFF2" w14:textId="77777777" w:rsidR="00D136F8" w:rsidRPr="00D518FF" w:rsidRDefault="00D136F8" w:rsidP="00AA694C">
            <w:pPr>
              <w:pStyle w:val="Caption1"/>
              <w:spacing w:before="0" w:after="0"/>
              <w:rPr>
                <w:rFonts w:ascii="Aptos" w:hAnsi="Aptos"/>
                <w:b w:val="0"/>
                <w:bCs w:val="0"/>
                <w:sz w:val="16"/>
                <w:szCs w:val="16"/>
              </w:rPr>
            </w:pPr>
          </w:p>
        </w:tc>
        <w:tc>
          <w:tcPr>
            <w:tcW w:w="1984" w:type="dxa"/>
          </w:tcPr>
          <w:p w14:paraId="2033DC1B" w14:textId="322B8722"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10 mmol elemental magnesium twice daily (243 mg elemental magnesium twice daily, contained in magnesium-L-aspartate-hydrochloride trihydrate) to placebo for 12 weeks following a </w:t>
            </w:r>
            <w:r w:rsidR="00106ED7" w:rsidRPr="00D518FF">
              <w:rPr>
                <w:rFonts w:ascii="Aptos" w:hAnsi="Aptos"/>
                <w:b w:val="0"/>
                <w:bCs w:val="0"/>
                <w:sz w:val="16"/>
                <w:szCs w:val="16"/>
              </w:rPr>
              <w:t>four-week</w:t>
            </w:r>
            <w:r w:rsidRPr="00D518FF">
              <w:rPr>
                <w:rFonts w:ascii="Aptos" w:hAnsi="Aptos"/>
                <w:b w:val="0"/>
                <w:bCs w:val="0"/>
                <w:sz w:val="16"/>
                <w:szCs w:val="16"/>
              </w:rPr>
              <w:t xml:space="preserve"> baseline period. The percentage of patients achieving their primary outcome, a reduction of 50% in the duration of migraine (in hours) or in the intensity of migraine at the end of the third month of treatment compared to </w:t>
            </w:r>
            <w:r w:rsidRPr="00D518FF">
              <w:rPr>
                <w:rFonts w:ascii="Aptos" w:hAnsi="Aptos"/>
                <w:b w:val="0"/>
                <w:bCs w:val="0"/>
                <w:sz w:val="16"/>
                <w:szCs w:val="16"/>
              </w:rPr>
              <w:lastRenderedPageBreak/>
              <w:t>baseline, was not significantly different between groups. The main side effect experienced by patients in the treatment group was soft stools or diarrhea.</w:t>
            </w:r>
          </w:p>
        </w:tc>
        <w:tc>
          <w:tcPr>
            <w:tcW w:w="993" w:type="dxa"/>
          </w:tcPr>
          <w:p w14:paraId="07616B4E" w14:textId="5D25A85D" w:rsidR="00D136F8" w:rsidRPr="002140B7" w:rsidRDefault="00D136F8" w:rsidP="00AA694C">
            <w:pPr>
              <w:pStyle w:val="Caption1"/>
              <w:spacing w:before="0" w:after="0"/>
              <w:rPr>
                <w:rFonts w:ascii="Aptos" w:hAnsi="Aptos"/>
                <w:b w:val="0"/>
                <w:bCs w:val="0"/>
                <w:sz w:val="16"/>
                <w:szCs w:val="16"/>
              </w:rPr>
            </w:pPr>
            <w:r>
              <w:rPr>
                <w:rFonts w:ascii="Aptos" w:hAnsi="Aptos"/>
                <w:b w:val="0"/>
                <w:bCs w:val="0"/>
                <w:sz w:val="16"/>
                <w:szCs w:val="16"/>
              </w:rPr>
              <w:lastRenderedPageBreak/>
              <w:t>NA</w:t>
            </w:r>
          </w:p>
        </w:tc>
        <w:tc>
          <w:tcPr>
            <w:tcW w:w="992" w:type="dxa"/>
          </w:tcPr>
          <w:p w14:paraId="7D97BC53" w14:textId="7FFF7CBD" w:rsidR="00D136F8" w:rsidRPr="00D518FF" w:rsidRDefault="00D136F8" w:rsidP="00AA694C">
            <w:pPr>
              <w:pStyle w:val="Caption1"/>
              <w:spacing w:before="0" w:after="0"/>
              <w:rPr>
                <w:rFonts w:ascii="Aptos" w:hAnsi="Aptos"/>
                <w:b w:val="0"/>
                <w:bCs w:val="0"/>
                <w:sz w:val="16"/>
                <w:szCs w:val="16"/>
              </w:rPr>
            </w:pPr>
            <w:r w:rsidRPr="002140B7">
              <w:rPr>
                <w:rFonts w:ascii="Aptos" w:hAnsi="Aptos"/>
                <w:b w:val="0"/>
                <w:bCs w:val="0"/>
                <w:sz w:val="16"/>
                <w:szCs w:val="16"/>
              </w:rPr>
              <w:t>High risk</w:t>
            </w:r>
          </w:p>
        </w:tc>
      </w:tr>
      <w:tr w:rsidR="00D136F8" w:rsidRPr="00D518FF" w14:paraId="370F513A" w14:textId="574094E5" w:rsidTr="00AA694C">
        <w:trPr>
          <w:trHeight w:val="347"/>
        </w:trPr>
        <w:tc>
          <w:tcPr>
            <w:tcW w:w="847" w:type="dxa"/>
          </w:tcPr>
          <w:p w14:paraId="04A82162"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Pringsheim 2012</w:t>
            </w:r>
          </w:p>
        </w:tc>
        <w:tc>
          <w:tcPr>
            <w:tcW w:w="526" w:type="dxa"/>
          </w:tcPr>
          <w:p w14:paraId="41157073"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825" w:type="dxa"/>
          </w:tcPr>
          <w:p w14:paraId="6E87C4AD" w14:textId="06A2D61F"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58" w:type="dxa"/>
          </w:tcPr>
          <w:p w14:paraId="699121B9"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adults meeting criteria for the diagnosis of migraine headache, or trial publications had to provide sufficient detail of the headache characteristics to support the diagnosis of migraine </w:t>
            </w:r>
          </w:p>
        </w:tc>
        <w:tc>
          <w:tcPr>
            <w:tcW w:w="1275" w:type="dxa"/>
          </w:tcPr>
          <w:p w14:paraId="7FC7A03A" w14:textId="34406729"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34" w:type="dxa"/>
          </w:tcPr>
          <w:p w14:paraId="285AD219"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magnesium (600mg per day)</w:t>
            </w:r>
          </w:p>
        </w:tc>
        <w:tc>
          <w:tcPr>
            <w:tcW w:w="993" w:type="dxa"/>
          </w:tcPr>
          <w:p w14:paraId="3F3ADAAE"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0" w:type="dxa"/>
          </w:tcPr>
          <w:p w14:paraId="4FE417A2"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92" w:type="dxa"/>
          </w:tcPr>
          <w:p w14:paraId="7C6B7432"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121</w:t>
            </w:r>
          </w:p>
        </w:tc>
        <w:tc>
          <w:tcPr>
            <w:tcW w:w="993" w:type="dxa"/>
          </w:tcPr>
          <w:p w14:paraId="415593E8"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992" w:type="dxa"/>
          </w:tcPr>
          <w:p w14:paraId="0B17FAC9" w14:textId="77777777" w:rsidR="00D136F8" w:rsidRPr="00D518FF" w:rsidRDefault="00D136F8" w:rsidP="00AA694C">
            <w:pPr>
              <w:pStyle w:val="Caption1"/>
              <w:spacing w:before="0" w:after="0"/>
              <w:rPr>
                <w:rFonts w:ascii="Aptos" w:hAnsi="Aptos"/>
                <w:b w:val="0"/>
                <w:bCs w:val="0"/>
                <w:sz w:val="16"/>
                <w:szCs w:val="16"/>
              </w:rPr>
            </w:pPr>
          </w:p>
        </w:tc>
        <w:tc>
          <w:tcPr>
            <w:tcW w:w="1984" w:type="dxa"/>
          </w:tcPr>
          <w:p w14:paraId="31FC99C8" w14:textId="592CAF2A"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After a one-month baseline period, Peikert et al randomized patients to 24 mmol elemental magnesium (600 mg elemental magnesium as trimagnesium dicitrate) or placebo daily for 12 weeks. Patients treated with magnesium had a significantly higher reduction in attack frequency in the final month of treatment compared to baseline than the placebo group. ("fair" quality)</w:t>
            </w:r>
            <w:r w:rsidR="00106ED7">
              <w:rPr>
                <w:rFonts w:ascii="Aptos" w:hAnsi="Aptos"/>
                <w:b w:val="0"/>
                <w:bCs w:val="0"/>
                <w:sz w:val="16"/>
                <w:szCs w:val="16"/>
              </w:rPr>
              <w:t>.</w:t>
            </w:r>
            <w:r w:rsidRPr="00D518FF">
              <w:rPr>
                <w:rFonts w:ascii="Aptos" w:hAnsi="Aptos"/>
                <w:b w:val="0"/>
                <w:bCs w:val="0"/>
                <w:sz w:val="16"/>
                <w:szCs w:val="16"/>
              </w:rPr>
              <w:br/>
              <w:t xml:space="preserve">In a “poor” study, Köseoglu compared magnesium citrate (600 mg elemental magnesium daily) to a placebo control. All patients had migraine without aura. The study was rated as poor because, although 30 patients received magnesium, the placebo control group consisted of only ten patients (randomization 4:1). Migraine attack frequencies during a </w:t>
            </w:r>
            <w:r w:rsidR="00106ED7" w:rsidRPr="00D518FF">
              <w:rPr>
                <w:rFonts w:ascii="Aptos" w:hAnsi="Aptos"/>
                <w:b w:val="0"/>
                <w:bCs w:val="0"/>
                <w:sz w:val="16"/>
                <w:szCs w:val="16"/>
              </w:rPr>
              <w:t>one-month</w:t>
            </w:r>
            <w:r w:rsidRPr="00D518FF">
              <w:rPr>
                <w:rFonts w:ascii="Aptos" w:hAnsi="Aptos"/>
                <w:b w:val="0"/>
                <w:bCs w:val="0"/>
                <w:sz w:val="16"/>
                <w:szCs w:val="16"/>
              </w:rPr>
              <w:t xml:space="preserve"> baseline period were compared to the last month of a </w:t>
            </w:r>
            <w:r w:rsidR="00106ED7" w:rsidRPr="00D518FF">
              <w:rPr>
                <w:rFonts w:ascii="Aptos" w:hAnsi="Aptos"/>
                <w:b w:val="0"/>
                <w:bCs w:val="0"/>
                <w:sz w:val="16"/>
                <w:szCs w:val="16"/>
              </w:rPr>
              <w:t>three-month</w:t>
            </w:r>
            <w:r w:rsidRPr="00D518FF">
              <w:rPr>
                <w:rFonts w:ascii="Aptos" w:hAnsi="Aptos"/>
                <w:b w:val="0"/>
                <w:bCs w:val="0"/>
                <w:sz w:val="16"/>
                <w:szCs w:val="16"/>
              </w:rPr>
              <w:t xml:space="preserve"> treatment period. Attack frequency was reduced more in the group receiving magnesium as compared to the control </w:t>
            </w:r>
            <w:r w:rsidRPr="00D518FF">
              <w:rPr>
                <w:rFonts w:ascii="Aptos" w:hAnsi="Aptos"/>
                <w:b w:val="0"/>
                <w:bCs w:val="0"/>
                <w:sz w:val="16"/>
                <w:szCs w:val="16"/>
              </w:rPr>
              <w:lastRenderedPageBreak/>
              <w:t>group when post/pre-treatment ratios of attack frequency were compared (P = 0.005)</w:t>
            </w:r>
          </w:p>
        </w:tc>
        <w:tc>
          <w:tcPr>
            <w:tcW w:w="993" w:type="dxa"/>
          </w:tcPr>
          <w:p w14:paraId="25B5A395" w14:textId="675D41B0" w:rsidR="00D136F8" w:rsidRPr="002140B7" w:rsidRDefault="00D136F8" w:rsidP="00AA694C">
            <w:pPr>
              <w:pStyle w:val="Caption1"/>
              <w:spacing w:before="0" w:after="0"/>
              <w:rPr>
                <w:rFonts w:ascii="Aptos" w:hAnsi="Aptos"/>
                <w:b w:val="0"/>
                <w:bCs w:val="0"/>
                <w:sz w:val="16"/>
                <w:szCs w:val="16"/>
              </w:rPr>
            </w:pPr>
            <w:r>
              <w:rPr>
                <w:rFonts w:ascii="Aptos" w:hAnsi="Aptos"/>
                <w:b w:val="0"/>
                <w:bCs w:val="0"/>
                <w:sz w:val="16"/>
                <w:szCs w:val="16"/>
              </w:rPr>
              <w:lastRenderedPageBreak/>
              <w:t>NA</w:t>
            </w:r>
          </w:p>
        </w:tc>
        <w:tc>
          <w:tcPr>
            <w:tcW w:w="992" w:type="dxa"/>
          </w:tcPr>
          <w:p w14:paraId="639CED15" w14:textId="2B1A2978" w:rsidR="00D136F8" w:rsidRPr="00D518FF" w:rsidRDefault="00D136F8" w:rsidP="00AA694C">
            <w:pPr>
              <w:pStyle w:val="Caption1"/>
              <w:spacing w:before="0" w:after="0"/>
              <w:rPr>
                <w:rFonts w:ascii="Aptos" w:hAnsi="Aptos"/>
                <w:b w:val="0"/>
                <w:bCs w:val="0"/>
                <w:sz w:val="16"/>
                <w:szCs w:val="16"/>
              </w:rPr>
            </w:pPr>
            <w:r w:rsidRPr="002140B7">
              <w:rPr>
                <w:rFonts w:ascii="Aptos" w:hAnsi="Aptos"/>
                <w:b w:val="0"/>
                <w:bCs w:val="0"/>
                <w:sz w:val="16"/>
                <w:szCs w:val="16"/>
              </w:rPr>
              <w:t>High risk</w:t>
            </w:r>
          </w:p>
        </w:tc>
      </w:tr>
      <w:tr w:rsidR="00D136F8" w:rsidRPr="00D518FF" w14:paraId="341D3538" w14:textId="70D4017B" w:rsidTr="00AA694C">
        <w:trPr>
          <w:trHeight w:val="347"/>
        </w:trPr>
        <w:tc>
          <w:tcPr>
            <w:tcW w:w="847" w:type="dxa"/>
          </w:tcPr>
          <w:p w14:paraId="61ABDD15"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vonLuckner 2018</w:t>
            </w:r>
          </w:p>
        </w:tc>
        <w:tc>
          <w:tcPr>
            <w:tcW w:w="526" w:type="dxa"/>
          </w:tcPr>
          <w:p w14:paraId="194D659E"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3</w:t>
            </w:r>
          </w:p>
        </w:tc>
        <w:tc>
          <w:tcPr>
            <w:tcW w:w="825" w:type="dxa"/>
          </w:tcPr>
          <w:p w14:paraId="494022F5" w14:textId="2FFD0DE6"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58" w:type="dxa"/>
          </w:tcPr>
          <w:p w14:paraId="3C89F290"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patients 18-65 with migraine</w:t>
            </w:r>
          </w:p>
        </w:tc>
        <w:tc>
          <w:tcPr>
            <w:tcW w:w="1275" w:type="dxa"/>
          </w:tcPr>
          <w:p w14:paraId="132B44D3" w14:textId="2D598EBD"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34" w:type="dxa"/>
          </w:tcPr>
          <w:p w14:paraId="7DFC0334"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magnesium</w:t>
            </w:r>
          </w:p>
        </w:tc>
        <w:tc>
          <w:tcPr>
            <w:tcW w:w="993" w:type="dxa"/>
          </w:tcPr>
          <w:p w14:paraId="4813D6B4"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850" w:type="dxa"/>
          </w:tcPr>
          <w:p w14:paraId="3C209820"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992" w:type="dxa"/>
          </w:tcPr>
          <w:p w14:paraId="4978CA35"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240</w:t>
            </w:r>
          </w:p>
        </w:tc>
        <w:tc>
          <w:tcPr>
            <w:tcW w:w="993" w:type="dxa"/>
          </w:tcPr>
          <w:p w14:paraId="39F23124" w14:textId="7777777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attacks/month</w:t>
            </w:r>
          </w:p>
        </w:tc>
        <w:tc>
          <w:tcPr>
            <w:tcW w:w="992" w:type="dxa"/>
          </w:tcPr>
          <w:p w14:paraId="1B53FC69" w14:textId="77777777" w:rsidR="00D136F8" w:rsidRPr="00D518FF" w:rsidRDefault="00D136F8" w:rsidP="00AA694C">
            <w:pPr>
              <w:pStyle w:val="Caption1"/>
              <w:spacing w:before="0" w:after="0"/>
              <w:rPr>
                <w:rFonts w:ascii="Aptos" w:hAnsi="Aptos"/>
                <w:b w:val="0"/>
                <w:bCs w:val="0"/>
                <w:sz w:val="16"/>
                <w:szCs w:val="16"/>
              </w:rPr>
            </w:pPr>
          </w:p>
        </w:tc>
        <w:tc>
          <w:tcPr>
            <w:tcW w:w="1984" w:type="dxa"/>
          </w:tcPr>
          <w:p w14:paraId="000702D1" w14:textId="54BD0D37" w:rsidR="00D136F8" w:rsidRPr="00D518FF" w:rsidRDefault="00D136F8" w:rsidP="00AA694C">
            <w:pPr>
              <w:pStyle w:val="Caption1"/>
              <w:spacing w:before="0" w:after="0"/>
              <w:rPr>
                <w:rFonts w:ascii="Aptos" w:hAnsi="Aptos"/>
                <w:b w:val="0"/>
                <w:bCs w:val="0"/>
                <w:sz w:val="16"/>
                <w:szCs w:val="16"/>
              </w:rPr>
            </w:pPr>
            <w:r w:rsidRPr="00D518FF">
              <w:rPr>
                <w:rFonts w:ascii="Aptos" w:hAnsi="Aptos"/>
                <w:b w:val="0"/>
                <w:bCs w:val="0"/>
                <w:sz w:val="16"/>
                <w:szCs w:val="16"/>
              </w:rPr>
              <w:t>Three out of five randomized, double-blind, and placebo controlled studies showed a statistically significant decrease in number of migraine attacks, the primary efficacy measure when compared with placebo</w:t>
            </w:r>
          </w:p>
        </w:tc>
        <w:tc>
          <w:tcPr>
            <w:tcW w:w="993" w:type="dxa"/>
          </w:tcPr>
          <w:p w14:paraId="0F7394DA" w14:textId="7FADE802" w:rsidR="00D136F8" w:rsidRDefault="00D136F8"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992" w:type="dxa"/>
          </w:tcPr>
          <w:p w14:paraId="1049CCA3" w14:textId="7BF209EC" w:rsidR="00D136F8" w:rsidRPr="00D518FF" w:rsidRDefault="00D136F8" w:rsidP="00AA694C">
            <w:pPr>
              <w:pStyle w:val="Caption1"/>
              <w:spacing w:before="0" w:after="0"/>
              <w:rPr>
                <w:rFonts w:ascii="Aptos" w:hAnsi="Aptos"/>
                <w:b w:val="0"/>
                <w:bCs w:val="0"/>
                <w:sz w:val="16"/>
                <w:szCs w:val="16"/>
              </w:rPr>
            </w:pPr>
            <w:r>
              <w:rPr>
                <w:rFonts w:ascii="Aptos" w:hAnsi="Aptos"/>
                <w:b w:val="0"/>
                <w:bCs w:val="0"/>
                <w:sz w:val="16"/>
                <w:szCs w:val="16"/>
              </w:rPr>
              <w:t>Low</w:t>
            </w:r>
            <w:r w:rsidRPr="002140B7">
              <w:rPr>
                <w:rFonts w:ascii="Aptos" w:hAnsi="Aptos"/>
                <w:b w:val="0"/>
                <w:bCs w:val="0"/>
                <w:sz w:val="16"/>
                <w:szCs w:val="16"/>
              </w:rPr>
              <w:t xml:space="preserve"> risk</w:t>
            </w:r>
          </w:p>
        </w:tc>
      </w:tr>
    </w:tbl>
    <w:p w14:paraId="3F9F1455" w14:textId="3819079D" w:rsidR="00106ED7" w:rsidRPr="00D518FF" w:rsidRDefault="00106ED7" w:rsidP="00106ED7">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Pr>
          <w:rFonts w:ascii="Aptos" w:hAnsi="Aptos"/>
          <w:b w:val="0"/>
          <w:bCs w:val="0"/>
          <w:sz w:val="16"/>
          <w:szCs w:val="16"/>
        </w:rPr>
        <w:t xml:space="preserve">MD=mean difference; </w:t>
      </w:r>
      <w:r w:rsidR="005F3838">
        <w:rPr>
          <w:rFonts w:ascii="Aptos" w:hAnsi="Aptos"/>
          <w:b w:val="0"/>
          <w:bCs w:val="0"/>
          <w:sz w:val="16"/>
          <w:szCs w:val="16"/>
        </w:rPr>
        <w:t>MRM=</w:t>
      </w:r>
      <w:r w:rsidR="005F3838" w:rsidRPr="005F3838">
        <w:rPr>
          <w:rFonts w:ascii="Aptos" w:hAnsi="Aptos"/>
          <w:b w:val="0"/>
          <w:bCs w:val="0"/>
          <w:sz w:val="16"/>
          <w:szCs w:val="16"/>
        </w:rPr>
        <w:t>Menstrually related migraine</w:t>
      </w:r>
      <w:r w:rsidR="005F3838" w:rsidRPr="00B56A8E">
        <w:rPr>
          <w:rFonts w:ascii="Aptos" w:hAnsi="Aptos"/>
          <w:b w:val="0"/>
          <w:bCs w:val="0"/>
          <w:sz w:val="16"/>
          <w:szCs w:val="16"/>
        </w:rPr>
        <w:t xml:space="preserve">; </w:t>
      </w:r>
      <w:r w:rsidR="00B56A8E" w:rsidRPr="00B56A8E">
        <w:rPr>
          <w:rFonts w:ascii="Aptos" w:hAnsi="Aptos"/>
          <w:b w:val="0"/>
          <w:bCs w:val="0"/>
          <w:sz w:val="16"/>
          <w:szCs w:val="16"/>
        </w:rPr>
        <w:t xml:space="preserve">PMM=pure menstrual migraine; </w:t>
      </w:r>
      <w:r w:rsidR="005F3838" w:rsidRPr="00B56A8E">
        <w:rPr>
          <w:rFonts w:ascii="Aptos" w:hAnsi="Aptos"/>
          <w:b w:val="0"/>
          <w:bCs w:val="0"/>
          <w:sz w:val="16"/>
          <w:szCs w:val="16"/>
        </w:rPr>
        <w:t xml:space="preserve">NA=Not applicable; </w:t>
      </w:r>
      <w:r w:rsidR="005F3838" w:rsidRPr="005F3838">
        <w:rPr>
          <w:rFonts w:ascii="Aptos" w:hAnsi="Aptos"/>
          <w:b w:val="0"/>
          <w:bCs w:val="0"/>
          <w:sz w:val="16"/>
          <w:szCs w:val="16"/>
        </w:rPr>
        <w:t>PE=point estimate;</w:t>
      </w:r>
      <w:r w:rsidR="005F3838" w:rsidRPr="00B56A8E">
        <w:rPr>
          <w:rFonts w:ascii="Aptos" w:hAnsi="Aptos"/>
          <w:b w:val="0"/>
          <w:bCs w:val="0"/>
          <w:sz w:val="16"/>
          <w:szCs w:val="16"/>
        </w:rPr>
        <w:t xml:space="preserve"> </w:t>
      </w:r>
      <w:r>
        <w:rPr>
          <w:rFonts w:ascii="Aptos" w:hAnsi="Aptos"/>
          <w:b w:val="0"/>
          <w:bCs w:val="0"/>
          <w:sz w:val="16"/>
          <w:szCs w:val="16"/>
        </w:rPr>
        <w:t xml:space="preserve">RoM=ratio of means; </w:t>
      </w:r>
      <w:r w:rsidRPr="00106ED7">
        <w:rPr>
          <w:rFonts w:ascii="Aptos" w:hAnsi="Aptos"/>
          <w:b w:val="0"/>
          <w:bCs w:val="0"/>
          <w:sz w:val="16"/>
          <w:szCs w:val="16"/>
          <w:lang w:val="en-GB"/>
        </w:rPr>
        <w:t>VAS=visual analogue scale</w:t>
      </w:r>
    </w:p>
    <w:p w14:paraId="1F00A065" w14:textId="77777777" w:rsidR="009E4D3F" w:rsidRPr="00D518FF" w:rsidRDefault="009E4D3F" w:rsidP="00AA72BD">
      <w:pPr>
        <w:pStyle w:val="Caption1"/>
        <w:spacing w:before="0" w:after="0"/>
        <w:rPr>
          <w:rFonts w:ascii="Aptos" w:hAnsi="Aptos"/>
          <w:b w:val="0"/>
          <w:bCs w:val="0"/>
          <w:sz w:val="16"/>
          <w:szCs w:val="16"/>
        </w:rPr>
      </w:pPr>
    </w:p>
    <w:p w14:paraId="76160A52"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4696DE81" w14:textId="77777777" w:rsidR="009E4D3F" w:rsidRPr="00D518FF" w:rsidRDefault="009E4D3F" w:rsidP="00B56A8E">
      <w:pPr>
        <w:pStyle w:val="ListParagraph"/>
        <w:numPr>
          <w:ilvl w:val="0"/>
          <w:numId w:val="6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improvement in headache/migraine</w:t>
      </w:r>
    </w:p>
    <w:p w14:paraId="24E2D84D" w14:textId="77777777" w:rsidR="009E4D3F" w:rsidRPr="00D518FF" w:rsidRDefault="009E4D3F" w:rsidP="00B56A8E">
      <w:pPr>
        <w:pStyle w:val="ListParagraph"/>
        <w:numPr>
          <w:ilvl w:val="0"/>
          <w:numId w:val="6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 pain intensity</w:t>
      </w:r>
    </w:p>
    <w:p w14:paraId="2D90C8DB" w14:textId="77777777" w:rsidR="009E4D3F" w:rsidRPr="00D518FF" w:rsidRDefault="009E4D3F" w:rsidP="00B56A8E">
      <w:pPr>
        <w:pStyle w:val="ListParagraph"/>
        <w:numPr>
          <w:ilvl w:val="0"/>
          <w:numId w:val="6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 pain frequency</w:t>
      </w:r>
    </w:p>
    <w:p w14:paraId="26764CF5" w14:textId="77777777" w:rsidR="009E4D3F" w:rsidRPr="00D518FF" w:rsidRDefault="009E4D3F" w:rsidP="00B56A8E">
      <w:pPr>
        <w:pStyle w:val="ListParagraph"/>
        <w:numPr>
          <w:ilvl w:val="0"/>
          <w:numId w:val="6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Headache/migraine</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associated symptoms (nausea and vomiting, photophobia and phonophobia, visual aura)</w:t>
      </w:r>
    </w:p>
    <w:p w14:paraId="23730CDA" w14:textId="77777777" w:rsidR="009E4D3F" w:rsidRPr="00D518FF" w:rsidRDefault="009E4D3F" w:rsidP="00B56A8E">
      <w:pPr>
        <w:pStyle w:val="ListParagraph"/>
        <w:numPr>
          <w:ilvl w:val="0"/>
          <w:numId w:val="6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Qol</w:t>
      </w:r>
    </w:p>
    <w:p w14:paraId="0FC0C35E" w14:textId="77777777" w:rsidR="009E4D3F" w:rsidRPr="00D518FF" w:rsidRDefault="009E4D3F" w:rsidP="00B56A8E">
      <w:pPr>
        <w:pStyle w:val="ListParagraph"/>
        <w:numPr>
          <w:ilvl w:val="0"/>
          <w:numId w:val="6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w:t>
      </w:r>
    </w:p>
    <w:p w14:paraId="71139B27" w14:textId="77777777" w:rsidR="009E4D3F" w:rsidRPr="00D518FF" w:rsidRDefault="009E4D3F" w:rsidP="00B56A8E">
      <w:pPr>
        <w:pStyle w:val="ListParagraph"/>
        <w:numPr>
          <w:ilvl w:val="0"/>
          <w:numId w:val="6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Medication use</w:t>
      </w:r>
    </w:p>
    <w:p w14:paraId="1687E69C" w14:textId="77777777" w:rsidR="00CA4325" w:rsidRPr="00D518FF" w:rsidRDefault="00CA4325" w:rsidP="00AA72BD">
      <w:pPr>
        <w:rPr>
          <w:rFonts w:ascii="Aptos" w:hAnsi="Aptos"/>
        </w:rPr>
      </w:pPr>
    </w:p>
    <w:p w14:paraId="1834153E" w14:textId="148A732E" w:rsidR="009E4D3F" w:rsidRPr="00B53559" w:rsidRDefault="009E4D3F" w:rsidP="00B53559">
      <w:pPr>
        <w:pStyle w:val="heading2numbers"/>
        <w:rPr>
          <w:rStyle w:val="Heading1Char"/>
          <w:rFonts w:ascii="Aptos" w:eastAsia="Calibri" w:hAnsi="Aptos"/>
          <w:bCs w:val="0"/>
          <w:color w:val="C00000"/>
          <w:sz w:val="28"/>
          <w:szCs w:val="26"/>
        </w:rPr>
      </w:pPr>
      <w:bookmarkStart w:id="204" w:name="_Toc185254670"/>
      <w:r w:rsidRPr="00B53559">
        <w:rPr>
          <w:rStyle w:val="Heading1Char"/>
          <w:rFonts w:ascii="Aptos" w:eastAsia="Calibri" w:hAnsi="Aptos"/>
          <w:bCs w:val="0"/>
          <w:color w:val="C00000"/>
          <w:sz w:val="28"/>
          <w:szCs w:val="26"/>
        </w:rPr>
        <w:t>Arthritis/osteoarthritis, magnesium</w:t>
      </w:r>
      <w:bookmarkEnd w:id="204"/>
    </w:p>
    <w:p w14:paraId="211F988F" w14:textId="77777777" w:rsidR="009E4D3F" w:rsidRPr="00D518FF" w:rsidRDefault="009E4D3F" w:rsidP="00AA72BD">
      <w:pPr>
        <w:spacing w:before="180" w:after="180"/>
        <w:rPr>
          <w:rFonts w:ascii="Aptos" w:hAnsi="Aptos"/>
          <w:sz w:val="20"/>
          <w:szCs w:val="20"/>
        </w:rPr>
      </w:pPr>
      <w:r w:rsidRPr="00D518FF">
        <w:rPr>
          <w:rFonts w:ascii="Aptos" w:hAnsi="Aptos"/>
          <w:sz w:val="20"/>
          <w:szCs w:val="20"/>
        </w:rPr>
        <w:t>No reviews were identified for inclusion in the Overview.</w:t>
      </w:r>
    </w:p>
    <w:p w14:paraId="542C5FCB" w14:textId="5B09DCF5" w:rsidR="009E4D3F" w:rsidRPr="00B53559" w:rsidRDefault="009E4D3F" w:rsidP="00B53559">
      <w:pPr>
        <w:pStyle w:val="heading2numbers"/>
        <w:rPr>
          <w:rStyle w:val="Heading1Char"/>
          <w:rFonts w:ascii="Aptos" w:eastAsia="Calibri" w:hAnsi="Aptos"/>
          <w:bCs w:val="0"/>
          <w:color w:val="C00000"/>
          <w:sz w:val="28"/>
          <w:szCs w:val="26"/>
        </w:rPr>
      </w:pPr>
      <w:bookmarkStart w:id="205" w:name="_Toc185254671"/>
      <w:r w:rsidRPr="00B53559">
        <w:rPr>
          <w:rStyle w:val="Heading1Char"/>
          <w:rFonts w:ascii="Aptos" w:eastAsia="Calibri" w:hAnsi="Aptos"/>
          <w:bCs w:val="0"/>
          <w:color w:val="C00000"/>
          <w:sz w:val="28"/>
          <w:szCs w:val="26"/>
        </w:rPr>
        <w:lastRenderedPageBreak/>
        <w:t>Hypertension, omega-3</w:t>
      </w:r>
      <w:r w:rsidR="00D409CA">
        <w:rPr>
          <w:rStyle w:val="Heading1Char"/>
          <w:rFonts w:ascii="Aptos" w:eastAsia="Calibri" w:hAnsi="Aptos"/>
          <w:bCs w:val="0"/>
          <w:color w:val="C00000"/>
          <w:sz w:val="28"/>
          <w:szCs w:val="26"/>
        </w:rPr>
        <w:t xml:space="preserve"> </w:t>
      </w:r>
      <w:r w:rsidR="00D409CA">
        <w:t>fatty acids</w:t>
      </w:r>
      <w:bookmarkEnd w:id="205"/>
    </w:p>
    <w:p w14:paraId="6EA53E93" w14:textId="0ACF767E" w:rsidR="005402B0" w:rsidRPr="00D518FF" w:rsidRDefault="00834CBC" w:rsidP="005402B0">
      <w:pPr>
        <w:pStyle w:val="Caption"/>
        <w:rPr>
          <w:rFonts w:ascii="Aptos" w:hAnsi="Aptos"/>
        </w:rPr>
      </w:pPr>
      <w:bookmarkStart w:id="206" w:name="_Toc185254586"/>
      <w:r>
        <w:t xml:space="preserve">Table </w:t>
      </w:r>
      <w:r w:rsidR="00DC4767">
        <w:fldChar w:fldCharType="begin" w:fldLock="1"/>
      </w:r>
      <w:r w:rsidR="00DC4767">
        <w:instrText xml:space="preserve"> STYLEREF 1 \s </w:instrText>
      </w:r>
      <w:r w:rsidR="00DC4767">
        <w:fldChar w:fldCharType="separate"/>
      </w:r>
      <w:r w:rsidR="00DC4767">
        <w:rPr>
          <w:noProof/>
        </w:rPr>
        <w:t>E</w:t>
      </w:r>
      <w:r w:rsidR="00DC4767">
        <w:rPr>
          <w:noProof/>
        </w:rPr>
        <w:fldChar w:fldCharType="end"/>
      </w:r>
      <w:r w:rsidR="00DC4767">
        <w:noBreakHyphen/>
      </w:r>
      <w:r w:rsidR="003B0594">
        <w:fldChar w:fldCharType="begin"/>
      </w:r>
      <w:r w:rsidR="003B0594">
        <w:instrText xml:space="preserve"> SEQ Table \* ARABIC \s 1 </w:instrText>
      </w:r>
      <w:r w:rsidR="003B0594">
        <w:fldChar w:fldCharType="separate"/>
      </w:r>
      <w:r w:rsidR="00C426C6">
        <w:rPr>
          <w:noProof/>
        </w:rPr>
        <w:t>14</w:t>
      </w:r>
      <w:r w:rsidR="003B0594">
        <w:rPr>
          <w:noProof/>
        </w:rPr>
        <w:fldChar w:fldCharType="end"/>
      </w:r>
      <w:r w:rsidR="009E4D3F" w:rsidRPr="00D518FF">
        <w:rPr>
          <w:rFonts w:ascii="Aptos" w:hAnsi="Aptos"/>
        </w:rPr>
        <w:t xml:space="preserve">. Results of </w:t>
      </w:r>
      <w:r w:rsidR="005402B0">
        <w:rPr>
          <w:rFonts w:ascii="Aptos" w:hAnsi="Aptos"/>
        </w:rPr>
        <w:t>preferred</w:t>
      </w:r>
      <w:r w:rsidR="009E4D3F" w:rsidRPr="00D518FF">
        <w:rPr>
          <w:rFonts w:ascii="Aptos" w:hAnsi="Aptos"/>
        </w:rPr>
        <w:t xml:space="preserve"> reviews by outcome domain – hypertension, omega-3</w:t>
      </w:r>
      <w:r w:rsidR="00D409CA">
        <w:rPr>
          <w:rFonts w:ascii="Aptos" w:hAnsi="Aptos"/>
        </w:rPr>
        <w:t xml:space="preserve"> </w:t>
      </w:r>
      <w:r w:rsidR="00D409CA">
        <w:t>fatty acids</w:t>
      </w:r>
      <w:r>
        <w:rPr>
          <w:rFonts w:ascii="Aptos" w:hAnsi="Aptos"/>
        </w:rPr>
        <w:t>.</w:t>
      </w:r>
      <w:bookmarkEnd w:id="206"/>
    </w:p>
    <w:tbl>
      <w:tblPr>
        <w:tblStyle w:val="TableGrid"/>
        <w:tblW w:w="14596" w:type="dxa"/>
        <w:tblLayout w:type="fixed"/>
        <w:tblCellMar>
          <w:top w:w="28" w:type="dxa"/>
          <w:left w:w="57" w:type="dxa"/>
          <w:bottom w:w="28" w:type="dxa"/>
          <w:right w:w="0" w:type="dxa"/>
        </w:tblCellMar>
        <w:tblLook w:val="04A0" w:firstRow="1" w:lastRow="0" w:firstColumn="1" w:lastColumn="0" w:noHBand="0" w:noVBand="1"/>
      </w:tblPr>
      <w:tblGrid>
        <w:gridCol w:w="842"/>
        <w:gridCol w:w="739"/>
        <w:gridCol w:w="865"/>
        <w:gridCol w:w="1344"/>
        <w:gridCol w:w="1338"/>
        <w:gridCol w:w="1193"/>
        <w:gridCol w:w="1246"/>
        <w:gridCol w:w="795"/>
        <w:gridCol w:w="951"/>
        <w:gridCol w:w="1005"/>
        <w:gridCol w:w="934"/>
        <w:gridCol w:w="1316"/>
        <w:gridCol w:w="1035"/>
        <w:gridCol w:w="993"/>
      </w:tblGrid>
      <w:tr w:rsidR="00F614C8" w:rsidRPr="00D518FF" w14:paraId="51192BB4" w14:textId="77777777" w:rsidTr="00F614C8">
        <w:trPr>
          <w:trHeight w:val="107"/>
        </w:trPr>
        <w:tc>
          <w:tcPr>
            <w:tcW w:w="842" w:type="dxa"/>
            <w:vMerge w:val="restart"/>
            <w:shd w:val="clear" w:color="auto" w:fill="D9D9D9" w:themeFill="background1" w:themeFillShade="D9"/>
          </w:tcPr>
          <w:p w14:paraId="545E7AB9"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Review ID</w:t>
            </w:r>
          </w:p>
        </w:tc>
        <w:tc>
          <w:tcPr>
            <w:tcW w:w="739" w:type="dxa"/>
            <w:vMerge w:val="restart"/>
            <w:shd w:val="clear" w:color="auto" w:fill="D9D9D9" w:themeFill="background1" w:themeFillShade="D9"/>
          </w:tcPr>
          <w:p w14:paraId="4796E5A5"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Outcome domain</w:t>
            </w:r>
          </w:p>
        </w:tc>
        <w:tc>
          <w:tcPr>
            <w:tcW w:w="865" w:type="dxa"/>
            <w:vMerge w:val="restart"/>
            <w:shd w:val="clear" w:color="auto" w:fill="D9D9D9" w:themeFill="background1" w:themeFillShade="D9"/>
          </w:tcPr>
          <w:p w14:paraId="02F4CE00"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Population group</w:t>
            </w:r>
          </w:p>
        </w:tc>
        <w:tc>
          <w:tcPr>
            <w:tcW w:w="1344" w:type="dxa"/>
            <w:vMerge w:val="restart"/>
            <w:shd w:val="clear" w:color="auto" w:fill="D9D9D9" w:themeFill="background1" w:themeFillShade="D9"/>
          </w:tcPr>
          <w:p w14:paraId="048F8E6D"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Population details</w:t>
            </w:r>
          </w:p>
        </w:tc>
        <w:tc>
          <w:tcPr>
            <w:tcW w:w="1338" w:type="dxa"/>
            <w:vMerge w:val="restart"/>
            <w:shd w:val="clear" w:color="auto" w:fill="D9D9D9" w:themeFill="background1" w:themeFillShade="D9"/>
          </w:tcPr>
          <w:p w14:paraId="12579676"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Type of comparison</w:t>
            </w:r>
          </w:p>
        </w:tc>
        <w:tc>
          <w:tcPr>
            <w:tcW w:w="1193" w:type="dxa"/>
            <w:vMerge w:val="restart"/>
            <w:shd w:val="clear" w:color="auto" w:fill="D9D9D9" w:themeFill="background1" w:themeFillShade="D9"/>
          </w:tcPr>
          <w:p w14:paraId="4533F371"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Intervention description</w:t>
            </w:r>
          </w:p>
        </w:tc>
        <w:tc>
          <w:tcPr>
            <w:tcW w:w="1246" w:type="dxa"/>
            <w:vMerge w:val="restart"/>
            <w:shd w:val="clear" w:color="auto" w:fill="D9D9D9" w:themeFill="background1" w:themeFillShade="D9"/>
          </w:tcPr>
          <w:p w14:paraId="750F04AF"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Comparator description</w:t>
            </w:r>
          </w:p>
        </w:tc>
        <w:tc>
          <w:tcPr>
            <w:tcW w:w="795" w:type="dxa"/>
            <w:vMerge w:val="restart"/>
            <w:shd w:val="clear" w:color="auto" w:fill="D9D9D9" w:themeFill="background1" w:themeFillShade="D9"/>
          </w:tcPr>
          <w:p w14:paraId="5C33B2CC"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No/types of included studies</w:t>
            </w:r>
          </w:p>
        </w:tc>
        <w:tc>
          <w:tcPr>
            <w:tcW w:w="951" w:type="dxa"/>
            <w:vMerge w:val="restart"/>
            <w:shd w:val="clear" w:color="auto" w:fill="D9D9D9" w:themeFill="background1" w:themeFillShade="D9"/>
          </w:tcPr>
          <w:p w14:paraId="465F1473"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No of participants (total)</w:t>
            </w:r>
          </w:p>
        </w:tc>
        <w:tc>
          <w:tcPr>
            <w:tcW w:w="1005" w:type="dxa"/>
            <w:vMerge w:val="restart"/>
            <w:shd w:val="clear" w:color="auto" w:fill="D9D9D9" w:themeFill="background1" w:themeFillShade="D9"/>
          </w:tcPr>
          <w:p w14:paraId="48A05F89"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Outcome measure(s) used</w:t>
            </w:r>
          </w:p>
        </w:tc>
        <w:tc>
          <w:tcPr>
            <w:tcW w:w="3285" w:type="dxa"/>
            <w:gridSpan w:val="3"/>
            <w:shd w:val="clear" w:color="auto" w:fill="D9D9D9" w:themeFill="background1" w:themeFillShade="D9"/>
          </w:tcPr>
          <w:p w14:paraId="4B7DE9DA" w14:textId="2321A989"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Results</w:t>
            </w:r>
          </w:p>
        </w:tc>
        <w:tc>
          <w:tcPr>
            <w:tcW w:w="993" w:type="dxa"/>
            <w:vMerge w:val="restart"/>
            <w:shd w:val="clear" w:color="auto" w:fill="D9D9D9" w:themeFill="background1" w:themeFillShade="D9"/>
          </w:tcPr>
          <w:p w14:paraId="38813D4B" w14:textId="77777777" w:rsidR="00F614C8" w:rsidRPr="00D518FF" w:rsidRDefault="00F614C8" w:rsidP="00CF6EDC">
            <w:pPr>
              <w:pStyle w:val="Caption1"/>
              <w:spacing w:before="0" w:after="0"/>
              <w:rPr>
                <w:rFonts w:ascii="Aptos" w:hAnsi="Aptos"/>
                <w:sz w:val="16"/>
                <w:szCs w:val="16"/>
              </w:rPr>
            </w:pPr>
            <w:r w:rsidRPr="007F51F3">
              <w:rPr>
                <w:rFonts w:ascii="Aptos" w:hAnsi="Aptos"/>
                <w:sz w:val="16"/>
                <w:szCs w:val="16"/>
              </w:rPr>
              <w:t>ROBIS assessment (for the review overall)</w:t>
            </w:r>
          </w:p>
        </w:tc>
      </w:tr>
      <w:tr w:rsidR="00F614C8" w:rsidRPr="00D518FF" w14:paraId="4A04482D" w14:textId="77777777" w:rsidTr="00F614C8">
        <w:trPr>
          <w:trHeight w:val="107"/>
        </w:trPr>
        <w:tc>
          <w:tcPr>
            <w:tcW w:w="842" w:type="dxa"/>
            <w:vMerge/>
            <w:shd w:val="clear" w:color="auto" w:fill="D9D9D9" w:themeFill="background1" w:themeFillShade="D9"/>
          </w:tcPr>
          <w:p w14:paraId="4DAE80D7" w14:textId="77777777" w:rsidR="00F614C8" w:rsidRPr="00D518FF" w:rsidRDefault="00F614C8" w:rsidP="00CF6EDC">
            <w:pPr>
              <w:pStyle w:val="Caption1"/>
              <w:spacing w:before="0" w:after="0"/>
              <w:rPr>
                <w:rFonts w:ascii="Aptos" w:hAnsi="Aptos"/>
                <w:sz w:val="16"/>
                <w:szCs w:val="16"/>
              </w:rPr>
            </w:pPr>
          </w:p>
        </w:tc>
        <w:tc>
          <w:tcPr>
            <w:tcW w:w="739" w:type="dxa"/>
            <w:vMerge/>
            <w:shd w:val="clear" w:color="auto" w:fill="D9D9D9" w:themeFill="background1" w:themeFillShade="D9"/>
          </w:tcPr>
          <w:p w14:paraId="3A9199E3" w14:textId="77777777" w:rsidR="00F614C8" w:rsidRPr="00D518FF" w:rsidRDefault="00F614C8" w:rsidP="00CF6EDC">
            <w:pPr>
              <w:pStyle w:val="Caption1"/>
              <w:spacing w:before="0" w:after="0"/>
              <w:rPr>
                <w:rFonts w:ascii="Aptos" w:hAnsi="Aptos"/>
                <w:sz w:val="16"/>
                <w:szCs w:val="16"/>
              </w:rPr>
            </w:pPr>
          </w:p>
        </w:tc>
        <w:tc>
          <w:tcPr>
            <w:tcW w:w="865" w:type="dxa"/>
            <w:vMerge/>
            <w:shd w:val="clear" w:color="auto" w:fill="D9D9D9" w:themeFill="background1" w:themeFillShade="D9"/>
          </w:tcPr>
          <w:p w14:paraId="7EC974E0" w14:textId="77777777" w:rsidR="00F614C8" w:rsidRPr="00D518FF" w:rsidRDefault="00F614C8" w:rsidP="00CF6EDC">
            <w:pPr>
              <w:pStyle w:val="Caption1"/>
              <w:spacing w:before="0" w:after="0"/>
              <w:rPr>
                <w:rFonts w:ascii="Aptos" w:hAnsi="Aptos"/>
                <w:sz w:val="16"/>
                <w:szCs w:val="16"/>
              </w:rPr>
            </w:pPr>
          </w:p>
        </w:tc>
        <w:tc>
          <w:tcPr>
            <w:tcW w:w="1344" w:type="dxa"/>
            <w:vMerge/>
            <w:shd w:val="clear" w:color="auto" w:fill="D9D9D9" w:themeFill="background1" w:themeFillShade="D9"/>
          </w:tcPr>
          <w:p w14:paraId="1195A64C" w14:textId="77777777" w:rsidR="00F614C8" w:rsidRPr="00D518FF" w:rsidRDefault="00F614C8" w:rsidP="00CF6EDC">
            <w:pPr>
              <w:pStyle w:val="Caption1"/>
              <w:spacing w:before="0" w:after="0"/>
              <w:rPr>
                <w:rFonts w:ascii="Aptos" w:hAnsi="Aptos"/>
                <w:sz w:val="16"/>
                <w:szCs w:val="16"/>
              </w:rPr>
            </w:pPr>
          </w:p>
        </w:tc>
        <w:tc>
          <w:tcPr>
            <w:tcW w:w="1338" w:type="dxa"/>
            <w:vMerge/>
            <w:shd w:val="clear" w:color="auto" w:fill="D9D9D9" w:themeFill="background1" w:themeFillShade="D9"/>
          </w:tcPr>
          <w:p w14:paraId="35195AE5" w14:textId="77777777" w:rsidR="00F614C8" w:rsidRPr="00D518FF" w:rsidRDefault="00F614C8" w:rsidP="00CF6EDC">
            <w:pPr>
              <w:pStyle w:val="Caption1"/>
              <w:spacing w:before="0" w:after="0"/>
              <w:rPr>
                <w:rFonts w:ascii="Aptos" w:hAnsi="Aptos"/>
                <w:sz w:val="16"/>
                <w:szCs w:val="16"/>
              </w:rPr>
            </w:pPr>
          </w:p>
        </w:tc>
        <w:tc>
          <w:tcPr>
            <w:tcW w:w="1193" w:type="dxa"/>
            <w:vMerge/>
            <w:shd w:val="clear" w:color="auto" w:fill="D9D9D9" w:themeFill="background1" w:themeFillShade="D9"/>
          </w:tcPr>
          <w:p w14:paraId="28C0E041" w14:textId="77777777" w:rsidR="00F614C8" w:rsidRPr="00D518FF" w:rsidRDefault="00F614C8" w:rsidP="00CF6EDC">
            <w:pPr>
              <w:pStyle w:val="Caption1"/>
              <w:spacing w:before="0" w:after="0"/>
              <w:rPr>
                <w:rFonts w:ascii="Aptos" w:hAnsi="Aptos"/>
                <w:sz w:val="16"/>
                <w:szCs w:val="16"/>
              </w:rPr>
            </w:pPr>
          </w:p>
        </w:tc>
        <w:tc>
          <w:tcPr>
            <w:tcW w:w="1246" w:type="dxa"/>
            <w:vMerge/>
            <w:shd w:val="clear" w:color="auto" w:fill="D9D9D9" w:themeFill="background1" w:themeFillShade="D9"/>
          </w:tcPr>
          <w:p w14:paraId="0A67E805" w14:textId="77777777" w:rsidR="00F614C8" w:rsidRPr="00D518FF" w:rsidRDefault="00F614C8" w:rsidP="00CF6EDC">
            <w:pPr>
              <w:pStyle w:val="Caption1"/>
              <w:spacing w:before="0" w:after="0"/>
              <w:rPr>
                <w:rFonts w:ascii="Aptos" w:hAnsi="Aptos"/>
                <w:sz w:val="16"/>
                <w:szCs w:val="16"/>
              </w:rPr>
            </w:pPr>
          </w:p>
        </w:tc>
        <w:tc>
          <w:tcPr>
            <w:tcW w:w="795" w:type="dxa"/>
            <w:vMerge/>
            <w:shd w:val="clear" w:color="auto" w:fill="D9D9D9" w:themeFill="background1" w:themeFillShade="D9"/>
          </w:tcPr>
          <w:p w14:paraId="4F3CC974" w14:textId="77777777" w:rsidR="00F614C8" w:rsidRPr="00D518FF" w:rsidRDefault="00F614C8" w:rsidP="00CF6EDC">
            <w:pPr>
              <w:pStyle w:val="Caption1"/>
              <w:spacing w:before="0" w:after="0"/>
              <w:rPr>
                <w:rFonts w:ascii="Aptos" w:hAnsi="Aptos"/>
                <w:sz w:val="16"/>
                <w:szCs w:val="16"/>
              </w:rPr>
            </w:pPr>
          </w:p>
        </w:tc>
        <w:tc>
          <w:tcPr>
            <w:tcW w:w="951" w:type="dxa"/>
            <w:vMerge/>
            <w:shd w:val="clear" w:color="auto" w:fill="D9D9D9" w:themeFill="background1" w:themeFillShade="D9"/>
          </w:tcPr>
          <w:p w14:paraId="6A094579" w14:textId="77777777" w:rsidR="00F614C8" w:rsidRPr="00D518FF" w:rsidRDefault="00F614C8" w:rsidP="00CF6EDC">
            <w:pPr>
              <w:pStyle w:val="Caption1"/>
              <w:spacing w:before="0" w:after="0"/>
              <w:rPr>
                <w:rFonts w:ascii="Aptos" w:hAnsi="Aptos"/>
                <w:sz w:val="16"/>
                <w:szCs w:val="16"/>
              </w:rPr>
            </w:pPr>
          </w:p>
        </w:tc>
        <w:tc>
          <w:tcPr>
            <w:tcW w:w="1005" w:type="dxa"/>
            <w:vMerge/>
            <w:shd w:val="clear" w:color="auto" w:fill="D9D9D9" w:themeFill="background1" w:themeFillShade="D9"/>
          </w:tcPr>
          <w:p w14:paraId="00BB271A" w14:textId="77777777" w:rsidR="00F614C8" w:rsidRPr="00D518FF" w:rsidRDefault="00F614C8" w:rsidP="00CF6EDC">
            <w:pPr>
              <w:pStyle w:val="Caption1"/>
              <w:spacing w:before="0" w:after="0"/>
              <w:rPr>
                <w:rFonts w:ascii="Aptos" w:hAnsi="Aptos"/>
                <w:sz w:val="16"/>
                <w:szCs w:val="16"/>
              </w:rPr>
            </w:pPr>
          </w:p>
        </w:tc>
        <w:tc>
          <w:tcPr>
            <w:tcW w:w="934" w:type="dxa"/>
            <w:shd w:val="clear" w:color="auto" w:fill="D9D9D9" w:themeFill="background1" w:themeFillShade="D9"/>
          </w:tcPr>
          <w:p w14:paraId="26D7B264"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Relative effect (95% CI)</w:t>
            </w:r>
          </w:p>
        </w:tc>
        <w:tc>
          <w:tcPr>
            <w:tcW w:w="1316" w:type="dxa"/>
            <w:shd w:val="clear" w:color="auto" w:fill="D9D9D9" w:themeFill="background1" w:themeFillShade="D9"/>
          </w:tcPr>
          <w:p w14:paraId="3BE364AC" w14:textId="77777777" w:rsidR="00F614C8" w:rsidRPr="00D518FF" w:rsidRDefault="00F614C8" w:rsidP="00CF6EDC">
            <w:pPr>
              <w:pStyle w:val="Caption1"/>
              <w:spacing w:before="0" w:after="0"/>
              <w:rPr>
                <w:rFonts w:ascii="Aptos" w:hAnsi="Aptos"/>
                <w:sz w:val="16"/>
                <w:szCs w:val="16"/>
              </w:rPr>
            </w:pPr>
            <w:r w:rsidRPr="00D518FF">
              <w:rPr>
                <w:rFonts w:ascii="Aptos" w:hAnsi="Aptos"/>
                <w:sz w:val="16"/>
                <w:szCs w:val="16"/>
              </w:rPr>
              <w:t>Other reported results</w:t>
            </w:r>
          </w:p>
        </w:tc>
        <w:tc>
          <w:tcPr>
            <w:tcW w:w="1035" w:type="dxa"/>
            <w:shd w:val="clear" w:color="auto" w:fill="D9D9D9" w:themeFill="background1" w:themeFillShade="D9"/>
          </w:tcPr>
          <w:p w14:paraId="1D99DE42" w14:textId="77777777" w:rsidR="00F614C8" w:rsidRPr="00D518FF" w:rsidRDefault="00F614C8" w:rsidP="00CF6EDC">
            <w:pPr>
              <w:pStyle w:val="Caption1"/>
              <w:spacing w:before="0" w:after="0"/>
              <w:rPr>
                <w:rFonts w:ascii="Aptos" w:hAnsi="Aptos"/>
                <w:sz w:val="16"/>
                <w:szCs w:val="16"/>
              </w:rPr>
            </w:pPr>
            <w:r w:rsidRPr="006B5A09">
              <w:rPr>
                <w:rFonts w:ascii="Aptos" w:hAnsi="Aptos"/>
                <w:sz w:val="16"/>
                <w:szCs w:val="16"/>
              </w:rPr>
              <w:t>Risk of bias summary (primary studies)</w:t>
            </w:r>
          </w:p>
        </w:tc>
        <w:tc>
          <w:tcPr>
            <w:tcW w:w="993" w:type="dxa"/>
            <w:vMerge/>
            <w:shd w:val="clear" w:color="auto" w:fill="D9D9D9" w:themeFill="background1" w:themeFillShade="D9"/>
          </w:tcPr>
          <w:p w14:paraId="32F05BF3" w14:textId="77777777" w:rsidR="00F614C8" w:rsidRPr="00D518FF" w:rsidRDefault="00F614C8" w:rsidP="00CF6EDC">
            <w:pPr>
              <w:pStyle w:val="Caption1"/>
              <w:spacing w:before="0" w:after="0"/>
              <w:rPr>
                <w:rFonts w:ascii="Aptos" w:hAnsi="Aptos"/>
                <w:sz w:val="16"/>
                <w:szCs w:val="16"/>
              </w:rPr>
            </w:pPr>
          </w:p>
        </w:tc>
      </w:tr>
      <w:tr w:rsidR="005402B0" w:rsidRPr="00D518FF" w14:paraId="6BA09861" w14:textId="77777777" w:rsidTr="00F614C8">
        <w:trPr>
          <w:trHeight w:val="227"/>
        </w:trPr>
        <w:tc>
          <w:tcPr>
            <w:tcW w:w="842" w:type="dxa"/>
          </w:tcPr>
          <w:p w14:paraId="2151CA74"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Campbell 2013</w:t>
            </w:r>
          </w:p>
        </w:tc>
        <w:tc>
          <w:tcPr>
            <w:tcW w:w="739" w:type="dxa"/>
          </w:tcPr>
          <w:p w14:paraId="59D09164"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1. Diastolic BP</w:t>
            </w:r>
          </w:p>
        </w:tc>
        <w:tc>
          <w:tcPr>
            <w:tcW w:w="865" w:type="dxa"/>
          </w:tcPr>
          <w:p w14:paraId="31668D95" w14:textId="77777777" w:rsidR="005402B0" w:rsidRPr="00D518FF" w:rsidRDefault="005402B0" w:rsidP="00CF6ED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344" w:type="dxa"/>
          </w:tcPr>
          <w:p w14:paraId="46526851"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hypertensive patients (considered to have hypertension if BP was raised: a minimum of 140mmHg for SBP or 90 mmHg for DBP)</w:t>
            </w:r>
          </w:p>
        </w:tc>
        <w:tc>
          <w:tcPr>
            <w:tcW w:w="1338" w:type="dxa"/>
          </w:tcPr>
          <w:p w14:paraId="6278C770"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93" w:type="dxa"/>
          </w:tcPr>
          <w:p w14:paraId="4E87EFA0"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Fish oil</w:t>
            </w:r>
          </w:p>
        </w:tc>
        <w:tc>
          <w:tcPr>
            <w:tcW w:w="1246" w:type="dxa"/>
          </w:tcPr>
          <w:p w14:paraId="5000A218"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95" w:type="dxa"/>
          </w:tcPr>
          <w:p w14:paraId="43574BCF"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8</w:t>
            </w:r>
          </w:p>
        </w:tc>
        <w:tc>
          <w:tcPr>
            <w:tcW w:w="951" w:type="dxa"/>
          </w:tcPr>
          <w:p w14:paraId="07041CEB"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475</w:t>
            </w:r>
          </w:p>
        </w:tc>
        <w:tc>
          <w:tcPr>
            <w:tcW w:w="1005" w:type="dxa"/>
          </w:tcPr>
          <w:p w14:paraId="43D6193F" w14:textId="77777777" w:rsidR="005402B0" w:rsidRPr="00D518FF" w:rsidRDefault="005402B0" w:rsidP="00CF6EDC">
            <w:pPr>
              <w:pStyle w:val="Caption1"/>
              <w:spacing w:before="0" w:after="0"/>
              <w:rPr>
                <w:rFonts w:ascii="Aptos" w:hAnsi="Aptos"/>
                <w:b w:val="0"/>
                <w:bCs w:val="0"/>
                <w:sz w:val="16"/>
                <w:szCs w:val="16"/>
              </w:rPr>
            </w:pPr>
          </w:p>
        </w:tc>
        <w:tc>
          <w:tcPr>
            <w:tcW w:w="934" w:type="dxa"/>
          </w:tcPr>
          <w:p w14:paraId="0793505F" w14:textId="223B09BD"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MD</w:t>
            </w:r>
            <w:r w:rsidR="00B56A8E">
              <w:rPr>
                <w:rFonts w:ascii="Aptos" w:hAnsi="Aptos"/>
                <w:b w:val="0"/>
                <w:bCs w:val="0"/>
                <w:sz w:val="16"/>
                <w:szCs w:val="16"/>
              </w:rPr>
              <w:t xml:space="preserve"> </w:t>
            </w:r>
            <w:r w:rsidRPr="00D518FF">
              <w:rPr>
                <w:rFonts w:ascii="Aptos" w:hAnsi="Aptos"/>
                <w:b w:val="0"/>
                <w:bCs w:val="0"/>
                <w:sz w:val="16"/>
                <w:szCs w:val="16"/>
              </w:rPr>
              <w:t>=</w:t>
            </w:r>
            <w:r w:rsidR="00B56A8E">
              <w:rPr>
                <w:rFonts w:ascii="Aptos" w:hAnsi="Aptos"/>
                <w:b w:val="0"/>
                <w:bCs w:val="0"/>
                <w:sz w:val="16"/>
                <w:szCs w:val="16"/>
              </w:rPr>
              <w:t xml:space="preserve"> –</w:t>
            </w:r>
            <w:r w:rsidRPr="00D518FF">
              <w:rPr>
                <w:rFonts w:ascii="Aptos" w:hAnsi="Aptos"/>
                <w:b w:val="0"/>
                <w:bCs w:val="0"/>
                <w:sz w:val="16"/>
                <w:szCs w:val="16"/>
              </w:rPr>
              <w:t>1.47 mmHg, 95% CI -0.41 to -2.53</w:t>
            </w:r>
          </w:p>
        </w:tc>
        <w:tc>
          <w:tcPr>
            <w:tcW w:w="1316" w:type="dxa"/>
          </w:tcPr>
          <w:p w14:paraId="397EEEC1" w14:textId="77777777" w:rsidR="005402B0" w:rsidRPr="00D518FF" w:rsidRDefault="005402B0" w:rsidP="00CF6EDC">
            <w:pPr>
              <w:pStyle w:val="Caption1"/>
              <w:spacing w:before="0" w:after="0"/>
              <w:rPr>
                <w:rFonts w:ascii="Aptos" w:hAnsi="Aptos"/>
                <w:b w:val="0"/>
                <w:bCs w:val="0"/>
                <w:sz w:val="16"/>
                <w:szCs w:val="16"/>
              </w:rPr>
            </w:pPr>
            <w:r>
              <w:rPr>
                <w:rFonts w:ascii="Aptos" w:hAnsi="Aptos"/>
                <w:b w:val="0"/>
                <w:bCs w:val="0"/>
                <w:sz w:val="16"/>
                <w:szCs w:val="16"/>
              </w:rPr>
              <w:t>I² =</w:t>
            </w:r>
            <w:r w:rsidRPr="00D518FF">
              <w:rPr>
                <w:rFonts w:ascii="Aptos" w:hAnsi="Aptos"/>
                <w:b w:val="0"/>
                <w:bCs w:val="0"/>
                <w:sz w:val="16"/>
                <w:szCs w:val="16"/>
              </w:rPr>
              <w:t xml:space="preserve"> 10.6%</w:t>
            </w:r>
          </w:p>
        </w:tc>
        <w:tc>
          <w:tcPr>
            <w:tcW w:w="1035" w:type="dxa"/>
            <w:vMerge w:val="restart"/>
          </w:tcPr>
          <w:p w14:paraId="559A3C53" w14:textId="77777777" w:rsidR="005402B0" w:rsidRPr="00D518FF" w:rsidRDefault="005402B0" w:rsidP="00CF6EDC">
            <w:pPr>
              <w:pStyle w:val="Caption1"/>
              <w:spacing w:before="0" w:after="0"/>
              <w:rPr>
                <w:rFonts w:ascii="Aptos" w:hAnsi="Aptos"/>
                <w:b w:val="0"/>
                <w:bCs w:val="0"/>
                <w:sz w:val="16"/>
                <w:szCs w:val="16"/>
              </w:rPr>
            </w:pPr>
            <w:r>
              <w:rPr>
                <w:rFonts w:ascii="Aptos" w:hAnsi="Aptos"/>
                <w:b w:val="0"/>
                <w:bCs w:val="0"/>
                <w:sz w:val="16"/>
                <w:szCs w:val="16"/>
              </w:rPr>
              <w:t>7/8 studies assessed at moderate risk of bias</w:t>
            </w:r>
          </w:p>
          <w:p w14:paraId="190930AB" w14:textId="77777777" w:rsidR="005402B0" w:rsidRPr="00D518FF" w:rsidRDefault="005402B0" w:rsidP="00CF6EDC">
            <w:pPr>
              <w:pStyle w:val="Caption1"/>
              <w:spacing w:before="0" w:after="0"/>
              <w:rPr>
                <w:rFonts w:ascii="Aptos" w:hAnsi="Aptos"/>
                <w:b w:val="0"/>
                <w:bCs w:val="0"/>
                <w:sz w:val="16"/>
                <w:szCs w:val="16"/>
              </w:rPr>
            </w:pPr>
          </w:p>
        </w:tc>
        <w:tc>
          <w:tcPr>
            <w:tcW w:w="993" w:type="dxa"/>
          </w:tcPr>
          <w:p w14:paraId="109CD4E9" w14:textId="77777777" w:rsidR="005402B0" w:rsidRPr="00D518FF" w:rsidRDefault="005402B0" w:rsidP="00CF6EDC">
            <w:pPr>
              <w:pStyle w:val="Caption1"/>
              <w:spacing w:before="0" w:after="0"/>
              <w:rPr>
                <w:rFonts w:ascii="Aptos" w:hAnsi="Aptos"/>
                <w:b w:val="0"/>
                <w:bCs w:val="0"/>
                <w:sz w:val="16"/>
                <w:szCs w:val="16"/>
              </w:rPr>
            </w:pPr>
            <w:r>
              <w:rPr>
                <w:rFonts w:ascii="Aptos" w:hAnsi="Aptos"/>
                <w:b w:val="0"/>
                <w:bCs w:val="0"/>
                <w:sz w:val="16"/>
                <w:szCs w:val="16"/>
              </w:rPr>
              <w:t>Low risk</w:t>
            </w:r>
          </w:p>
        </w:tc>
      </w:tr>
      <w:tr w:rsidR="005402B0" w:rsidRPr="00D518FF" w14:paraId="005AA195" w14:textId="77777777" w:rsidTr="00F614C8">
        <w:trPr>
          <w:trHeight w:val="227"/>
        </w:trPr>
        <w:tc>
          <w:tcPr>
            <w:tcW w:w="842" w:type="dxa"/>
          </w:tcPr>
          <w:p w14:paraId="0B02A1C0"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Campbell 2013</w:t>
            </w:r>
          </w:p>
        </w:tc>
        <w:tc>
          <w:tcPr>
            <w:tcW w:w="739" w:type="dxa"/>
          </w:tcPr>
          <w:p w14:paraId="7F03F46D"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1. Systolic BP</w:t>
            </w:r>
          </w:p>
        </w:tc>
        <w:tc>
          <w:tcPr>
            <w:tcW w:w="865" w:type="dxa"/>
          </w:tcPr>
          <w:p w14:paraId="55C4E3D8" w14:textId="77777777" w:rsidR="005402B0" w:rsidRPr="00D518FF" w:rsidRDefault="005402B0" w:rsidP="00CF6ED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344" w:type="dxa"/>
          </w:tcPr>
          <w:p w14:paraId="7D65C52F"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hypertensive patients (considered to have hypertension if BP was raised: a minimum of 140mmHg for SBP or 90 mmHg for DBP)</w:t>
            </w:r>
          </w:p>
        </w:tc>
        <w:tc>
          <w:tcPr>
            <w:tcW w:w="1338" w:type="dxa"/>
          </w:tcPr>
          <w:p w14:paraId="444A959C"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93" w:type="dxa"/>
          </w:tcPr>
          <w:p w14:paraId="7C5A4D1F"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Fish oil</w:t>
            </w:r>
          </w:p>
        </w:tc>
        <w:tc>
          <w:tcPr>
            <w:tcW w:w="1246" w:type="dxa"/>
          </w:tcPr>
          <w:p w14:paraId="2F4D9B18"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95" w:type="dxa"/>
          </w:tcPr>
          <w:p w14:paraId="4F43B2DF"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8</w:t>
            </w:r>
          </w:p>
        </w:tc>
        <w:tc>
          <w:tcPr>
            <w:tcW w:w="951" w:type="dxa"/>
          </w:tcPr>
          <w:p w14:paraId="7331F5F7" w14:textId="77777777"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475</w:t>
            </w:r>
          </w:p>
        </w:tc>
        <w:tc>
          <w:tcPr>
            <w:tcW w:w="1005" w:type="dxa"/>
          </w:tcPr>
          <w:p w14:paraId="5EB60694" w14:textId="77777777" w:rsidR="005402B0" w:rsidRPr="00D518FF" w:rsidRDefault="005402B0" w:rsidP="00CF6EDC">
            <w:pPr>
              <w:pStyle w:val="Caption1"/>
              <w:spacing w:before="0" w:after="0"/>
              <w:rPr>
                <w:rFonts w:ascii="Aptos" w:hAnsi="Aptos"/>
                <w:b w:val="0"/>
                <w:bCs w:val="0"/>
                <w:sz w:val="16"/>
                <w:szCs w:val="16"/>
              </w:rPr>
            </w:pPr>
          </w:p>
        </w:tc>
        <w:tc>
          <w:tcPr>
            <w:tcW w:w="934" w:type="dxa"/>
          </w:tcPr>
          <w:p w14:paraId="082753BB" w14:textId="774CB4A9" w:rsidR="005402B0" w:rsidRPr="00D518FF" w:rsidRDefault="005402B0" w:rsidP="00CF6EDC">
            <w:pPr>
              <w:pStyle w:val="Caption1"/>
              <w:spacing w:before="0" w:after="0"/>
              <w:rPr>
                <w:rFonts w:ascii="Aptos" w:hAnsi="Aptos"/>
                <w:b w:val="0"/>
                <w:bCs w:val="0"/>
                <w:sz w:val="16"/>
                <w:szCs w:val="16"/>
              </w:rPr>
            </w:pPr>
            <w:r w:rsidRPr="00D518FF">
              <w:rPr>
                <w:rFonts w:ascii="Aptos" w:hAnsi="Aptos"/>
                <w:b w:val="0"/>
                <w:bCs w:val="0"/>
                <w:sz w:val="16"/>
                <w:szCs w:val="16"/>
              </w:rPr>
              <w:t>MD</w:t>
            </w:r>
            <w:r w:rsidR="00B56A8E">
              <w:rPr>
                <w:rFonts w:ascii="Aptos" w:hAnsi="Aptos"/>
                <w:b w:val="0"/>
                <w:bCs w:val="0"/>
                <w:sz w:val="16"/>
                <w:szCs w:val="16"/>
              </w:rPr>
              <w:t xml:space="preserve"> </w:t>
            </w:r>
            <w:r w:rsidRPr="00D518FF">
              <w:rPr>
                <w:rFonts w:ascii="Aptos" w:hAnsi="Aptos"/>
                <w:b w:val="0"/>
                <w:bCs w:val="0"/>
                <w:sz w:val="16"/>
                <w:szCs w:val="16"/>
              </w:rPr>
              <w:t>=</w:t>
            </w:r>
            <w:r w:rsidR="00B56A8E">
              <w:rPr>
                <w:rFonts w:ascii="Aptos" w:hAnsi="Aptos"/>
                <w:b w:val="0"/>
                <w:bCs w:val="0"/>
                <w:sz w:val="16"/>
                <w:szCs w:val="16"/>
              </w:rPr>
              <w:t xml:space="preserve"> –</w:t>
            </w:r>
            <w:r w:rsidRPr="00D518FF">
              <w:rPr>
                <w:rFonts w:ascii="Aptos" w:hAnsi="Aptos"/>
                <w:b w:val="0"/>
                <w:bCs w:val="0"/>
                <w:sz w:val="16"/>
                <w:szCs w:val="16"/>
              </w:rPr>
              <w:t>2.56 mmHg, 95% CI -0.58 to -4.53</w:t>
            </w:r>
          </w:p>
        </w:tc>
        <w:tc>
          <w:tcPr>
            <w:tcW w:w="1316" w:type="dxa"/>
          </w:tcPr>
          <w:p w14:paraId="67C3D8FD" w14:textId="77777777" w:rsidR="005402B0" w:rsidRPr="00D518FF" w:rsidRDefault="005402B0" w:rsidP="00CF6EDC">
            <w:pPr>
              <w:pStyle w:val="Caption1"/>
              <w:spacing w:before="0" w:after="0"/>
              <w:rPr>
                <w:rFonts w:ascii="Aptos" w:hAnsi="Aptos"/>
                <w:b w:val="0"/>
                <w:bCs w:val="0"/>
                <w:sz w:val="16"/>
                <w:szCs w:val="16"/>
              </w:rPr>
            </w:pPr>
            <w:r>
              <w:rPr>
                <w:rFonts w:ascii="Aptos" w:hAnsi="Aptos"/>
                <w:b w:val="0"/>
                <w:bCs w:val="0"/>
                <w:sz w:val="16"/>
                <w:szCs w:val="16"/>
              </w:rPr>
              <w:t>I² =</w:t>
            </w:r>
            <w:r w:rsidRPr="00D518FF">
              <w:rPr>
                <w:rFonts w:ascii="Aptos" w:hAnsi="Aptos"/>
                <w:b w:val="0"/>
                <w:bCs w:val="0"/>
                <w:sz w:val="16"/>
                <w:szCs w:val="16"/>
              </w:rPr>
              <w:t xml:space="preserve"> 0%</w:t>
            </w:r>
          </w:p>
        </w:tc>
        <w:tc>
          <w:tcPr>
            <w:tcW w:w="1035" w:type="dxa"/>
            <w:vMerge/>
          </w:tcPr>
          <w:p w14:paraId="5F685A9E" w14:textId="77777777" w:rsidR="005402B0" w:rsidRPr="00D518FF" w:rsidRDefault="005402B0" w:rsidP="00CF6EDC">
            <w:pPr>
              <w:pStyle w:val="Caption1"/>
              <w:spacing w:before="0" w:after="0"/>
              <w:rPr>
                <w:rFonts w:ascii="Aptos" w:hAnsi="Aptos"/>
                <w:b w:val="0"/>
                <w:bCs w:val="0"/>
                <w:sz w:val="16"/>
                <w:szCs w:val="16"/>
              </w:rPr>
            </w:pPr>
          </w:p>
        </w:tc>
        <w:tc>
          <w:tcPr>
            <w:tcW w:w="993" w:type="dxa"/>
          </w:tcPr>
          <w:p w14:paraId="41695124" w14:textId="77777777" w:rsidR="005402B0" w:rsidRPr="00D518FF" w:rsidRDefault="005402B0" w:rsidP="00CF6EDC">
            <w:pPr>
              <w:pStyle w:val="Caption1"/>
              <w:spacing w:before="0" w:after="0"/>
              <w:rPr>
                <w:rFonts w:ascii="Aptos" w:hAnsi="Aptos"/>
                <w:b w:val="0"/>
                <w:bCs w:val="0"/>
                <w:sz w:val="16"/>
                <w:szCs w:val="16"/>
              </w:rPr>
            </w:pPr>
            <w:r>
              <w:rPr>
                <w:rFonts w:ascii="Aptos" w:hAnsi="Aptos"/>
                <w:b w:val="0"/>
                <w:bCs w:val="0"/>
                <w:sz w:val="16"/>
                <w:szCs w:val="16"/>
              </w:rPr>
              <w:t>Low risk</w:t>
            </w:r>
          </w:p>
        </w:tc>
      </w:tr>
    </w:tbl>
    <w:p w14:paraId="209A915A" w14:textId="76A28D75" w:rsidR="005402B0" w:rsidRPr="00D518FF" w:rsidRDefault="005402B0" w:rsidP="005402B0">
      <w:pPr>
        <w:pStyle w:val="Caption1"/>
        <w:spacing w:before="0" w:after="0"/>
        <w:rPr>
          <w:rFonts w:ascii="Aptos" w:hAnsi="Aptos"/>
          <w:b w:val="0"/>
          <w:bCs w:val="0"/>
          <w:sz w:val="16"/>
          <w:szCs w:val="16"/>
        </w:rPr>
      </w:pPr>
      <w:r w:rsidRPr="00D518FF">
        <w:rPr>
          <w:rFonts w:ascii="Aptos" w:hAnsi="Aptos"/>
          <w:b w:val="0"/>
          <w:bCs w:val="0"/>
          <w:sz w:val="16"/>
          <w:szCs w:val="16"/>
        </w:rPr>
        <w:t>Abbreviations:</w:t>
      </w:r>
      <w:r w:rsidR="00B56A8E">
        <w:rPr>
          <w:rFonts w:ascii="Aptos" w:hAnsi="Aptos"/>
          <w:b w:val="0"/>
          <w:bCs w:val="0"/>
          <w:sz w:val="16"/>
          <w:szCs w:val="16"/>
        </w:rPr>
        <w:t xml:space="preserve"> CI=confidence interval;</w:t>
      </w:r>
      <w:r w:rsidRPr="00D518FF">
        <w:rPr>
          <w:rFonts w:ascii="Aptos" w:hAnsi="Aptos"/>
          <w:b w:val="0"/>
          <w:bCs w:val="0"/>
          <w:sz w:val="16"/>
          <w:szCs w:val="16"/>
        </w:rPr>
        <w:t xml:space="preserve"> </w:t>
      </w:r>
      <w:r w:rsidR="00B56A8E">
        <w:rPr>
          <w:rFonts w:ascii="Aptos" w:hAnsi="Aptos"/>
          <w:b w:val="0"/>
          <w:bCs w:val="0"/>
          <w:sz w:val="16"/>
          <w:szCs w:val="16"/>
        </w:rPr>
        <w:t>DBP=diastolic blood pressure; MD=mean difference; SBP=systolic blood pressure;</w:t>
      </w:r>
    </w:p>
    <w:p w14:paraId="64C6E09E" w14:textId="77777777" w:rsidR="005402B0" w:rsidRPr="00D518FF" w:rsidRDefault="005402B0" w:rsidP="005402B0">
      <w:pPr>
        <w:pStyle w:val="Caption1"/>
        <w:spacing w:before="0" w:after="0"/>
        <w:rPr>
          <w:rFonts w:ascii="Aptos" w:hAnsi="Aptos"/>
          <w:b w:val="0"/>
          <w:bCs w:val="0"/>
          <w:sz w:val="16"/>
          <w:szCs w:val="16"/>
        </w:rPr>
      </w:pPr>
    </w:p>
    <w:p w14:paraId="3CA3ECB5" w14:textId="77777777" w:rsidR="005402B0" w:rsidRPr="00D518FF" w:rsidRDefault="005402B0" w:rsidP="005402B0">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77BCB763" w14:textId="77777777" w:rsidR="005402B0" w:rsidRPr="00D518FF" w:rsidRDefault="005402B0" w:rsidP="00A4650A">
      <w:pPr>
        <w:pStyle w:val="ListParagraph"/>
        <w:numPr>
          <w:ilvl w:val="0"/>
          <w:numId w:val="3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Blood pressure (systolic, diastolic)</w:t>
      </w:r>
    </w:p>
    <w:p w14:paraId="1DD456CA" w14:textId="77777777" w:rsidR="005402B0" w:rsidRPr="00D518FF" w:rsidRDefault="005402B0" w:rsidP="00A4650A">
      <w:pPr>
        <w:pStyle w:val="ListParagraph"/>
        <w:numPr>
          <w:ilvl w:val="0"/>
          <w:numId w:val="3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761246BE" w14:textId="77777777" w:rsidR="005402B0" w:rsidRPr="00D518FF" w:rsidRDefault="005402B0" w:rsidP="00A4650A">
      <w:pPr>
        <w:pStyle w:val="ListParagraph"/>
        <w:numPr>
          <w:ilvl w:val="0"/>
          <w:numId w:val="3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Cardiovascular events (fatal or non</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fatal myocardial infaRCTion, excluding heart failure and if possible angina)</w:t>
      </w:r>
    </w:p>
    <w:p w14:paraId="3630CC2D" w14:textId="77777777" w:rsidR="005402B0" w:rsidRPr="00D518FF" w:rsidRDefault="005402B0" w:rsidP="00A4650A">
      <w:pPr>
        <w:pStyle w:val="ListParagraph"/>
        <w:numPr>
          <w:ilvl w:val="0"/>
          <w:numId w:val="3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Cerebrovascular events (fatal or non</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fatal strokes, excluding transient ischaemic attacks if possible)</w:t>
      </w:r>
    </w:p>
    <w:p w14:paraId="0915BC95" w14:textId="77777777" w:rsidR="005402B0" w:rsidRPr="00D518FF" w:rsidRDefault="005402B0" w:rsidP="00A4650A">
      <w:pPr>
        <w:pStyle w:val="ListParagraph"/>
        <w:numPr>
          <w:ilvl w:val="0"/>
          <w:numId w:val="37"/>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Death from cardiovascular</w:t>
      </w:r>
    </w:p>
    <w:p w14:paraId="4563D147" w14:textId="7DFEC393" w:rsidR="009E4D3F" w:rsidRPr="00D518FF" w:rsidRDefault="00834CBC" w:rsidP="00834CBC">
      <w:pPr>
        <w:pStyle w:val="Caption"/>
        <w:rPr>
          <w:rFonts w:ascii="Aptos" w:hAnsi="Aptos"/>
        </w:rPr>
      </w:pPr>
      <w:bookmarkStart w:id="207" w:name="_Toc185254587"/>
      <w:r w:rsidRPr="00F614C8">
        <w:rPr>
          <w:rFonts w:ascii="Aptos" w:hAnsi="Aptos"/>
        </w:rPr>
        <w:lastRenderedPageBreak/>
        <w:t xml:space="preserve">Table </w:t>
      </w:r>
      <w:r w:rsidR="003B0594" w:rsidRPr="00F614C8">
        <w:rPr>
          <w:rFonts w:ascii="Aptos" w:hAnsi="Aptos"/>
        </w:rPr>
        <w:fldChar w:fldCharType="begin" w:fldLock="1"/>
      </w:r>
      <w:r w:rsidR="003B0594" w:rsidRPr="00F614C8">
        <w:rPr>
          <w:rFonts w:ascii="Aptos" w:hAnsi="Aptos"/>
        </w:rPr>
        <w:instrText xml:space="preserve"> STYLEREF 1 \s </w:instrText>
      </w:r>
      <w:r w:rsidR="003B0594" w:rsidRPr="00F614C8">
        <w:rPr>
          <w:rFonts w:ascii="Aptos" w:hAnsi="Aptos"/>
        </w:rPr>
        <w:fldChar w:fldCharType="separate"/>
      </w:r>
      <w:r w:rsidR="003B0594" w:rsidRPr="00F614C8">
        <w:rPr>
          <w:rFonts w:ascii="Aptos" w:hAnsi="Aptos"/>
        </w:rPr>
        <w:t>E</w:t>
      </w:r>
      <w:r w:rsidR="003B0594"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15</w:t>
      </w:r>
      <w:r w:rsidR="003B0594" w:rsidRPr="00F614C8">
        <w:rPr>
          <w:rFonts w:ascii="Aptos" w:hAnsi="Aptos"/>
        </w:rPr>
        <w:fldChar w:fldCharType="end"/>
      </w:r>
      <w:r w:rsidR="009E4D3F" w:rsidRPr="00D518FF">
        <w:rPr>
          <w:rFonts w:ascii="Aptos" w:hAnsi="Aptos"/>
        </w:rPr>
        <w:t xml:space="preserve">. Results of included </w:t>
      </w:r>
      <w:r w:rsidR="00EA7E81">
        <w:rPr>
          <w:rFonts w:ascii="Aptos" w:hAnsi="Aptos"/>
        </w:rPr>
        <w:t xml:space="preserve">(non-preferred) </w:t>
      </w:r>
      <w:r w:rsidR="009E4D3F" w:rsidRPr="00D518FF">
        <w:rPr>
          <w:rFonts w:ascii="Aptos" w:hAnsi="Aptos"/>
        </w:rPr>
        <w:t>reviews by outcome domain – hypertension, omega-3</w:t>
      </w:r>
      <w:r w:rsidR="00D409CA">
        <w:rPr>
          <w:rFonts w:ascii="Aptos" w:hAnsi="Aptos"/>
        </w:rPr>
        <w:t xml:space="preserve"> </w:t>
      </w:r>
      <w:r w:rsidR="00D409CA">
        <w:t>fatty acids</w:t>
      </w:r>
      <w:r>
        <w:rPr>
          <w:rFonts w:ascii="Aptos" w:hAnsi="Aptos"/>
        </w:rPr>
        <w:t>.</w:t>
      </w:r>
      <w:bookmarkEnd w:id="207"/>
    </w:p>
    <w:tbl>
      <w:tblPr>
        <w:tblStyle w:val="TableGrid"/>
        <w:tblW w:w="0" w:type="auto"/>
        <w:tblLayout w:type="fixed"/>
        <w:tblCellMar>
          <w:top w:w="28" w:type="dxa"/>
          <w:left w:w="57" w:type="dxa"/>
          <w:bottom w:w="28" w:type="dxa"/>
          <w:right w:w="0" w:type="dxa"/>
        </w:tblCellMar>
        <w:tblLook w:val="04A0" w:firstRow="1" w:lastRow="0" w:firstColumn="1" w:lastColumn="0" w:noHBand="0" w:noVBand="1"/>
      </w:tblPr>
      <w:tblGrid>
        <w:gridCol w:w="570"/>
        <w:gridCol w:w="724"/>
        <w:gridCol w:w="686"/>
        <w:gridCol w:w="1142"/>
        <w:gridCol w:w="1195"/>
        <w:gridCol w:w="995"/>
        <w:gridCol w:w="926"/>
        <w:gridCol w:w="716"/>
        <w:gridCol w:w="554"/>
        <w:gridCol w:w="1276"/>
        <w:gridCol w:w="1134"/>
        <w:gridCol w:w="2551"/>
        <w:gridCol w:w="851"/>
        <w:gridCol w:w="925"/>
      </w:tblGrid>
      <w:tr w:rsidR="00B56A8E" w:rsidRPr="00D518FF" w14:paraId="29E04EB8" w14:textId="77777777" w:rsidTr="00B56A8E">
        <w:trPr>
          <w:trHeight w:val="107"/>
        </w:trPr>
        <w:tc>
          <w:tcPr>
            <w:tcW w:w="570" w:type="dxa"/>
            <w:vMerge w:val="restart"/>
            <w:shd w:val="clear" w:color="auto" w:fill="D9D9D9" w:themeFill="background1" w:themeFillShade="D9"/>
          </w:tcPr>
          <w:p w14:paraId="2160652A"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Review ID</w:t>
            </w:r>
          </w:p>
        </w:tc>
        <w:tc>
          <w:tcPr>
            <w:tcW w:w="724" w:type="dxa"/>
            <w:vMerge w:val="restart"/>
            <w:shd w:val="clear" w:color="auto" w:fill="D9D9D9" w:themeFill="background1" w:themeFillShade="D9"/>
          </w:tcPr>
          <w:p w14:paraId="0A15C3F8"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Outcome domain</w:t>
            </w:r>
          </w:p>
        </w:tc>
        <w:tc>
          <w:tcPr>
            <w:tcW w:w="686" w:type="dxa"/>
            <w:vMerge w:val="restart"/>
            <w:shd w:val="clear" w:color="auto" w:fill="D9D9D9" w:themeFill="background1" w:themeFillShade="D9"/>
          </w:tcPr>
          <w:p w14:paraId="000BAE0E"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Population group</w:t>
            </w:r>
          </w:p>
        </w:tc>
        <w:tc>
          <w:tcPr>
            <w:tcW w:w="1142" w:type="dxa"/>
            <w:vMerge w:val="restart"/>
            <w:shd w:val="clear" w:color="auto" w:fill="D9D9D9" w:themeFill="background1" w:themeFillShade="D9"/>
          </w:tcPr>
          <w:p w14:paraId="5B2101F6"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Population details</w:t>
            </w:r>
          </w:p>
        </w:tc>
        <w:tc>
          <w:tcPr>
            <w:tcW w:w="1195" w:type="dxa"/>
            <w:vMerge w:val="restart"/>
            <w:shd w:val="clear" w:color="auto" w:fill="D9D9D9" w:themeFill="background1" w:themeFillShade="D9"/>
          </w:tcPr>
          <w:p w14:paraId="1C552106"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Type of comparison</w:t>
            </w:r>
          </w:p>
        </w:tc>
        <w:tc>
          <w:tcPr>
            <w:tcW w:w="995" w:type="dxa"/>
            <w:vMerge w:val="restart"/>
            <w:shd w:val="clear" w:color="auto" w:fill="D9D9D9" w:themeFill="background1" w:themeFillShade="D9"/>
          </w:tcPr>
          <w:p w14:paraId="08E09E74"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Intervention description</w:t>
            </w:r>
          </w:p>
        </w:tc>
        <w:tc>
          <w:tcPr>
            <w:tcW w:w="926" w:type="dxa"/>
            <w:vMerge w:val="restart"/>
            <w:shd w:val="clear" w:color="auto" w:fill="D9D9D9" w:themeFill="background1" w:themeFillShade="D9"/>
          </w:tcPr>
          <w:p w14:paraId="2C2B6F41"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Comparator description</w:t>
            </w:r>
          </w:p>
        </w:tc>
        <w:tc>
          <w:tcPr>
            <w:tcW w:w="716" w:type="dxa"/>
            <w:vMerge w:val="restart"/>
            <w:shd w:val="clear" w:color="auto" w:fill="D9D9D9" w:themeFill="background1" w:themeFillShade="D9"/>
          </w:tcPr>
          <w:p w14:paraId="1957E369"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No/types of included studies</w:t>
            </w:r>
          </w:p>
        </w:tc>
        <w:tc>
          <w:tcPr>
            <w:tcW w:w="554" w:type="dxa"/>
            <w:vMerge w:val="restart"/>
            <w:shd w:val="clear" w:color="auto" w:fill="D9D9D9" w:themeFill="background1" w:themeFillShade="D9"/>
          </w:tcPr>
          <w:p w14:paraId="5BBC01F8"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No of participants (total)</w:t>
            </w:r>
          </w:p>
        </w:tc>
        <w:tc>
          <w:tcPr>
            <w:tcW w:w="1276" w:type="dxa"/>
            <w:vMerge w:val="restart"/>
            <w:shd w:val="clear" w:color="auto" w:fill="D9D9D9" w:themeFill="background1" w:themeFillShade="D9"/>
          </w:tcPr>
          <w:p w14:paraId="56A4643B"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Outcome measure(s) used</w:t>
            </w:r>
          </w:p>
        </w:tc>
        <w:tc>
          <w:tcPr>
            <w:tcW w:w="4536" w:type="dxa"/>
            <w:gridSpan w:val="3"/>
            <w:shd w:val="clear" w:color="auto" w:fill="D9D9D9" w:themeFill="background1" w:themeFillShade="D9"/>
          </w:tcPr>
          <w:p w14:paraId="60DEA757" w14:textId="15883D4B" w:rsidR="006B5A09" w:rsidRPr="007F51F3" w:rsidRDefault="006B5A09" w:rsidP="00AA62BB">
            <w:pPr>
              <w:pStyle w:val="Caption1"/>
              <w:spacing w:before="0" w:after="0"/>
              <w:rPr>
                <w:rFonts w:ascii="Aptos" w:hAnsi="Aptos"/>
                <w:sz w:val="16"/>
                <w:szCs w:val="16"/>
              </w:rPr>
            </w:pPr>
            <w:r w:rsidRPr="00D518FF">
              <w:rPr>
                <w:rFonts w:ascii="Aptos" w:hAnsi="Aptos"/>
                <w:sz w:val="16"/>
                <w:szCs w:val="16"/>
              </w:rPr>
              <w:t>Results</w:t>
            </w:r>
          </w:p>
        </w:tc>
        <w:tc>
          <w:tcPr>
            <w:tcW w:w="925" w:type="dxa"/>
            <w:vMerge w:val="restart"/>
            <w:shd w:val="clear" w:color="auto" w:fill="D9D9D9" w:themeFill="background1" w:themeFillShade="D9"/>
          </w:tcPr>
          <w:p w14:paraId="7BA5FCCD" w14:textId="413672CB" w:rsidR="006B5A09" w:rsidRPr="00D518FF" w:rsidRDefault="006B5A09" w:rsidP="00AA62BB">
            <w:pPr>
              <w:pStyle w:val="Caption1"/>
              <w:spacing w:before="0" w:after="0"/>
              <w:rPr>
                <w:rFonts w:ascii="Aptos" w:hAnsi="Aptos"/>
                <w:sz w:val="16"/>
                <w:szCs w:val="16"/>
              </w:rPr>
            </w:pPr>
            <w:r w:rsidRPr="007F51F3">
              <w:rPr>
                <w:rFonts w:ascii="Aptos" w:hAnsi="Aptos"/>
                <w:sz w:val="16"/>
                <w:szCs w:val="16"/>
              </w:rPr>
              <w:t>ROBIS assessment (for the review overall)</w:t>
            </w:r>
          </w:p>
        </w:tc>
      </w:tr>
      <w:tr w:rsidR="00B56A8E" w:rsidRPr="00D518FF" w14:paraId="77B5A35C" w14:textId="77777777" w:rsidTr="00B56A8E">
        <w:trPr>
          <w:trHeight w:val="107"/>
        </w:trPr>
        <w:tc>
          <w:tcPr>
            <w:tcW w:w="570" w:type="dxa"/>
            <w:vMerge/>
            <w:shd w:val="clear" w:color="auto" w:fill="D9D9D9" w:themeFill="background1" w:themeFillShade="D9"/>
          </w:tcPr>
          <w:p w14:paraId="1D38A144" w14:textId="77777777" w:rsidR="006B5A09" w:rsidRPr="00D518FF" w:rsidRDefault="006B5A09" w:rsidP="006B5A09">
            <w:pPr>
              <w:pStyle w:val="Caption1"/>
              <w:spacing w:before="0" w:after="0"/>
              <w:rPr>
                <w:rFonts w:ascii="Aptos" w:hAnsi="Aptos"/>
                <w:sz w:val="16"/>
                <w:szCs w:val="16"/>
              </w:rPr>
            </w:pPr>
          </w:p>
        </w:tc>
        <w:tc>
          <w:tcPr>
            <w:tcW w:w="724" w:type="dxa"/>
            <w:vMerge/>
            <w:shd w:val="clear" w:color="auto" w:fill="D9D9D9" w:themeFill="background1" w:themeFillShade="D9"/>
          </w:tcPr>
          <w:p w14:paraId="208F7EED" w14:textId="77777777" w:rsidR="006B5A09" w:rsidRPr="00D518FF" w:rsidRDefault="006B5A09" w:rsidP="006B5A09">
            <w:pPr>
              <w:pStyle w:val="Caption1"/>
              <w:spacing w:before="0" w:after="0"/>
              <w:rPr>
                <w:rFonts w:ascii="Aptos" w:hAnsi="Aptos"/>
                <w:sz w:val="16"/>
                <w:szCs w:val="16"/>
              </w:rPr>
            </w:pPr>
          </w:p>
        </w:tc>
        <w:tc>
          <w:tcPr>
            <w:tcW w:w="686" w:type="dxa"/>
            <w:vMerge/>
            <w:shd w:val="clear" w:color="auto" w:fill="D9D9D9" w:themeFill="background1" w:themeFillShade="D9"/>
          </w:tcPr>
          <w:p w14:paraId="3C05200A" w14:textId="77777777" w:rsidR="006B5A09" w:rsidRPr="00D518FF" w:rsidRDefault="006B5A09" w:rsidP="006B5A09">
            <w:pPr>
              <w:pStyle w:val="Caption1"/>
              <w:spacing w:before="0" w:after="0"/>
              <w:rPr>
                <w:rFonts w:ascii="Aptos" w:hAnsi="Aptos"/>
                <w:sz w:val="16"/>
                <w:szCs w:val="16"/>
              </w:rPr>
            </w:pPr>
          </w:p>
        </w:tc>
        <w:tc>
          <w:tcPr>
            <w:tcW w:w="1142" w:type="dxa"/>
            <w:vMerge/>
            <w:shd w:val="clear" w:color="auto" w:fill="D9D9D9" w:themeFill="background1" w:themeFillShade="D9"/>
          </w:tcPr>
          <w:p w14:paraId="2BAB0696" w14:textId="77777777" w:rsidR="006B5A09" w:rsidRPr="00D518FF" w:rsidRDefault="006B5A09" w:rsidP="006B5A09">
            <w:pPr>
              <w:pStyle w:val="Caption1"/>
              <w:spacing w:before="0" w:after="0"/>
              <w:rPr>
                <w:rFonts w:ascii="Aptos" w:hAnsi="Aptos"/>
                <w:sz w:val="16"/>
                <w:szCs w:val="16"/>
              </w:rPr>
            </w:pPr>
          </w:p>
        </w:tc>
        <w:tc>
          <w:tcPr>
            <w:tcW w:w="1195" w:type="dxa"/>
            <w:vMerge/>
            <w:shd w:val="clear" w:color="auto" w:fill="D9D9D9" w:themeFill="background1" w:themeFillShade="D9"/>
          </w:tcPr>
          <w:p w14:paraId="5B2871FF" w14:textId="77777777" w:rsidR="006B5A09" w:rsidRPr="00D518FF" w:rsidRDefault="006B5A09" w:rsidP="006B5A09">
            <w:pPr>
              <w:pStyle w:val="Caption1"/>
              <w:spacing w:before="0" w:after="0"/>
              <w:rPr>
                <w:rFonts w:ascii="Aptos" w:hAnsi="Aptos"/>
                <w:sz w:val="16"/>
                <w:szCs w:val="16"/>
              </w:rPr>
            </w:pPr>
          </w:p>
        </w:tc>
        <w:tc>
          <w:tcPr>
            <w:tcW w:w="995" w:type="dxa"/>
            <w:vMerge/>
            <w:shd w:val="clear" w:color="auto" w:fill="D9D9D9" w:themeFill="background1" w:themeFillShade="D9"/>
          </w:tcPr>
          <w:p w14:paraId="39AA24BF" w14:textId="77777777" w:rsidR="006B5A09" w:rsidRPr="00D518FF" w:rsidRDefault="006B5A09" w:rsidP="006B5A09">
            <w:pPr>
              <w:pStyle w:val="Caption1"/>
              <w:spacing w:before="0" w:after="0"/>
              <w:rPr>
                <w:rFonts w:ascii="Aptos" w:hAnsi="Aptos"/>
                <w:sz w:val="16"/>
                <w:szCs w:val="16"/>
              </w:rPr>
            </w:pPr>
          </w:p>
        </w:tc>
        <w:tc>
          <w:tcPr>
            <w:tcW w:w="926" w:type="dxa"/>
            <w:vMerge/>
            <w:shd w:val="clear" w:color="auto" w:fill="D9D9D9" w:themeFill="background1" w:themeFillShade="D9"/>
          </w:tcPr>
          <w:p w14:paraId="4F507672" w14:textId="77777777" w:rsidR="006B5A09" w:rsidRPr="00D518FF" w:rsidRDefault="006B5A09" w:rsidP="006B5A09">
            <w:pPr>
              <w:pStyle w:val="Caption1"/>
              <w:spacing w:before="0" w:after="0"/>
              <w:rPr>
                <w:rFonts w:ascii="Aptos" w:hAnsi="Aptos"/>
                <w:sz w:val="16"/>
                <w:szCs w:val="16"/>
              </w:rPr>
            </w:pPr>
          </w:p>
        </w:tc>
        <w:tc>
          <w:tcPr>
            <w:tcW w:w="716" w:type="dxa"/>
            <w:vMerge/>
            <w:shd w:val="clear" w:color="auto" w:fill="D9D9D9" w:themeFill="background1" w:themeFillShade="D9"/>
          </w:tcPr>
          <w:p w14:paraId="5CDCE30E" w14:textId="77777777" w:rsidR="006B5A09" w:rsidRPr="00D518FF" w:rsidRDefault="006B5A09" w:rsidP="006B5A09">
            <w:pPr>
              <w:pStyle w:val="Caption1"/>
              <w:spacing w:before="0" w:after="0"/>
              <w:rPr>
                <w:rFonts w:ascii="Aptos" w:hAnsi="Aptos"/>
                <w:sz w:val="16"/>
                <w:szCs w:val="16"/>
              </w:rPr>
            </w:pPr>
          </w:p>
        </w:tc>
        <w:tc>
          <w:tcPr>
            <w:tcW w:w="554" w:type="dxa"/>
            <w:vMerge/>
            <w:shd w:val="clear" w:color="auto" w:fill="D9D9D9" w:themeFill="background1" w:themeFillShade="D9"/>
          </w:tcPr>
          <w:p w14:paraId="20FF82A7" w14:textId="77777777" w:rsidR="006B5A09" w:rsidRPr="00D518FF" w:rsidRDefault="006B5A09" w:rsidP="006B5A09">
            <w:pPr>
              <w:pStyle w:val="Caption1"/>
              <w:spacing w:before="0" w:after="0"/>
              <w:rPr>
                <w:rFonts w:ascii="Aptos" w:hAnsi="Aptos"/>
                <w:sz w:val="16"/>
                <w:szCs w:val="16"/>
              </w:rPr>
            </w:pPr>
          </w:p>
        </w:tc>
        <w:tc>
          <w:tcPr>
            <w:tcW w:w="1276" w:type="dxa"/>
            <w:vMerge/>
            <w:shd w:val="clear" w:color="auto" w:fill="D9D9D9" w:themeFill="background1" w:themeFillShade="D9"/>
          </w:tcPr>
          <w:p w14:paraId="05441019" w14:textId="77777777" w:rsidR="006B5A09" w:rsidRPr="00D518FF" w:rsidRDefault="006B5A09" w:rsidP="006B5A09">
            <w:pPr>
              <w:pStyle w:val="Caption1"/>
              <w:spacing w:before="0" w:after="0"/>
              <w:rPr>
                <w:rFonts w:ascii="Aptos" w:hAnsi="Aptos"/>
                <w:sz w:val="16"/>
                <w:szCs w:val="16"/>
              </w:rPr>
            </w:pPr>
          </w:p>
        </w:tc>
        <w:tc>
          <w:tcPr>
            <w:tcW w:w="1134" w:type="dxa"/>
            <w:shd w:val="clear" w:color="auto" w:fill="D9D9D9" w:themeFill="background1" w:themeFillShade="D9"/>
          </w:tcPr>
          <w:p w14:paraId="1F2A30E1" w14:textId="77777777" w:rsidR="006B5A09" w:rsidRPr="00D518FF" w:rsidRDefault="006B5A09" w:rsidP="006B5A09">
            <w:pPr>
              <w:pStyle w:val="Caption1"/>
              <w:spacing w:before="0" w:after="0"/>
              <w:rPr>
                <w:rFonts w:ascii="Aptos" w:hAnsi="Aptos"/>
                <w:sz w:val="16"/>
                <w:szCs w:val="16"/>
              </w:rPr>
            </w:pPr>
            <w:r w:rsidRPr="00D518FF">
              <w:rPr>
                <w:rFonts w:ascii="Aptos" w:hAnsi="Aptos"/>
                <w:sz w:val="16"/>
                <w:szCs w:val="16"/>
              </w:rPr>
              <w:t>Relative effect (95% CI)</w:t>
            </w:r>
          </w:p>
        </w:tc>
        <w:tc>
          <w:tcPr>
            <w:tcW w:w="2551" w:type="dxa"/>
            <w:shd w:val="clear" w:color="auto" w:fill="D9D9D9" w:themeFill="background1" w:themeFillShade="D9"/>
          </w:tcPr>
          <w:p w14:paraId="30A1D825" w14:textId="77777777" w:rsidR="006B5A09" w:rsidRPr="00D518FF" w:rsidRDefault="006B5A09" w:rsidP="006B5A09">
            <w:pPr>
              <w:pStyle w:val="Caption1"/>
              <w:spacing w:before="0" w:after="0"/>
              <w:rPr>
                <w:rFonts w:ascii="Aptos" w:hAnsi="Aptos"/>
                <w:sz w:val="16"/>
                <w:szCs w:val="16"/>
              </w:rPr>
            </w:pPr>
            <w:r w:rsidRPr="00D518FF">
              <w:rPr>
                <w:rFonts w:ascii="Aptos" w:hAnsi="Aptos"/>
                <w:sz w:val="16"/>
                <w:szCs w:val="16"/>
              </w:rPr>
              <w:t>Other reported results</w:t>
            </w:r>
          </w:p>
        </w:tc>
        <w:tc>
          <w:tcPr>
            <w:tcW w:w="851" w:type="dxa"/>
            <w:shd w:val="clear" w:color="auto" w:fill="D9D9D9" w:themeFill="background1" w:themeFillShade="D9"/>
          </w:tcPr>
          <w:p w14:paraId="436A7792" w14:textId="6E0B8506" w:rsidR="006B5A09" w:rsidRPr="00D518FF" w:rsidRDefault="006B5A09" w:rsidP="006B5A09">
            <w:pPr>
              <w:pStyle w:val="Caption1"/>
              <w:spacing w:before="0" w:after="0"/>
              <w:rPr>
                <w:rFonts w:ascii="Aptos" w:hAnsi="Aptos"/>
                <w:sz w:val="16"/>
                <w:szCs w:val="16"/>
              </w:rPr>
            </w:pPr>
            <w:r w:rsidRPr="006B5A09">
              <w:rPr>
                <w:rFonts w:ascii="Aptos" w:hAnsi="Aptos"/>
                <w:sz w:val="16"/>
                <w:szCs w:val="16"/>
              </w:rPr>
              <w:t>Risk of bias summary (primary studies)</w:t>
            </w:r>
          </w:p>
        </w:tc>
        <w:tc>
          <w:tcPr>
            <w:tcW w:w="925" w:type="dxa"/>
            <w:vMerge/>
            <w:shd w:val="clear" w:color="auto" w:fill="D9D9D9" w:themeFill="background1" w:themeFillShade="D9"/>
          </w:tcPr>
          <w:p w14:paraId="7B835089" w14:textId="098B633B" w:rsidR="006B5A09" w:rsidRPr="00D518FF" w:rsidRDefault="006B5A09" w:rsidP="006B5A09">
            <w:pPr>
              <w:pStyle w:val="Caption1"/>
              <w:spacing w:before="0" w:after="0"/>
              <w:rPr>
                <w:rFonts w:ascii="Aptos" w:hAnsi="Aptos"/>
                <w:sz w:val="16"/>
                <w:szCs w:val="16"/>
              </w:rPr>
            </w:pPr>
          </w:p>
        </w:tc>
      </w:tr>
      <w:tr w:rsidR="00B56A8E" w:rsidRPr="00D518FF" w14:paraId="47D13754" w14:textId="77777777" w:rsidTr="00B56A8E">
        <w:trPr>
          <w:trHeight w:val="227"/>
        </w:trPr>
        <w:tc>
          <w:tcPr>
            <w:tcW w:w="570" w:type="dxa"/>
          </w:tcPr>
          <w:p w14:paraId="71FE161C"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Guo 2019</w:t>
            </w:r>
          </w:p>
        </w:tc>
        <w:tc>
          <w:tcPr>
            <w:tcW w:w="724" w:type="dxa"/>
          </w:tcPr>
          <w:p w14:paraId="3BA31F97" w14:textId="34EAE73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1. </w:t>
            </w:r>
            <w:r w:rsidR="00B56A8E">
              <w:rPr>
                <w:rFonts w:ascii="Aptos" w:hAnsi="Aptos"/>
                <w:b w:val="0"/>
                <w:bCs w:val="0"/>
                <w:sz w:val="16"/>
                <w:szCs w:val="16"/>
              </w:rPr>
              <w:t>S</w:t>
            </w:r>
            <w:r w:rsidR="00B56A8E" w:rsidRPr="00D518FF">
              <w:rPr>
                <w:rFonts w:ascii="Aptos" w:hAnsi="Aptos"/>
                <w:b w:val="0"/>
                <w:bCs w:val="0"/>
                <w:sz w:val="16"/>
                <w:szCs w:val="16"/>
              </w:rPr>
              <w:t xml:space="preserve">BP </w:t>
            </w:r>
          </w:p>
        </w:tc>
        <w:tc>
          <w:tcPr>
            <w:tcW w:w="686" w:type="dxa"/>
          </w:tcPr>
          <w:p w14:paraId="7BFFC196" w14:textId="147C5D5E"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At-risk of condition</w:t>
            </w:r>
          </w:p>
        </w:tc>
        <w:tc>
          <w:tcPr>
            <w:tcW w:w="1142" w:type="dxa"/>
          </w:tcPr>
          <w:p w14:paraId="1DB2A09D"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subjects whose baseline SBP was &gt;130mmHg</w:t>
            </w:r>
          </w:p>
        </w:tc>
        <w:tc>
          <w:tcPr>
            <w:tcW w:w="1195" w:type="dxa"/>
          </w:tcPr>
          <w:p w14:paraId="68C869F2" w14:textId="2F09C2A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995" w:type="dxa"/>
          </w:tcPr>
          <w:p w14:paraId="6B954A9E"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EPA</w:t>
            </w:r>
          </w:p>
        </w:tc>
        <w:tc>
          <w:tcPr>
            <w:tcW w:w="926" w:type="dxa"/>
          </w:tcPr>
          <w:p w14:paraId="595C8A34"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16" w:type="dxa"/>
          </w:tcPr>
          <w:p w14:paraId="4E2EE201"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554" w:type="dxa"/>
          </w:tcPr>
          <w:p w14:paraId="77A11687" w14:textId="18B396A8" w:rsidR="006B5A09" w:rsidRPr="00D518FF" w:rsidRDefault="00B56A8E" w:rsidP="006B5A09">
            <w:pPr>
              <w:pStyle w:val="Caption1"/>
              <w:spacing w:before="0" w:after="0"/>
              <w:rPr>
                <w:rFonts w:ascii="Aptos" w:hAnsi="Aptos"/>
                <w:b w:val="0"/>
                <w:bCs w:val="0"/>
                <w:sz w:val="16"/>
                <w:szCs w:val="16"/>
              </w:rPr>
            </w:pPr>
            <w:r>
              <w:rPr>
                <w:rFonts w:ascii="Aptos" w:hAnsi="Aptos"/>
                <w:b w:val="0"/>
                <w:bCs w:val="0"/>
                <w:sz w:val="16"/>
                <w:szCs w:val="16"/>
              </w:rPr>
              <w:t>NR</w:t>
            </w:r>
          </w:p>
        </w:tc>
        <w:tc>
          <w:tcPr>
            <w:tcW w:w="1276" w:type="dxa"/>
          </w:tcPr>
          <w:p w14:paraId="79EA34E5"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mean differences between baseline and endpoint </w:t>
            </w:r>
          </w:p>
        </w:tc>
        <w:tc>
          <w:tcPr>
            <w:tcW w:w="1134" w:type="dxa"/>
          </w:tcPr>
          <w:p w14:paraId="28FC3F23"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Pooled effect=-5.30 mmHg; 95%CI: -10.50, -0.09 mmH</w:t>
            </w:r>
          </w:p>
        </w:tc>
        <w:tc>
          <w:tcPr>
            <w:tcW w:w="2551" w:type="dxa"/>
          </w:tcPr>
          <w:p w14:paraId="700EE4A0" w14:textId="59357C7F"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I² =</w:t>
            </w:r>
            <w:r w:rsidRPr="00D518FF">
              <w:rPr>
                <w:rFonts w:ascii="Aptos" w:hAnsi="Aptos"/>
                <w:b w:val="0"/>
                <w:bCs w:val="0"/>
                <w:sz w:val="16"/>
                <w:szCs w:val="16"/>
              </w:rPr>
              <w:t xml:space="preserve"> 0%</w:t>
            </w:r>
          </w:p>
        </w:tc>
        <w:tc>
          <w:tcPr>
            <w:tcW w:w="851" w:type="dxa"/>
          </w:tcPr>
          <w:p w14:paraId="7B7903FF" w14:textId="44B48321" w:rsidR="006B5A09" w:rsidRDefault="006B5A09" w:rsidP="006B5A09">
            <w:pPr>
              <w:pStyle w:val="Caption1"/>
              <w:spacing w:before="0" w:after="0"/>
              <w:rPr>
                <w:rFonts w:ascii="Aptos" w:hAnsi="Aptos"/>
                <w:b w:val="0"/>
                <w:bCs w:val="0"/>
                <w:sz w:val="16"/>
                <w:szCs w:val="16"/>
              </w:rPr>
            </w:pPr>
            <w:r>
              <w:rPr>
                <w:rFonts w:ascii="Aptos" w:hAnsi="Aptos"/>
                <w:b w:val="0"/>
                <w:bCs w:val="0"/>
                <w:sz w:val="16"/>
                <w:szCs w:val="16"/>
              </w:rPr>
              <w:t>NA</w:t>
            </w:r>
          </w:p>
        </w:tc>
        <w:tc>
          <w:tcPr>
            <w:tcW w:w="925" w:type="dxa"/>
          </w:tcPr>
          <w:p w14:paraId="061752D4" w14:textId="14A7912C"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Low risk</w:t>
            </w:r>
          </w:p>
        </w:tc>
      </w:tr>
      <w:tr w:rsidR="00B56A8E" w:rsidRPr="00D518FF" w14:paraId="0F018473" w14:textId="77777777" w:rsidTr="00B56A8E">
        <w:trPr>
          <w:trHeight w:val="227"/>
        </w:trPr>
        <w:tc>
          <w:tcPr>
            <w:tcW w:w="570" w:type="dxa"/>
          </w:tcPr>
          <w:p w14:paraId="404460B7"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Guo 2019</w:t>
            </w:r>
          </w:p>
        </w:tc>
        <w:tc>
          <w:tcPr>
            <w:tcW w:w="724" w:type="dxa"/>
          </w:tcPr>
          <w:p w14:paraId="1A3F2619" w14:textId="006EE5FE"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1. </w:t>
            </w:r>
            <w:r w:rsidR="00B56A8E">
              <w:rPr>
                <w:rFonts w:ascii="Aptos" w:hAnsi="Aptos"/>
                <w:b w:val="0"/>
                <w:bCs w:val="0"/>
                <w:sz w:val="16"/>
                <w:szCs w:val="16"/>
              </w:rPr>
              <w:t>S</w:t>
            </w:r>
            <w:r w:rsidRPr="00D518FF">
              <w:rPr>
                <w:rFonts w:ascii="Aptos" w:hAnsi="Aptos"/>
                <w:b w:val="0"/>
                <w:bCs w:val="0"/>
                <w:sz w:val="16"/>
                <w:szCs w:val="16"/>
              </w:rPr>
              <w:t>BP</w:t>
            </w:r>
          </w:p>
        </w:tc>
        <w:tc>
          <w:tcPr>
            <w:tcW w:w="686" w:type="dxa"/>
          </w:tcPr>
          <w:p w14:paraId="03A549DA" w14:textId="0216A476"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At-risk of condition</w:t>
            </w:r>
          </w:p>
        </w:tc>
        <w:tc>
          <w:tcPr>
            <w:tcW w:w="1142" w:type="dxa"/>
          </w:tcPr>
          <w:p w14:paraId="770EEF95"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subjects whose baseline SBP was &gt;125mmHg</w:t>
            </w:r>
          </w:p>
        </w:tc>
        <w:tc>
          <w:tcPr>
            <w:tcW w:w="1195" w:type="dxa"/>
          </w:tcPr>
          <w:p w14:paraId="130A1A99" w14:textId="7798C3CF"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995" w:type="dxa"/>
          </w:tcPr>
          <w:p w14:paraId="05AB0F9D"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DHA</w:t>
            </w:r>
          </w:p>
        </w:tc>
        <w:tc>
          <w:tcPr>
            <w:tcW w:w="926" w:type="dxa"/>
          </w:tcPr>
          <w:p w14:paraId="0E82BE13"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16" w:type="dxa"/>
          </w:tcPr>
          <w:p w14:paraId="48C28FAE"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554" w:type="dxa"/>
          </w:tcPr>
          <w:p w14:paraId="6B0EE990" w14:textId="3A56E465" w:rsidR="006B5A09" w:rsidRPr="00D518FF" w:rsidRDefault="00B56A8E" w:rsidP="006B5A09">
            <w:pPr>
              <w:pStyle w:val="Caption1"/>
              <w:spacing w:before="0" w:after="0"/>
              <w:rPr>
                <w:rFonts w:ascii="Aptos" w:hAnsi="Aptos"/>
                <w:b w:val="0"/>
                <w:bCs w:val="0"/>
                <w:sz w:val="16"/>
                <w:szCs w:val="16"/>
              </w:rPr>
            </w:pPr>
            <w:r>
              <w:rPr>
                <w:rFonts w:ascii="Aptos" w:hAnsi="Aptos"/>
                <w:b w:val="0"/>
                <w:bCs w:val="0"/>
                <w:sz w:val="16"/>
                <w:szCs w:val="16"/>
              </w:rPr>
              <w:t>NR</w:t>
            </w:r>
          </w:p>
        </w:tc>
        <w:tc>
          <w:tcPr>
            <w:tcW w:w="1276" w:type="dxa"/>
          </w:tcPr>
          <w:p w14:paraId="362333F9"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mean differences between baseline and endpoint </w:t>
            </w:r>
          </w:p>
        </w:tc>
        <w:tc>
          <w:tcPr>
            <w:tcW w:w="1134" w:type="dxa"/>
          </w:tcPr>
          <w:p w14:paraId="7F8D9844"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Pooled effect=-2.06 mmHg; 95%CI: -7.41, 3.29 mmH</w:t>
            </w:r>
          </w:p>
        </w:tc>
        <w:tc>
          <w:tcPr>
            <w:tcW w:w="2551" w:type="dxa"/>
          </w:tcPr>
          <w:p w14:paraId="76176D79" w14:textId="73F5F6AA"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I² =</w:t>
            </w:r>
            <w:r w:rsidRPr="00D518FF">
              <w:rPr>
                <w:rFonts w:ascii="Aptos" w:hAnsi="Aptos"/>
                <w:b w:val="0"/>
                <w:bCs w:val="0"/>
                <w:sz w:val="16"/>
                <w:szCs w:val="16"/>
              </w:rPr>
              <w:t xml:space="preserve"> 0%</w:t>
            </w:r>
          </w:p>
        </w:tc>
        <w:tc>
          <w:tcPr>
            <w:tcW w:w="851" w:type="dxa"/>
          </w:tcPr>
          <w:p w14:paraId="70930FBA" w14:textId="418E419A" w:rsidR="006B5A09" w:rsidRDefault="006B5A09" w:rsidP="006B5A09">
            <w:pPr>
              <w:pStyle w:val="Caption1"/>
              <w:spacing w:before="0" w:after="0"/>
              <w:rPr>
                <w:rFonts w:ascii="Aptos" w:hAnsi="Aptos"/>
                <w:b w:val="0"/>
                <w:bCs w:val="0"/>
                <w:sz w:val="16"/>
                <w:szCs w:val="16"/>
              </w:rPr>
            </w:pPr>
            <w:r>
              <w:rPr>
                <w:rFonts w:ascii="Aptos" w:hAnsi="Aptos"/>
                <w:b w:val="0"/>
                <w:bCs w:val="0"/>
                <w:sz w:val="16"/>
                <w:szCs w:val="16"/>
              </w:rPr>
              <w:t>NA</w:t>
            </w:r>
          </w:p>
        </w:tc>
        <w:tc>
          <w:tcPr>
            <w:tcW w:w="925" w:type="dxa"/>
          </w:tcPr>
          <w:p w14:paraId="6A886E6F" w14:textId="0ED08536"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Low risk</w:t>
            </w:r>
          </w:p>
        </w:tc>
      </w:tr>
      <w:tr w:rsidR="00B56A8E" w:rsidRPr="00D518FF" w14:paraId="33E9D6E4" w14:textId="77777777" w:rsidTr="00B56A8E">
        <w:trPr>
          <w:trHeight w:val="227"/>
        </w:trPr>
        <w:tc>
          <w:tcPr>
            <w:tcW w:w="570" w:type="dxa"/>
          </w:tcPr>
          <w:p w14:paraId="2D4040EF"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Radack 1989</w:t>
            </w:r>
          </w:p>
        </w:tc>
        <w:tc>
          <w:tcPr>
            <w:tcW w:w="724" w:type="dxa"/>
          </w:tcPr>
          <w:p w14:paraId="1507DDA1" w14:textId="14BCD4D5"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1. </w:t>
            </w:r>
            <w:r w:rsidR="00B56A8E">
              <w:rPr>
                <w:rFonts w:ascii="Aptos" w:hAnsi="Aptos"/>
                <w:b w:val="0"/>
                <w:bCs w:val="0"/>
                <w:sz w:val="16"/>
                <w:szCs w:val="16"/>
              </w:rPr>
              <w:t>D</w:t>
            </w:r>
            <w:r w:rsidRPr="00D518FF">
              <w:rPr>
                <w:rFonts w:ascii="Aptos" w:hAnsi="Aptos"/>
                <w:b w:val="0"/>
                <w:bCs w:val="0"/>
                <w:sz w:val="16"/>
                <w:szCs w:val="16"/>
              </w:rPr>
              <w:t>BP</w:t>
            </w:r>
          </w:p>
        </w:tc>
        <w:tc>
          <w:tcPr>
            <w:tcW w:w="686" w:type="dxa"/>
          </w:tcPr>
          <w:p w14:paraId="69CE23EE" w14:textId="6F4D755D"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142" w:type="dxa"/>
          </w:tcPr>
          <w:p w14:paraId="24455561"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Male/females with mild-</w:t>
            </w:r>
            <w:r w:rsidRPr="00D518FF">
              <w:rPr>
                <w:rFonts w:ascii="Aptos" w:hAnsi="Aptos"/>
                <w:b w:val="0"/>
                <w:bCs w:val="0"/>
                <w:sz w:val="16"/>
                <w:szCs w:val="16"/>
              </w:rPr>
              <w:br/>
              <w:t>moderate hypertension</w:t>
            </w:r>
          </w:p>
        </w:tc>
        <w:tc>
          <w:tcPr>
            <w:tcW w:w="1195" w:type="dxa"/>
          </w:tcPr>
          <w:p w14:paraId="12E91DA4" w14:textId="5029F0D4"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995" w:type="dxa"/>
          </w:tcPr>
          <w:p w14:paraId="1422E749"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Encapsulated fish oil; 16.5 g/day</w:t>
            </w:r>
          </w:p>
        </w:tc>
        <w:tc>
          <w:tcPr>
            <w:tcW w:w="926" w:type="dxa"/>
          </w:tcPr>
          <w:p w14:paraId="1A0F92AB"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716" w:type="dxa"/>
          </w:tcPr>
          <w:p w14:paraId="627A77F8"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554" w:type="dxa"/>
          </w:tcPr>
          <w:p w14:paraId="0F595ABC"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16</w:t>
            </w:r>
          </w:p>
        </w:tc>
        <w:tc>
          <w:tcPr>
            <w:tcW w:w="1276" w:type="dxa"/>
          </w:tcPr>
          <w:p w14:paraId="71FA9883" w14:textId="77777777" w:rsidR="006B5A09" w:rsidRPr="00D518FF" w:rsidRDefault="006B5A09" w:rsidP="006B5A09">
            <w:pPr>
              <w:pStyle w:val="Caption1"/>
              <w:spacing w:before="0" w:after="0"/>
              <w:rPr>
                <w:rFonts w:ascii="Aptos" w:hAnsi="Aptos"/>
                <w:b w:val="0"/>
                <w:bCs w:val="0"/>
                <w:sz w:val="16"/>
                <w:szCs w:val="16"/>
              </w:rPr>
            </w:pPr>
          </w:p>
        </w:tc>
        <w:tc>
          <w:tcPr>
            <w:tcW w:w="1134" w:type="dxa"/>
          </w:tcPr>
          <w:p w14:paraId="35B9DEF7"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ES = -0.08 (-0.58-0.42)</w:t>
            </w:r>
          </w:p>
        </w:tc>
        <w:tc>
          <w:tcPr>
            <w:tcW w:w="2551" w:type="dxa"/>
          </w:tcPr>
          <w:p w14:paraId="36AB697F" w14:textId="77777777" w:rsidR="006B5A09" w:rsidRPr="00D518FF" w:rsidRDefault="006B5A09" w:rsidP="006B5A09">
            <w:pPr>
              <w:pStyle w:val="Caption1"/>
              <w:spacing w:before="0" w:after="0"/>
              <w:rPr>
                <w:rFonts w:ascii="Aptos" w:hAnsi="Aptos"/>
                <w:b w:val="0"/>
                <w:bCs w:val="0"/>
                <w:sz w:val="16"/>
                <w:szCs w:val="16"/>
              </w:rPr>
            </w:pPr>
          </w:p>
        </w:tc>
        <w:tc>
          <w:tcPr>
            <w:tcW w:w="851" w:type="dxa"/>
          </w:tcPr>
          <w:p w14:paraId="3057804D" w14:textId="097782B2" w:rsidR="006B5A09" w:rsidRDefault="006B5A09" w:rsidP="006B5A09">
            <w:pPr>
              <w:pStyle w:val="Caption1"/>
              <w:spacing w:before="0" w:after="0"/>
              <w:rPr>
                <w:rFonts w:ascii="Aptos" w:hAnsi="Aptos"/>
                <w:b w:val="0"/>
                <w:bCs w:val="0"/>
                <w:sz w:val="16"/>
                <w:szCs w:val="16"/>
              </w:rPr>
            </w:pPr>
            <w:r>
              <w:rPr>
                <w:rFonts w:ascii="Aptos" w:hAnsi="Aptos"/>
                <w:b w:val="0"/>
                <w:bCs w:val="0"/>
                <w:sz w:val="16"/>
                <w:szCs w:val="16"/>
              </w:rPr>
              <w:t>NA</w:t>
            </w:r>
          </w:p>
        </w:tc>
        <w:tc>
          <w:tcPr>
            <w:tcW w:w="925" w:type="dxa"/>
          </w:tcPr>
          <w:p w14:paraId="7ED7B28D" w14:textId="1E9AB67C"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Unclear risk</w:t>
            </w:r>
          </w:p>
        </w:tc>
      </w:tr>
      <w:tr w:rsidR="00B56A8E" w:rsidRPr="00D518FF" w14:paraId="2C485D8F" w14:textId="77777777" w:rsidTr="00B56A8E">
        <w:trPr>
          <w:trHeight w:val="227"/>
        </w:trPr>
        <w:tc>
          <w:tcPr>
            <w:tcW w:w="570" w:type="dxa"/>
          </w:tcPr>
          <w:p w14:paraId="2CE5B27C"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Radack 1989</w:t>
            </w:r>
          </w:p>
        </w:tc>
        <w:tc>
          <w:tcPr>
            <w:tcW w:w="724" w:type="dxa"/>
          </w:tcPr>
          <w:p w14:paraId="02FD07BB" w14:textId="1C4C4D6D"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1. </w:t>
            </w:r>
            <w:r w:rsidR="00B56A8E">
              <w:rPr>
                <w:rFonts w:ascii="Aptos" w:hAnsi="Aptos"/>
                <w:b w:val="0"/>
                <w:bCs w:val="0"/>
                <w:sz w:val="16"/>
                <w:szCs w:val="16"/>
              </w:rPr>
              <w:t>S</w:t>
            </w:r>
            <w:r w:rsidRPr="00D518FF">
              <w:rPr>
                <w:rFonts w:ascii="Aptos" w:hAnsi="Aptos"/>
                <w:b w:val="0"/>
                <w:bCs w:val="0"/>
                <w:sz w:val="16"/>
                <w:szCs w:val="16"/>
              </w:rPr>
              <w:t>BP</w:t>
            </w:r>
          </w:p>
        </w:tc>
        <w:tc>
          <w:tcPr>
            <w:tcW w:w="686" w:type="dxa"/>
          </w:tcPr>
          <w:p w14:paraId="401E4BC1" w14:textId="099C6D52"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142" w:type="dxa"/>
          </w:tcPr>
          <w:p w14:paraId="654CF525"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Male/females with mild-</w:t>
            </w:r>
            <w:r w:rsidRPr="00D518FF">
              <w:rPr>
                <w:rFonts w:ascii="Aptos" w:hAnsi="Aptos"/>
                <w:b w:val="0"/>
                <w:bCs w:val="0"/>
                <w:sz w:val="16"/>
                <w:szCs w:val="16"/>
              </w:rPr>
              <w:br/>
              <w:t>moderate hypertension</w:t>
            </w:r>
          </w:p>
        </w:tc>
        <w:tc>
          <w:tcPr>
            <w:tcW w:w="1195" w:type="dxa"/>
          </w:tcPr>
          <w:p w14:paraId="5465689A" w14:textId="12C0648B"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995" w:type="dxa"/>
          </w:tcPr>
          <w:p w14:paraId="516AC5D1"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Encapsulated fish oil; 16.5 g/day</w:t>
            </w:r>
          </w:p>
        </w:tc>
        <w:tc>
          <w:tcPr>
            <w:tcW w:w="926" w:type="dxa"/>
          </w:tcPr>
          <w:p w14:paraId="0833D605"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716" w:type="dxa"/>
          </w:tcPr>
          <w:p w14:paraId="47A6314B"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554" w:type="dxa"/>
          </w:tcPr>
          <w:p w14:paraId="4DBDDBEB"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16</w:t>
            </w:r>
          </w:p>
        </w:tc>
        <w:tc>
          <w:tcPr>
            <w:tcW w:w="1276" w:type="dxa"/>
          </w:tcPr>
          <w:p w14:paraId="07AA9FC4" w14:textId="77777777" w:rsidR="006B5A09" w:rsidRPr="00D518FF" w:rsidRDefault="006B5A09" w:rsidP="006B5A09">
            <w:pPr>
              <w:pStyle w:val="Caption1"/>
              <w:spacing w:before="0" w:after="0"/>
              <w:rPr>
                <w:rFonts w:ascii="Aptos" w:hAnsi="Aptos"/>
                <w:b w:val="0"/>
                <w:bCs w:val="0"/>
                <w:sz w:val="16"/>
                <w:szCs w:val="16"/>
              </w:rPr>
            </w:pPr>
          </w:p>
        </w:tc>
        <w:tc>
          <w:tcPr>
            <w:tcW w:w="1134" w:type="dxa"/>
          </w:tcPr>
          <w:p w14:paraId="37BFCA11" w14:textId="777777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ES= -0.44 (-0.94-0.06) </w:t>
            </w:r>
          </w:p>
        </w:tc>
        <w:tc>
          <w:tcPr>
            <w:tcW w:w="2551" w:type="dxa"/>
          </w:tcPr>
          <w:p w14:paraId="53B7B9ED" w14:textId="4A6F9A77" w:rsidR="006B5A09" w:rsidRPr="00D518FF" w:rsidRDefault="006B5A09" w:rsidP="006B5A09">
            <w:pPr>
              <w:pStyle w:val="Caption1"/>
              <w:spacing w:before="0" w:after="0"/>
              <w:rPr>
                <w:rFonts w:ascii="Aptos" w:hAnsi="Aptos"/>
                <w:b w:val="0"/>
                <w:bCs w:val="0"/>
                <w:sz w:val="16"/>
                <w:szCs w:val="16"/>
              </w:rPr>
            </w:pPr>
            <w:r w:rsidRPr="00D518FF">
              <w:rPr>
                <w:rFonts w:ascii="Aptos" w:hAnsi="Aptos"/>
                <w:b w:val="0"/>
                <w:bCs w:val="0"/>
                <w:sz w:val="16"/>
                <w:szCs w:val="16"/>
              </w:rPr>
              <w:t xml:space="preserve">Effect size is the mean change in the treatment group (i.e., ω-3 fatty acid) minus the mean change in the control group, divided by the pooled standard deviation. Therefore, an effect size is a measure of the degree of improvement in standard deviation units. Negative effect sizes indicate that to-3 fatty acids were more effective than control. Positive effect sizes indicate that control was more effective </w:t>
            </w:r>
          </w:p>
        </w:tc>
        <w:tc>
          <w:tcPr>
            <w:tcW w:w="851" w:type="dxa"/>
          </w:tcPr>
          <w:p w14:paraId="4DD05308" w14:textId="48DDA0A9" w:rsidR="006B5A09" w:rsidRDefault="006B5A09" w:rsidP="006B5A09">
            <w:pPr>
              <w:pStyle w:val="Caption1"/>
              <w:spacing w:before="0" w:after="0"/>
              <w:rPr>
                <w:rFonts w:ascii="Aptos" w:hAnsi="Aptos"/>
                <w:b w:val="0"/>
                <w:bCs w:val="0"/>
                <w:sz w:val="16"/>
                <w:szCs w:val="16"/>
              </w:rPr>
            </w:pPr>
            <w:r>
              <w:rPr>
                <w:rFonts w:ascii="Aptos" w:hAnsi="Aptos"/>
                <w:b w:val="0"/>
                <w:bCs w:val="0"/>
                <w:sz w:val="16"/>
                <w:szCs w:val="16"/>
              </w:rPr>
              <w:t>NA</w:t>
            </w:r>
          </w:p>
        </w:tc>
        <w:tc>
          <w:tcPr>
            <w:tcW w:w="925" w:type="dxa"/>
          </w:tcPr>
          <w:p w14:paraId="1311C893" w14:textId="46F8B1F8" w:rsidR="006B5A09" w:rsidRPr="00D518FF" w:rsidRDefault="006B5A09" w:rsidP="006B5A09">
            <w:pPr>
              <w:pStyle w:val="Caption1"/>
              <w:spacing w:before="0" w:after="0"/>
              <w:rPr>
                <w:rFonts w:ascii="Aptos" w:hAnsi="Aptos"/>
                <w:b w:val="0"/>
                <w:bCs w:val="0"/>
                <w:sz w:val="16"/>
                <w:szCs w:val="16"/>
              </w:rPr>
            </w:pPr>
            <w:r>
              <w:rPr>
                <w:rFonts w:ascii="Aptos" w:hAnsi="Aptos"/>
                <w:b w:val="0"/>
                <w:bCs w:val="0"/>
                <w:sz w:val="16"/>
                <w:szCs w:val="16"/>
              </w:rPr>
              <w:t>Unclear risk</w:t>
            </w:r>
          </w:p>
        </w:tc>
      </w:tr>
    </w:tbl>
    <w:p w14:paraId="564448DC" w14:textId="26269311" w:rsidR="00B56A8E" w:rsidRPr="00D518FF" w:rsidRDefault="00B56A8E" w:rsidP="00B56A8E">
      <w:pPr>
        <w:pStyle w:val="Caption1"/>
        <w:spacing w:before="0" w:after="0"/>
        <w:rPr>
          <w:rFonts w:ascii="Aptos" w:hAnsi="Aptos"/>
          <w:b w:val="0"/>
          <w:bCs w:val="0"/>
          <w:sz w:val="16"/>
          <w:szCs w:val="16"/>
        </w:rPr>
      </w:pPr>
      <w:r w:rsidRPr="00D518FF">
        <w:rPr>
          <w:rFonts w:ascii="Aptos" w:hAnsi="Aptos"/>
          <w:b w:val="0"/>
          <w:bCs w:val="0"/>
          <w:sz w:val="16"/>
          <w:szCs w:val="16"/>
        </w:rPr>
        <w:t>Abbreviations:</w:t>
      </w:r>
      <w:r>
        <w:rPr>
          <w:rFonts w:ascii="Aptos" w:hAnsi="Aptos"/>
          <w:b w:val="0"/>
          <w:bCs w:val="0"/>
          <w:sz w:val="16"/>
          <w:szCs w:val="16"/>
        </w:rPr>
        <w:t xml:space="preserve"> CI=confidence interval;</w:t>
      </w:r>
      <w:r w:rsidRPr="00D518FF">
        <w:rPr>
          <w:rFonts w:ascii="Aptos" w:hAnsi="Aptos"/>
          <w:b w:val="0"/>
          <w:bCs w:val="0"/>
          <w:sz w:val="16"/>
          <w:szCs w:val="16"/>
        </w:rPr>
        <w:t xml:space="preserve"> </w:t>
      </w:r>
      <w:r>
        <w:rPr>
          <w:rFonts w:ascii="Aptos" w:hAnsi="Aptos"/>
          <w:b w:val="0"/>
          <w:bCs w:val="0"/>
          <w:sz w:val="16"/>
          <w:szCs w:val="16"/>
        </w:rPr>
        <w:t>DBP=diastolic blood pressure; MD=mean difference; NA=Not applicable; NR=Not reported; SBP=systolic blood pressure;</w:t>
      </w:r>
    </w:p>
    <w:p w14:paraId="634157E6" w14:textId="77777777" w:rsidR="009E4D3F" w:rsidRPr="00D518FF" w:rsidRDefault="009E4D3F" w:rsidP="00AA72BD">
      <w:pPr>
        <w:pStyle w:val="Caption1"/>
        <w:spacing w:before="0" w:after="0"/>
        <w:rPr>
          <w:rFonts w:ascii="Aptos" w:hAnsi="Aptos"/>
          <w:b w:val="0"/>
          <w:bCs w:val="0"/>
          <w:sz w:val="16"/>
          <w:szCs w:val="16"/>
        </w:rPr>
      </w:pPr>
    </w:p>
    <w:p w14:paraId="5CD5F7DB"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17927C94" w14:textId="77777777" w:rsidR="009E4D3F" w:rsidRPr="00D518FF" w:rsidRDefault="009E4D3F" w:rsidP="00A4650A">
      <w:pPr>
        <w:pStyle w:val="ListParagraph"/>
        <w:numPr>
          <w:ilvl w:val="0"/>
          <w:numId w:val="42"/>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Blood pressure (systolic, diastolic)</w:t>
      </w:r>
    </w:p>
    <w:p w14:paraId="69C20272" w14:textId="77777777" w:rsidR="009E4D3F" w:rsidRPr="00D518FF" w:rsidRDefault="009E4D3F" w:rsidP="00A4650A">
      <w:pPr>
        <w:pStyle w:val="ListParagraph"/>
        <w:numPr>
          <w:ilvl w:val="0"/>
          <w:numId w:val="42"/>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Quality of life</w:t>
      </w:r>
    </w:p>
    <w:p w14:paraId="52E4B098" w14:textId="0CBF9622" w:rsidR="009E4D3F" w:rsidRPr="00D518FF" w:rsidRDefault="009E4D3F" w:rsidP="00A4650A">
      <w:pPr>
        <w:pStyle w:val="ListParagraph"/>
        <w:numPr>
          <w:ilvl w:val="0"/>
          <w:numId w:val="42"/>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Cardiovascular events (fatal or non</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fatal myocardial infa</w:t>
      </w:r>
      <w:r w:rsidR="004622EE" w:rsidRPr="00D518FF">
        <w:rPr>
          <w:rFonts w:ascii="Aptos" w:hAnsi="Aptos" w:cs="Arial"/>
          <w:color w:val="000000" w:themeColor="text1"/>
          <w:kern w:val="0"/>
          <w:sz w:val="16"/>
          <w:szCs w:val="16"/>
          <w14:ligatures w14:val="none"/>
        </w:rPr>
        <w:t>RCT</w:t>
      </w:r>
      <w:r w:rsidRPr="00D518FF">
        <w:rPr>
          <w:rFonts w:ascii="Aptos" w:hAnsi="Aptos" w:cs="Arial"/>
          <w:color w:val="000000" w:themeColor="text1"/>
          <w:kern w:val="0"/>
          <w:sz w:val="16"/>
          <w:szCs w:val="16"/>
          <w14:ligatures w14:val="none"/>
        </w:rPr>
        <w:t>ion, excluding heart failure and if possible angina)</w:t>
      </w:r>
    </w:p>
    <w:p w14:paraId="2A57A79D" w14:textId="77777777" w:rsidR="009E4D3F" w:rsidRPr="00D518FF" w:rsidRDefault="009E4D3F" w:rsidP="00A4650A">
      <w:pPr>
        <w:pStyle w:val="ListParagraph"/>
        <w:numPr>
          <w:ilvl w:val="0"/>
          <w:numId w:val="42"/>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Cerebrovascular events (fatal or non</w:t>
      </w:r>
      <w:r w:rsidRPr="00D518FF">
        <w:rPr>
          <w:rFonts w:ascii="Cambria Math" w:hAnsi="Cambria Math" w:cs="Cambria Math"/>
          <w:color w:val="000000" w:themeColor="text1"/>
          <w:kern w:val="0"/>
          <w:sz w:val="16"/>
          <w:szCs w:val="16"/>
          <w14:ligatures w14:val="none"/>
        </w:rPr>
        <w:t>‐</w:t>
      </w:r>
      <w:r w:rsidRPr="00D518FF">
        <w:rPr>
          <w:rFonts w:ascii="Aptos" w:hAnsi="Aptos" w:cs="Arial"/>
          <w:color w:val="000000" w:themeColor="text1"/>
          <w:kern w:val="0"/>
          <w:sz w:val="16"/>
          <w:szCs w:val="16"/>
          <w14:ligatures w14:val="none"/>
        </w:rPr>
        <w:t>fatal strokes, excluding transient ischaemic attacks if possible)</w:t>
      </w:r>
    </w:p>
    <w:p w14:paraId="7FC5F731" w14:textId="77777777" w:rsidR="009E4D3F" w:rsidRPr="00D518FF" w:rsidRDefault="009E4D3F" w:rsidP="00A4650A">
      <w:pPr>
        <w:pStyle w:val="ListParagraph"/>
        <w:numPr>
          <w:ilvl w:val="0"/>
          <w:numId w:val="42"/>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Death from cardiovascular</w:t>
      </w:r>
    </w:p>
    <w:p w14:paraId="68A905BD" w14:textId="3598D4CB" w:rsidR="009E4D3F" w:rsidRPr="00B53559" w:rsidRDefault="009E4D3F" w:rsidP="00B53559">
      <w:pPr>
        <w:pStyle w:val="heading2numbers"/>
        <w:rPr>
          <w:rStyle w:val="Heading1Char"/>
          <w:rFonts w:ascii="Aptos" w:eastAsia="Calibri" w:hAnsi="Aptos"/>
          <w:bCs w:val="0"/>
          <w:color w:val="C00000"/>
          <w:sz w:val="28"/>
          <w:szCs w:val="26"/>
        </w:rPr>
      </w:pPr>
      <w:bookmarkStart w:id="208" w:name="_Toc185254672"/>
      <w:r w:rsidRPr="00B53559">
        <w:rPr>
          <w:rStyle w:val="Heading1Char"/>
          <w:rFonts w:ascii="Aptos" w:eastAsia="Calibri" w:hAnsi="Aptos"/>
          <w:bCs w:val="0"/>
          <w:color w:val="C00000"/>
          <w:sz w:val="28"/>
          <w:szCs w:val="26"/>
        </w:rPr>
        <w:lastRenderedPageBreak/>
        <w:t>Fibromyalgia, magnesium</w:t>
      </w:r>
      <w:bookmarkEnd w:id="208"/>
    </w:p>
    <w:p w14:paraId="702B1808" w14:textId="5D7FE8E2" w:rsidR="00EA7E81" w:rsidRPr="00D518FF" w:rsidRDefault="00834CBC" w:rsidP="00F614C8">
      <w:pPr>
        <w:pStyle w:val="Caption"/>
        <w:spacing w:before="240"/>
        <w:rPr>
          <w:rFonts w:ascii="Aptos" w:hAnsi="Aptos"/>
        </w:rPr>
      </w:pPr>
      <w:bookmarkStart w:id="209" w:name="_Toc185254588"/>
      <w:r w:rsidRPr="00F614C8">
        <w:rPr>
          <w:rFonts w:ascii="Aptos" w:hAnsi="Aptos"/>
        </w:rPr>
        <w:t xml:space="preserve">Table </w:t>
      </w:r>
      <w:r w:rsidR="00DC4767" w:rsidRPr="00F614C8">
        <w:rPr>
          <w:rFonts w:ascii="Aptos" w:hAnsi="Aptos"/>
        </w:rPr>
        <w:fldChar w:fldCharType="begin" w:fldLock="1"/>
      </w:r>
      <w:r w:rsidR="00DC4767" w:rsidRPr="00F614C8">
        <w:rPr>
          <w:rFonts w:ascii="Aptos" w:hAnsi="Aptos"/>
        </w:rPr>
        <w:instrText xml:space="preserve"> STYLEREF 1 \s </w:instrText>
      </w:r>
      <w:r w:rsidR="00DC4767" w:rsidRPr="00F614C8">
        <w:rPr>
          <w:rFonts w:ascii="Aptos" w:hAnsi="Aptos"/>
        </w:rPr>
        <w:fldChar w:fldCharType="separate"/>
      </w:r>
      <w:r w:rsidR="00DC4767" w:rsidRPr="00F614C8">
        <w:rPr>
          <w:rFonts w:ascii="Aptos" w:hAnsi="Aptos"/>
        </w:rPr>
        <w:t>E</w:t>
      </w:r>
      <w:r w:rsidR="00DC4767"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16</w:t>
      </w:r>
      <w:r w:rsidR="003B0594" w:rsidRPr="00F614C8">
        <w:rPr>
          <w:rFonts w:ascii="Aptos" w:hAnsi="Aptos"/>
        </w:rPr>
        <w:fldChar w:fldCharType="end"/>
      </w:r>
      <w:r w:rsidR="009E4D3F" w:rsidRPr="00D518FF">
        <w:rPr>
          <w:rFonts w:ascii="Aptos" w:hAnsi="Aptos"/>
        </w:rPr>
        <w:t xml:space="preserve">. Results of </w:t>
      </w:r>
      <w:r w:rsidR="00EA7E81">
        <w:rPr>
          <w:rFonts w:ascii="Aptos" w:hAnsi="Aptos"/>
        </w:rPr>
        <w:t>preferred</w:t>
      </w:r>
      <w:r w:rsidR="009E4D3F" w:rsidRPr="00D518FF">
        <w:rPr>
          <w:rFonts w:ascii="Aptos" w:hAnsi="Aptos"/>
        </w:rPr>
        <w:t xml:space="preserve"> reviews by outcome domain – fibromyalgia, magnesium</w:t>
      </w:r>
      <w:r>
        <w:rPr>
          <w:rFonts w:ascii="Aptos" w:hAnsi="Aptos"/>
        </w:rPr>
        <w:t>.</w:t>
      </w:r>
      <w:bookmarkEnd w:id="209"/>
    </w:p>
    <w:tbl>
      <w:tblPr>
        <w:tblStyle w:val="TableGrid"/>
        <w:tblpPr w:leftFromText="180" w:rightFromText="180" w:vertAnchor="text" w:tblpY="1"/>
        <w:tblOverlap w:val="never"/>
        <w:tblW w:w="14431" w:type="dxa"/>
        <w:tblLayout w:type="fixed"/>
        <w:tblCellMar>
          <w:top w:w="28" w:type="dxa"/>
          <w:left w:w="28" w:type="dxa"/>
          <w:bottom w:w="28" w:type="dxa"/>
          <w:right w:w="0" w:type="dxa"/>
        </w:tblCellMar>
        <w:tblLook w:val="04A0" w:firstRow="1" w:lastRow="0" w:firstColumn="1" w:lastColumn="0" w:noHBand="0" w:noVBand="1"/>
      </w:tblPr>
      <w:tblGrid>
        <w:gridCol w:w="703"/>
        <w:gridCol w:w="568"/>
        <w:gridCol w:w="1035"/>
        <w:gridCol w:w="1268"/>
        <w:gridCol w:w="1523"/>
        <w:gridCol w:w="1140"/>
        <w:gridCol w:w="983"/>
        <w:gridCol w:w="781"/>
        <w:gridCol w:w="942"/>
        <w:gridCol w:w="1006"/>
        <w:gridCol w:w="1245"/>
        <w:gridCol w:w="992"/>
        <w:gridCol w:w="1134"/>
        <w:gridCol w:w="1111"/>
      </w:tblGrid>
      <w:tr w:rsidR="00B56A8E" w:rsidRPr="00D518FF" w14:paraId="0164C4BE" w14:textId="77777777" w:rsidTr="00AA694C">
        <w:trPr>
          <w:trHeight w:val="153"/>
          <w:tblHeader/>
        </w:trPr>
        <w:tc>
          <w:tcPr>
            <w:tcW w:w="703" w:type="dxa"/>
            <w:vMerge w:val="restart"/>
            <w:shd w:val="clear" w:color="auto" w:fill="D9D9D9" w:themeFill="background1" w:themeFillShade="D9"/>
          </w:tcPr>
          <w:p w14:paraId="4045D7B4"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Review ID</w:t>
            </w:r>
          </w:p>
        </w:tc>
        <w:tc>
          <w:tcPr>
            <w:tcW w:w="568" w:type="dxa"/>
            <w:vMerge w:val="restart"/>
            <w:shd w:val="clear" w:color="auto" w:fill="D9D9D9" w:themeFill="background1" w:themeFillShade="D9"/>
            <w:textDirection w:val="btLr"/>
          </w:tcPr>
          <w:p w14:paraId="5270E457" w14:textId="77777777" w:rsidR="00B56A8E" w:rsidRPr="00D518FF" w:rsidRDefault="00B56A8E" w:rsidP="00AA694C">
            <w:pPr>
              <w:pStyle w:val="Caption1"/>
              <w:spacing w:before="0" w:after="0"/>
              <w:ind w:left="113" w:right="113"/>
              <w:rPr>
                <w:rFonts w:ascii="Aptos" w:hAnsi="Aptos"/>
                <w:sz w:val="16"/>
                <w:szCs w:val="16"/>
              </w:rPr>
            </w:pPr>
            <w:r w:rsidRPr="00D518FF">
              <w:rPr>
                <w:rFonts w:ascii="Aptos" w:hAnsi="Aptos"/>
                <w:sz w:val="16"/>
                <w:szCs w:val="16"/>
              </w:rPr>
              <w:t>Outcome domain</w:t>
            </w:r>
          </w:p>
        </w:tc>
        <w:tc>
          <w:tcPr>
            <w:tcW w:w="1035" w:type="dxa"/>
            <w:vMerge w:val="restart"/>
            <w:shd w:val="clear" w:color="auto" w:fill="D9D9D9" w:themeFill="background1" w:themeFillShade="D9"/>
          </w:tcPr>
          <w:p w14:paraId="4FF4B02D"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Population group</w:t>
            </w:r>
          </w:p>
        </w:tc>
        <w:tc>
          <w:tcPr>
            <w:tcW w:w="1268" w:type="dxa"/>
            <w:vMerge w:val="restart"/>
            <w:shd w:val="clear" w:color="auto" w:fill="D9D9D9" w:themeFill="background1" w:themeFillShade="D9"/>
          </w:tcPr>
          <w:p w14:paraId="79178EA1"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Population details</w:t>
            </w:r>
          </w:p>
        </w:tc>
        <w:tc>
          <w:tcPr>
            <w:tcW w:w="1523" w:type="dxa"/>
            <w:vMerge w:val="restart"/>
            <w:shd w:val="clear" w:color="auto" w:fill="D9D9D9" w:themeFill="background1" w:themeFillShade="D9"/>
          </w:tcPr>
          <w:p w14:paraId="17C79FFD"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Type of comparison</w:t>
            </w:r>
          </w:p>
        </w:tc>
        <w:tc>
          <w:tcPr>
            <w:tcW w:w="1140" w:type="dxa"/>
            <w:vMerge w:val="restart"/>
            <w:shd w:val="clear" w:color="auto" w:fill="D9D9D9" w:themeFill="background1" w:themeFillShade="D9"/>
          </w:tcPr>
          <w:p w14:paraId="60517D28"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Intervention description</w:t>
            </w:r>
          </w:p>
        </w:tc>
        <w:tc>
          <w:tcPr>
            <w:tcW w:w="983" w:type="dxa"/>
            <w:vMerge w:val="restart"/>
            <w:shd w:val="clear" w:color="auto" w:fill="D9D9D9" w:themeFill="background1" w:themeFillShade="D9"/>
          </w:tcPr>
          <w:p w14:paraId="313B55FA"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Comparator description</w:t>
            </w:r>
          </w:p>
        </w:tc>
        <w:tc>
          <w:tcPr>
            <w:tcW w:w="781" w:type="dxa"/>
            <w:vMerge w:val="restart"/>
            <w:shd w:val="clear" w:color="auto" w:fill="D9D9D9" w:themeFill="background1" w:themeFillShade="D9"/>
          </w:tcPr>
          <w:p w14:paraId="4C5E279E"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No/types of included studies</w:t>
            </w:r>
          </w:p>
        </w:tc>
        <w:tc>
          <w:tcPr>
            <w:tcW w:w="942" w:type="dxa"/>
            <w:vMerge w:val="restart"/>
            <w:shd w:val="clear" w:color="auto" w:fill="D9D9D9" w:themeFill="background1" w:themeFillShade="D9"/>
          </w:tcPr>
          <w:p w14:paraId="5322C365"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No of participants (total)</w:t>
            </w:r>
          </w:p>
        </w:tc>
        <w:tc>
          <w:tcPr>
            <w:tcW w:w="1006" w:type="dxa"/>
            <w:vMerge w:val="restart"/>
            <w:shd w:val="clear" w:color="auto" w:fill="D9D9D9" w:themeFill="background1" w:themeFillShade="D9"/>
          </w:tcPr>
          <w:p w14:paraId="77AEE237"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Outcome measure(s) used</w:t>
            </w:r>
          </w:p>
        </w:tc>
        <w:tc>
          <w:tcPr>
            <w:tcW w:w="3371" w:type="dxa"/>
            <w:gridSpan w:val="3"/>
            <w:shd w:val="clear" w:color="auto" w:fill="D9D9D9" w:themeFill="background1" w:themeFillShade="D9"/>
          </w:tcPr>
          <w:p w14:paraId="0B2940BC" w14:textId="7234B00B"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Results</w:t>
            </w:r>
          </w:p>
        </w:tc>
        <w:tc>
          <w:tcPr>
            <w:tcW w:w="1111" w:type="dxa"/>
            <w:vMerge w:val="restart"/>
            <w:shd w:val="clear" w:color="auto" w:fill="D9D9D9" w:themeFill="background1" w:themeFillShade="D9"/>
          </w:tcPr>
          <w:p w14:paraId="48A51D60" w14:textId="77777777" w:rsidR="00B56A8E" w:rsidRPr="00D518FF" w:rsidRDefault="00B56A8E" w:rsidP="00AA694C">
            <w:pPr>
              <w:pStyle w:val="Caption1"/>
              <w:spacing w:before="0" w:after="0"/>
              <w:rPr>
                <w:rFonts w:ascii="Aptos" w:hAnsi="Aptos"/>
                <w:sz w:val="16"/>
                <w:szCs w:val="16"/>
              </w:rPr>
            </w:pPr>
            <w:r w:rsidRPr="00F61E2F">
              <w:rPr>
                <w:rFonts w:ascii="Aptos" w:hAnsi="Aptos"/>
                <w:sz w:val="16"/>
                <w:szCs w:val="16"/>
              </w:rPr>
              <w:t>ROBIS assessment (for the review overall)</w:t>
            </w:r>
          </w:p>
        </w:tc>
      </w:tr>
      <w:tr w:rsidR="00B56A8E" w:rsidRPr="00D518FF" w14:paraId="054D4C3F" w14:textId="77777777" w:rsidTr="00AA694C">
        <w:trPr>
          <w:trHeight w:val="153"/>
          <w:tblHeader/>
        </w:trPr>
        <w:tc>
          <w:tcPr>
            <w:tcW w:w="703" w:type="dxa"/>
            <w:vMerge/>
            <w:shd w:val="clear" w:color="auto" w:fill="D9D9D9" w:themeFill="background1" w:themeFillShade="D9"/>
          </w:tcPr>
          <w:p w14:paraId="11DC70D6" w14:textId="77777777" w:rsidR="00B56A8E" w:rsidRPr="00D518FF" w:rsidRDefault="00B56A8E" w:rsidP="00AA694C">
            <w:pPr>
              <w:pStyle w:val="Caption1"/>
              <w:spacing w:before="0" w:after="0"/>
              <w:rPr>
                <w:rFonts w:ascii="Aptos" w:hAnsi="Aptos"/>
                <w:sz w:val="16"/>
                <w:szCs w:val="16"/>
              </w:rPr>
            </w:pPr>
          </w:p>
        </w:tc>
        <w:tc>
          <w:tcPr>
            <w:tcW w:w="568" w:type="dxa"/>
            <w:vMerge/>
            <w:shd w:val="clear" w:color="auto" w:fill="D9D9D9" w:themeFill="background1" w:themeFillShade="D9"/>
          </w:tcPr>
          <w:p w14:paraId="50E183FB" w14:textId="77777777" w:rsidR="00B56A8E" w:rsidRPr="00D518FF" w:rsidRDefault="00B56A8E" w:rsidP="00AA694C">
            <w:pPr>
              <w:pStyle w:val="Caption1"/>
              <w:spacing w:before="0" w:after="0"/>
              <w:rPr>
                <w:rFonts w:ascii="Aptos" w:hAnsi="Aptos"/>
                <w:sz w:val="16"/>
                <w:szCs w:val="16"/>
              </w:rPr>
            </w:pPr>
          </w:p>
        </w:tc>
        <w:tc>
          <w:tcPr>
            <w:tcW w:w="1035" w:type="dxa"/>
            <w:vMerge/>
            <w:shd w:val="clear" w:color="auto" w:fill="D9D9D9" w:themeFill="background1" w:themeFillShade="D9"/>
          </w:tcPr>
          <w:p w14:paraId="76910909" w14:textId="77777777" w:rsidR="00B56A8E" w:rsidRPr="00D518FF" w:rsidRDefault="00B56A8E" w:rsidP="00AA694C">
            <w:pPr>
              <w:pStyle w:val="Caption1"/>
              <w:spacing w:before="0" w:after="0"/>
              <w:rPr>
                <w:rFonts w:ascii="Aptos" w:hAnsi="Aptos"/>
                <w:sz w:val="16"/>
                <w:szCs w:val="16"/>
              </w:rPr>
            </w:pPr>
          </w:p>
        </w:tc>
        <w:tc>
          <w:tcPr>
            <w:tcW w:w="1268" w:type="dxa"/>
            <w:vMerge/>
            <w:shd w:val="clear" w:color="auto" w:fill="D9D9D9" w:themeFill="background1" w:themeFillShade="D9"/>
          </w:tcPr>
          <w:p w14:paraId="3514A67D" w14:textId="77777777" w:rsidR="00B56A8E" w:rsidRPr="00D518FF" w:rsidRDefault="00B56A8E" w:rsidP="00AA694C">
            <w:pPr>
              <w:pStyle w:val="Caption1"/>
              <w:spacing w:before="0" w:after="0"/>
              <w:rPr>
                <w:rFonts w:ascii="Aptos" w:hAnsi="Aptos"/>
                <w:sz w:val="16"/>
                <w:szCs w:val="16"/>
              </w:rPr>
            </w:pPr>
          </w:p>
        </w:tc>
        <w:tc>
          <w:tcPr>
            <w:tcW w:w="1523" w:type="dxa"/>
            <w:vMerge/>
            <w:shd w:val="clear" w:color="auto" w:fill="D9D9D9" w:themeFill="background1" w:themeFillShade="D9"/>
          </w:tcPr>
          <w:p w14:paraId="7443EBF0" w14:textId="77777777" w:rsidR="00B56A8E" w:rsidRPr="00D518FF" w:rsidRDefault="00B56A8E" w:rsidP="00AA694C">
            <w:pPr>
              <w:pStyle w:val="Caption1"/>
              <w:spacing w:before="0" w:after="0"/>
              <w:rPr>
                <w:rFonts w:ascii="Aptos" w:hAnsi="Aptos"/>
                <w:sz w:val="16"/>
                <w:szCs w:val="16"/>
              </w:rPr>
            </w:pPr>
          </w:p>
        </w:tc>
        <w:tc>
          <w:tcPr>
            <w:tcW w:w="1140" w:type="dxa"/>
            <w:vMerge/>
            <w:shd w:val="clear" w:color="auto" w:fill="D9D9D9" w:themeFill="background1" w:themeFillShade="D9"/>
          </w:tcPr>
          <w:p w14:paraId="6CBF50EB" w14:textId="77777777" w:rsidR="00B56A8E" w:rsidRPr="00D518FF" w:rsidRDefault="00B56A8E" w:rsidP="00AA694C">
            <w:pPr>
              <w:pStyle w:val="Caption1"/>
              <w:spacing w:before="0" w:after="0"/>
              <w:rPr>
                <w:rFonts w:ascii="Aptos" w:hAnsi="Aptos"/>
                <w:sz w:val="16"/>
                <w:szCs w:val="16"/>
              </w:rPr>
            </w:pPr>
          </w:p>
        </w:tc>
        <w:tc>
          <w:tcPr>
            <w:tcW w:w="983" w:type="dxa"/>
            <w:vMerge/>
            <w:shd w:val="clear" w:color="auto" w:fill="D9D9D9" w:themeFill="background1" w:themeFillShade="D9"/>
          </w:tcPr>
          <w:p w14:paraId="02903598" w14:textId="77777777" w:rsidR="00B56A8E" w:rsidRPr="00D518FF" w:rsidRDefault="00B56A8E" w:rsidP="00AA694C">
            <w:pPr>
              <w:pStyle w:val="Caption1"/>
              <w:spacing w:before="0" w:after="0"/>
              <w:rPr>
                <w:rFonts w:ascii="Aptos" w:hAnsi="Aptos"/>
                <w:sz w:val="16"/>
                <w:szCs w:val="16"/>
              </w:rPr>
            </w:pPr>
          </w:p>
        </w:tc>
        <w:tc>
          <w:tcPr>
            <w:tcW w:w="781" w:type="dxa"/>
            <w:vMerge/>
            <w:shd w:val="clear" w:color="auto" w:fill="D9D9D9" w:themeFill="background1" w:themeFillShade="D9"/>
          </w:tcPr>
          <w:p w14:paraId="7164C32F" w14:textId="77777777" w:rsidR="00B56A8E" w:rsidRPr="00D518FF" w:rsidRDefault="00B56A8E" w:rsidP="00AA694C">
            <w:pPr>
              <w:pStyle w:val="Caption1"/>
              <w:spacing w:before="0" w:after="0"/>
              <w:rPr>
                <w:rFonts w:ascii="Aptos" w:hAnsi="Aptos"/>
                <w:sz w:val="16"/>
                <w:szCs w:val="16"/>
              </w:rPr>
            </w:pPr>
          </w:p>
        </w:tc>
        <w:tc>
          <w:tcPr>
            <w:tcW w:w="942" w:type="dxa"/>
            <w:vMerge/>
            <w:shd w:val="clear" w:color="auto" w:fill="D9D9D9" w:themeFill="background1" w:themeFillShade="D9"/>
          </w:tcPr>
          <w:p w14:paraId="41A0E068" w14:textId="77777777" w:rsidR="00B56A8E" w:rsidRPr="00D518FF" w:rsidRDefault="00B56A8E" w:rsidP="00AA694C">
            <w:pPr>
              <w:pStyle w:val="Caption1"/>
              <w:spacing w:before="0" w:after="0"/>
              <w:rPr>
                <w:rFonts w:ascii="Aptos" w:hAnsi="Aptos"/>
                <w:sz w:val="16"/>
                <w:szCs w:val="16"/>
              </w:rPr>
            </w:pPr>
          </w:p>
        </w:tc>
        <w:tc>
          <w:tcPr>
            <w:tcW w:w="1006" w:type="dxa"/>
            <w:vMerge/>
            <w:shd w:val="clear" w:color="auto" w:fill="D9D9D9" w:themeFill="background1" w:themeFillShade="D9"/>
          </w:tcPr>
          <w:p w14:paraId="53CDC9C6" w14:textId="77777777" w:rsidR="00B56A8E" w:rsidRPr="00D518FF" w:rsidRDefault="00B56A8E" w:rsidP="00AA694C">
            <w:pPr>
              <w:pStyle w:val="Caption1"/>
              <w:spacing w:before="0" w:after="0"/>
              <w:rPr>
                <w:rFonts w:ascii="Aptos" w:hAnsi="Aptos"/>
                <w:sz w:val="16"/>
                <w:szCs w:val="16"/>
              </w:rPr>
            </w:pPr>
          </w:p>
        </w:tc>
        <w:tc>
          <w:tcPr>
            <w:tcW w:w="1245" w:type="dxa"/>
            <w:shd w:val="clear" w:color="auto" w:fill="D9D9D9" w:themeFill="background1" w:themeFillShade="D9"/>
          </w:tcPr>
          <w:p w14:paraId="18C2A286"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Relative effect (95% CI)</w:t>
            </w:r>
          </w:p>
        </w:tc>
        <w:tc>
          <w:tcPr>
            <w:tcW w:w="992" w:type="dxa"/>
            <w:shd w:val="clear" w:color="auto" w:fill="D9D9D9" w:themeFill="background1" w:themeFillShade="D9"/>
          </w:tcPr>
          <w:p w14:paraId="7DE1B03D" w14:textId="77777777" w:rsidR="00B56A8E" w:rsidRPr="00D518FF" w:rsidRDefault="00B56A8E" w:rsidP="00AA694C">
            <w:pPr>
              <w:pStyle w:val="Caption1"/>
              <w:spacing w:before="0" w:after="0"/>
              <w:rPr>
                <w:rFonts w:ascii="Aptos" w:hAnsi="Aptos"/>
                <w:sz w:val="16"/>
                <w:szCs w:val="16"/>
              </w:rPr>
            </w:pPr>
            <w:r w:rsidRPr="00D518FF">
              <w:rPr>
                <w:rFonts w:ascii="Aptos" w:hAnsi="Aptos"/>
                <w:sz w:val="16"/>
                <w:szCs w:val="16"/>
              </w:rPr>
              <w:t>Other reported results</w:t>
            </w:r>
          </w:p>
        </w:tc>
        <w:tc>
          <w:tcPr>
            <w:tcW w:w="1134" w:type="dxa"/>
            <w:shd w:val="clear" w:color="auto" w:fill="D9D9D9" w:themeFill="background1" w:themeFillShade="D9"/>
          </w:tcPr>
          <w:p w14:paraId="563311E4" w14:textId="77777777" w:rsidR="00B56A8E" w:rsidRPr="00D518FF" w:rsidRDefault="00B56A8E" w:rsidP="00AA694C">
            <w:pPr>
              <w:pStyle w:val="Caption1"/>
              <w:spacing w:before="0" w:after="0"/>
              <w:rPr>
                <w:rFonts w:ascii="Aptos" w:hAnsi="Aptos"/>
                <w:sz w:val="16"/>
                <w:szCs w:val="16"/>
              </w:rPr>
            </w:pPr>
            <w:r w:rsidRPr="006B5A09">
              <w:rPr>
                <w:rFonts w:ascii="Aptos" w:hAnsi="Aptos"/>
                <w:sz w:val="16"/>
                <w:szCs w:val="16"/>
              </w:rPr>
              <w:t>Risk of bias summary (primary studies)</w:t>
            </w:r>
          </w:p>
        </w:tc>
        <w:tc>
          <w:tcPr>
            <w:tcW w:w="1111" w:type="dxa"/>
            <w:vMerge/>
            <w:shd w:val="clear" w:color="auto" w:fill="D9D9D9" w:themeFill="background1" w:themeFillShade="D9"/>
          </w:tcPr>
          <w:p w14:paraId="004229E1" w14:textId="77777777" w:rsidR="00B56A8E" w:rsidRPr="00D518FF" w:rsidRDefault="00B56A8E" w:rsidP="00AA694C">
            <w:pPr>
              <w:pStyle w:val="Caption1"/>
              <w:spacing w:before="0" w:after="0"/>
              <w:rPr>
                <w:rFonts w:ascii="Aptos" w:hAnsi="Aptos"/>
                <w:sz w:val="16"/>
                <w:szCs w:val="16"/>
              </w:rPr>
            </w:pPr>
          </w:p>
        </w:tc>
      </w:tr>
      <w:tr w:rsidR="00356AB6" w:rsidRPr="00D518FF" w14:paraId="5095D095" w14:textId="77777777" w:rsidTr="00AA694C">
        <w:trPr>
          <w:trHeight w:val="326"/>
        </w:trPr>
        <w:tc>
          <w:tcPr>
            <w:tcW w:w="703" w:type="dxa"/>
          </w:tcPr>
          <w:p w14:paraId="466B0D2B"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Thorpe 2018</w:t>
            </w:r>
          </w:p>
        </w:tc>
        <w:tc>
          <w:tcPr>
            <w:tcW w:w="568" w:type="dxa"/>
          </w:tcPr>
          <w:p w14:paraId="13E510C0"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1035" w:type="dxa"/>
          </w:tcPr>
          <w:p w14:paraId="55C05F54"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268" w:type="dxa"/>
          </w:tcPr>
          <w:p w14:paraId="50160197"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Adult participants (18 years and older) with a diagnosis of fibromyalgia.</w:t>
            </w:r>
          </w:p>
        </w:tc>
        <w:tc>
          <w:tcPr>
            <w:tcW w:w="1523" w:type="dxa"/>
          </w:tcPr>
          <w:p w14:paraId="7747E328"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1BE2658D"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3 tablets (200 mg malic acid (Super Malic) + 50 mg magnesium hydroxide per tablet) twice a day for 4 weeks</w:t>
            </w:r>
          </w:p>
        </w:tc>
        <w:tc>
          <w:tcPr>
            <w:tcW w:w="983" w:type="dxa"/>
          </w:tcPr>
          <w:p w14:paraId="575E9AFA"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636C50F8"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42" w:type="dxa"/>
          </w:tcPr>
          <w:p w14:paraId="4D6B265D"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24</w:t>
            </w:r>
          </w:p>
        </w:tc>
        <w:tc>
          <w:tcPr>
            <w:tcW w:w="1006" w:type="dxa"/>
          </w:tcPr>
          <w:p w14:paraId="22ABA9AF"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Pain VAS</w:t>
            </w:r>
          </w:p>
        </w:tc>
        <w:tc>
          <w:tcPr>
            <w:tcW w:w="1245" w:type="dxa"/>
          </w:tcPr>
          <w:p w14:paraId="2E9967A1" w14:textId="77777777" w:rsidR="00EA7E81" w:rsidRPr="00DD6EF3" w:rsidRDefault="00EA7E81" w:rsidP="00AA694C">
            <w:pPr>
              <w:pStyle w:val="Caption1"/>
              <w:spacing w:before="0" w:after="0"/>
              <w:rPr>
                <w:rFonts w:ascii="Aptos" w:hAnsi="Aptos"/>
                <w:b w:val="0"/>
                <w:bCs w:val="0"/>
                <w:sz w:val="16"/>
                <w:szCs w:val="16"/>
              </w:rPr>
            </w:pPr>
            <w:r w:rsidRPr="00DD6EF3">
              <w:rPr>
                <w:rFonts w:ascii="Aptos" w:hAnsi="Aptos"/>
                <w:b w:val="0"/>
                <w:bCs w:val="0"/>
                <w:sz w:val="16"/>
                <w:szCs w:val="16"/>
              </w:rPr>
              <w:t xml:space="preserve">No statistically significant differences were seen between any outcomes measured during placebo treatment and combination treatment (VAS pain scores, tender point index, tender point average, Health Assessment Questionnaire scores, Center for Epidemiologic Studies Depression scale scores, and anxiety assessed by the Hassle scale scores).  </w:t>
            </w:r>
          </w:p>
        </w:tc>
        <w:tc>
          <w:tcPr>
            <w:tcW w:w="992" w:type="dxa"/>
          </w:tcPr>
          <w:p w14:paraId="4E296926" w14:textId="77777777" w:rsidR="00EA7E81" w:rsidRPr="00D518FF" w:rsidRDefault="00EA7E81" w:rsidP="00AA694C">
            <w:pPr>
              <w:pStyle w:val="Caption1"/>
              <w:spacing w:before="0" w:after="0"/>
              <w:rPr>
                <w:rFonts w:ascii="Aptos" w:hAnsi="Aptos"/>
                <w:b w:val="0"/>
                <w:bCs w:val="0"/>
                <w:sz w:val="16"/>
                <w:szCs w:val="16"/>
              </w:rPr>
            </w:pPr>
          </w:p>
        </w:tc>
        <w:tc>
          <w:tcPr>
            <w:tcW w:w="1134" w:type="dxa"/>
            <w:vMerge w:val="restart"/>
          </w:tcPr>
          <w:p w14:paraId="25B3B298"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Unclear risk of bias for selection bias, detection bias, attrition bias, reporting bias and trial duration (3-6 weeks). High risk of bias for size of study.</w:t>
            </w:r>
          </w:p>
        </w:tc>
        <w:tc>
          <w:tcPr>
            <w:tcW w:w="1111" w:type="dxa"/>
          </w:tcPr>
          <w:p w14:paraId="79D7383F"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Low risk</w:t>
            </w:r>
          </w:p>
        </w:tc>
      </w:tr>
      <w:tr w:rsidR="00356AB6" w:rsidRPr="00D518FF" w14:paraId="2136F4CE" w14:textId="77777777" w:rsidTr="00AA694C">
        <w:trPr>
          <w:trHeight w:val="326"/>
        </w:trPr>
        <w:tc>
          <w:tcPr>
            <w:tcW w:w="703" w:type="dxa"/>
          </w:tcPr>
          <w:p w14:paraId="1E6FBC2C"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Thorpe 2018</w:t>
            </w:r>
          </w:p>
        </w:tc>
        <w:tc>
          <w:tcPr>
            <w:tcW w:w="568" w:type="dxa"/>
          </w:tcPr>
          <w:p w14:paraId="3F92A7DF"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1035" w:type="dxa"/>
          </w:tcPr>
          <w:p w14:paraId="783EDF37"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268" w:type="dxa"/>
          </w:tcPr>
          <w:p w14:paraId="1F062C94"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Adult participants (18 years and older) with a diagnosis of fibromyalgia.</w:t>
            </w:r>
          </w:p>
        </w:tc>
        <w:tc>
          <w:tcPr>
            <w:tcW w:w="1523" w:type="dxa"/>
          </w:tcPr>
          <w:p w14:paraId="4AE8FD4F"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674AADD7"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3 tablets (200 mg malic acid (Super Malic) + 50 mg magnesium hydroxide per tablet) twice a day for 4 weeks</w:t>
            </w:r>
          </w:p>
        </w:tc>
        <w:tc>
          <w:tcPr>
            <w:tcW w:w="983" w:type="dxa"/>
          </w:tcPr>
          <w:p w14:paraId="36FC11C2"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7F421497"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42" w:type="dxa"/>
          </w:tcPr>
          <w:p w14:paraId="251CF23F"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24</w:t>
            </w:r>
          </w:p>
        </w:tc>
        <w:tc>
          <w:tcPr>
            <w:tcW w:w="1006" w:type="dxa"/>
          </w:tcPr>
          <w:p w14:paraId="62862B6F"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Health Assessment Question- naire score</w:t>
            </w:r>
          </w:p>
        </w:tc>
        <w:tc>
          <w:tcPr>
            <w:tcW w:w="1245" w:type="dxa"/>
          </w:tcPr>
          <w:p w14:paraId="503D2547" w14:textId="77777777" w:rsidR="00EA7E81" w:rsidRPr="00D518FF" w:rsidRDefault="00EA7E81" w:rsidP="00AA694C">
            <w:pPr>
              <w:pStyle w:val="Caption1"/>
              <w:spacing w:before="0" w:after="0"/>
              <w:rPr>
                <w:rFonts w:ascii="Aptos" w:hAnsi="Aptos"/>
                <w:b w:val="0"/>
                <w:bCs w:val="0"/>
                <w:sz w:val="16"/>
                <w:szCs w:val="16"/>
              </w:rPr>
            </w:pPr>
          </w:p>
        </w:tc>
        <w:tc>
          <w:tcPr>
            <w:tcW w:w="992" w:type="dxa"/>
          </w:tcPr>
          <w:p w14:paraId="54CBFA78" w14:textId="77777777" w:rsidR="00EA7E81" w:rsidRPr="00D518FF" w:rsidRDefault="00EA7E81" w:rsidP="00AA694C">
            <w:pPr>
              <w:pStyle w:val="Caption1"/>
              <w:spacing w:before="0" w:after="0"/>
              <w:rPr>
                <w:rFonts w:ascii="Aptos" w:hAnsi="Aptos"/>
                <w:b w:val="0"/>
                <w:bCs w:val="0"/>
                <w:sz w:val="16"/>
                <w:szCs w:val="16"/>
              </w:rPr>
            </w:pPr>
          </w:p>
        </w:tc>
        <w:tc>
          <w:tcPr>
            <w:tcW w:w="1134" w:type="dxa"/>
            <w:vMerge/>
          </w:tcPr>
          <w:p w14:paraId="3054BA17" w14:textId="77777777" w:rsidR="00EA7E81" w:rsidRPr="00D518FF" w:rsidRDefault="00EA7E81" w:rsidP="00AA694C">
            <w:pPr>
              <w:pStyle w:val="Caption1"/>
              <w:spacing w:before="0" w:after="0"/>
              <w:rPr>
                <w:rFonts w:ascii="Aptos" w:hAnsi="Aptos"/>
                <w:b w:val="0"/>
                <w:bCs w:val="0"/>
                <w:sz w:val="16"/>
                <w:szCs w:val="16"/>
              </w:rPr>
            </w:pPr>
          </w:p>
        </w:tc>
        <w:tc>
          <w:tcPr>
            <w:tcW w:w="1111" w:type="dxa"/>
          </w:tcPr>
          <w:p w14:paraId="3D73DECB"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Low risk</w:t>
            </w:r>
          </w:p>
        </w:tc>
      </w:tr>
      <w:tr w:rsidR="00356AB6" w:rsidRPr="00D518FF" w14:paraId="4CBF1831" w14:textId="77777777" w:rsidTr="00AA694C">
        <w:trPr>
          <w:trHeight w:val="326"/>
        </w:trPr>
        <w:tc>
          <w:tcPr>
            <w:tcW w:w="703" w:type="dxa"/>
          </w:tcPr>
          <w:p w14:paraId="545A3B42"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lastRenderedPageBreak/>
              <w:t>Thorpe 2018</w:t>
            </w:r>
          </w:p>
        </w:tc>
        <w:tc>
          <w:tcPr>
            <w:tcW w:w="568" w:type="dxa"/>
          </w:tcPr>
          <w:p w14:paraId="24A02433"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1035" w:type="dxa"/>
          </w:tcPr>
          <w:p w14:paraId="2E998E79"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268" w:type="dxa"/>
          </w:tcPr>
          <w:p w14:paraId="53FB788B"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Adult participants (18 years and older) with a diagnosis of fibromyalgia.</w:t>
            </w:r>
          </w:p>
        </w:tc>
        <w:tc>
          <w:tcPr>
            <w:tcW w:w="1523" w:type="dxa"/>
          </w:tcPr>
          <w:p w14:paraId="714C5C5D"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19803CE5"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3 tablets (200 mg malic acid (Super Malic) + 50 mg magnesium hydroxide per tablet) twice a day for 4 weeks</w:t>
            </w:r>
          </w:p>
        </w:tc>
        <w:tc>
          <w:tcPr>
            <w:tcW w:w="983" w:type="dxa"/>
          </w:tcPr>
          <w:p w14:paraId="67ACE040"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6E23E6E4"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42" w:type="dxa"/>
          </w:tcPr>
          <w:p w14:paraId="725DAB64"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24</w:t>
            </w:r>
          </w:p>
        </w:tc>
        <w:tc>
          <w:tcPr>
            <w:tcW w:w="1006" w:type="dxa"/>
          </w:tcPr>
          <w:p w14:paraId="0E851132"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tender point index (sum of tenderness severity at 18 tender points)</w:t>
            </w:r>
          </w:p>
        </w:tc>
        <w:tc>
          <w:tcPr>
            <w:tcW w:w="1245" w:type="dxa"/>
          </w:tcPr>
          <w:p w14:paraId="21F15401" w14:textId="77777777" w:rsidR="00EA7E81" w:rsidRPr="00D518FF" w:rsidRDefault="00EA7E81" w:rsidP="00AA694C">
            <w:pPr>
              <w:pStyle w:val="Caption1"/>
              <w:spacing w:before="0" w:after="0"/>
              <w:rPr>
                <w:rFonts w:ascii="Aptos" w:hAnsi="Aptos"/>
                <w:b w:val="0"/>
                <w:bCs w:val="0"/>
                <w:sz w:val="16"/>
                <w:szCs w:val="16"/>
              </w:rPr>
            </w:pPr>
          </w:p>
        </w:tc>
        <w:tc>
          <w:tcPr>
            <w:tcW w:w="992" w:type="dxa"/>
          </w:tcPr>
          <w:p w14:paraId="42305D9D" w14:textId="77777777" w:rsidR="00EA7E81" w:rsidRPr="00D518FF" w:rsidRDefault="00EA7E81" w:rsidP="00AA694C">
            <w:pPr>
              <w:pStyle w:val="Caption1"/>
              <w:spacing w:before="0" w:after="0"/>
              <w:rPr>
                <w:rFonts w:ascii="Aptos" w:hAnsi="Aptos"/>
                <w:b w:val="0"/>
                <w:bCs w:val="0"/>
                <w:sz w:val="16"/>
                <w:szCs w:val="16"/>
              </w:rPr>
            </w:pPr>
          </w:p>
        </w:tc>
        <w:tc>
          <w:tcPr>
            <w:tcW w:w="1134" w:type="dxa"/>
            <w:vMerge/>
          </w:tcPr>
          <w:p w14:paraId="5484332A" w14:textId="77777777" w:rsidR="00EA7E81" w:rsidRPr="00D518FF" w:rsidRDefault="00EA7E81" w:rsidP="00AA694C">
            <w:pPr>
              <w:pStyle w:val="Caption1"/>
              <w:spacing w:before="0" w:after="0"/>
              <w:rPr>
                <w:rFonts w:ascii="Aptos" w:hAnsi="Aptos"/>
                <w:b w:val="0"/>
                <w:bCs w:val="0"/>
                <w:sz w:val="16"/>
                <w:szCs w:val="16"/>
              </w:rPr>
            </w:pPr>
          </w:p>
        </w:tc>
        <w:tc>
          <w:tcPr>
            <w:tcW w:w="1111" w:type="dxa"/>
          </w:tcPr>
          <w:p w14:paraId="6EABB802"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Low risk</w:t>
            </w:r>
          </w:p>
        </w:tc>
      </w:tr>
      <w:tr w:rsidR="00356AB6" w:rsidRPr="00D518FF" w14:paraId="7AACF046" w14:textId="77777777" w:rsidTr="00AA694C">
        <w:trPr>
          <w:trHeight w:val="326"/>
        </w:trPr>
        <w:tc>
          <w:tcPr>
            <w:tcW w:w="703" w:type="dxa"/>
          </w:tcPr>
          <w:p w14:paraId="5A0FE631"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Thorpe 2018</w:t>
            </w:r>
          </w:p>
        </w:tc>
        <w:tc>
          <w:tcPr>
            <w:tcW w:w="568" w:type="dxa"/>
          </w:tcPr>
          <w:p w14:paraId="2EFED033"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1035" w:type="dxa"/>
          </w:tcPr>
          <w:p w14:paraId="00860BAC"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268" w:type="dxa"/>
          </w:tcPr>
          <w:p w14:paraId="317A827A"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Adult participants (18 years and older) with a diagnosis of fibromyalgia.</w:t>
            </w:r>
          </w:p>
        </w:tc>
        <w:tc>
          <w:tcPr>
            <w:tcW w:w="1523" w:type="dxa"/>
          </w:tcPr>
          <w:p w14:paraId="43EC569E"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5CC3B7A3"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3 tablets (200 mg malic acid (Super Malic) + 50 mg magnesium hydroxide per tablet) twice a day for 4 weeks</w:t>
            </w:r>
          </w:p>
        </w:tc>
        <w:tc>
          <w:tcPr>
            <w:tcW w:w="983" w:type="dxa"/>
          </w:tcPr>
          <w:p w14:paraId="5B68CE44"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5EBDEFAD"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42" w:type="dxa"/>
          </w:tcPr>
          <w:p w14:paraId="37A0AC0C"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24</w:t>
            </w:r>
          </w:p>
        </w:tc>
        <w:tc>
          <w:tcPr>
            <w:tcW w:w="1006" w:type="dxa"/>
          </w:tcPr>
          <w:p w14:paraId="29F506ED" w14:textId="77777777" w:rsidR="00EA7E81" w:rsidRPr="00D518FF" w:rsidRDefault="00EA7E81" w:rsidP="00AA694C">
            <w:pPr>
              <w:pStyle w:val="Caption1"/>
              <w:spacing w:before="0" w:after="0"/>
              <w:rPr>
                <w:rFonts w:ascii="Aptos" w:hAnsi="Aptos"/>
                <w:b w:val="0"/>
                <w:bCs w:val="0"/>
                <w:sz w:val="16"/>
                <w:szCs w:val="16"/>
              </w:rPr>
            </w:pPr>
            <w:r w:rsidRPr="00D518FF">
              <w:rPr>
                <w:rFonts w:ascii="Aptos" w:hAnsi="Aptos"/>
                <w:b w:val="0"/>
                <w:bCs w:val="0"/>
                <w:sz w:val="16"/>
                <w:szCs w:val="16"/>
              </w:rPr>
              <w:t>tender point average (mean tenderness at 18 tender points measured by dolorimeter)</w:t>
            </w:r>
          </w:p>
        </w:tc>
        <w:tc>
          <w:tcPr>
            <w:tcW w:w="1245" w:type="dxa"/>
          </w:tcPr>
          <w:p w14:paraId="38177F46" w14:textId="77777777" w:rsidR="00EA7E81" w:rsidRPr="00D518FF" w:rsidRDefault="00EA7E81" w:rsidP="00AA694C">
            <w:pPr>
              <w:pStyle w:val="Caption1"/>
              <w:spacing w:before="0" w:after="0"/>
              <w:rPr>
                <w:rFonts w:ascii="Aptos" w:hAnsi="Aptos"/>
                <w:b w:val="0"/>
                <w:bCs w:val="0"/>
                <w:sz w:val="16"/>
                <w:szCs w:val="16"/>
              </w:rPr>
            </w:pPr>
          </w:p>
        </w:tc>
        <w:tc>
          <w:tcPr>
            <w:tcW w:w="992" w:type="dxa"/>
          </w:tcPr>
          <w:p w14:paraId="787A7DB6" w14:textId="77777777" w:rsidR="00EA7E81" w:rsidRPr="00D518FF" w:rsidRDefault="00EA7E81" w:rsidP="00AA694C">
            <w:pPr>
              <w:pStyle w:val="Caption1"/>
              <w:spacing w:before="0" w:after="0"/>
              <w:rPr>
                <w:rFonts w:ascii="Aptos" w:hAnsi="Aptos"/>
                <w:b w:val="0"/>
                <w:bCs w:val="0"/>
                <w:sz w:val="16"/>
                <w:szCs w:val="16"/>
              </w:rPr>
            </w:pPr>
          </w:p>
        </w:tc>
        <w:tc>
          <w:tcPr>
            <w:tcW w:w="1134" w:type="dxa"/>
            <w:vMerge/>
          </w:tcPr>
          <w:p w14:paraId="0E35B4CB" w14:textId="77777777" w:rsidR="00EA7E81" w:rsidRPr="00D518FF" w:rsidRDefault="00EA7E81" w:rsidP="00AA694C">
            <w:pPr>
              <w:pStyle w:val="Caption1"/>
              <w:spacing w:before="0" w:after="0"/>
              <w:rPr>
                <w:rFonts w:ascii="Aptos" w:hAnsi="Aptos"/>
                <w:b w:val="0"/>
                <w:bCs w:val="0"/>
                <w:sz w:val="16"/>
                <w:szCs w:val="16"/>
              </w:rPr>
            </w:pPr>
          </w:p>
        </w:tc>
        <w:tc>
          <w:tcPr>
            <w:tcW w:w="1111" w:type="dxa"/>
          </w:tcPr>
          <w:p w14:paraId="3D658505" w14:textId="77777777" w:rsidR="00EA7E81" w:rsidRPr="00D518FF" w:rsidRDefault="00EA7E81" w:rsidP="00AA694C">
            <w:pPr>
              <w:pStyle w:val="Caption1"/>
              <w:spacing w:before="0" w:after="0"/>
              <w:rPr>
                <w:rFonts w:ascii="Aptos" w:hAnsi="Aptos"/>
                <w:b w:val="0"/>
                <w:bCs w:val="0"/>
                <w:sz w:val="16"/>
                <w:szCs w:val="16"/>
              </w:rPr>
            </w:pPr>
            <w:r>
              <w:rPr>
                <w:rFonts w:ascii="Aptos" w:hAnsi="Aptos"/>
                <w:b w:val="0"/>
                <w:bCs w:val="0"/>
                <w:sz w:val="16"/>
                <w:szCs w:val="16"/>
              </w:rPr>
              <w:t>Low risk</w:t>
            </w:r>
          </w:p>
        </w:tc>
      </w:tr>
    </w:tbl>
    <w:p w14:paraId="578A9701" w14:textId="04EF7ADC" w:rsidR="00EA7E81" w:rsidRPr="00D518FF" w:rsidRDefault="00EA7E81" w:rsidP="00EA7E81">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sidR="00B56A8E" w:rsidRPr="00B56A8E">
        <w:rPr>
          <w:rFonts w:ascii="Aptos" w:hAnsi="Aptos"/>
          <w:b w:val="0"/>
          <w:bCs w:val="0"/>
          <w:sz w:val="16"/>
          <w:szCs w:val="16"/>
          <w:lang w:val="en-GB"/>
        </w:rPr>
        <w:t>VAS=visual analogue scale</w:t>
      </w:r>
    </w:p>
    <w:p w14:paraId="7ACFD8A7" w14:textId="77777777" w:rsidR="00EA7E81" w:rsidRPr="00D518FF" w:rsidRDefault="00EA7E81" w:rsidP="00EA7E81">
      <w:pPr>
        <w:pStyle w:val="Caption1"/>
        <w:spacing w:before="0" w:after="0"/>
        <w:rPr>
          <w:rFonts w:ascii="Aptos" w:hAnsi="Aptos"/>
          <w:b w:val="0"/>
          <w:bCs w:val="0"/>
          <w:sz w:val="16"/>
          <w:szCs w:val="16"/>
        </w:rPr>
      </w:pPr>
    </w:p>
    <w:p w14:paraId="12B76FF6" w14:textId="77777777" w:rsidR="00EA7E81" w:rsidRPr="00D518FF" w:rsidRDefault="00EA7E81" w:rsidP="00EA7E81">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224EFC6C" w14:textId="77777777" w:rsidR="00EA7E81" w:rsidRPr="00D518FF" w:rsidRDefault="00EA7E81" w:rsidP="00A4650A">
      <w:pPr>
        <w:pStyle w:val="ListParagraph"/>
        <w:numPr>
          <w:ilvl w:val="0"/>
          <w:numId w:val="4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Pain</w:t>
      </w:r>
    </w:p>
    <w:p w14:paraId="4B367CB9" w14:textId="77777777" w:rsidR="00EA7E81" w:rsidRPr="00D518FF" w:rsidRDefault="00EA7E81" w:rsidP="00A4650A">
      <w:pPr>
        <w:pStyle w:val="ListParagraph"/>
        <w:numPr>
          <w:ilvl w:val="0"/>
          <w:numId w:val="4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Function/Disability</w:t>
      </w:r>
    </w:p>
    <w:p w14:paraId="045B959C" w14:textId="77777777" w:rsidR="00EA7E81" w:rsidRPr="00D518FF" w:rsidRDefault="00EA7E81" w:rsidP="00A4650A">
      <w:pPr>
        <w:pStyle w:val="ListParagraph"/>
        <w:numPr>
          <w:ilvl w:val="0"/>
          <w:numId w:val="4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assessment of condition</w:t>
      </w:r>
    </w:p>
    <w:p w14:paraId="48873153" w14:textId="77777777" w:rsidR="00EA7E81" w:rsidRPr="00D518FF" w:rsidRDefault="00EA7E81" w:rsidP="00A4650A">
      <w:pPr>
        <w:pStyle w:val="ListParagraph"/>
        <w:numPr>
          <w:ilvl w:val="0"/>
          <w:numId w:val="4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057C2B13" w14:textId="77777777" w:rsidR="00EA7E81" w:rsidRPr="00D518FF" w:rsidRDefault="00EA7E81" w:rsidP="00A4650A">
      <w:pPr>
        <w:pStyle w:val="ListParagraph"/>
        <w:numPr>
          <w:ilvl w:val="0"/>
          <w:numId w:val="4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Tenderness</w:t>
      </w:r>
    </w:p>
    <w:p w14:paraId="078D3D4A" w14:textId="77777777" w:rsidR="00EA7E81" w:rsidRPr="00D518FF" w:rsidRDefault="00EA7E81" w:rsidP="00A4650A">
      <w:pPr>
        <w:pStyle w:val="ListParagraph"/>
        <w:numPr>
          <w:ilvl w:val="0"/>
          <w:numId w:val="4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 from fibromyalgia</w:t>
      </w:r>
    </w:p>
    <w:p w14:paraId="5074FB00" w14:textId="77777777" w:rsidR="00EA7E81" w:rsidRPr="00D518FF" w:rsidRDefault="00EA7E81" w:rsidP="00A4650A">
      <w:pPr>
        <w:pStyle w:val="ListParagraph"/>
        <w:numPr>
          <w:ilvl w:val="0"/>
          <w:numId w:val="43"/>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Stiffness</w:t>
      </w:r>
    </w:p>
    <w:p w14:paraId="374E15ED" w14:textId="7DB45669" w:rsidR="009E4D3F" w:rsidRPr="00D518FF" w:rsidRDefault="00834CBC" w:rsidP="00F614C8">
      <w:pPr>
        <w:pStyle w:val="Caption"/>
        <w:spacing w:before="240"/>
        <w:rPr>
          <w:rFonts w:ascii="Aptos" w:hAnsi="Aptos"/>
        </w:rPr>
      </w:pPr>
      <w:bookmarkStart w:id="210" w:name="_Toc185254589"/>
      <w:r w:rsidRPr="00F614C8">
        <w:rPr>
          <w:rFonts w:ascii="Aptos" w:hAnsi="Aptos"/>
        </w:rPr>
        <w:t xml:space="preserve">Table </w:t>
      </w:r>
      <w:r w:rsidR="003B0594" w:rsidRPr="00F614C8">
        <w:rPr>
          <w:rFonts w:ascii="Aptos" w:hAnsi="Aptos"/>
        </w:rPr>
        <w:fldChar w:fldCharType="begin" w:fldLock="1"/>
      </w:r>
      <w:r w:rsidR="003B0594" w:rsidRPr="00F614C8">
        <w:rPr>
          <w:rFonts w:ascii="Aptos" w:hAnsi="Aptos"/>
        </w:rPr>
        <w:instrText xml:space="preserve"> STYLEREF 1 \s </w:instrText>
      </w:r>
      <w:r w:rsidR="003B0594" w:rsidRPr="00F614C8">
        <w:rPr>
          <w:rFonts w:ascii="Aptos" w:hAnsi="Aptos"/>
        </w:rPr>
        <w:fldChar w:fldCharType="separate"/>
      </w:r>
      <w:r w:rsidR="003B0594" w:rsidRPr="00F614C8">
        <w:rPr>
          <w:rFonts w:ascii="Aptos" w:hAnsi="Aptos"/>
        </w:rPr>
        <w:t>E</w:t>
      </w:r>
      <w:r w:rsidR="003B0594"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17</w:t>
      </w:r>
      <w:r w:rsidR="003B0594" w:rsidRPr="00F614C8">
        <w:rPr>
          <w:rFonts w:ascii="Aptos" w:hAnsi="Aptos"/>
        </w:rPr>
        <w:fldChar w:fldCharType="end"/>
      </w:r>
      <w:r w:rsidR="009E4D3F" w:rsidRPr="00D518FF">
        <w:rPr>
          <w:rFonts w:ascii="Aptos" w:hAnsi="Aptos"/>
        </w:rPr>
        <w:t xml:space="preserve">. Results of included </w:t>
      </w:r>
      <w:r w:rsidR="00356AB6">
        <w:rPr>
          <w:rFonts w:ascii="Aptos" w:hAnsi="Aptos"/>
        </w:rPr>
        <w:t xml:space="preserve">(non-preferred) </w:t>
      </w:r>
      <w:r w:rsidR="009E4D3F" w:rsidRPr="00D518FF">
        <w:rPr>
          <w:rFonts w:ascii="Aptos" w:hAnsi="Aptos"/>
        </w:rPr>
        <w:t>reviews by outcome domain – fibromyalgia, magnesium</w:t>
      </w:r>
      <w:r>
        <w:rPr>
          <w:rFonts w:ascii="Aptos" w:hAnsi="Aptos"/>
        </w:rPr>
        <w:t>.</w:t>
      </w:r>
      <w:bookmarkEnd w:id="210"/>
    </w:p>
    <w:tbl>
      <w:tblPr>
        <w:tblStyle w:val="TableGrid"/>
        <w:tblpPr w:leftFromText="180" w:rightFromText="180" w:vertAnchor="text" w:tblpY="1"/>
        <w:tblOverlap w:val="never"/>
        <w:tblW w:w="14454" w:type="dxa"/>
        <w:tblLayout w:type="fixed"/>
        <w:tblCellMar>
          <w:top w:w="28" w:type="dxa"/>
          <w:left w:w="57" w:type="dxa"/>
          <w:bottom w:w="28" w:type="dxa"/>
          <w:right w:w="0" w:type="dxa"/>
        </w:tblCellMar>
        <w:tblLook w:val="04A0" w:firstRow="1" w:lastRow="0" w:firstColumn="1" w:lastColumn="0" w:noHBand="0" w:noVBand="1"/>
      </w:tblPr>
      <w:tblGrid>
        <w:gridCol w:w="846"/>
        <w:gridCol w:w="850"/>
        <w:gridCol w:w="851"/>
        <w:gridCol w:w="1027"/>
        <w:gridCol w:w="1523"/>
        <w:gridCol w:w="1140"/>
        <w:gridCol w:w="983"/>
        <w:gridCol w:w="781"/>
        <w:gridCol w:w="942"/>
        <w:gridCol w:w="1006"/>
        <w:gridCol w:w="826"/>
        <w:gridCol w:w="1411"/>
        <w:gridCol w:w="1253"/>
        <w:gridCol w:w="1015"/>
      </w:tblGrid>
      <w:tr w:rsidR="006B5A09" w:rsidRPr="00D518FF" w14:paraId="3420BA48" w14:textId="77777777" w:rsidTr="00AA694C">
        <w:trPr>
          <w:trHeight w:val="153"/>
          <w:tblHeader/>
        </w:trPr>
        <w:tc>
          <w:tcPr>
            <w:tcW w:w="846" w:type="dxa"/>
            <w:vMerge w:val="restart"/>
            <w:shd w:val="clear" w:color="auto" w:fill="D9D9D9" w:themeFill="background1" w:themeFillShade="D9"/>
          </w:tcPr>
          <w:p w14:paraId="49ABFF03"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Review ID</w:t>
            </w:r>
          </w:p>
        </w:tc>
        <w:tc>
          <w:tcPr>
            <w:tcW w:w="850" w:type="dxa"/>
            <w:vMerge w:val="restart"/>
            <w:shd w:val="clear" w:color="auto" w:fill="D9D9D9" w:themeFill="background1" w:themeFillShade="D9"/>
          </w:tcPr>
          <w:p w14:paraId="6662EEBA"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Outcome domain</w:t>
            </w:r>
          </w:p>
        </w:tc>
        <w:tc>
          <w:tcPr>
            <w:tcW w:w="851" w:type="dxa"/>
            <w:vMerge w:val="restart"/>
            <w:shd w:val="clear" w:color="auto" w:fill="D9D9D9" w:themeFill="background1" w:themeFillShade="D9"/>
          </w:tcPr>
          <w:p w14:paraId="7C6D5133"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Population group</w:t>
            </w:r>
          </w:p>
        </w:tc>
        <w:tc>
          <w:tcPr>
            <w:tcW w:w="1027" w:type="dxa"/>
            <w:vMerge w:val="restart"/>
            <w:shd w:val="clear" w:color="auto" w:fill="D9D9D9" w:themeFill="background1" w:themeFillShade="D9"/>
          </w:tcPr>
          <w:p w14:paraId="08D1067E"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Population details</w:t>
            </w:r>
          </w:p>
        </w:tc>
        <w:tc>
          <w:tcPr>
            <w:tcW w:w="1523" w:type="dxa"/>
            <w:vMerge w:val="restart"/>
            <w:shd w:val="clear" w:color="auto" w:fill="D9D9D9" w:themeFill="background1" w:themeFillShade="D9"/>
          </w:tcPr>
          <w:p w14:paraId="55F2D814"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Type of comparison</w:t>
            </w:r>
          </w:p>
        </w:tc>
        <w:tc>
          <w:tcPr>
            <w:tcW w:w="1140" w:type="dxa"/>
            <w:vMerge w:val="restart"/>
            <w:shd w:val="clear" w:color="auto" w:fill="D9D9D9" w:themeFill="background1" w:themeFillShade="D9"/>
          </w:tcPr>
          <w:p w14:paraId="60585BF8"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Intervention description</w:t>
            </w:r>
          </w:p>
        </w:tc>
        <w:tc>
          <w:tcPr>
            <w:tcW w:w="983" w:type="dxa"/>
            <w:vMerge w:val="restart"/>
            <w:shd w:val="clear" w:color="auto" w:fill="D9D9D9" w:themeFill="background1" w:themeFillShade="D9"/>
          </w:tcPr>
          <w:p w14:paraId="38CD17BB"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Comparator description</w:t>
            </w:r>
          </w:p>
        </w:tc>
        <w:tc>
          <w:tcPr>
            <w:tcW w:w="781" w:type="dxa"/>
            <w:vMerge w:val="restart"/>
            <w:shd w:val="clear" w:color="auto" w:fill="D9D9D9" w:themeFill="background1" w:themeFillShade="D9"/>
          </w:tcPr>
          <w:p w14:paraId="2F142438"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No/types of included studies</w:t>
            </w:r>
          </w:p>
        </w:tc>
        <w:tc>
          <w:tcPr>
            <w:tcW w:w="942" w:type="dxa"/>
            <w:vMerge w:val="restart"/>
            <w:shd w:val="clear" w:color="auto" w:fill="D9D9D9" w:themeFill="background1" w:themeFillShade="D9"/>
          </w:tcPr>
          <w:p w14:paraId="32BE5688"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No of participants (total)</w:t>
            </w:r>
          </w:p>
        </w:tc>
        <w:tc>
          <w:tcPr>
            <w:tcW w:w="1006" w:type="dxa"/>
            <w:vMerge w:val="restart"/>
            <w:shd w:val="clear" w:color="auto" w:fill="D9D9D9" w:themeFill="background1" w:themeFillShade="D9"/>
          </w:tcPr>
          <w:p w14:paraId="4B0A5F3F"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Outcome measure(s) used</w:t>
            </w:r>
          </w:p>
        </w:tc>
        <w:tc>
          <w:tcPr>
            <w:tcW w:w="3490" w:type="dxa"/>
            <w:gridSpan w:val="3"/>
            <w:shd w:val="clear" w:color="auto" w:fill="D9D9D9" w:themeFill="background1" w:themeFillShade="D9"/>
          </w:tcPr>
          <w:p w14:paraId="05813797" w14:textId="6D80A613" w:rsidR="006B5A09" w:rsidRPr="00F61E2F" w:rsidRDefault="006B5A09" w:rsidP="00AA694C">
            <w:pPr>
              <w:pStyle w:val="Caption1"/>
              <w:spacing w:before="0" w:after="0"/>
              <w:rPr>
                <w:rFonts w:ascii="Aptos" w:hAnsi="Aptos"/>
                <w:sz w:val="16"/>
                <w:szCs w:val="16"/>
              </w:rPr>
            </w:pPr>
            <w:r w:rsidRPr="00D518FF">
              <w:rPr>
                <w:rFonts w:ascii="Aptos" w:hAnsi="Aptos"/>
                <w:sz w:val="16"/>
                <w:szCs w:val="16"/>
              </w:rPr>
              <w:t>Results</w:t>
            </w:r>
          </w:p>
        </w:tc>
        <w:tc>
          <w:tcPr>
            <w:tcW w:w="1015" w:type="dxa"/>
            <w:vMerge w:val="restart"/>
            <w:shd w:val="clear" w:color="auto" w:fill="D9D9D9" w:themeFill="background1" w:themeFillShade="D9"/>
          </w:tcPr>
          <w:p w14:paraId="67F4C46F" w14:textId="75A2E6E8" w:rsidR="006B5A09" w:rsidRPr="00D518FF" w:rsidRDefault="006B5A09" w:rsidP="00AA694C">
            <w:pPr>
              <w:pStyle w:val="Caption1"/>
              <w:spacing w:before="0" w:after="0"/>
              <w:rPr>
                <w:rFonts w:ascii="Aptos" w:hAnsi="Aptos"/>
                <w:sz w:val="16"/>
                <w:szCs w:val="16"/>
              </w:rPr>
            </w:pPr>
            <w:r w:rsidRPr="00F61E2F">
              <w:rPr>
                <w:rFonts w:ascii="Aptos" w:hAnsi="Aptos"/>
                <w:sz w:val="16"/>
                <w:szCs w:val="16"/>
              </w:rPr>
              <w:t>ROBIS assessment (for the review overall)</w:t>
            </w:r>
          </w:p>
        </w:tc>
      </w:tr>
      <w:tr w:rsidR="006B5A09" w:rsidRPr="00D518FF" w14:paraId="56976754" w14:textId="77777777" w:rsidTr="00AA694C">
        <w:trPr>
          <w:trHeight w:val="153"/>
          <w:tblHeader/>
        </w:trPr>
        <w:tc>
          <w:tcPr>
            <w:tcW w:w="846" w:type="dxa"/>
            <w:vMerge/>
            <w:shd w:val="clear" w:color="auto" w:fill="D9D9D9" w:themeFill="background1" w:themeFillShade="D9"/>
          </w:tcPr>
          <w:p w14:paraId="66971B78" w14:textId="77777777" w:rsidR="006B5A09" w:rsidRPr="00D518FF" w:rsidRDefault="006B5A09" w:rsidP="00AA694C">
            <w:pPr>
              <w:pStyle w:val="Caption1"/>
              <w:spacing w:before="0" w:after="0"/>
              <w:rPr>
                <w:rFonts w:ascii="Aptos" w:hAnsi="Aptos"/>
                <w:sz w:val="16"/>
                <w:szCs w:val="16"/>
              </w:rPr>
            </w:pPr>
          </w:p>
        </w:tc>
        <w:tc>
          <w:tcPr>
            <w:tcW w:w="850" w:type="dxa"/>
            <w:vMerge/>
            <w:shd w:val="clear" w:color="auto" w:fill="D9D9D9" w:themeFill="background1" w:themeFillShade="D9"/>
          </w:tcPr>
          <w:p w14:paraId="4E05B717" w14:textId="77777777" w:rsidR="006B5A09" w:rsidRPr="00D518FF" w:rsidRDefault="006B5A09" w:rsidP="00AA694C">
            <w:pPr>
              <w:pStyle w:val="Caption1"/>
              <w:spacing w:before="0" w:after="0"/>
              <w:rPr>
                <w:rFonts w:ascii="Aptos" w:hAnsi="Aptos"/>
                <w:sz w:val="16"/>
                <w:szCs w:val="16"/>
              </w:rPr>
            </w:pPr>
          </w:p>
        </w:tc>
        <w:tc>
          <w:tcPr>
            <w:tcW w:w="851" w:type="dxa"/>
            <w:vMerge/>
            <w:shd w:val="clear" w:color="auto" w:fill="D9D9D9" w:themeFill="background1" w:themeFillShade="D9"/>
          </w:tcPr>
          <w:p w14:paraId="4C4DC7CB" w14:textId="77777777" w:rsidR="006B5A09" w:rsidRPr="00D518FF" w:rsidRDefault="006B5A09" w:rsidP="00AA694C">
            <w:pPr>
              <w:pStyle w:val="Caption1"/>
              <w:spacing w:before="0" w:after="0"/>
              <w:rPr>
                <w:rFonts w:ascii="Aptos" w:hAnsi="Aptos"/>
                <w:sz w:val="16"/>
                <w:szCs w:val="16"/>
              </w:rPr>
            </w:pPr>
          </w:p>
        </w:tc>
        <w:tc>
          <w:tcPr>
            <w:tcW w:w="1027" w:type="dxa"/>
            <w:vMerge/>
            <w:shd w:val="clear" w:color="auto" w:fill="D9D9D9" w:themeFill="background1" w:themeFillShade="D9"/>
          </w:tcPr>
          <w:p w14:paraId="5EF699CD" w14:textId="77777777" w:rsidR="006B5A09" w:rsidRPr="00D518FF" w:rsidRDefault="006B5A09" w:rsidP="00AA694C">
            <w:pPr>
              <w:pStyle w:val="Caption1"/>
              <w:spacing w:before="0" w:after="0"/>
              <w:rPr>
                <w:rFonts w:ascii="Aptos" w:hAnsi="Aptos"/>
                <w:sz w:val="16"/>
                <w:szCs w:val="16"/>
              </w:rPr>
            </w:pPr>
          </w:p>
        </w:tc>
        <w:tc>
          <w:tcPr>
            <w:tcW w:w="1523" w:type="dxa"/>
            <w:vMerge/>
            <w:shd w:val="clear" w:color="auto" w:fill="D9D9D9" w:themeFill="background1" w:themeFillShade="D9"/>
          </w:tcPr>
          <w:p w14:paraId="35772C42" w14:textId="77777777" w:rsidR="006B5A09" w:rsidRPr="00D518FF" w:rsidRDefault="006B5A09" w:rsidP="00AA694C">
            <w:pPr>
              <w:pStyle w:val="Caption1"/>
              <w:spacing w:before="0" w:after="0"/>
              <w:rPr>
                <w:rFonts w:ascii="Aptos" w:hAnsi="Aptos"/>
                <w:sz w:val="16"/>
                <w:szCs w:val="16"/>
              </w:rPr>
            </w:pPr>
          </w:p>
        </w:tc>
        <w:tc>
          <w:tcPr>
            <w:tcW w:w="1140" w:type="dxa"/>
            <w:vMerge/>
            <w:shd w:val="clear" w:color="auto" w:fill="D9D9D9" w:themeFill="background1" w:themeFillShade="D9"/>
          </w:tcPr>
          <w:p w14:paraId="37E9B133" w14:textId="77777777" w:rsidR="006B5A09" w:rsidRPr="00D518FF" w:rsidRDefault="006B5A09" w:rsidP="00AA694C">
            <w:pPr>
              <w:pStyle w:val="Caption1"/>
              <w:spacing w:before="0" w:after="0"/>
              <w:rPr>
                <w:rFonts w:ascii="Aptos" w:hAnsi="Aptos"/>
                <w:sz w:val="16"/>
                <w:szCs w:val="16"/>
              </w:rPr>
            </w:pPr>
          </w:p>
        </w:tc>
        <w:tc>
          <w:tcPr>
            <w:tcW w:w="983" w:type="dxa"/>
            <w:vMerge/>
            <w:shd w:val="clear" w:color="auto" w:fill="D9D9D9" w:themeFill="background1" w:themeFillShade="D9"/>
          </w:tcPr>
          <w:p w14:paraId="1B3FC779" w14:textId="77777777" w:rsidR="006B5A09" w:rsidRPr="00D518FF" w:rsidRDefault="006B5A09" w:rsidP="00AA694C">
            <w:pPr>
              <w:pStyle w:val="Caption1"/>
              <w:spacing w:before="0" w:after="0"/>
              <w:rPr>
                <w:rFonts w:ascii="Aptos" w:hAnsi="Aptos"/>
                <w:sz w:val="16"/>
                <w:szCs w:val="16"/>
              </w:rPr>
            </w:pPr>
          </w:p>
        </w:tc>
        <w:tc>
          <w:tcPr>
            <w:tcW w:w="781" w:type="dxa"/>
            <w:vMerge/>
            <w:shd w:val="clear" w:color="auto" w:fill="D9D9D9" w:themeFill="background1" w:themeFillShade="D9"/>
          </w:tcPr>
          <w:p w14:paraId="78D42D8B" w14:textId="77777777" w:rsidR="006B5A09" w:rsidRPr="00D518FF" w:rsidRDefault="006B5A09" w:rsidP="00AA694C">
            <w:pPr>
              <w:pStyle w:val="Caption1"/>
              <w:spacing w:before="0" w:after="0"/>
              <w:rPr>
                <w:rFonts w:ascii="Aptos" w:hAnsi="Aptos"/>
                <w:sz w:val="16"/>
                <w:szCs w:val="16"/>
              </w:rPr>
            </w:pPr>
          </w:p>
        </w:tc>
        <w:tc>
          <w:tcPr>
            <w:tcW w:w="942" w:type="dxa"/>
            <w:vMerge/>
            <w:shd w:val="clear" w:color="auto" w:fill="D9D9D9" w:themeFill="background1" w:themeFillShade="D9"/>
          </w:tcPr>
          <w:p w14:paraId="7EE41D5C" w14:textId="77777777" w:rsidR="006B5A09" w:rsidRPr="00D518FF" w:rsidRDefault="006B5A09" w:rsidP="00AA694C">
            <w:pPr>
              <w:pStyle w:val="Caption1"/>
              <w:spacing w:before="0" w:after="0"/>
              <w:rPr>
                <w:rFonts w:ascii="Aptos" w:hAnsi="Aptos"/>
                <w:sz w:val="16"/>
                <w:szCs w:val="16"/>
              </w:rPr>
            </w:pPr>
          </w:p>
        </w:tc>
        <w:tc>
          <w:tcPr>
            <w:tcW w:w="1006" w:type="dxa"/>
            <w:vMerge/>
            <w:shd w:val="clear" w:color="auto" w:fill="D9D9D9" w:themeFill="background1" w:themeFillShade="D9"/>
          </w:tcPr>
          <w:p w14:paraId="104759F8" w14:textId="77777777" w:rsidR="006B5A09" w:rsidRPr="00D518FF" w:rsidRDefault="006B5A09" w:rsidP="00AA694C">
            <w:pPr>
              <w:pStyle w:val="Caption1"/>
              <w:spacing w:before="0" w:after="0"/>
              <w:rPr>
                <w:rFonts w:ascii="Aptos" w:hAnsi="Aptos"/>
                <w:sz w:val="16"/>
                <w:szCs w:val="16"/>
              </w:rPr>
            </w:pPr>
          </w:p>
        </w:tc>
        <w:tc>
          <w:tcPr>
            <w:tcW w:w="826" w:type="dxa"/>
            <w:shd w:val="clear" w:color="auto" w:fill="D9D9D9" w:themeFill="background1" w:themeFillShade="D9"/>
          </w:tcPr>
          <w:p w14:paraId="1C534933"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Relative effect (95% CI)</w:t>
            </w:r>
          </w:p>
        </w:tc>
        <w:tc>
          <w:tcPr>
            <w:tcW w:w="1411" w:type="dxa"/>
            <w:shd w:val="clear" w:color="auto" w:fill="D9D9D9" w:themeFill="background1" w:themeFillShade="D9"/>
          </w:tcPr>
          <w:p w14:paraId="422BF5A8" w14:textId="77777777" w:rsidR="006B5A09" w:rsidRPr="00D518FF" w:rsidRDefault="006B5A09" w:rsidP="00AA694C">
            <w:pPr>
              <w:pStyle w:val="Caption1"/>
              <w:spacing w:before="0" w:after="0"/>
              <w:rPr>
                <w:rFonts w:ascii="Aptos" w:hAnsi="Aptos"/>
                <w:sz w:val="16"/>
                <w:szCs w:val="16"/>
              </w:rPr>
            </w:pPr>
            <w:r w:rsidRPr="00D518FF">
              <w:rPr>
                <w:rFonts w:ascii="Aptos" w:hAnsi="Aptos"/>
                <w:sz w:val="16"/>
                <w:szCs w:val="16"/>
              </w:rPr>
              <w:t>Other reported results</w:t>
            </w:r>
          </w:p>
        </w:tc>
        <w:tc>
          <w:tcPr>
            <w:tcW w:w="1253" w:type="dxa"/>
            <w:shd w:val="clear" w:color="auto" w:fill="D9D9D9" w:themeFill="background1" w:themeFillShade="D9"/>
          </w:tcPr>
          <w:p w14:paraId="090A848B" w14:textId="577F86A0" w:rsidR="006B5A09" w:rsidRPr="00D518FF" w:rsidRDefault="006B5A09" w:rsidP="00AA694C">
            <w:pPr>
              <w:pStyle w:val="Caption1"/>
              <w:spacing w:before="0" w:after="0"/>
              <w:rPr>
                <w:rFonts w:ascii="Aptos" w:hAnsi="Aptos"/>
                <w:sz w:val="16"/>
                <w:szCs w:val="16"/>
              </w:rPr>
            </w:pPr>
            <w:r w:rsidRPr="006B5A09">
              <w:rPr>
                <w:rFonts w:ascii="Aptos" w:hAnsi="Aptos"/>
                <w:sz w:val="16"/>
                <w:szCs w:val="16"/>
              </w:rPr>
              <w:t>Risk of bias summary (primary studies)</w:t>
            </w:r>
          </w:p>
        </w:tc>
        <w:tc>
          <w:tcPr>
            <w:tcW w:w="1015" w:type="dxa"/>
            <w:vMerge/>
            <w:shd w:val="clear" w:color="auto" w:fill="D9D9D9" w:themeFill="background1" w:themeFillShade="D9"/>
          </w:tcPr>
          <w:p w14:paraId="4DABE5B0" w14:textId="26543F3B" w:rsidR="006B5A09" w:rsidRPr="00D518FF" w:rsidRDefault="006B5A09" w:rsidP="00AA694C">
            <w:pPr>
              <w:pStyle w:val="Caption1"/>
              <w:spacing w:before="0" w:after="0"/>
              <w:rPr>
                <w:rFonts w:ascii="Aptos" w:hAnsi="Aptos"/>
                <w:sz w:val="16"/>
                <w:szCs w:val="16"/>
              </w:rPr>
            </w:pPr>
          </w:p>
        </w:tc>
      </w:tr>
      <w:tr w:rsidR="006B5A09" w:rsidRPr="00D518FF" w14:paraId="3A633A1B" w14:textId="77777777" w:rsidTr="00AA694C">
        <w:trPr>
          <w:trHeight w:val="326"/>
        </w:trPr>
        <w:tc>
          <w:tcPr>
            <w:tcW w:w="846" w:type="dxa"/>
          </w:tcPr>
          <w:p w14:paraId="0963EBEB"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Holdcraft 2003</w:t>
            </w:r>
          </w:p>
        </w:tc>
        <w:tc>
          <w:tcPr>
            <w:tcW w:w="850" w:type="dxa"/>
          </w:tcPr>
          <w:p w14:paraId="595E4726"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51" w:type="dxa"/>
          </w:tcPr>
          <w:p w14:paraId="10DC602A" w14:textId="7BD91F2A"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27" w:type="dxa"/>
          </w:tcPr>
          <w:p w14:paraId="7161D930"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fibromyalgia syndrome (FMS)</w:t>
            </w:r>
          </w:p>
        </w:tc>
        <w:tc>
          <w:tcPr>
            <w:tcW w:w="1523" w:type="dxa"/>
          </w:tcPr>
          <w:p w14:paraId="51D5ED8A" w14:textId="454629AD"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w:t>
            </w:r>
            <w:r w:rsidRPr="00D518FF">
              <w:rPr>
                <w:rFonts w:ascii="Aptos" w:hAnsi="Aptos"/>
                <w:b w:val="0"/>
                <w:bCs w:val="0"/>
                <w:sz w:val="16"/>
                <w:szCs w:val="16"/>
              </w:rPr>
              <w:lastRenderedPageBreak/>
              <w:t xml:space="preserve">control/inactive control </w:t>
            </w:r>
          </w:p>
        </w:tc>
        <w:tc>
          <w:tcPr>
            <w:tcW w:w="1140" w:type="dxa"/>
          </w:tcPr>
          <w:p w14:paraId="17069E9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lastRenderedPageBreak/>
              <w:t>Supermalic (200 mg malic acid and 50 mg magnesium), 1 month</w:t>
            </w:r>
          </w:p>
        </w:tc>
        <w:tc>
          <w:tcPr>
            <w:tcW w:w="983" w:type="dxa"/>
          </w:tcPr>
          <w:p w14:paraId="73FE464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7CDA88E0"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42" w:type="dxa"/>
          </w:tcPr>
          <w:p w14:paraId="66C1E20C" w14:textId="77777777" w:rsidR="006B5A09" w:rsidRPr="00D518FF" w:rsidRDefault="006B5A09" w:rsidP="00AA694C">
            <w:pPr>
              <w:pStyle w:val="Caption1"/>
              <w:spacing w:before="0" w:after="0"/>
              <w:rPr>
                <w:rFonts w:ascii="Aptos" w:hAnsi="Aptos"/>
                <w:b w:val="0"/>
                <w:bCs w:val="0"/>
                <w:sz w:val="16"/>
                <w:szCs w:val="16"/>
              </w:rPr>
            </w:pPr>
          </w:p>
        </w:tc>
        <w:tc>
          <w:tcPr>
            <w:tcW w:w="1006" w:type="dxa"/>
          </w:tcPr>
          <w:p w14:paraId="3709DD1F"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Pain VAS</w:t>
            </w:r>
          </w:p>
        </w:tc>
        <w:tc>
          <w:tcPr>
            <w:tcW w:w="826" w:type="dxa"/>
          </w:tcPr>
          <w:p w14:paraId="1074C448"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6A9AC5B6"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No treatment effects were observed as measured by tender point index, </w:t>
            </w:r>
            <w:r w:rsidRPr="00D518FF">
              <w:rPr>
                <w:rFonts w:ascii="Aptos" w:hAnsi="Aptos"/>
                <w:b w:val="0"/>
                <w:bCs w:val="0"/>
                <w:sz w:val="16"/>
                <w:szCs w:val="16"/>
              </w:rPr>
              <w:lastRenderedPageBreak/>
              <w:t>dolorimetery reading of the tender point average, or pain as rated on a VAS.</w:t>
            </w:r>
          </w:p>
        </w:tc>
        <w:tc>
          <w:tcPr>
            <w:tcW w:w="1253" w:type="dxa"/>
          </w:tcPr>
          <w:p w14:paraId="0F71BA3B" w14:textId="14092A38"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lastRenderedPageBreak/>
              <w:t>NA</w:t>
            </w:r>
          </w:p>
        </w:tc>
        <w:tc>
          <w:tcPr>
            <w:tcW w:w="1015" w:type="dxa"/>
          </w:tcPr>
          <w:p w14:paraId="620379C4" w14:textId="10510677"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4B4406FF" w14:textId="77777777" w:rsidTr="00AA694C">
        <w:trPr>
          <w:trHeight w:val="326"/>
        </w:trPr>
        <w:tc>
          <w:tcPr>
            <w:tcW w:w="846" w:type="dxa"/>
          </w:tcPr>
          <w:p w14:paraId="0BB8F8DA"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Holdcraft 2003</w:t>
            </w:r>
          </w:p>
        </w:tc>
        <w:tc>
          <w:tcPr>
            <w:tcW w:w="850" w:type="dxa"/>
          </w:tcPr>
          <w:p w14:paraId="522F6AE8"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851" w:type="dxa"/>
          </w:tcPr>
          <w:p w14:paraId="00252A77" w14:textId="538D8CD0"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27" w:type="dxa"/>
          </w:tcPr>
          <w:p w14:paraId="2CDAC517"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fibromyalgia syndrome (FMS)</w:t>
            </w:r>
          </w:p>
        </w:tc>
        <w:tc>
          <w:tcPr>
            <w:tcW w:w="1523" w:type="dxa"/>
          </w:tcPr>
          <w:p w14:paraId="5FC7BD20" w14:textId="01A8C8DB"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0CAF5E9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magnesium (300– 600 mg) and malate (1200–2400 mg) over 8 weeks</w:t>
            </w:r>
          </w:p>
        </w:tc>
        <w:tc>
          <w:tcPr>
            <w:tcW w:w="983" w:type="dxa"/>
          </w:tcPr>
          <w:p w14:paraId="3ECC0119"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3352F1CD"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42" w:type="dxa"/>
          </w:tcPr>
          <w:p w14:paraId="10131786" w14:textId="77777777" w:rsidR="006B5A09" w:rsidRPr="00D518FF" w:rsidRDefault="006B5A09" w:rsidP="00AA694C">
            <w:pPr>
              <w:pStyle w:val="Caption1"/>
              <w:spacing w:before="0" w:after="0"/>
              <w:rPr>
                <w:rFonts w:ascii="Aptos" w:hAnsi="Aptos"/>
                <w:b w:val="0"/>
                <w:bCs w:val="0"/>
                <w:sz w:val="16"/>
                <w:szCs w:val="16"/>
              </w:rPr>
            </w:pPr>
          </w:p>
        </w:tc>
        <w:tc>
          <w:tcPr>
            <w:tcW w:w="1006" w:type="dxa"/>
          </w:tcPr>
          <w:p w14:paraId="477A1F2F"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Pain VAS</w:t>
            </w:r>
          </w:p>
        </w:tc>
        <w:tc>
          <w:tcPr>
            <w:tcW w:w="826" w:type="dxa"/>
          </w:tcPr>
          <w:p w14:paraId="330B2E0F"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4EF2C313" w14:textId="77777777" w:rsidR="006B5A09" w:rsidRPr="00D518FF" w:rsidRDefault="006B5A09" w:rsidP="00AA694C">
            <w:pPr>
              <w:pStyle w:val="Caption1"/>
              <w:spacing w:before="0" w:after="0"/>
              <w:rPr>
                <w:rFonts w:ascii="Aptos" w:hAnsi="Aptos"/>
                <w:b w:val="0"/>
                <w:bCs w:val="0"/>
                <w:sz w:val="16"/>
                <w:szCs w:val="16"/>
              </w:rPr>
            </w:pPr>
          </w:p>
        </w:tc>
        <w:tc>
          <w:tcPr>
            <w:tcW w:w="1253" w:type="dxa"/>
          </w:tcPr>
          <w:p w14:paraId="5D54D5D0" w14:textId="5385FD66"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1015" w:type="dxa"/>
          </w:tcPr>
          <w:p w14:paraId="78E383CB" w14:textId="2854EEAB"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333061B7" w14:textId="77777777" w:rsidTr="00AA694C">
        <w:trPr>
          <w:trHeight w:val="326"/>
        </w:trPr>
        <w:tc>
          <w:tcPr>
            <w:tcW w:w="846" w:type="dxa"/>
          </w:tcPr>
          <w:p w14:paraId="0BCD2F0B"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Holdcraft 2003</w:t>
            </w:r>
          </w:p>
        </w:tc>
        <w:tc>
          <w:tcPr>
            <w:tcW w:w="850" w:type="dxa"/>
          </w:tcPr>
          <w:p w14:paraId="59927AA2"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851" w:type="dxa"/>
          </w:tcPr>
          <w:p w14:paraId="6377772F" w14:textId="785FD975"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27" w:type="dxa"/>
          </w:tcPr>
          <w:p w14:paraId="79243A36"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fibromyalgia syndrome (FMS)</w:t>
            </w:r>
          </w:p>
        </w:tc>
        <w:tc>
          <w:tcPr>
            <w:tcW w:w="1523" w:type="dxa"/>
          </w:tcPr>
          <w:p w14:paraId="7DDA1848" w14:textId="5AE1E234"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32E28D4D"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Supermalic (200 mg malic acid and 50 mg magnesium), 1 month</w:t>
            </w:r>
          </w:p>
        </w:tc>
        <w:tc>
          <w:tcPr>
            <w:tcW w:w="983" w:type="dxa"/>
          </w:tcPr>
          <w:p w14:paraId="3853824A"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76BA1703"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42" w:type="dxa"/>
          </w:tcPr>
          <w:p w14:paraId="5C11CEE4" w14:textId="77777777" w:rsidR="006B5A09" w:rsidRPr="00D518FF" w:rsidRDefault="006B5A09" w:rsidP="00AA694C">
            <w:pPr>
              <w:pStyle w:val="Caption1"/>
              <w:spacing w:before="0" w:after="0"/>
              <w:rPr>
                <w:rFonts w:ascii="Aptos" w:hAnsi="Aptos"/>
                <w:b w:val="0"/>
                <w:bCs w:val="0"/>
                <w:sz w:val="16"/>
                <w:szCs w:val="16"/>
              </w:rPr>
            </w:pPr>
          </w:p>
        </w:tc>
        <w:tc>
          <w:tcPr>
            <w:tcW w:w="1006" w:type="dxa"/>
          </w:tcPr>
          <w:p w14:paraId="323AE3F6"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tender point index,</w:t>
            </w:r>
          </w:p>
        </w:tc>
        <w:tc>
          <w:tcPr>
            <w:tcW w:w="826" w:type="dxa"/>
          </w:tcPr>
          <w:p w14:paraId="184813C2"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202AC69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No treatment effects were observed as measured by tender point index, dolorimetery reading of the tender point average, or pain as rated on a VAS.</w:t>
            </w:r>
          </w:p>
        </w:tc>
        <w:tc>
          <w:tcPr>
            <w:tcW w:w="1253" w:type="dxa"/>
          </w:tcPr>
          <w:p w14:paraId="7436C300" w14:textId="56570D3E"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1015" w:type="dxa"/>
          </w:tcPr>
          <w:p w14:paraId="3923F30F" w14:textId="1377C113"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7B291769" w14:textId="77777777" w:rsidTr="00AA694C">
        <w:trPr>
          <w:trHeight w:val="326"/>
        </w:trPr>
        <w:tc>
          <w:tcPr>
            <w:tcW w:w="846" w:type="dxa"/>
          </w:tcPr>
          <w:p w14:paraId="62216618"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Holdcraft 2003</w:t>
            </w:r>
          </w:p>
        </w:tc>
        <w:tc>
          <w:tcPr>
            <w:tcW w:w="850" w:type="dxa"/>
          </w:tcPr>
          <w:p w14:paraId="3656A4E6"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851" w:type="dxa"/>
          </w:tcPr>
          <w:p w14:paraId="3500E0E6" w14:textId="10264BCD"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27" w:type="dxa"/>
          </w:tcPr>
          <w:p w14:paraId="7DC0AD1F"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fibromyalgia syndrome (FMS)</w:t>
            </w:r>
          </w:p>
        </w:tc>
        <w:tc>
          <w:tcPr>
            <w:tcW w:w="1523" w:type="dxa"/>
          </w:tcPr>
          <w:p w14:paraId="63BE68BC" w14:textId="41A4A18B"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1AC4D27C"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Supermalic (200 mg malic acid and 50 mg magnesium), 1 month</w:t>
            </w:r>
          </w:p>
        </w:tc>
        <w:tc>
          <w:tcPr>
            <w:tcW w:w="983" w:type="dxa"/>
          </w:tcPr>
          <w:p w14:paraId="0BCB9EE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1D9B3B0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42" w:type="dxa"/>
          </w:tcPr>
          <w:p w14:paraId="6733C60B" w14:textId="77777777" w:rsidR="006B5A09" w:rsidRPr="00D518FF" w:rsidRDefault="006B5A09" w:rsidP="00AA694C">
            <w:pPr>
              <w:pStyle w:val="Caption1"/>
              <w:spacing w:before="0" w:after="0"/>
              <w:rPr>
                <w:rFonts w:ascii="Aptos" w:hAnsi="Aptos"/>
                <w:b w:val="0"/>
                <w:bCs w:val="0"/>
                <w:sz w:val="16"/>
                <w:szCs w:val="16"/>
              </w:rPr>
            </w:pPr>
          </w:p>
        </w:tc>
        <w:tc>
          <w:tcPr>
            <w:tcW w:w="1006" w:type="dxa"/>
          </w:tcPr>
          <w:p w14:paraId="484179AC"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tender point average from dolorimeter</w:t>
            </w:r>
          </w:p>
        </w:tc>
        <w:tc>
          <w:tcPr>
            <w:tcW w:w="826" w:type="dxa"/>
          </w:tcPr>
          <w:p w14:paraId="12E5A7FC"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0F6A22A0"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No treatment effects were observed as measured by tender point index, dolorimetery reading of the tender point average, or pain as rated on a VAS.</w:t>
            </w:r>
          </w:p>
        </w:tc>
        <w:tc>
          <w:tcPr>
            <w:tcW w:w="1253" w:type="dxa"/>
          </w:tcPr>
          <w:p w14:paraId="4E9D35F5" w14:textId="64A3DF89"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1015" w:type="dxa"/>
          </w:tcPr>
          <w:p w14:paraId="3DF500B6" w14:textId="5E7877EA"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24EAF51D" w14:textId="77777777" w:rsidTr="00AA694C">
        <w:trPr>
          <w:trHeight w:val="326"/>
        </w:trPr>
        <w:tc>
          <w:tcPr>
            <w:tcW w:w="846" w:type="dxa"/>
          </w:tcPr>
          <w:p w14:paraId="72741A6B"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Holdcraft 2003</w:t>
            </w:r>
          </w:p>
        </w:tc>
        <w:tc>
          <w:tcPr>
            <w:tcW w:w="850" w:type="dxa"/>
          </w:tcPr>
          <w:p w14:paraId="6B265DB3"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851" w:type="dxa"/>
          </w:tcPr>
          <w:p w14:paraId="39E58C58" w14:textId="2836B956"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27" w:type="dxa"/>
          </w:tcPr>
          <w:p w14:paraId="3645F099"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fibromyalgia syndrome (FMS)</w:t>
            </w:r>
          </w:p>
        </w:tc>
        <w:tc>
          <w:tcPr>
            <w:tcW w:w="1523" w:type="dxa"/>
          </w:tcPr>
          <w:p w14:paraId="342BF540" w14:textId="286F0941"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156C5FA9"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magnesium (300– 600 mg) and malate (1200–2400 mg) over 8 weeks</w:t>
            </w:r>
          </w:p>
        </w:tc>
        <w:tc>
          <w:tcPr>
            <w:tcW w:w="983" w:type="dxa"/>
          </w:tcPr>
          <w:p w14:paraId="799E8DD7"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52B45AD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42" w:type="dxa"/>
          </w:tcPr>
          <w:p w14:paraId="6C0D5C3E" w14:textId="77777777" w:rsidR="006B5A09" w:rsidRPr="00D518FF" w:rsidRDefault="006B5A09" w:rsidP="00AA694C">
            <w:pPr>
              <w:pStyle w:val="Caption1"/>
              <w:spacing w:before="0" w:after="0"/>
              <w:rPr>
                <w:rFonts w:ascii="Aptos" w:hAnsi="Aptos"/>
                <w:b w:val="0"/>
                <w:bCs w:val="0"/>
                <w:sz w:val="16"/>
                <w:szCs w:val="16"/>
              </w:rPr>
            </w:pPr>
          </w:p>
        </w:tc>
        <w:tc>
          <w:tcPr>
            <w:tcW w:w="1006" w:type="dxa"/>
          </w:tcPr>
          <w:p w14:paraId="57989F92"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tender point index,</w:t>
            </w:r>
          </w:p>
        </w:tc>
        <w:tc>
          <w:tcPr>
            <w:tcW w:w="826" w:type="dxa"/>
          </w:tcPr>
          <w:p w14:paraId="152E9735"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376B86B3"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Significant differences in tender point index scores between the intervention and control condition subjects were observed, , as well </w:t>
            </w:r>
            <w:r w:rsidRPr="00D518FF">
              <w:rPr>
                <w:rFonts w:ascii="Aptos" w:hAnsi="Aptos"/>
                <w:b w:val="0"/>
                <w:bCs w:val="0"/>
                <w:sz w:val="16"/>
                <w:szCs w:val="16"/>
              </w:rPr>
              <w:lastRenderedPageBreak/>
              <w:t>as a significant worsening of these scores when six subjects were crossed-over to placebo group</w:t>
            </w:r>
          </w:p>
        </w:tc>
        <w:tc>
          <w:tcPr>
            <w:tcW w:w="1253" w:type="dxa"/>
          </w:tcPr>
          <w:p w14:paraId="198F7295" w14:textId="5FD3B2A1"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lastRenderedPageBreak/>
              <w:t>NA</w:t>
            </w:r>
          </w:p>
        </w:tc>
        <w:tc>
          <w:tcPr>
            <w:tcW w:w="1015" w:type="dxa"/>
          </w:tcPr>
          <w:p w14:paraId="39A25D88" w14:textId="47C2DC6F"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02073A6B" w14:textId="77777777" w:rsidTr="00AA694C">
        <w:trPr>
          <w:trHeight w:val="326"/>
        </w:trPr>
        <w:tc>
          <w:tcPr>
            <w:tcW w:w="846" w:type="dxa"/>
          </w:tcPr>
          <w:p w14:paraId="64CA10AE"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Holdcraft 2003</w:t>
            </w:r>
          </w:p>
        </w:tc>
        <w:tc>
          <w:tcPr>
            <w:tcW w:w="850" w:type="dxa"/>
          </w:tcPr>
          <w:p w14:paraId="36EED76D"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5</w:t>
            </w:r>
          </w:p>
        </w:tc>
        <w:tc>
          <w:tcPr>
            <w:tcW w:w="851" w:type="dxa"/>
          </w:tcPr>
          <w:p w14:paraId="03CB3FE0" w14:textId="5670E51E"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27" w:type="dxa"/>
          </w:tcPr>
          <w:p w14:paraId="275E2E99"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fibromyalgia syndrome (FMS)</w:t>
            </w:r>
          </w:p>
        </w:tc>
        <w:tc>
          <w:tcPr>
            <w:tcW w:w="1523" w:type="dxa"/>
          </w:tcPr>
          <w:p w14:paraId="632E5C3A" w14:textId="3AE992D3"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Eligible supplement + naturopathy co-intervention VS placebo/inactive control/inactive control </w:t>
            </w:r>
          </w:p>
        </w:tc>
        <w:tc>
          <w:tcPr>
            <w:tcW w:w="1140" w:type="dxa"/>
          </w:tcPr>
          <w:p w14:paraId="0495033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magnesium (300– 600 mg) and malate (1200–2400 mg) over 8 weeks</w:t>
            </w:r>
          </w:p>
        </w:tc>
        <w:tc>
          <w:tcPr>
            <w:tcW w:w="983" w:type="dxa"/>
          </w:tcPr>
          <w:p w14:paraId="63A8851B"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530744E2"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42" w:type="dxa"/>
          </w:tcPr>
          <w:p w14:paraId="58EA7767" w14:textId="77777777" w:rsidR="006B5A09" w:rsidRPr="00D518FF" w:rsidRDefault="006B5A09" w:rsidP="00AA694C">
            <w:pPr>
              <w:pStyle w:val="Caption1"/>
              <w:spacing w:before="0" w:after="0"/>
              <w:rPr>
                <w:rFonts w:ascii="Aptos" w:hAnsi="Aptos"/>
                <w:b w:val="0"/>
                <w:bCs w:val="0"/>
                <w:sz w:val="16"/>
                <w:szCs w:val="16"/>
              </w:rPr>
            </w:pPr>
          </w:p>
        </w:tc>
        <w:tc>
          <w:tcPr>
            <w:tcW w:w="1006" w:type="dxa"/>
          </w:tcPr>
          <w:p w14:paraId="35F39A70"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tender point average from dolorimeter</w:t>
            </w:r>
          </w:p>
        </w:tc>
        <w:tc>
          <w:tcPr>
            <w:tcW w:w="826" w:type="dxa"/>
          </w:tcPr>
          <w:p w14:paraId="5D78835E"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73548E54" w14:textId="77777777" w:rsidR="006B5A09" w:rsidRPr="00D518FF" w:rsidRDefault="006B5A09" w:rsidP="00AA694C">
            <w:pPr>
              <w:pStyle w:val="Caption1"/>
              <w:spacing w:before="0" w:after="0"/>
              <w:rPr>
                <w:rFonts w:ascii="Aptos" w:hAnsi="Aptos"/>
                <w:b w:val="0"/>
                <w:bCs w:val="0"/>
                <w:sz w:val="16"/>
                <w:szCs w:val="16"/>
              </w:rPr>
            </w:pPr>
          </w:p>
        </w:tc>
        <w:tc>
          <w:tcPr>
            <w:tcW w:w="1253" w:type="dxa"/>
          </w:tcPr>
          <w:p w14:paraId="54E62F47" w14:textId="5778A3F4"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1015" w:type="dxa"/>
          </w:tcPr>
          <w:p w14:paraId="2992DBCE" w14:textId="7C68A09A"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6C5D3548" w14:textId="77777777" w:rsidTr="00AA694C">
        <w:trPr>
          <w:trHeight w:val="326"/>
        </w:trPr>
        <w:tc>
          <w:tcPr>
            <w:tcW w:w="846" w:type="dxa"/>
          </w:tcPr>
          <w:p w14:paraId="6A58C068"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Porter 2010</w:t>
            </w:r>
          </w:p>
        </w:tc>
        <w:tc>
          <w:tcPr>
            <w:tcW w:w="850" w:type="dxa"/>
          </w:tcPr>
          <w:p w14:paraId="69DA560F"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4</w:t>
            </w:r>
          </w:p>
        </w:tc>
        <w:tc>
          <w:tcPr>
            <w:tcW w:w="851" w:type="dxa"/>
          </w:tcPr>
          <w:p w14:paraId="78246D17" w14:textId="441297AD"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At-risk of condition</w:t>
            </w:r>
          </w:p>
        </w:tc>
        <w:tc>
          <w:tcPr>
            <w:tcW w:w="1027" w:type="dxa"/>
          </w:tcPr>
          <w:p w14:paraId="2879FDEC"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CFS/ME</w:t>
            </w:r>
          </w:p>
        </w:tc>
        <w:tc>
          <w:tcPr>
            <w:tcW w:w="1523" w:type="dxa"/>
          </w:tcPr>
          <w:p w14:paraId="6B0F163B" w14:textId="33001C0F"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40" w:type="dxa"/>
          </w:tcPr>
          <w:p w14:paraId="3CD4CAEC"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Magnesium</w:t>
            </w:r>
          </w:p>
        </w:tc>
        <w:tc>
          <w:tcPr>
            <w:tcW w:w="983" w:type="dxa"/>
          </w:tcPr>
          <w:p w14:paraId="4A799261"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34F17A7E"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42" w:type="dxa"/>
          </w:tcPr>
          <w:p w14:paraId="2EF4F2CA"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34</w:t>
            </w:r>
          </w:p>
        </w:tc>
        <w:tc>
          <w:tcPr>
            <w:tcW w:w="1006" w:type="dxa"/>
          </w:tcPr>
          <w:p w14:paraId="06130002"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826" w:type="dxa"/>
          </w:tcPr>
          <w:p w14:paraId="21F4114A"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2B47FF1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positive outcome </w:t>
            </w:r>
          </w:p>
        </w:tc>
        <w:tc>
          <w:tcPr>
            <w:tcW w:w="1253" w:type="dxa"/>
          </w:tcPr>
          <w:p w14:paraId="08297CBE" w14:textId="4A369CD5"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1015" w:type="dxa"/>
          </w:tcPr>
          <w:p w14:paraId="2AED4AD9" w14:textId="445B932A"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3ABA950E" w14:textId="77777777" w:rsidTr="00AA694C">
        <w:trPr>
          <w:trHeight w:val="326"/>
        </w:trPr>
        <w:tc>
          <w:tcPr>
            <w:tcW w:w="846" w:type="dxa"/>
          </w:tcPr>
          <w:p w14:paraId="4ED1EBD0"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Porter 2010</w:t>
            </w:r>
          </w:p>
        </w:tc>
        <w:tc>
          <w:tcPr>
            <w:tcW w:w="850" w:type="dxa"/>
          </w:tcPr>
          <w:p w14:paraId="6650708A"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Unclear - "physical"</w:t>
            </w:r>
          </w:p>
        </w:tc>
        <w:tc>
          <w:tcPr>
            <w:tcW w:w="851" w:type="dxa"/>
          </w:tcPr>
          <w:p w14:paraId="36FA4024" w14:textId="18519148"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With condition</w:t>
            </w:r>
          </w:p>
        </w:tc>
        <w:tc>
          <w:tcPr>
            <w:tcW w:w="1027" w:type="dxa"/>
          </w:tcPr>
          <w:p w14:paraId="397B6F08"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FM</w:t>
            </w:r>
          </w:p>
        </w:tc>
        <w:tc>
          <w:tcPr>
            <w:tcW w:w="1523" w:type="dxa"/>
          </w:tcPr>
          <w:p w14:paraId="4F5F6A76" w14:textId="31C6D126"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40" w:type="dxa"/>
          </w:tcPr>
          <w:p w14:paraId="1A840191"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Magnesium</w:t>
            </w:r>
          </w:p>
        </w:tc>
        <w:tc>
          <w:tcPr>
            <w:tcW w:w="983" w:type="dxa"/>
          </w:tcPr>
          <w:p w14:paraId="553CE33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1BE51F5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2</w:t>
            </w:r>
          </w:p>
        </w:tc>
        <w:tc>
          <w:tcPr>
            <w:tcW w:w="942" w:type="dxa"/>
          </w:tcPr>
          <w:p w14:paraId="3FEFA066"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39</w:t>
            </w:r>
          </w:p>
        </w:tc>
        <w:tc>
          <w:tcPr>
            <w:tcW w:w="1006" w:type="dxa"/>
          </w:tcPr>
          <w:p w14:paraId="66E93C73"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826" w:type="dxa"/>
          </w:tcPr>
          <w:p w14:paraId="1CC0E7FD"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2F90911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positive outcome </w:t>
            </w:r>
          </w:p>
        </w:tc>
        <w:tc>
          <w:tcPr>
            <w:tcW w:w="1253" w:type="dxa"/>
          </w:tcPr>
          <w:p w14:paraId="1A714777" w14:textId="2C2B8560"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1015" w:type="dxa"/>
          </w:tcPr>
          <w:p w14:paraId="0BC5B4ED" w14:textId="74EF4685"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r w:rsidR="006B5A09" w:rsidRPr="00D518FF" w14:paraId="4300398F" w14:textId="77777777" w:rsidTr="00AA694C">
        <w:trPr>
          <w:trHeight w:val="326"/>
        </w:trPr>
        <w:tc>
          <w:tcPr>
            <w:tcW w:w="846" w:type="dxa"/>
          </w:tcPr>
          <w:p w14:paraId="22F51354"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Porter 2010</w:t>
            </w:r>
          </w:p>
        </w:tc>
        <w:tc>
          <w:tcPr>
            <w:tcW w:w="850" w:type="dxa"/>
          </w:tcPr>
          <w:p w14:paraId="2EF33DCE"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Unclear - "physical"</w:t>
            </w:r>
          </w:p>
        </w:tc>
        <w:tc>
          <w:tcPr>
            <w:tcW w:w="851" w:type="dxa"/>
          </w:tcPr>
          <w:p w14:paraId="4496DBD5" w14:textId="0C3F2AEF"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At-risk of condition</w:t>
            </w:r>
          </w:p>
        </w:tc>
        <w:tc>
          <w:tcPr>
            <w:tcW w:w="1027" w:type="dxa"/>
          </w:tcPr>
          <w:p w14:paraId="6A7C459B"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CFS/ME</w:t>
            </w:r>
          </w:p>
        </w:tc>
        <w:tc>
          <w:tcPr>
            <w:tcW w:w="1523" w:type="dxa"/>
          </w:tcPr>
          <w:p w14:paraId="3C87333C" w14:textId="7DF3C339"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Eligible supplement VS placebo/inactive control</w:t>
            </w:r>
          </w:p>
        </w:tc>
        <w:tc>
          <w:tcPr>
            <w:tcW w:w="1140" w:type="dxa"/>
          </w:tcPr>
          <w:p w14:paraId="29C55C2A"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Magnesium</w:t>
            </w:r>
          </w:p>
        </w:tc>
        <w:tc>
          <w:tcPr>
            <w:tcW w:w="983" w:type="dxa"/>
          </w:tcPr>
          <w:p w14:paraId="136D8928"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Placebo</w:t>
            </w:r>
          </w:p>
        </w:tc>
        <w:tc>
          <w:tcPr>
            <w:tcW w:w="781" w:type="dxa"/>
          </w:tcPr>
          <w:p w14:paraId="6C338B76"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1</w:t>
            </w:r>
          </w:p>
        </w:tc>
        <w:tc>
          <w:tcPr>
            <w:tcW w:w="942" w:type="dxa"/>
          </w:tcPr>
          <w:p w14:paraId="107A1618"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34</w:t>
            </w:r>
          </w:p>
        </w:tc>
        <w:tc>
          <w:tcPr>
            <w:tcW w:w="1006" w:type="dxa"/>
          </w:tcPr>
          <w:p w14:paraId="36AE63AC"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826" w:type="dxa"/>
          </w:tcPr>
          <w:p w14:paraId="5B3285DD"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NR</w:t>
            </w:r>
          </w:p>
        </w:tc>
        <w:tc>
          <w:tcPr>
            <w:tcW w:w="1411" w:type="dxa"/>
          </w:tcPr>
          <w:p w14:paraId="3C465AF5" w14:textId="77777777" w:rsidR="006B5A09" w:rsidRPr="00D518FF" w:rsidRDefault="006B5A09" w:rsidP="00AA694C">
            <w:pPr>
              <w:pStyle w:val="Caption1"/>
              <w:spacing w:before="0" w:after="0"/>
              <w:rPr>
                <w:rFonts w:ascii="Aptos" w:hAnsi="Aptos"/>
                <w:b w:val="0"/>
                <w:bCs w:val="0"/>
                <w:sz w:val="16"/>
                <w:szCs w:val="16"/>
              </w:rPr>
            </w:pPr>
            <w:r w:rsidRPr="00D518FF">
              <w:rPr>
                <w:rFonts w:ascii="Aptos" w:hAnsi="Aptos"/>
                <w:b w:val="0"/>
                <w:bCs w:val="0"/>
                <w:sz w:val="16"/>
                <w:szCs w:val="16"/>
              </w:rPr>
              <w:t xml:space="preserve">positive outcome </w:t>
            </w:r>
          </w:p>
        </w:tc>
        <w:tc>
          <w:tcPr>
            <w:tcW w:w="1253" w:type="dxa"/>
          </w:tcPr>
          <w:p w14:paraId="57ADF397" w14:textId="1CA8803B" w:rsidR="006B5A09" w:rsidRDefault="006B5A09" w:rsidP="00AA694C">
            <w:pPr>
              <w:pStyle w:val="Caption1"/>
              <w:spacing w:before="0" w:after="0"/>
              <w:rPr>
                <w:rFonts w:ascii="Aptos" w:hAnsi="Aptos"/>
                <w:b w:val="0"/>
                <w:bCs w:val="0"/>
                <w:sz w:val="16"/>
                <w:szCs w:val="16"/>
              </w:rPr>
            </w:pPr>
            <w:r>
              <w:rPr>
                <w:rFonts w:ascii="Aptos" w:hAnsi="Aptos"/>
                <w:b w:val="0"/>
                <w:bCs w:val="0"/>
                <w:sz w:val="16"/>
                <w:szCs w:val="16"/>
              </w:rPr>
              <w:t>NA</w:t>
            </w:r>
          </w:p>
        </w:tc>
        <w:tc>
          <w:tcPr>
            <w:tcW w:w="1015" w:type="dxa"/>
          </w:tcPr>
          <w:p w14:paraId="415708FA" w14:textId="4986E938" w:rsidR="006B5A09" w:rsidRPr="00D518FF" w:rsidRDefault="006B5A09" w:rsidP="00AA694C">
            <w:pPr>
              <w:pStyle w:val="Caption1"/>
              <w:spacing w:before="0" w:after="0"/>
              <w:rPr>
                <w:rFonts w:ascii="Aptos" w:hAnsi="Aptos"/>
                <w:b w:val="0"/>
                <w:bCs w:val="0"/>
                <w:sz w:val="16"/>
                <w:szCs w:val="16"/>
              </w:rPr>
            </w:pPr>
            <w:r>
              <w:rPr>
                <w:rFonts w:ascii="Aptos" w:hAnsi="Aptos"/>
                <w:b w:val="0"/>
                <w:bCs w:val="0"/>
                <w:sz w:val="16"/>
                <w:szCs w:val="16"/>
              </w:rPr>
              <w:t>High risk</w:t>
            </w:r>
          </w:p>
        </w:tc>
      </w:tr>
    </w:tbl>
    <w:p w14:paraId="7EA3DC63" w14:textId="1D94FFE5" w:rsidR="00B56A8E" w:rsidRPr="00D518FF" w:rsidRDefault="00B56A8E" w:rsidP="00B56A8E">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sidR="007637E9">
        <w:rPr>
          <w:rFonts w:ascii="Aptos" w:hAnsi="Aptos"/>
          <w:b w:val="0"/>
          <w:bCs w:val="0"/>
          <w:sz w:val="16"/>
          <w:szCs w:val="16"/>
        </w:rPr>
        <w:t>CFS=</w:t>
      </w:r>
      <w:r w:rsidR="007637E9" w:rsidRPr="007637E9">
        <w:rPr>
          <w:rFonts w:ascii="Aptos" w:hAnsi="Aptos"/>
          <w:b w:val="0"/>
          <w:bCs w:val="0"/>
          <w:sz w:val="16"/>
          <w:szCs w:val="16"/>
        </w:rPr>
        <w:t>Chronic fatigue syndrome</w:t>
      </w:r>
      <w:r w:rsidR="007637E9">
        <w:rPr>
          <w:rFonts w:ascii="Aptos" w:hAnsi="Aptos"/>
          <w:sz w:val="16"/>
          <w:szCs w:val="16"/>
        </w:rPr>
        <w:t xml:space="preserve">; </w:t>
      </w:r>
      <w:r>
        <w:rPr>
          <w:rFonts w:ascii="Aptos" w:hAnsi="Aptos"/>
          <w:b w:val="0"/>
          <w:bCs w:val="0"/>
          <w:sz w:val="16"/>
          <w:szCs w:val="16"/>
        </w:rPr>
        <w:t>FMS=</w:t>
      </w:r>
      <w:r w:rsidRPr="00B56A8E">
        <w:rPr>
          <w:rFonts w:ascii="Aptos" w:hAnsi="Aptos"/>
          <w:b w:val="0"/>
          <w:bCs w:val="0"/>
          <w:sz w:val="16"/>
          <w:szCs w:val="16"/>
        </w:rPr>
        <w:t xml:space="preserve"> </w:t>
      </w:r>
      <w:r w:rsidRPr="00D518FF">
        <w:rPr>
          <w:rFonts w:ascii="Aptos" w:hAnsi="Aptos"/>
          <w:b w:val="0"/>
          <w:bCs w:val="0"/>
          <w:sz w:val="16"/>
          <w:szCs w:val="16"/>
        </w:rPr>
        <w:t>fibromyalgia syndrome</w:t>
      </w:r>
      <w:r>
        <w:rPr>
          <w:rFonts w:ascii="Aptos" w:hAnsi="Aptos"/>
          <w:b w:val="0"/>
          <w:bCs w:val="0"/>
          <w:sz w:val="16"/>
          <w:szCs w:val="16"/>
        </w:rPr>
        <w:t xml:space="preserve">; </w:t>
      </w:r>
      <w:r w:rsidR="007637E9">
        <w:rPr>
          <w:rFonts w:ascii="Aptos" w:hAnsi="Aptos"/>
          <w:b w:val="0"/>
          <w:bCs w:val="0"/>
          <w:sz w:val="16"/>
          <w:szCs w:val="16"/>
        </w:rPr>
        <w:t>ME=</w:t>
      </w:r>
      <w:r w:rsidR="007637E9" w:rsidRPr="007637E9">
        <w:rPr>
          <w:rFonts w:ascii="Aptos" w:hAnsi="Aptos"/>
          <w:b w:val="0"/>
          <w:bCs w:val="0"/>
          <w:sz w:val="16"/>
          <w:szCs w:val="16"/>
        </w:rPr>
        <w:t>myalgic encephalomyelitis</w:t>
      </w:r>
      <w:r w:rsidR="007637E9">
        <w:rPr>
          <w:rFonts w:ascii="Aptos" w:hAnsi="Aptos"/>
          <w:sz w:val="16"/>
          <w:szCs w:val="16"/>
        </w:rPr>
        <w:t xml:space="preserve">; </w:t>
      </w:r>
      <w:r>
        <w:rPr>
          <w:rFonts w:ascii="Aptos" w:hAnsi="Aptos"/>
          <w:b w:val="0"/>
          <w:bCs w:val="0"/>
          <w:sz w:val="16"/>
          <w:szCs w:val="16"/>
        </w:rPr>
        <w:t xml:space="preserve">NA=Not applicable; NR=Not reported; </w:t>
      </w:r>
      <w:r w:rsidRPr="00B56A8E">
        <w:rPr>
          <w:rFonts w:ascii="Aptos" w:hAnsi="Aptos"/>
          <w:b w:val="0"/>
          <w:bCs w:val="0"/>
          <w:sz w:val="16"/>
          <w:szCs w:val="16"/>
          <w:lang w:val="en-GB"/>
        </w:rPr>
        <w:t>VAS=visual analogue scale</w:t>
      </w:r>
    </w:p>
    <w:p w14:paraId="6C23053A" w14:textId="77777777" w:rsidR="009E4D3F" w:rsidRPr="00D518FF" w:rsidRDefault="009E4D3F" w:rsidP="00AA72BD">
      <w:pPr>
        <w:pStyle w:val="Caption1"/>
        <w:spacing w:before="0" w:after="0"/>
        <w:rPr>
          <w:rFonts w:ascii="Aptos" w:hAnsi="Aptos"/>
          <w:b w:val="0"/>
          <w:bCs w:val="0"/>
          <w:sz w:val="16"/>
          <w:szCs w:val="16"/>
        </w:rPr>
      </w:pPr>
    </w:p>
    <w:p w14:paraId="168C6820"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2383563D" w14:textId="77777777" w:rsidR="009E4D3F" w:rsidRPr="00D518FF" w:rsidRDefault="009E4D3F" w:rsidP="00A4650A">
      <w:pPr>
        <w:pStyle w:val="ListParagraph"/>
        <w:numPr>
          <w:ilvl w:val="0"/>
          <w:numId w:val="4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Pain</w:t>
      </w:r>
    </w:p>
    <w:p w14:paraId="009027FF" w14:textId="77777777" w:rsidR="009E4D3F" w:rsidRPr="00D518FF" w:rsidRDefault="009E4D3F" w:rsidP="00A4650A">
      <w:pPr>
        <w:pStyle w:val="ListParagraph"/>
        <w:numPr>
          <w:ilvl w:val="0"/>
          <w:numId w:val="4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Function/Disability</w:t>
      </w:r>
    </w:p>
    <w:p w14:paraId="355B2034" w14:textId="77777777" w:rsidR="009E4D3F" w:rsidRPr="00D518FF" w:rsidRDefault="009E4D3F" w:rsidP="00A4650A">
      <w:pPr>
        <w:pStyle w:val="ListParagraph"/>
        <w:numPr>
          <w:ilvl w:val="0"/>
          <w:numId w:val="4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Global assessment of condition</w:t>
      </w:r>
    </w:p>
    <w:p w14:paraId="03EF3812" w14:textId="77777777" w:rsidR="009E4D3F" w:rsidRPr="00D518FF" w:rsidRDefault="009E4D3F" w:rsidP="00A4650A">
      <w:pPr>
        <w:pStyle w:val="ListParagraph"/>
        <w:numPr>
          <w:ilvl w:val="0"/>
          <w:numId w:val="4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0B46CCF7" w14:textId="77777777" w:rsidR="009E4D3F" w:rsidRPr="00D518FF" w:rsidRDefault="009E4D3F" w:rsidP="00A4650A">
      <w:pPr>
        <w:pStyle w:val="ListParagraph"/>
        <w:numPr>
          <w:ilvl w:val="0"/>
          <w:numId w:val="4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Tenderness</w:t>
      </w:r>
    </w:p>
    <w:p w14:paraId="3631E753" w14:textId="77777777" w:rsidR="009E4D3F" w:rsidRPr="00D518FF" w:rsidRDefault="009E4D3F" w:rsidP="00A4650A">
      <w:pPr>
        <w:pStyle w:val="ListParagraph"/>
        <w:numPr>
          <w:ilvl w:val="0"/>
          <w:numId w:val="4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Cognitive function burden from fibromyalgia</w:t>
      </w:r>
    </w:p>
    <w:p w14:paraId="33843734" w14:textId="77777777" w:rsidR="009E4D3F" w:rsidRPr="00D518FF" w:rsidRDefault="009E4D3F" w:rsidP="00A4650A">
      <w:pPr>
        <w:pStyle w:val="ListParagraph"/>
        <w:numPr>
          <w:ilvl w:val="0"/>
          <w:numId w:val="44"/>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Stiffness</w:t>
      </w:r>
    </w:p>
    <w:p w14:paraId="7246922A" w14:textId="6A90025F" w:rsidR="009E4D3F" w:rsidRPr="00B53559" w:rsidRDefault="009E4D3F" w:rsidP="00B53559">
      <w:pPr>
        <w:pStyle w:val="heading2numbers"/>
        <w:rPr>
          <w:rStyle w:val="Heading1Char"/>
          <w:rFonts w:ascii="Aptos" w:eastAsia="Calibri" w:hAnsi="Aptos"/>
          <w:bCs w:val="0"/>
          <w:color w:val="C00000"/>
          <w:sz w:val="28"/>
          <w:szCs w:val="26"/>
        </w:rPr>
      </w:pPr>
      <w:bookmarkStart w:id="211" w:name="_Toc185254673"/>
      <w:r w:rsidRPr="00B53559">
        <w:rPr>
          <w:rStyle w:val="Heading1Char"/>
          <w:rFonts w:ascii="Aptos" w:eastAsia="Calibri" w:hAnsi="Aptos"/>
          <w:bCs w:val="0"/>
          <w:color w:val="C00000"/>
          <w:sz w:val="28"/>
          <w:szCs w:val="26"/>
        </w:rPr>
        <w:lastRenderedPageBreak/>
        <w:t>Recurrent infection/s (including urinary tract infections, cystitis, respiratory tract infection, otitis media in children), zinc</w:t>
      </w:r>
      <w:bookmarkEnd w:id="211"/>
    </w:p>
    <w:p w14:paraId="18625204" w14:textId="12802963" w:rsidR="009E4D3F" w:rsidRPr="00D518FF" w:rsidRDefault="00834CBC" w:rsidP="00F614C8">
      <w:pPr>
        <w:pStyle w:val="Caption"/>
        <w:spacing w:before="240"/>
        <w:rPr>
          <w:rFonts w:ascii="Aptos" w:hAnsi="Aptos"/>
        </w:rPr>
      </w:pPr>
      <w:bookmarkStart w:id="212" w:name="_Toc185254590"/>
      <w:r w:rsidRPr="00F614C8">
        <w:rPr>
          <w:rFonts w:ascii="Aptos" w:hAnsi="Aptos"/>
        </w:rPr>
        <w:t xml:space="preserve">Table </w:t>
      </w:r>
      <w:r w:rsidR="00DC4767" w:rsidRPr="00F614C8">
        <w:rPr>
          <w:rFonts w:ascii="Aptos" w:hAnsi="Aptos"/>
        </w:rPr>
        <w:fldChar w:fldCharType="begin" w:fldLock="1"/>
      </w:r>
      <w:r w:rsidR="00DC4767" w:rsidRPr="00F614C8">
        <w:rPr>
          <w:rFonts w:ascii="Aptos" w:hAnsi="Aptos"/>
        </w:rPr>
        <w:instrText xml:space="preserve"> STYLEREF 1 \s </w:instrText>
      </w:r>
      <w:r w:rsidR="00DC4767" w:rsidRPr="00F614C8">
        <w:rPr>
          <w:rFonts w:ascii="Aptos" w:hAnsi="Aptos"/>
        </w:rPr>
        <w:fldChar w:fldCharType="separate"/>
      </w:r>
      <w:r w:rsidR="00DC4767" w:rsidRPr="00F614C8">
        <w:rPr>
          <w:rFonts w:ascii="Aptos" w:hAnsi="Aptos"/>
        </w:rPr>
        <w:t>E</w:t>
      </w:r>
      <w:r w:rsidR="00DC4767"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18</w:t>
      </w:r>
      <w:r w:rsidR="003B0594" w:rsidRPr="00F614C8">
        <w:rPr>
          <w:rFonts w:ascii="Aptos" w:hAnsi="Aptos"/>
        </w:rPr>
        <w:fldChar w:fldCharType="end"/>
      </w:r>
      <w:r w:rsidR="009E4D3F" w:rsidRPr="00D518FF">
        <w:rPr>
          <w:rFonts w:ascii="Aptos" w:hAnsi="Aptos"/>
        </w:rPr>
        <w:t xml:space="preserve">. Results of </w:t>
      </w:r>
      <w:r w:rsidR="00491D48">
        <w:rPr>
          <w:rFonts w:ascii="Aptos" w:hAnsi="Aptos"/>
        </w:rPr>
        <w:t>preferred</w:t>
      </w:r>
      <w:r w:rsidR="00491D48" w:rsidRPr="00D518FF">
        <w:rPr>
          <w:rFonts w:ascii="Aptos" w:hAnsi="Aptos"/>
        </w:rPr>
        <w:t xml:space="preserve"> </w:t>
      </w:r>
      <w:r w:rsidR="009E4D3F" w:rsidRPr="00D518FF">
        <w:rPr>
          <w:rFonts w:ascii="Aptos" w:hAnsi="Aptos"/>
        </w:rPr>
        <w:t>reviews by outcome domain – recurrent infection/s (including urinary tract infections, cystitis, respiratory tract infection, otitis media in children), zinc</w:t>
      </w:r>
      <w:r>
        <w:rPr>
          <w:rFonts w:ascii="Aptos" w:hAnsi="Aptos"/>
        </w:rPr>
        <w:t>.</w:t>
      </w:r>
      <w:bookmarkEnd w:id="212"/>
    </w:p>
    <w:tbl>
      <w:tblPr>
        <w:tblStyle w:val="TableGrid"/>
        <w:tblW w:w="14245" w:type="dxa"/>
        <w:tblLayout w:type="fixed"/>
        <w:tblCellMar>
          <w:top w:w="28" w:type="dxa"/>
          <w:left w:w="57" w:type="dxa"/>
          <w:bottom w:w="28" w:type="dxa"/>
          <w:right w:w="0" w:type="dxa"/>
        </w:tblCellMar>
        <w:tblLook w:val="04A0" w:firstRow="1" w:lastRow="0" w:firstColumn="1" w:lastColumn="0" w:noHBand="0" w:noVBand="1"/>
      </w:tblPr>
      <w:tblGrid>
        <w:gridCol w:w="661"/>
        <w:gridCol w:w="702"/>
        <w:gridCol w:w="818"/>
        <w:gridCol w:w="818"/>
        <w:gridCol w:w="1178"/>
        <w:gridCol w:w="1914"/>
        <w:gridCol w:w="850"/>
        <w:gridCol w:w="709"/>
        <w:gridCol w:w="850"/>
        <w:gridCol w:w="1418"/>
        <w:gridCol w:w="850"/>
        <w:gridCol w:w="1134"/>
        <w:gridCol w:w="1276"/>
        <w:gridCol w:w="1067"/>
      </w:tblGrid>
      <w:tr w:rsidR="006B5A09" w:rsidRPr="00D518FF" w14:paraId="4937F22F" w14:textId="77777777" w:rsidTr="00F614C8">
        <w:trPr>
          <w:trHeight w:val="145"/>
        </w:trPr>
        <w:tc>
          <w:tcPr>
            <w:tcW w:w="661" w:type="dxa"/>
            <w:vMerge w:val="restart"/>
            <w:shd w:val="clear" w:color="auto" w:fill="D9D9D9" w:themeFill="background1" w:themeFillShade="D9"/>
          </w:tcPr>
          <w:p w14:paraId="0EF12791"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Review ID</w:t>
            </w:r>
          </w:p>
        </w:tc>
        <w:tc>
          <w:tcPr>
            <w:tcW w:w="702" w:type="dxa"/>
            <w:vMerge w:val="restart"/>
            <w:shd w:val="clear" w:color="auto" w:fill="D9D9D9" w:themeFill="background1" w:themeFillShade="D9"/>
          </w:tcPr>
          <w:p w14:paraId="54879D6C"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Outcome domain</w:t>
            </w:r>
          </w:p>
        </w:tc>
        <w:tc>
          <w:tcPr>
            <w:tcW w:w="818" w:type="dxa"/>
            <w:vMerge w:val="restart"/>
            <w:shd w:val="clear" w:color="auto" w:fill="D9D9D9" w:themeFill="background1" w:themeFillShade="D9"/>
          </w:tcPr>
          <w:p w14:paraId="71AF1777"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Population group</w:t>
            </w:r>
          </w:p>
        </w:tc>
        <w:tc>
          <w:tcPr>
            <w:tcW w:w="818" w:type="dxa"/>
            <w:vMerge w:val="restart"/>
            <w:shd w:val="clear" w:color="auto" w:fill="D9D9D9" w:themeFill="background1" w:themeFillShade="D9"/>
          </w:tcPr>
          <w:p w14:paraId="65242B43"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Population details</w:t>
            </w:r>
          </w:p>
        </w:tc>
        <w:tc>
          <w:tcPr>
            <w:tcW w:w="1178" w:type="dxa"/>
            <w:vMerge w:val="restart"/>
            <w:shd w:val="clear" w:color="auto" w:fill="D9D9D9" w:themeFill="background1" w:themeFillShade="D9"/>
          </w:tcPr>
          <w:p w14:paraId="379C8CEC"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Type of comparison</w:t>
            </w:r>
          </w:p>
        </w:tc>
        <w:tc>
          <w:tcPr>
            <w:tcW w:w="1914" w:type="dxa"/>
            <w:vMerge w:val="restart"/>
            <w:shd w:val="clear" w:color="auto" w:fill="D9D9D9" w:themeFill="background1" w:themeFillShade="D9"/>
          </w:tcPr>
          <w:p w14:paraId="0BD6FC93"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Intervention description</w:t>
            </w:r>
          </w:p>
        </w:tc>
        <w:tc>
          <w:tcPr>
            <w:tcW w:w="850" w:type="dxa"/>
            <w:vMerge w:val="restart"/>
            <w:shd w:val="clear" w:color="auto" w:fill="D9D9D9" w:themeFill="background1" w:themeFillShade="D9"/>
          </w:tcPr>
          <w:p w14:paraId="51A447C7"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Comparator description</w:t>
            </w:r>
          </w:p>
        </w:tc>
        <w:tc>
          <w:tcPr>
            <w:tcW w:w="709" w:type="dxa"/>
            <w:vMerge w:val="restart"/>
            <w:shd w:val="clear" w:color="auto" w:fill="D9D9D9" w:themeFill="background1" w:themeFillShade="D9"/>
          </w:tcPr>
          <w:p w14:paraId="266275DC"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No/types of included studies</w:t>
            </w:r>
          </w:p>
        </w:tc>
        <w:tc>
          <w:tcPr>
            <w:tcW w:w="850" w:type="dxa"/>
            <w:vMerge w:val="restart"/>
            <w:shd w:val="clear" w:color="auto" w:fill="D9D9D9" w:themeFill="background1" w:themeFillShade="D9"/>
          </w:tcPr>
          <w:p w14:paraId="2A504739"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No of participants (total)</w:t>
            </w:r>
          </w:p>
        </w:tc>
        <w:tc>
          <w:tcPr>
            <w:tcW w:w="1418" w:type="dxa"/>
            <w:vMerge w:val="restart"/>
            <w:shd w:val="clear" w:color="auto" w:fill="D9D9D9" w:themeFill="background1" w:themeFillShade="D9"/>
          </w:tcPr>
          <w:p w14:paraId="64C9286D"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Outcome measure(s) used</w:t>
            </w:r>
          </w:p>
        </w:tc>
        <w:tc>
          <w:tcPr>
            <w:tcW w:w="3260" w:type="dxa"/>
            <w:gridSpan w:val="3"/>
            <w:shd w:val="clear" w:color="auto" w:fill="D9D9D9" w:themeFill="background1" w:themeFillShade="D9"/>
          </w:tcPr>
          <w:p w14:paraId="69CC2EE2" w14:textId="423C8BC4"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Results</w:t>
            </w:r>
          </w:p>
        </w:tc>
        <w:tc>
          <w:tcPr>
            <w:tcW w:w="1067" w:type="dxa"/>
            <w:vMerge w:val="restart"/>
            <w:shd w:val="clear" w:color="auto" w:fill="D9D9D9" w:themeFill="background1" w:themeFillShade="D9"/>
          </w:tcPr>
          <w:p w14:paraId="1420CBD2" w14:textId="1E477D23" w:rsidR="006B5A09" w:rsidRPr="00D518FF" w:rsidRDefault="006B5A09" w:rsidP="00AA62BB">
            <w:pPr>
              <w:pStyle w:val="Caption1"/>
              <w:spacing w:before="0" w:after="0"/>
              <w:rPr>
                <w:rFonts w:ascii="Aptos" w:hAnsi="Aptos"/>
                <w:sz w:val="16"/>
                <w:szCs w:val="16"/>
              </w:rPr>
            </w:pPr>
            <w:r w:rsidRPr="00416E96">
              <w:rPr>
                <w:rFonts w:ascii="Aptos" w:hAnsi="Aptos"/>
                <w:sz w:val="16"/>
                <w:szCs w:val="16"/>
              </w:rPr>
              <w:t>ROBIS assessment (for the review overall)</w:t>
            </w:r>
          </w:p>
        </w:tc>
      </w:tr>
      <w:tr w:rsidR="006B5A09" w:rsidRPr="00D518FF" w14:paraId="0C9A3FBD" w14:textId="77777777" w:rsidTr="00F614C8">
        <w:trPr>
          <w:trHeight w:val="145"/>
        </w:trPr>
        <w:tc>
          <w:tcPr>
            <w:tcW w:w="661" w:type="dxa"/>
            <w:vMerge/>
            <w:shd w:val="clear" w:color="auto" w:fill="D9D9D9" w:themeFill="background1" w:themeFillShade="D9"/>
          </w:tcPr>
          <w:p w14:paraId="0252C613" w14:textId="77777777" w:rsidR="006B5A09" w:rsidRPr="00D518FF" w:rsidRDefault="006B5A09" w:rsidP="00AA62BB">
            <w:pPr>
              <w:pStyle w:val="Caption1"/>
              <w:spacing w:before="0" w:after="0"/>
              <w:rPr>
                <w:rFonts w:ascii="Aptos" w:hAnsi="Aptos"/>
                <w:sz w:val="16"/>
                <w:szCs w:val="16"/>
              </w:rPr>
            </w:pPr>
          </w:p>
        </w:tc>
        <w:tc>
          <w:tcPr>
            <w:tcW w:w="702" w:type="dxa"/>
            <w:vMerge/>
            <w:shd w:val="clear" w:color="auto" w:fill="D9D9D9" w:themeFill="background1" w:themeFillShade="D9"/>
          </w:tcPr>
          <w:p w14:paraId="3C8587F1" w14:textId="77777777" w:rsidR="006B5A09" w:rsidRPr="00D518FF" w:rsidRDefault="006B5A09" w:rsidP="00AA62BB">
            <w:pPr>
              <w:pStyle w:val="Caption1"/>
              <w:spacing w:before="0" w:after="0"/>
              <w:rPr>
                <w:rFonts w:ascii="Aptos" w:hAnsi="Aptos"/>
                <w:sz w:val="16"/>
                <w:szCs w:val="16"/>
              </w:rPr>
            </w:pPr>
          </w:p>
        </w:tc>
        <w:tc>
          <w:tcPr>
            <w:tcW w:w="818" w:type="dxa"/>
            <w:vMerge/>
            <w:shd w:val="clear" w:color="auto" w:fill="D9D9D9" w:themeFill="background1" w:themeFillShade="D9"/>
          </w:tcPr>
          <w:p w14:paraId="69BCF581" w14:textId="77777777" w:rsidR="006B5A09" w:rsidRPr="00D518FF" w:rsidRDefault="006B5A09" w:rsidP="00AA62BB">
            <w:pPr>
              <w:pStyle w:val="Caption1"/>
              <w:spacing w:before="0" w:after="0"/>
              <w:rPr>
                <w:rFonts w:ascii="Aptos" w:hAnsi="Aptos"/>
                <w:sz w:val="16"/>
                <w:szCs w:val="16"/>
              </w:rPr>
            </w:pPr>
          </w:p>
        </w:tc>
        <w:tc>
          <w:tcPr>
            <w:tcW w:w="818" w:type="dxa"/>
            <w:vMerge/>
            <w:shd w:val="clear" w:color="auto" w:fill="D9D9D9" w:themeFill="background1" w:themeFillShade="D9"/>
          </w:tcPr>
          <w:p w14:paraId="11233540" w14:textId="77777777" w:rsidR="006B5A09" w:rsidRPr="00D518FF" w:rsidRDefault="006B5A09" w:rsidP="00AA62BB">
            <w:pPr>
              <w:pStyle w:val="Caption1"/>
              <w:spacing w:before="0" w:after="0"/>
              <w:rPr>
                <w:rFonts w:ascii="Aptos" w:hAnsi="Aptos"/>
                <w:sz w:val="16"/>
                <w:szCs w:val="16"/>
              </w:rPr>
            </w:pPr>
          </w:p>
        </w:tc>
        <w:tc>
          <w:tcPr>
            <w:tcW w:w="1178" w:type="dxa"/>
            <w:vMerge/>
            <w:shd w:val="clear" w:color="auto" w:fill="D9D9D9" w:themeFill="background1" w:themeFillShade="D9"/>
          </w:tcPr>
          <w:p w14:paraId="0EBE947F" w14:textId="77777777" w:rsidR="006B5A09" w:rsidRPr="00D518FF" w:rsidRDefault="006B5A09" w:rsidP="00AA62BB">
            <w:pPr>
              <w:pStyle w:val="Caption1"/>
              <w:spacing w:before="0" w:after="0"/>
              <w:rPr>
                <w:rFonts w:ascii="Aptos" w:hAnsi="Aptos"/>
                <w:sz w:val="16"/>
                <w:szCs w:val="16"/>
              </w:rPr>
            </w:pPr>
          </w:p>
        </w:tc>
        <w:tc>
          <w:tcPr>
            <w:tcW w:w="1914" w:type="dxa"/>
            <w:vMerge/>
            <w:shd w:val="clear" w:color="auto" w:fill="D9D9D9" w:themeFill="background1" w:themeFillShade="D9"/>
          </w:tcPr>
          <w:p w14:paraId="4053811D" w14:textId="77777777" w:rsidR="006B5A09" w:rsidRPr="00D518FF" w:rsidRDefault="006B5A09" w:rsidP="00AA62BB">
            <w:pPr>
              <w:pStyle w:val="Caption1"/>
              <w:spacing w:before="0" w:after="0"/>
              <w:rPr>
                <w:rFonts w:ascii="Aptos" w:hAnsi="Aptos"/>
                <w:sz w:val="16"/>
                <w:szCs w:val="16"/>
              </w:rPr>
            </w:pPr>
          </w:p>
        </w:tc>
        <w:tc>
          <w:tcPr>
            <w:tcW w:w="850" w:type="dxa"/>
            <w:vMerge/>
            <w:shd w:val="clear" w:color="auto" w:fill="D9D9D9" w:themeFill="background1" w:themeFillShade="D9"/>
          </w:tcPr>
          <w:p w14:paraId="5E8CF91E" w14:textId="77777777" w:rsidR="006B5A09" w:rsidRPr="00D518FF" w:rsidRDefault="006B5A09" w:rsidP="00AA62BB">
            <w:pPr>
              <w:pStyle w:val="Caption1"/>
              <w:spacing w:before="0" w:after="0"/>
              <w:rPr>
                <w:rFonts w:ascii="Aptos" w:hAnsi="Aptos"/>
                <w:sz w:val="16"/>
                <w:szCs w:val="16"/>
              </w:rPr>
            </w:pPr>
          </w:p>
        </w:tc>
        <w:tc>
          <w:tcPr>
            <w:tcW w:w="709" w:type="dxa"/>
            <w:vMerge/>
            <w:shd w:val="clear" w:color="auto" w:fill="D9D9D9" w:themeFill="background1" w:themeFillShade="D9"/>
          </w:tcPr>
          <w:p w14:paraId="613DEDF4" w14:textId="77777777" w:rsidR="006B5A09" w:rsidRPr="00D518FF" w:rsidRDefault="006B5A09" w:rsidP="00AA62BB">
            <w:pPr>
              <w:pStyle w:val="Caption1"/>
              <w:spacing w:before="0" w:after="0"/>
              <w:rPr>
                <w:rFonts w:ascii="Aptos" w:hAnsi="Aptos"/>
                <w:sz w:val="16"/>
                <w:szCs w:val="16"/>
              </w:rPr>
            </w:pPr>
          </w:p>
        </w:tc>
        <w:tc>
          <w:tcPr>
            <w:tcW w:w="850" w:type="dxa"/>
            <w:vMerge/>
            <w:shd w:val="clear" w:color="auto" w:fill="D9D9D9" w:themeFill="background1" w:themeFillShade="D9"/>
          </w:tcPr>
          <w:p w14:paraId="1FDEA5B9" w14:textId="77777777" w:rsidR="006B5A09" w:rsidRPr="00D518FF" w:rsidRDefault="006B5A09" w:rsidP="00AA62BB">
            <w:pPr>
              <w:pStyle w:val="Caption1"/>
              <w:spacing w:before="0" w:after="0"/>
              <w:rPr>
                <w:rFonts w:ascii="Aptos" w:hAnsi="Aptos"/>
                <w:sz w:val="16"/>
                <w:szCs w:val="16"/>
              </w:rPr>
            </w:pPr>
          </w:p>
        </w:tc>
        <w:tc>
          <w:tcPr>
            <w:tcW w:w="1418" w:type="dxa"/>
            <w:vMerge/>
            <w:shd w:val="clear" w:color="auto" w:fill="D9D9D9" w:themeFill="background1" w:themeFillShade="D9"/>
          </w:tcPr>
          <w:p w14:paraId="3B887C41" w14:textId="77777777" w:rsidR="006B5A09" w:rsidRPr="00D518FF" w:rsidRDefault="006B5A09" w:rsidP="00AA62BB">
            <w:pPr>
              <w:pStyle w:val="Caption1"/>
              <w:spacing w:before="0" w:after="0"/>
              <w:rPr>
                <w:rFonts w:ascii="Aptos" w:hAnsi="Aptos"/>
                <w:sz w:val="16"/>
                <w:szCs w:val="16"/>
              </w:rPr>
            </w:pPr>
          </w:p>
        </w:tc>
        <w:tc>
          <w:tcPr>
            <w:tcW w:w="850" w:type="dxa"/>
            <w:shd w:val="clear" w:color="auto" w:fill="D9D9D9" w:themeFill="background1" w:themeFillShade="D9"/>
          </w:tcPr>
          <w:p w14:paraId="7E139F7A" w14:textId="77777777" w:rsidR="006B5A09" w:rsidRPr="00D518FF" w:rsidRDefault="006B5A09" w:rsidP="00AA62BB">
            <w:pPr>
              <w:pStyle w:val="Caption1"/>
              <w:spacing w:before="0" w:after="0"/>
              <w:rPr>
                <w:rFonts w:ascii="Aptos" w:hAnsi="Aptos"/>
                <w:sz w:val="16"/>
                <w:szCs w:val="16"/>
              </w:rPr>
            </w:pPr>
            <w:r w:rsidRPr="00D518FF">
              <w:rPr>
                <w:rFonts w:ascii="Aptos" w:hAnsi="Aptos"/>
                <w:sz w:val="16"/>
                <w:szCs w:val="16"/>
              </w:rPr>
              <w:t>Relative effect (95% CI)</w:t>
            </w:r>
          </w:p>
        </w:tc>
        <w:tc>
          <w:tcPr>
            <w:tcW w:w="1134" w:type="dxa"/>
            <w:shd w:val="clear" w:color="auto" w:fill="D9D9D9" w:themeFill="background1" w:themeFillShade="D9"/>
          </w:tcPr>
          <w:p w14:paraId="51DA11AA" w14:textId="77777777" w:rsidR="006B5A09" w:rsidRPr="00D518FF" w:rsidRDefault="006B5A09" w:rsidP="00AA62BB">
            <w:pPr>
              <w:pStyle w:val="Caption1"/>
              <w:spacing w:before="0" w:after="0"/>
              <w:rPr>
                <w:rFonts w:ascii="Aptos" w:hAnsi="Aptos"/>
                <w:sz w:val="16"/>
                <w:szCs w:val="16"/>
              </w:rPr>
            </w:pPr>
            <w:r w:rsidRPr="00D518FF">
              <w:rPr>
                <w:rFonts w:ascii="Aptos" w:hAnsi="Aptos"/>
                <w:sz w:val="16"/>
                <w:szCs w:val="16"/>
              </w:rPr>
              <w:t>Other reported results</w:t>
            </w:r>
          </w:p>
        </w:tc>
        <w:tc>
          <w:tcPr>
            <w:tcW w:w="1276" w:type="dxa"/>
            <w:shd w:val="clear" w:color="auto" w:fill="D9D9D9" w:themeFill="background1" w:themeFillShade="D9"/>
          </w:tcPr>
          <w:p w14:paraId="35E49AD3" w14:textId="2B011276" w:rsidR="006B5A09" w:rsidRPr="00D518FF" w:rsidRDefault="006B5A09" w:rsidP="00AA62BB">
            <w:pPr>
              <w:pStyle w:val="Caption1"/>
              <w:spacing w:before="0" w:after="0"/>
              <w:rPr>
                <w:rFonts w:ascii="Aptos" w:hAnsi="Aptos"/>
                <w:sz w:val="16"/>
                <w:szCs w:val="16"/>
              </w:rPr>
            </w:pPr>
            <w:r w:rsidRPr="006B5A09">
              <w:rPr>
                <w:rFonts w:ascii="Aptos" w:hAnsi="Aptos"/>
                <w:sz w:val="16"/>
                <w:szCs w:val="16"/>
              </w:rPr>
              <w:t>Risk of bias summary (primary studies)</w:t>
            </w:r>
          </w:p>
        </w:tc>
        <w:tc>
          <w:tcPr>
            <w:tcW w:w="1067" w:type="dxa"/>
            <w:vMerge/>
            <w:shd w:val="clear" w:color="auto" w:fill="D9D9D9" w:themeFill="background1" w:themeFillShade="D9"/>
          </w:tcPr>
          <w:p w14:paraId="1E1451FE" w14:textId="64997755" w:rsidR="006B5A09" w:rsidRPr="00D518FF" w:rsidRDefault="006B5A09" w:rsidP="00AA62BB">
            <w:pPr>
              <w:pStyle w:val="Caption1"/>
              <w:spacing w:before="0" w:after="0"/>
              <w:rPr>
                <w:rFonts w:ascii="Aptos" w:hAnsi="Aptos"/>
                <w:sz w:val="16"/>
                <w:szCs w:val="16"/>
              </w:rPr>
            </w:pPr>
          </w:p>
        </w:tc>
      </w:tr>
      <w:tr w:rsidR="00416E96" w:rsidRPr="00D518FF" w14:paraId="411EC7CF" w14:textId="77777777" w:rsidTr="00F614C8">
        <w:trPr>
          <w:trHeight w:val="307"/>
        </w:trPr>
        <w:tc>
          <w:tcPr>
            <w:tcW w:w="661" w:type="dxa"/>
          </w:tcPr>
          <w:p w14:paraId="148BED8F" w14:textId="77777777" w:rsidR="00416E96" w:rsidRPr="00D518FF" w:rsidRDefault="00416E96" w:rsidP="00654136">
            <w:pPr>
              <w:rPr>
                <w:rFonts w:ascii="Aptos" w:hAnsi="Aptos" w:cs="Arial"/>
                <w:sz w:val="16"/>
                <w:szCs w:val="16"/>
              </w:rPr>
            </w:pPr>
            <w:r w:rsidRPr="00D518FF">
              <w:rPr>
                <w:rFonts w:ascii="Aptos" w:hAnsi="Aptos" w:cs="Arial"/>
                <w:sz w:val="16"/>
                <w:szCs w:val="16"/>
              </w:rPr>
              <w:t>Gulani 2014</w:t>
            </w:r>
          </w:p>
        </w:tc>
        <w:tc>
          <w:tcPr>
            <w:tcW w:w="702" w:type="dxa"/>
          </w:tcPr>
          <w:p w14:paraId="57254DC1" w14:textId="77777777" w:rsidR="00416E96" w:rsidRPr="00D518FF" w:rsidRDefault="00416E96" w:rsidP="00654136">
            <w:pPr>
              <w:rPr>
                <w:rFonts w:ascii="Aptos" w:hAnsi="Aptos" w:cs="Arial"/>
                <w:sz w:val="16"/>
                <w:szCs w:val="16"/>
              </w:rPr>
            </w:pPr>
            <w:r w:rsidRPr="00D518FF">
              <w:rPr>
                <w:rFonts w:ascii="Aptos" w:hAnsi="Aptos" w:cs="Arial"/>
                <w:sz w:val="16"/>
                <w:szCs w:val="16"/>
              </w:rPr>
              <w:t>1</w:t>
            </w:r>
          </w:p>
        </w:tc>
        <w:tc>
          <w:tcPr>
            <w:tcW w:w="818" w:type="dxa"/>
          </w:tcPr>
          <w:p w14:paraId="4D24D7E7" w14:textId="4320DA7F" w:rsidR="00416E96" w:rsidRPr="00D518FF" w:rsidRDefault="00416E96" w:rsidP="00654136">
            <w:pPr>
              <w:rPr>
                <w:rFonts w:ascii="Aptos" w:hAnsi="Aptos" w:cs="Arial"/>
                <w:sz w:val="16"/>
                <w:szCs w:val="16"/>
              </w:rPr>
            </w:pPr>
            <w:r>
              <w:rPr>
                <w:rFonts w:ascii="Aptos" w:hAnsi="Aptos" w:cs="Arial"/>
                <w:sz w:val="16"/>
                <w:szCs w:val="16"/>
              </w:rPr>
              <w:t>At-risk of condition</w:t>
            </w:r>
          </w:p>
        </w:tc>
        <w:tc>
          <w:tcPr>
            <w:tcW w:w="818" w:type="dxa"/>
          </w:tcPr>
          <w:p w14:paraId="197B9D40" w14:textId="77777777" w:rsidR="00416E96" w:rsidRPr="00D518FF" w:rsidRDefault="00416E96" w:rsidP="00654136">
            <w:pPr>
              <w:rPr>
                <w:rFonts w:ascii="Aptos" w:hAnsi="Aptos" w:cs="Arial"/>
                <w:sz w:val="16"/>
                <w:szCs w:val="16"/>
              </w:rPr>
            </w:pPr>
            <w:r w:rsidRPr="00D518FF">
              <w:rPr>
                <w:rFonts w:ascii="Aptos" w:hAnsi="Aptos" w:cs="Arial"/>
                <w:sz w:val="16"/>
                <w:szCs w:val="16"/>
              </w:rPr>
              <w:t>Children aged 6 to 31 months</w:t>
            </w:r>
          </w:p>
        </w:tc>
        <w:tc>
          <w:tcPr>
            <w:tcW w:w="1178" w:type="dxa"/>
          </w:tcPr>
          <w:p w14:paraId="364C5C0B" w14:textId="7F7D14D7" w:rsidR="00416E96" w:rsidRPr="00D518FF" w:rsidRDefault="00416E96" w:rsidP="00654136">
            <w:pPr>
              <w:rPr>
                <w:rFonts w:ascii="Aptos" w:hAnsi="Aptos" w:cs="Arial"/>
                <w:sz w:val="16"/>
                <w:szCs w:val="16"/>
              </w:rPr>
            </w:pPr>
            <w:r w:rsidRPr="00D518FF">
              <w:rPr>
                <w:rFonts w:ascii="Aptos" w:hAnsi="Aptos" w:cs="Arial"/>
                <w:sz w:val="16"/>
                <w:szCs w:val="16"/>
              </w:rPr>
              <w:t>Eligible supplement VS placebo/inactive control</w:t>
            </w:r>
          </w:p>
        </w:tc>
        <w:tc>
          <w:tcPr>
            <w:tcW w:w="1914" w:type="dxa"/>
          </w:tcPr>
          <w:p w14:paraId="2A73E9E3" w14:textId="7BCC4E23" w:rsidR="00416E96" w:rsidRPr="00D518FF" w:rsidRDefault="00416E96" w:rsidP="00654136">
            <w:pPr>
              <w:rPr>
                <w:rFonts w:ascii="Aptos" w:hAnsi="Aptos" w:cs="Arial"/>
                <w:sz w:val="16"/>
                <w:szCs w:val="16"/>
              </w:rPr>
            </w:pPr>
            <w:r>
              <w:rPr>
                <w:rFonts w:ascii="Aptos" w:hAnsi="Aptos" w:cs="Arial"/>
                <w:sz w:val="16"/>
                <w:szCs w:val="16"/>
              </w:rPr>
              <w:t>Z</w:t>
            </w:r>
            <w:r w:rsidRPr="00D518FF">
              <w:rPr>
                <w:rFonts w:ascii="Aptos" w:hAnsi="Aptos" w:cs="Arial"/>
                <w:sz w:val="16"/>
                <w:szCs w:val="16"/>
              </w:rPr>
              <w:t>inc gluconate syrup taken daily for 4 months (contained 10 mg elemental zinc for infants and 20 mg for older children); 12.5 mg zinc sulphate, in tablet form, daily (except Sundays) for 6 months</w:t>
            </w:r>
          </w:p>
        </w:tc>
        <w:tc>
          <w:tcPr>
            <w:tcW w:w="850" w:type="dxa"/>
          </w:tcPr>
          <w:p w14:paraId="3BE085C7" w14:textId="77777777" w:rsidR="00416E96" w:rsidRPr="00D518FF" w:rsidRDefault="00416E96" w:rsidP="00654136">
            <w:pPr>
              <w:rPr>
                <w:rFonts w:ascii="Aptos" w:hAnsi="Aptos" w:cs="Arial"/>
                <w:sz w:val="16"/>
                <w:szCs w:val="16"/>
              </w:rPr>
            </w:pPr>
            <w:r w:rsidRPr="00D518FF">
              <w:rPr>
                <w:rFonts w:ascii="Aptos" w:hAnsi="Aptos" w:cs="Arial"/>
                <w:sz w:val="16"/>
                <w:szCs w:val="16"/>
              </w:rPr>
              <w:t>placebo</w:t>
            </w:r>
          </w:p>
        </w:tc>
        <w:tc>
          <w:tcPr>
            <w:tcW w:w="709" w:type="dxa"/>
          </w:tcPr>
          <w:p w14:paraId="2F78F4BE" w14:textId="77777777" w:rsidR="00416E96" w:rsidRPr="00D518FF" w:rsidRDefault="00416E96" w:rsidP="00654136">
            <w:pPr>
              <w:rPr>
                <w:rFonts w:ascii="Aptos" w:hAnsi="Aptos" w:cs="Arial"/>
                <w:sz w:val="16"/>
                <w:szCs w:val="16"/>
              </w:rPr>
            </w:pPr>
            <w:r w:rsidRPr="00D518FF">
              <w:rPr>
                <w:rFonts w:ascii="Aptos" w:hAnsi="Aptos" w:cs="Arial"/>
                <w:sz w:val="16"/>
                <w:szCs w:val="16"/>
              </w:rPr>
              <w:t>2</w:t>
            </w:r>
          </w:p>
        </w:tc>
        <w:tc>
          <w:tcPr>
            <w:tcW w:w="850" w:type="dxa"/>
          </w:tcPr>
          <w:p w14:paraId="4E51E182" w14:textId="77777777" w:rsidR="00416E96" w:rsidRPr="00D518FF" w:rsidRDefault="00416E96" w:rsidP="00654136">
            <w:pPr>
              <w:rPr>
                <w:rFonts w:ascii="Aptos" w:hAnsi="Aptos" w:cs="Arial"/>
                <w:sz w:val="16"/>
                <w:szCs w:val="16"/>
              </w:rPr>
            </w:pPr>
            <w:r w:rsidRPr="00D518FF">
              <w:rPr>
                <w:rFonts w:ascii="Aptos" w:hAnsi="Aptos" w:cs="Arial"/>
                <w:sz w:val="16"/>
                <w:szCs w:val="16"/>
              </w:rPr>
              <w:t>3191</w:t>
            </w:r>
          </w:p>
        </w:tc>
        <w:tc>
          <w:tcPr>
            <w:tcW w:w="1418" w:type="dxa"/>
          </w:tcPr>
          <w:p w14:paraId="364512D1" w14:textId="77777777" w:rsidR="00416E96" w:rsidRPr="00D518FF" w:rsidRDefault="00416E96" w:rsidP="00654136">
            <w:pPr>
              <w:rPr>
                <w:rFonts w:ascii="Aptos" w:hAnsi="Aptos" w:cs="Arial"/>
                <w:sz w:val="16"/>
                <w:szCs w:val="16"/>
              </w:rPr>
            </w:pPr>
            <w:r w:rsidRPr="00D518FF">
              <w:rPr>
                <w:rFonts w:ascii="Aptos" w:hAnsi="Aptos" w:cs="Arial"/>
                <w:sz w:val="16"/>
                <w:szCs w:val="16"/>
              </w:rPr>
              <w:t>Number of participants with at least one episode of definite acute otitis media (AOM) during follow-up</w:t>
            </w:r>
          </w:p>
        </w:tc>
        <w:tc>
          <w:tcPr>
            <w:tcW w:w="850" w:type="dxa"/>
          </w:tcPr>
          <w:p w14:paraId="12EFA68F" w14:textId="77777777" w:rsidR="00416E96" w:rsidRPr="00D518FF" w:rsidRDefault="00416E96" w:rsidP="00654136">
            <w:pPr>
              <w:rPr>
                <w:rFonts w:ascii="Aptos" w:hAnsi="Aptos" w:cs="Arial"/>
                <w:sz w:val="16"/>
                <w:szCs w:val="16"/>
              </w:rPr>
            </w:pPr>
            <w:r w:rsidRPr="00D518FF">
              <w:rPr>
                <w:rFonts w:ascii="Aptos" w:hAnsi="Aptos" w:cs="Arial"/>
                <w:sz w:val="16"/>
                <w:szCs w:val="16"/>
              </w:rPr>
              <w:t>RR = 1.05 [0.82, 1.36]</w:t>
            </w:r>
          </w:p>
        </w:tc>
        <w:tc>
          <w:tcPr>
            <w:tcW w:w="1134" w:type="dxa"/>
          </w:tcPr>
          <w:p w14:paraId="0ED56C22" w14:textId="52CDE678" w:rsidR="00416E96" w:rsidRPr="00D518FF" w:rsidRDefault="00416E96" w:rsidP="00654136">
            <w:pPr>
              <w:rPr>
                <w:rFonts w:ascii="Aptos" w:hAnsi="Aptos" w:cs="Arial"/>
                <w:sz w:val="16"/>
                <w:szCs w:val="16"/>
              </w:rPr>
            </w:pPr>
            <w:r>
              <w:rPr>
                <w:rFonts w:ascii="Aptos" w:hAnsi="Aptos" w:cs="Arial"/>
                <w:sz w:val="16"/>
                <w:szCs w:val="16"/>
              </w:rPr>
              <w:t xml:space="preserve">I² </w:t>
            </w:r>
            <w:r w:rsidRPr="00D518FF">
              <w:rPr>
                <w:rFonts w:ascii="Aptos" w:hAnsi="Aptos" w:cs="Arial"/>
                <w:sz w:val="16"/>
                <w:szCs w:val="16"/>
              </w:rPr>
              <w:t>=17.69%</w:t>
            </w:r>
          </w:p>
        </w:tc>
        <w:tc>
          <w:tcPr>
            <w:tcW w:w="1276" w:type="dxa"/>
            <w:vMerge w:val="restart"/>
          </w:tcPr>
          <w:p w14:paraId="2CA1FFF6" w14:textId="43499B0D" w:rsidR="00416E96" w:rsidRPr="00D518FF" w:rsidRDefault="00416E96" w:rsidP="00654136">
            <w:pPr>
              <w:rPr>
                <w:rFonts w:ascii="Aptos" w:hAnsi="Aptos" w:cs="Arial"/>
                <w:sz w:val="16"/>
                <w:szCs w:val="16"/>
              </w:rPr>
            </w:pPr>
            <w:r w:rsidRPr="00D518FF">
              <w:rPr>
                <w:rFonts w:ascii="Aptos" w:hAnsi="Aptos" w:cs="Arial"/>
                <w:sz w:val="16"/>
                <w:szCs w:val="16"/>
              </w:rPr>
              <w:t xml:space="preserve">Low </w:t>
            </w:r>
            <w:r w:rsidR="0079009A">
              <w:rPr>
                <w:rFonts w:ascii="Aptos" w:hAnsi="Aptos" w:cs="Arial"/>
                <w:sz w:val="16"/>
                <w:szCs w:val="16"/>
              </w:rPr>
              <w:t>risk of bias</w:t>
            </w:r>
            <w:r w:rsidRPr="00D518FF">
              <w:rPr>
                <w:rFonts w:ascii="Aptos" w:hAnsi="Aptos" w:cs="Arial"/>
                <w:sz w:val="16"/>
                <w:szCs w:val="16"/>
              </w:rPr>
              <w:t xml:space="preserve"> in all domains for included primary studies</w:t>
            </w:r>
          </w:p>
        </w:tc>
        <w:tc>
          <w:tcPr>
            <w:tcW w:w="1067" w:type="dxa"/>
          </w:tcPr>
          <w:p w14:paraId="5DE54F44" w14:textId="1898782F" w:rsidR="00416E96" w:rsidRPr="00D518FF" w:rsidRDefault="008672BE" w:rsidP="00654136">
            <w:pPr>
              <w:rPr>
                <w:rFonts w:ascii="Aptos" w:hAnsi="Aptos" w:cs="Arial"/>
                <w:sz w:val="16"/>
                <w:szCs w:val="16"/>
              </w:rPr>
            </w:pPr>
            <w:r>
              <w:rPr>
                <w:rFonts w:ascii="Aptos" w:hAnsi="Aptos" w:cs="Arial"/>
                <w:sz w:val="16"/>
                <w:szCs w:val="16"/>
              </w:rPr>
              <w:t>Low risk</w:t>
            </w:r>
          </w:p>
        </w:tc>
      </w:tr>
      <w:tr w:rsidR="008672BE" w:rsidRPr="00D518FF" w14:paraId="64464838" w14:textId="77777777" w:rsidTr="00F614C8">
        <w:trPr>
          <w:trHeight w:val="307"/>
        </w:trPr>
        <w:tc>
          <w:tcPr>
            <w:tcW w:w="661" w:type="dxa"/>
          </w:tcPr>
          <w:p w14:paraId="54E41D73" w14:textId="77777777" w:rsidR="008672BE" w:rsidRPr="00D518FF" w:rsidRDefault="008672BE" w:rsidP="008672BE">
            <w:pPr>
              <w:rPr>
                <w:rFonts w:ascii="Aptos" w:hAnsi="Aptos" w:cs="Arial"/>
                <w:sz w:val="16"/>
                <w:szCs w:val="16"/>
              </w:rPr>
            </w:pPr>
            <w:r w:rsidRPr="00D518FF">
              <w:rPr>
                <w:rFonts w:ascii="Aptos" w:hAnsi="Aptos" w:cs="Arial"/>
                <w:sz w:val="16"/>
                <w:szCs w:val="16"/>
              </w:rPr>
              <w:t>Gulani 2014</w:t>
            </w:r>
          </w:p>
        </w:tc>
        <w:tc>
          <w:tcPr>
            <w:tcW w:w="702" w:type="dxa"/>
          </w:tcPr>
          <w:p w14:paraId="4E4AA908" w14:textId="77777777" w:rsidR="008672BE" w:rsidRPr="00D518FF" w:rsidRDefault="008672BE" w:rsidP="008672BE">
            <w:pPr>
              <w:rPr>
                <w:rFonts w:ascii="Aptos" w:hAnsi="Aptos" w:cs="Arial"/>
                <w:sz w:val="16"/>
                <w:szCs w:val="16"/>
              </w:rPr>
            </w:pPr>
            <w:r w:rsidRPr="00D518FF">
              <w:rPr>
                <w:rFonts w:ascii="Aptos" w:hAnsi="Aptos" w:cs="Arial"/>
                <w:sz w:val="16"/>
                <w:szCs w:val="16"/>
              </w:rPr>
              <w:t>1</w:t>
            </w:r>
          </w:p>
        </w:tc>
        <w:tc>
          <w:tcPr>
            <w:tcW w:w="818" w:type="dxa"/>
          </w:tcPr>
          <w:p w14:paraId="21437319" w14:textId="5E6B22F6" w:rsidR="008672BE" w:rsidRPr="00D518FF" w:rsidRDefault="008672BE" w:rsidP="008672BE">
            <w:pPr>
              <w:rPr>
                <w:rFonts w:ascii="Aptos" w:hAnsi="Aptos" w:cs="Arial"/>
                <w:sz w:val="16"/>
                <w:szCs w:val="16"/>
              </w:rPr>
            </w:pPr>
            <w:r>
              <w:rPr>
                <w:rFonts w:ascii="Aptos" w:hAnsi="Aptos" w:cs="Arial"/>
                <w:sz w:val="16"/>
                <w:szCs w:val="16"/>
              </w:rPr>
              <w:t>At-risk of condition</w:t>
            </w:r>
          </w:p>
        </w:tc>
        <w:tc>
          <w:tcPr>
            <w:tcW w:w="818" w:type="dxa"/>
          </w:tcPr>
          <w:p w14:paraId="33A33BBB" w14:textId="77777777" w:rsidR="008672BE" w:rsidRPr="00D518FF" w:rsidRDefault="008672BE" w:rsidP="008672BE">
            <w:pPr>
              <w:rPr>
                <w:rFonts w:ascii="Aptos" w:hAnsi="Aptos" w:cs="Arial"/>
                <w:sz w:val="16"/>
                <w:szCs w:val="16"/>
              </w:rPr>
            </w:pPr>
            <w:r w:rsidRPr="00D518FF">
              <w:rPr>
                <w:rFonts w:ascii="Aptos" w:hAnsi="Aptos" w:cs="Arial"/>
                <w:sz w:val="16"/>
                <w:szCs w:val="16"/>
              </w:rPr>
              <w:t>Children aged 6 to 30 months</w:t>
            </w:r>
          </w:p>
        </w:tc>
        <w:tc>
          <w:tcPr>
            <w:tcW w:w="1178" w:type="dxa"/>
          </w:tcPr>
          <w:p w14:paraId="183750E0" w14:textId="7745C5FE" w:rsidR="008672BE" w:rsidRPr="00D518FF" w:rsidRDefault="008672BE" w:rsidP="008672BE">
            <w:pPr>
              <w:rPr>
                <w:rFonts w:ascii="Aptos" w:hAnsi="Aptos" w:cs="Arial"/>
                <w:sz w:val="16"/>
                <w:szCs w:val="16"/>
              </w:rPr>
            </w:pPr>
            <w:r w:rsidRPr="00D518FF">
              <w:rPr>
                <w:rFonts w:ascii="Aptos" w:hAnsi="Aptos" w:cs="Arial"/>
                <w:sz w:val="16"/>
                <w:szCs w:val="16"/>
              </w:rPr>
              <w:t>Eligible supplement VS placebo/inactive control</w:t>
            </w:r>
          </w:p>
        </w:tc>
        <w:tc>
          <w:tcPr>
            <w:tcW w:w="1914" w:type="dxa"/>
          </w:tcPr>
          <w:p w14:paraId="1D264FFC" w14:textId="661BA884" w:rsidR="008672BE" w:rsidRPr="00D518FF" w:rsidRDefault="008672BE" w:rsidP="008672BE">
            <w:pPr>
              <w:rPr>
                <w:rFonts w:ascii="Aptos" w:hAnsi="Aptos" w:cs="Arial"/>
                <w:sz w:val="16"/>
                <w:szCs w:val="16"/>
              </w:rPr>
            </w:pPr>
            <w:r>
              <w:rPr>
                <w:rFonts w:ascii="Aptos" w:hAnsi="Aptos" w:cs="Arial"/>
                <w:sz w:val="16"/>
                <w:szCs w:val="16"/>
              </w:rPr>
              <w:t>Z</w:t>
            </w:r>
            <w:r w:rsidRPr="00D518FF">
              <w:rPr>
                <w:rFonts w:ascii="Aptos" w:hAnsi="Aptos" w:cs="Arial"/>
                <w:sz w:val="16"/>
                <w:szCs w:val="16"/>
              </w:rPr>
              <w:t>inc gluconate syrup taken daily for 4 months (contained 10 mg elemental zinc for infants and 20 mg for older children)</w:t>
            </w:r>
          </w:p>
        </w:tc>
        <w:tc>
          <w:tcPr>
            <w:tcW w:w="850" w:type="dxa"/>
          </w:tcPr>
          <w:p w14:paraId="61D72946" w14:textId="77777777" w:rsidR="008672BE" w:rsidRPr="00D518FF" w:rsidRDefault="008672BE" w:rsidP="008672BE">
            <w:pPr>
              <w:rPr>
                <w:rFonts w:ascii="Aptos" w:hAnsi="Aptos" w:cs="Arial"/>
                <w:sz w:val="16"/>
                <w:szCs w:val="16"/>
              </w:rPr>
            </w:pPr>
            <w:r w:rsidRPr="00D518FF">
              <w:rPr>
                <w:rFonts w:ascii="Aptos" w:hAnsi="Aptos" w:cs="Arial"/>
                <w:sz w:val="16"/>
                <w:szCs w:val="16"/>
              </w:rPr>
              <w:t>placebo</w:t>
            </w:r>
          </w:p>
        </w:tc>
        <w:tc>
          <w:tcPr>
            <w:tcW w:w="709" w:type="dxa"/>
          </w:tcPr>
          <w:p w14:paraId="16573B26" w14:textId="77777777" w:rsidR="008672BE" w:rsidRPr="00D518FF" w:rsidRDefault="008672BE" w:rsidP="008672BE">
            <w:pPr>
              <w:rPr>
                <w:rFonts w:ascii="Aptos" w:hAnsi="Aptos" w:cs="Arial"/>
                <w:sz w:val="16"/>
                <w:szCs w:val="16"/>
              </w:rPr>
            </w:pPr>
            <w:r w:rsidRPr="00D518FF">
              <w:rPr>
                <w:rFonts w:ascii="Aptos" w:hAnsi="Aptos" w:cs="Arial"/>
                <w:sz w:val="16"/>
                <w:szCs w:val="16"/>
              </w:rPr>
              <w:t>1</w:t>
            </w:r>
          </w:p>
        </w:tc>
        <w:tc>
          <w:tcPr>
            <w:tcW w:w="850" w:type="dxa"/>
          </w:tcPr>
          <w:p w14:paraId="2B84D6AE" w14:textId="77777777" w:rsidR="008672BE" w:rsidRPr="00D518FF" w:rsidRDefault="008672BE" w:rsidP="008672BE">
            <w:pPr>
              <w:rPr>
                <w:rFonts w:ascii="Aptos" w:hAnsi="Aptos" w:cs="Arial"/>
                <w:sz w:val="16"/>
                <w:szCs w:val="16"/>
              </w:rPr>
            </w:pPr>
            <w:r w:rsidRPr="00D518FF">
              <w:rPr>
                <w:rFonts w:ascii="Aptos" w:hAnsi="Aptos" w:cs="Arial"/>
                <w:sz w:val="16"/>
                <w:szCs w:val="16"/>
              </w:rPr>
              <w:t>2482</w:t>
            </w:r>
          </w:p>
        </w:tc>
        <w:tc>
          <w:tcPr>
            <w:tcW w:w="1418" w:type="dxa"/>
          </w:tcPr>
          <w:p w14:paraId="222C9BB1" w14:textId="77777777" w:rsidR="008672BE" w:rsidRPr="00D518FF" w:rsidRDefault="008672BE" w:rsidP="008672BE">
            <w:pPr>
              <w:rPr>
                <w:rFonts w:ascii="Aptos" w:hAnsi="Aptos" w:cs="Arial"/>
                <w:sz w:val="16"/>
                <w:szCs w:val="16"/>
              </w:rPr>
            </w:pPr>
            <w:r w:rsidRPr="00D518FF">
              <w:rPr>
                <w:rFonts w:ascii="Aptos" w:hAnsi="Aptos" w:cs="Arial"/>
                <w:sz w:val="16"/>
                <w:szCs w:val="16"/>
              </w:rPr>
              <w:t>Number of episodes of definite AOM per participant per year of follow-up</w:t>
            </w:r>
          </w:p>
        </w:tc>
        <w:tc>
          <w:tcPr>
            <w:tcW w:w="850" w:type="dxa"/>
          </w:tcPr>
          <w:p w14:paraId="245D9DE9" w14:textId="77777777" w:rsidR="008672BE" w:rsidRPr="00D518FF" w:rsidRDefault="008672BE" w:rsidP="008672BE">
            <w:pPr>
              <w:rPr>
                <w:rFonts w:ascii="Aptos" w:hAnsi="Aptos" w:cs="Arial"/>
                <w:sz w:val="16"/>
                <w:szCs w:val="16"/>
              </w:rPr>
            </w:pPr>
            <w:r w:rsidRPr="00D518FF">
              <w:rPr>
                <w:rFonts w:ascii="Aptos" w:hAnsi="Aptos" w:cs="Arial"/>
                <w:sz w:val="16"/>
                <w:szCs w:val="16"/>
              </w:rPr>
              <w:t>RR = 1.08 [0.50, 2.36]</w:t>
            </w:r>
          </w:p>
        </w:tc>
        <w:tc>
          <w:tcPr>
            <w:tcW w:w="1134" w:type="dxa"/>
          </w:tcPr>
          <w:p w14:paraId="367FA77F" w14:textId="77777777" w:rsidR="008672BE" w:rsidRPr="00D518FF" w:rsidRDefault="008672BE" w:rsidP="008672BE">
            <w:pPr>
              <w:rPr>
                <w:rFonts w:ascii="Aptos" w:hAnsi="Aptos" w:cs="Arial"/>
                <w:sz w:val="16"/>
                <w:szCs w:val="16"/>
              </w:rPr>
            </w:pPr>
          </w:p>
        </w:tc>
        <w:tc>
          <w:tcPr>
            <w:tcW w:w="1276" w:type="dxa"/>
            <w:vMerge/>
          </w:tcPr>
          <w:p w14:paraId="5A498149" w14:textId="0CC6B4E3" w:rsidR="008672BE" w:rsidRPr="00D518FF" w:rsidRDefault="008672BE" w:rsidP="008672BE">
            <w:pPr>
              <w:rPr>
                <w:rFonts w:ascii="Aptos" w:hAnsi="Aptos" w:cs="Arial"/>
                <w:sz w:val="16"/>
                <w:szCs w:val="16"/>
              </w:rPr>
            </w:pPr>
          </w:p>
        </w:tc>
        <w:tc>
          <w:tcPr>
            <w:tcW w:w="1067" w:type="dxa"/>
          </w:tcPr>
          <w:p w14:paraId="50F1B8AB" w14:textId="716F0614" w:rsidR="008672BE" w:rsidRPr="00D518FF" w:rsidRDefault="008672BE" w:rsidP="008672BE">
            <w:pPr>
              <w:rPr>
                <w:rFonts w:ascii="Aptos" w:hAnsi="Aptos" w:cs="Arial"/>
                <w:sz w:val="16"/>
                <w:szCs w:val="16"/>
              </w:rPr>
            </w:pPr>
            <w:r>
              <w:rPr>
                <w:rFonts w:ascii="Aptos" w:hAnsi="Aptos" w:cs="Arial"/>
                <w:sz w:val="16"/>
                <w:szCs w:val="16"/>
              </w:rPr>
              <w:t>Low risk</w:t>
            </w:r>
          </w:p>
        </w:tc>
      </w:tr>
      <w:tr w:rsidR="008672BE" w:rsidRPr="00D518FF" w14:paraId="2297F280" w14:textId="77777777" w:rsidTr="00F614C8">
        <w:trPr>
          <w:trHeight w:val="307"/>
        </w:trPr>
        <w:tc>
          <w:tcPr>
            <w:tcW w:w="661" w:type="dxa"/>
          </w:tcPr>
          <w:p w14:paraId="774D6CD9" w14:textId="77777777" w:rsidR="008672BE" w:rsidRPr="00D518FF" w:rsidRDefault="008672BE" w:rsidP="008672BE">
            <w:pPr>
              <w:rPr>
                <w:rFonts w:ascii="Aptos" w:hAnsi="Aptos" w:cs="Arial"/>
                <w:sz w:val="16"/>
                <w:szCs w:val="16"/>
              </w:rPr>
            </w:pPr>
            <w:r w:rsidRPr="00D518FF">
              <w:rPr>
                <w:rFonts w:ascii="Aptos" w:hAnsi="Aptos" w:cs="Arial"/>
                <w:sz w:val="16"/>
                <w:szCs w:val="16"/>
              </w:rPr>
              <w:t>Hurley 2020</w:t>
            </w:r>
          </w:p>
        </w:tc>
        <w:tc>
          <w:tcPr>
            <w:tcW w:w="702" w:type="dxa"/>
          </w:tcPr>
          <w:p w14:paraId="7055BF3C" w14:textId="77777777" w:rsidR="008672BE" w:rsidRPr="00D518FF" w:rsidRDefault="008672BE" w:rsidP="008672BE">
            <w:pPr>
              <w:rPr>
                <w:rFonts w:ascii="Aptos" w:hAnsi="Aptos" w:cs="Arial"/>
                <w:sz w:val="16"/>
                <w:szCs w:val="16"/>
              </w:rPr>
            </w:pPr>
            <w:r w:rsidRPr="00D518FF">
              <w:rPr>
                <w:rFonts w:ascii="Aptos" w:hAnsi="Aptos" w:cs="Arial"/>
                <w:sz w:val="16"/>
                <w:szCs w:val="16"/>
              </w:rPr>
              <w:t>2</w:t>
            </w:r>
          </w:p>
        </w:tc>
        <w:tc>
          <w:tcPr>
            <w:tcW w:w="818" w:type="dxa"/>
          </w:tcPr>
          <w:p w14:paraId="24964B1F" w14:textId="4F2915A0" w:rsidR="008672BE" w:rsidRPr="00607416" w:rsidRDefault="008672BE" w:rsidP="008672BE">
            <w:pPr>
              <w:rPr>
                <w:rFonts w:ascii="Aptos" w:hAnsi="Aptos" w:cs="Arial"/>
                <w:sz w:val="16"/>
                <w:szCs w:val="16"/>
              </w:rPr>
            </w:pPr>
            <w:r w:rsidRPr="00D177D2">
              <w:rPr>
                <w:rFonts w:ascii="Aptos" w:hAnsi="Aptos"/>
                <w:sz w:val="16"/>
                <w:szCs w:val="16"/>
              </w:rPr>
              <w:t>With condition</w:t>
            </w:r>
          </w:p>
        </w:tc>
        <w:tc>
          <w:tcPr>
            <w:tcW w:w="818" w:type="dxa"/>
          </w:tcPr>
          <w:p w14:paraId="34CCB483" w14:textId="088DFB39" w:rsidR="008672BE" w:rsidRPr="00D518FF" w:rsidRDefault="0079009A" w:rsidP="008672BE">
            <w:pPr>
              <w:rPr>
                <w:rFonts w:ascii="Aptos" w:hAnsi="Aptos" w:cs="Arial"/>
                <w:sz w:val="16"/>
                <w:szCs w:val="16"/>
              </w:rPr>
            </w:pPr>
            <w:r>
              <w:rPr>
                <w:rFonts w:ascii="Aptos" w:hAnsi="Aptos" w:cs="Arial"/>
                <w:sz w:val="16"/>
                <w:szCs w:val="16"/>
              </w:rPr>
              <w:t>C</w:t>
            </w:r>
            <w:r w:rsidR="008672BE" w:rsidRPr="00D518FF">
              <w:rPr>
                <w:rFonts w:ascii="Aptos" w:hAnsi="Aptos" w:cs="Arial"/>
                <w:sz w:val="16"/>
                <w:szCs w:val="16"/>
              </w:rPr>
              <w:t>hildren with cystic fibrosis</w:t>
            </w:r>
          </w:p>
        </w:tc>
        <w:tc>
          <w:tcPr>
            <w:tcW w:w="1178" w:type="dxa"/>
          </w:tcPr>
          <w:p w14:paraId="2C35CDAC" w14:textId="48AAB1FB" w:rsidR="008672BE" w:rsidRPr="00D518FF" w:rsidRDefault="008672BE" w:rsidP="008672BE">
            <w:pPr>
              <w:rPr>
                <w:rFonts w:ascii="Aptos" w:hAnsi="Aptos" w:cs="Arial"/>
                <w:sz w:val="16"/>
                <w:szCs w:val="16"/>
              </w:rPr>
            </w:pPr>
            <w:r w:rsidRPr="00D518FF">
              <w:rPr>
                <w:rFonts w:ascii="Aptos" w:hAnsi="Aptos" w:cs="Arial"/>
                <w:sz w:val="16"/>
                <w:szCs w:val="16"/>
              </w:rPr>
              <w:t>Eligible supplement VS placebo/inactive control</w:t>
            </w:r>
          </w:p>
        </w:tc>
        <w:tc>
          <w:tcPr>
            <w:tcW w:w="1914" w:type="dxa"/>
          </w:tcPr>
          <w:p w14:paraId="27200F49" w14:textId="13BB4947" w:rsidR="008672BE" w:rsidRPr="00D518FF" w:rsidRDefault="008672BE" w:rsidP="008672BE">
            <w:pPr>
              <w:rPr>
                <w:rFonts w:ascii="Aptos" w:hAnsi="Aptos" w:cs="Arial"/>
                <w:sz w:val="16"/>
                <w:szCs w:val="16"/>
              </w:rPr>
            </w:pPr>
            <w:r>
              <w:rPr>
                <w:rFonts w:ascii="Aptos" w:hAnsi="Aptos" w:cs="Arial"/>
                <w:sz w:val="16"/>
                <w:szCs w:val="16"/>
              </w:rPr>
              <w:t>Z</w:t>
            </w:r>
            <w:r w:rsidRPr="00D518FF">
              <w:rPr>
                <w:rFonts w:ascii="Aptos" w:hAnsi="Aptos" w:cs="Arial"/>
                <w:sz w:val="16"/>
                <w:szCs w:val="16"/>
              </w:rPr>
              <w:t>inc supplementation (30 mg orally once daily)</w:t>
            </w:r>
          </w:p>
        </w:tc>
        <w:tc>
          <w:tcPr>
            <w:tcW w:w="850" w:type="dxa"/>
          </w:tcPr>
          <w:p w14:paraId="13F72828" w14:textId="77777777" w:rsidR="008672BE" w:rsidRPr="00D518FF" w:rsidRDefault="008672BE" w:rsidP="008672BE">
            <w:pPr>
              <w:rPr>
                <w:rFonts w:ascii="Aptos" w:hAnsi="Aptos" w:cs="Arial"/>
                <w:sz w:val="16"/>
                <w:szCs w:val="16"/>
              </w:rPr>
            </w:pPr>
            <w:r w:rsidRPr="00D518FF">
              <w:rPr>
                <w:rFonts w:ascii="Aptos" w:hAnsi="Aptos" w:cs="Arial"/>
                <w:sz w:val="16"/>
                <w:szCs w:val="16"/>
              </w:rPr>
              <w:t>placebo</w:t>
            </w:r>
          </w:p>
        </w:tc>
        <w:tc>
          <w:tcPr>
            <w:tcW w:w="709" w:type="dxa"/>
          </w:tcPr>
          <w:p w14:paraId="0BCC48B2" w14:textId="77777777" w:rsidR="008672BE" w:rsidRPr="00D518FF" w:rsidRDefault="008672BE" w:rsidP="008672BE">
            <w:pPr>
              <w:rPr>
                <w:rFonts w:ascii="Aptos" w:hAnsi="Aptos" w:cs="Arial"/>
                <w:sz w:val="16"/>
                <w:szCs w:val="16"/>
              </w:rPr>
            </w:pPr>
            <w:r w:rsidRPr="00D518FF">
              <w:rPr>
                <w:rFonts w:ascii="Aptos" w:hAnsi="Aptos" w:cs="Arial"/>
                <w:sz w:val="16"/>
                <w:szCs w:val="16"/>
              </w:rPr>
              <w:t>2</w:t>
            </w:r>
          </w:p>
        </w:tc>
        <w:tc>
          <w:tcPr>
            <w:tcW w:w="850" w:type="dxa"/>
          </w:tcPr>
          <w:p w14:paraId="370D970D" w14:textId="77777777" w:rsidR="008672BE" w:rsidRPr="00D518FF" w:rsidRDefault="008672BE" w:rsidP="008672BE">
            <w:pPr>
              <w:rPr>
                <w:rFonts w:ascii="Aptos" w:hAnsi="Aptos" w:cs="Arial"/>
                <w:sz w:val="16"/>
                <w:szCs w:val="16"/>
              </w:rPr>
            </w:pPr>
            <w:r w:rsidRPr="00D518FF">
              <w:rPr>
                <w:rFonts w:ascii="Aptos" w:hAnsi="Aptos" w:cs="Arial"/>
                <w:sz w:val="16"/>
                <w:szCs w:val="16"/>
              </w:rPr>
              <w:t>62</w:t>
            </w:r>
          </w:p>
        </w:tc>
        <w:tc>
          <w:tcPr>
            <w:tcW w:w="1418" w:type="dxa"/>
          </w:tcPr>
          <w:p w14:paraId="1F68A504" w14:textId="77777777" w:rsidR="008672BE" w:rsidRPr="00D518FF" w:rsidRDefault="008672BE" w:rsidP="008672BE">
            <w:pPr>
              <w:rPr>
                <w:rFonts w:ascii="Aptos" w:hAnsi="Aptos" w:cs="Arial"/>
                <w:sz w:val="16"/>
                <w:szCs w:val="16"/>
              </w:rPr>
            </w:pPr>
            <w:r w:rsidRPr="00D518FF">
              <w:rPr>
                <w:rFonts w:ascii="Aptos" w:hAnsi="Aptos" w:cs="Arial"/>
                <w:sz w:val="16"/>
                <w:szCs w:val="16"/>
              </w:rPr>
              <w:t>Respiratory function</w:t>
            </w:r>
            <w:r w:rsidRPr="00D518FF">
              <w:rPr>
                <w:rFonts w:ascii="Aptos" w:hAnsi="Aptos" w:cs="Arial"/>
                <w:sz w:val="16"/>
                <w:szCs w:val="16"/>
              </w:rPr>
              <w:br/>
              <w:t>mean FEV1 % predicted Follow-up: 24 months</w:t>
            </w:r>
          </w:p>
        </w:tc>
        <w:tc>
          <w:tcPr>
            <w:tcW w:w="850" w:type="dxa"/>
          </w:tcPr>
          <w:p w14:paraId="0C8F5563" w14:textId="77777777" w:rsidR="008672BE" w:rsidRPr="00D518FF" w:rsidRDefault="008672BE" w:rsidP="008672BE">
            <w:pPr>
              <w:rPr>
                <w:rFonts w:ascii="Aptos" w:hAnsi="Aptos" w:cs="Arial"/>
                <w:sz w:val="16"/>
                <w:szCs w:val="16"/>
              </w:rPr>
            </w:pPr>
          </w:p>
        </w:tc>
        <w:tc>
          <w:tcPr>
            <w:tcW w:w="1134" w:type="dxa"/>
          </w:tcPr>
          <w:p w14:paraId="77D52B33" w14:textId="77777777" w:rsidR="008672BE" w:rsidRDefault="008672BE" w:rsidP="008672BE">
            <w:pPr>
              <w:rPr>
                <w:rFonts w:ascii="Aptos" w:hAnsi="Aptos" w:cs="Arial"/>
                <w:sz w:val="16"/>
                <w:szCs w:val="16"/>
              </w:rPr>
            </w:pPr>
            <w:r w:rsidRPr="00D518FF">
              <w:rPr>
                <w:rFonts w:ascii="Aptos" w:hAnsi="Aptos" w:cs="Arial"/>
                <w:sz w:val="16"/>
                <w:szCs w:val="16"/>
              </w:rPr>
              <w:t>One trial showed no difference between groups, MD -5.46 (95% CI -19.44 to 8.52).</w:t>
            </w:r>
            <w:r w:rsidRPr="00D518FF">
              <w:rPr>
                <w:rFonts w:ascii="Aptos" w:hAnsi="Aptos" w:cs="Arial"/>
                <w:sz w:val="16"/>
                <w:szCs w:val="16"/>
              </w:rPr>
              <w:br/>
            </w:r>
          </w:p>
          <w:p w14:paraId="71CB5CA7" w14:textId="1AA645EC" w:rsidR="008672BE" w:rsidRPr="00D518FF" w:rsidRDefault="008672BE" w:rsidP="008672BE">
            <w:pPr>
              <w:rPr>
                <w:rFonts w:ascii="Aptos" w:hAnsi="Aptos" w:cs="Arial"/>
                <w:sz w:val="16"/>
                <w:szCs w:val="16"/>
              </w:rPr>
            </w:pPr>
            <w:r w:rsidRPr="00D518FF">
              <w:rPr>
                <w:rFonts w:ascii="Aptos" w:hAnsi="Aptos" w:cs="Arial"/>
                <w:sz w:val="16"/>
                <w:szCs w:val="16"/>
              </w:rPr>
              <w:t>A further paper reported that the median (IQR) FEV1 % predicted value was</w:t>
            </w:r>
            <w:r w:rsidRPr="00D518FF">
              <w:rPr>
                <w:rFonts w:ascii="Aptos" w:hAnsi="Aptos" w:cs="Arial"/>
                <w:sz w:val="16"/>
                <w:szCs w:val="16"/>
              </w:rPr>
              <w:br/>
              <w:t xml:space="preserve">8.97% (-18.23% to </w:t>
            </w:r>
            <w:r w:rsidRPr="00D518FF">
              <w:rPr>
                <w:rFonts w:ascii="Aptos" w:hAnsi="Aptos" w:cs="Arial"/>
                <w:sz w:val="16"/>
                <w:szCs w:val="16"/>
              </w:rPr>
              <w:lastRenderedPageBreak/>
              <w:t>0.33%) lower than baseline in the zinc group and 9.55% (-9.59% to 12.88%) higher in the placebo group (P = 0.08) (Sharma 2016).</w:t>
            </w:r>
          </w:p>
        </w:tc>
        <w:tc>
          <w:tcPr>
            <w:tcW w:w="1276" w:type="dxa"/>
          </w:tcPr>
          <w:p w14:paraId="21AE5A85" w14:textId="3453381E" w:rsidR="008672BE" w:rsidRPr="00D518FF" w:rsidRDefault="008672BE" w:rsidP="008672BE">
            <w:pPr>
              <w:rPr>
                <w:rFonts w:ascii="Aptos" w:hAnsi="Aptos" w:cs="Arial"/>
                <w:sz w:val="16"/>
                <w:szCs w:val="16"/>
              </w:rPr>
            </w:pPr>
            <w:r w:rsidRPr="00C16212">
              <w:rPr>
                <w:rFonts w:ascii="Aptos" w:hAnsi="Aptos" w:cs="Arial"/>
                <w:sz w:val="16"/>
                <w:szCs w:val="16"/>
              </w:rPr>
              <w:lastRenderedPageBreak/>
              <w:t>r</w:t>
            </w:r>
            <w:r w:rsidR="0079009A">
              <w:rPr>
                <w:rFonts w:ascii="Aptos" w:hAnsi="Aptos" w:cs="Arial"/>
                <w:sz w:val="16"/>
                <w:szCs w:val="16"/>
              </w:rPr>
              <w:t>R</w:t>
            </w:r>
            <w:r w:rsidRPr="00C16212">
              <w:rPr>
                <w:rFonts w:ascii="Aptos" w:hAnsi="Aptos" w:cs="Arial"/>
                <w:sz w:val="16"/>
                <w:szCs w:val="16"/>
              </w:rPr>
              <w:t>sk of bias within 1 of the included trials; there were concerns across 5 out of the 6 domains for assessing risk of bias.</w:t>
            </w:r>
          </w:p>
        </w:tc>
        <w:tc>
          <w:tcPr>
            <w:tcW w:w="1067" w:type="dxa"/>
          </w:tcPr>
          <w:p w14:paraId="38D370B7" w14:textId="34C00008" w:rsidR="008672BE" w:rsidRPr="00D518FF" w:rsidRDefault="008672BE" w:rsidP="008672BE">
            <w:pPr>
              <w:rPr>
                <w:rFonts w:ascii="Aptos" w:hAnsi="Aptos" w:cs="Arial"/>
                <w:sz w:val="16"/>
                <w:szCs w:val="16"/>
              </w:rPr>
            </w:pPr>
            <w:r>
              <w:rPr>
                <w:rFonts w:ascii="Aptos" w:hAnsi="Aptos" w:cs="Arial"/>
                <w:sz w:val="16"/>
                <w:szCs w:val="16"/>
              </w:rPr>
              <w:t>Low risk</w:t>
            </w:r>
          </w:p>
        </w:tc>
      </w:tr>
      <w:tr w:rsidR="008672BE" w:rsidRPr="00D518FF" w14:paraId="68D2F19D" w14:textId="77777777" w:rsidTr="00F614C8">
        <w:trPr>
          <w:trHeight w:val="307"/>
        </w:trPr>
        <w:tc>
          <w:tcPr>
            <w:tcW w:w="661" w:type="dxa"/>
          </w:tcPr>
          <w:p w14:paraId="3A3EE00F" w14:textId="77777777" w:rsidR="008672BE" w:rsidRPr="00D518FF" w:rsidRDefault="008672BE" w:rsidP="008672BE">
            <w:pPr>
              <w:rPr>
                <w:rFonts w:ascii="Aptos" w:hAnsi="Aptos" w:cs="Arial"/>
                <w:sz w:val="16"/>
                <w:szCs w:val="16"/>
              </w:rPr>
            </w:pPr>
            <w:r w:rsidRPr="00D518FF">
              <w:rPr>
                <w:rFonts w:ascii="Aptos" w:hAnsi="Aptos" w:cs="Arial"/>
                <w:sz w:val="16"/>
                <w:szCs w:val="16"/>
              </w:rPr>
              <w:t>Hurley 2020</w:t>
            </w:r>
          </w:p>
        </w:tc>
        <w:tc>
          <w:tcPr>
            <w:tcW w:w="702" w:type="dxa"/>
          </w:tcPr>
          <w:p w14:paraId="192664D6" w14:textId="77777777" w:rsidR="008672BE" w:rsidRPr="00D518FF" w:rsidRDefault="008672BE" w:rsidP="008672BE">
            <w:pPr>
              <w:rPr>
                <w:rFonts w:ascii="Aptos" w:hAnsi="Aptos" w:cs="Arial"/>
                <w:sz w:val="16"/>
                <w:szCs w:val="16"/>
              </w:rPr>
            </w:pPr>
            <w:r w:rsidRPr="00D518FF">
              <w:rPr>
                <w:rFonts w:ascii="Aptos" w:hAnsi="Aptos" w:cs="Arial"/>
                <w:sz w:val="16"/>
                <w:szCs w:val="16"/>
              </w:rPr>
              <w:t>5</w:t>
            </w:r>
          </w:p>
        </w:tc>
        <w:tc>
          <w:tcPr>
            <w:tcW w:w="818" w:type="dxa"/>
          </w:tcPr>
          <w:p w14:paraId="70F720DC" w14:textId="762F884B" w:rsidR="008672BE" w:rsidRPr="00D518FF" w:rsidRDefault="008672BE" w:rsidP="008672BE">
            <w:pPr>
              <w:rPr>
                <w:rFonts w:ascii="Aptos" w:hAnsi="Aptos" w:cs="Arial"/>
                <w:sz w:val="16"/>
                <w:szCs w:val="16"/>
              </w:rPr>
            </w:pPr>
            <w:r w:rsidRPr="005A43DC">
              <w:rPr>
                <w:rFonts w:ascii="Aptos" w:hAnsi="Aptos"/>
                <w:sz w:val="16"/>
                <w:szCs w:val="16"/>
              </w:rPr>
              <w:t>With condition</w:t>
            </w:r>
          </w:p>
        </w:tc>
        <w:tc>
          <w:tcPr>
            <w:tcW w:w="818" w:type="dxa"/>
          </w:tcPr>
          <w:p w14:paraId="53B47DD3" w14:textId="6DC7AE00" w:rsidR="008672BE" w:rsidRPr="00D518FF" w:rsidRDefault="008672BE" w:rsidP="008672BE">
            <w:pPr>
              <w:rPr>
                <w:rFonts w:ascii="Aptos" w:hAnsi="Aptos" w:cs="Arial"/>
                <w:sz w:val="16"/>
                <w:szCs w:val="16"/>
              </w:rPr>
            </w:pPr>
            <w:r w:rsidRPr="00D518FF">
              <w:rPr>
                <w:rFonts w:ascii="Aptos" w:hAnsi="Aptos" w:cs="Arial"/>
                <w:sz w:val="16"/>
                <w:szCs w:val="16"/>
              </w:rPr>
              <w:t>Children with cystic fibrosis</w:t>
            </w:r>
          </w:p>
        </w:tc>
        <w:tc>
          <w:tcPr>
            <w:tcW w:w="1178" w:type="dxa"/>
          </w:tcPr>
          <w:p w14:paraId="4E4BE2B1" w14:textId="7EDD212C" w:rsidR="008672BE" w:rsidRPr="00D518FF" w:rsidRDefault="008672BE" w:rsidP="008672BE">
            <w:pPr>
              <w:rPr>
                <w:rFonts w:ascii="Aptos" w:hAnsi="Aptos" w:cs="Arial"/>
                <w:sz w:val="16"/>
                <w:szCs w:val="16"/>
              </w:rPr>
            </w:pPr>
            <w:r w:rsidRPr="00D518FF">
              <w:rPr>
                <w:rFonts w:ascii="Aptos" w:hAnsi="Aptos" w:cs="Arial"/>
                <w:sz w:val="16"/>
                <w:szCs w:val="16"/>
              </w:rPr>
              <w:t>Eligible supplement VS placebo/inactive control</w:t>
            </w:r>
          </w:p>
        </w:tc>
        <w:tc>
          <w:tcPr>
            <w:tcW w:w="1914" w:type="dxa"/>
          </w:tcPr>
          <w:p w14:paraId="50446E60" w14:textId="2B8F0C2D" w:rsidR="008672BE" w:rsidRPr="00D518FF" w:rsidRDefault="008672BE" w:rsidP="008672BE">
            <w:pPr>
              <w:rPr>
                <w:rFonts w:ascii="Aptos" w:hAnsi="Aptos" w:cs="Arial"/>
                <w:sz w:val="16"/>
                <w:szCs w:val="16"/>
              </w:rPr>
            </w:pPr>
            <w:r>
              <w:rPr>
                <w:rFonts w:ascii="Aptos" w:hAnsi="Aptos" w:cs="Arial"/>
                <w:sz w:val="16"/>
                <w:szCs w:val="16"/>
              </w:rPr>
              <w:t>Z</w:t>
            </w:r>
            <w:r w:rsidRPr="00D518FF">
              <w:rPr>
                <w:rFonts w:ascii="Aptos" w:hAnsi="Aptos" w:cs="Arial"/>
                <w:sz w:val="16"/>
                <w:szCs w:val="16"/>
              </w:rPr>
              <w:t>inc supplementation (30 mg orally once daily)</w:t>
            </w:r>
          </w:p>
        </w:tc>
        <w:tc>
          <w:tcPr>
            <w:tcW w:w="850" w:type="dxa"/>
          </w:tcPr>
          <w:p w14:paraId="6C4B3D0D" w14:textId="77777777" w:rsidR="008672BE" w:rsidRPr="00D518FF" w:rsidRDefault="008672BE" w:rsidP="008672BE">
            <w:pPr>
              <w:rPr>
                <w:rFonts w:ascii="Aptos" w:hAnsi="Aptos" w:cs="Arial"/>
                <w:sz w:val="16"/>
                <w:szCs w:val="16"/>
              </w:rPr>
            </w:pPr>
            <w:r w:rsidRPr="00D518FF">
              <w:rPr>
                <w:rFonts w:ascii="Aptos" w:hAnsi="Aptos" w:cs="Arial"/>
                <w:sz w:val="16"/>
                <w:szCs w:val="16"/>
              </w:rPr>
              <w:t>placebo</w:t>
            </w:r>
          </w:p>
        </w:tc>
        <w:tc>
          <w:tcPr>
            <w:tcW w:w="709" w:type="dxa"/>
          </w:tcPr>
          <w:p w14:paraId="1D72164F" w14:textId="77777777" w:rsidR="008672BE" w:rsidRPr="00D518FF" w:rsidRDefault="008672BE" w:rsidP="008672BE">
            <w:pPr>
              <w:rPr>
                <w:rFonts w:ascii="Aptos" w:hAnsi="Aptos" w:cs="Arial"/>
                <w:sz w:val="16"/>
                <w:szCs w:val="16"/>
              </w:rPr>
            </w:pPr>
            <w:r w:rsidRPr="00D518FF">
              <w:rPr>
                <w:rFonts w:ascii="Aptos" w:hAnsi="Aptos" w:cs="Arial"/>
                <w:sz w:val="16"/>
                <w:szCs w:val="16"/>
              </w:rPr>
              <w:t>1</w:t>
            </w:r>
          </w:p>
        </w:tc>
        <w:tc>
          <w:tcPr>
            <w:tcW w:w="850" w:type="dxa"/>
          </w:tcPr>
          <w:p w14:paraId="3CCE8E78" w14:textId="77777777" w:rsidR="008672BE" w:rsidRPr="00D518FF" w:rsidRDefault="008672BE" w:rsidP="008672BE">
            <w:pPr>
              <w:rPr>
                <w:rFonts w:ascii="Aptos" w:hAnsi="Aptos" w:cs="Arial"/>
                <w:sz w:val="16"/>
                <w:szCs w:val="16"/>
              </w:rPr>
            </w:pPr>
            <w:r w:rsidRPr="00D518FF">
              <w:rPr>
                <w:rFonts w:ascii="Aptos" w:hAnsi="Aptos" w:cs="Arial"/>
                <w:sz w:val="16"/>
                <w:szCs w:val="16"/>
              </w:rPr>
              <w:t>37</w:t>
            </w:r>
          </w:p>
        </w:tc>
        <w:tc>
          <w:tcPr>
            <w:tcW w:w="1418" w:type="dxa"/>
          </w:tcPr>
          <w:p w14:paraId="5B3C6D28" w14:textId="77777777" w:rsidR="008672BE" w:rsidRPr="00D518FF" w:rsidRDefault="008672BE" w:rsidP="008672BE">
            <w:pPr>
              <w:rPr>
                <w:rFonts w:ascii="Aptos" w:hAnsi="Aptos" w:cs="Arial"/>
                <w:sz w:val="16"/>
                <w:szCs w:val="16"/>
              </w:rPr>
            </w:pPr>
            <w:r w:rsidRPr="00D518FF">
              <w:rPr>
                <w:rFonts w:ascii="Aptos" w:hAnsi="Aptos" w:cs="Arial"/>
                <w:sz w:val="16"/>
                <w:szCs w:val="16"/>
              </w:rPr>
              <w:t>Pulmonary exacerbations</w:t>
            </w:r>
            <w:r w:rsidRPr="00D518FF">
              <w:rPr>
                <w:rFonts w:ascii="Aptos" w:hAnsi="Aptos" w:cs="Arial"/>
                <w:sz w:val="16"/>
                <w:szCs w:val="16"/>
              </w:rPr>
              <w:br/>
              <w:t>number of participants re- quiring IV antibiotics</w:t>
            </w:r>
            <w:r w:rsidRPr="00D518FF">
              <w:rPr>
                <w:rFonts w:ascii="Aptos" w:hAnsi="Aptos" w:cs="Arial"/>
                <w:sz w:val="16"/>
                <w:szCs w:val="16"/>
              </w:rPr>
              <w:br/>
              <w:t>Follow-up: 12 months</w:t>
            </w:r>
          </w:p>
        </w:tc>
        <w:tc>
          <w:tcPr>
            <w:tcW w:w="850" w:type="dxa"/>
          </w:tcPr>
          <w:p w14:paraId="38347006" w14:textId="0BB9EA28" w:rsidR="008672BE" w:rsidRPr="00D518FF" w:rsidRDefault="008672BE" w:rsidP="008672BE">
            <w:pPr>
              <w:rPr>
                <w:rFonts w:ascii="Aptos" w:hAnsi="Aptos" w:cs="Arial"/>
                <w:sz w:val="16"/>
                <w:szCs w:val="16"/>
              </w:rPr>
            </w:pPr>
            <w:r w:rsidRPr="00D518FF">
              <w:rPr>
                <w:rFonts w:ascii="Aptos" w:hAnsi="Aptos" w:cs="Arial"/>
                <w:sz w:val="16"/>
                <w:szCs w:val="16"/>
              </w:rPr>
              <w:t xml:space="preserve">RR </w:t>
            </w:r>
            <w:r>
              <w:rPr>
                <w:rFonts w:ascii="Aptos" w:hAnsi="Aptos" w:cs="Arial"/>
                <w:sz w:val="16"/>
                <w:szCs w:val="16"/>
              </w:rPr>
              <w:t xml:space="preserve">= </w:t>
            </w:r>
            <w:r w:rsidRPr="00D518FF">
              <w:rPr>
                <w:rFonts w:ascii="Aptos" w:hAnsi="Aptos" w:cs="Arial"/>
                <w:sz w:val="16"/>
                <w:szCs w:val="16"/>
              </w:rPr>
              <w:t>1.85 (0.65 to 5.26)</w:t>
            </w:r>
          </w:p>
        </w:tc>
        <w:tc>
          <w:tcPr>
            <w:tcW w:w="1134" w:type="dxa"/>
          </w:tcPr>
          <w:p w14:paraId="4EBA5D83" w14:textId="77777777" w:rsidR="008672BE" w:rsidRPr="00D518FF" w:rsidRDefault="008672BE" w:rsidP="008672BE">
            <w:pPr>
              <w:rPr>
                <w:rFonts w:ascii="Aptos" w:hAnsi="Aptos" w:cs="Arial"/>
                <w:sz w:val="16"/>
                <w:szCs w:val="16"/>
              </w:rPr>
            </w:pPr>
          </w:p>
        </w:tc>
        <w:tc>
          <w:tcPr>
            <w:tcW w:w="1276" w:type="dxa"/>
          </w:tcPr>
          <w:p w14:paraId="5EA2416E" w14:textId="01EB0A89" w:rsidR="008672BE" w:rsidRPr="00D518FF" w:rsidRDefault="008672BE" w:rsidP="008672BE">
            <w:pPr>
              <w:rPr>
                <w:rFonts w:ascii="Aptos" w:hAnsi="Aptos" w:cs="Arial"/>
                <w:sz w:val="16"/>
                <w:szCs w:val="16"/>
              </w:rPr>
            </w:pPr>
            <w:r>
              <w:rPr>
                <w:rFonts w:ascii="Aptos" w:hAnsi="Aptos" w:cs="Arial"/>
                <w:sz w:val="16"/>
                <w:szCs w:val="16"/>
              </w:rPr>
              <w:t>No assessed risk of bias</w:t>
            </w:r>
          </w:p>
        </w:tc>
        <w:tc>
          <w:tcPr>
            <w:tcW w:w="1067" w:type="dxa"/>
          </w:tcPr>
          <w:p w14:paraId="11B506CF" w14:textId="156475BD" w:rsidR="008672BE" w:rsidRPr="00D518FF" w:rsidRDefault="008672BE" w:rsidP="008672BE">
            <w:pPr>
              <w:rPr>
                <w:rFonts w:ascii="Aptos" w:hAnsi="Aptos" w:cs="Arial"/>
                <w:sz w:val="16"/>
                <w:szCs w:val="16"/>
              </w:rPr>
            </w:pPr>
            <w:r>
              <w:rPr>
                <w:rFonts w:ascii="Aptos" w:hAnsi="Aptos" w:cs="Arial"/>
                <w:sz w:val="16"/>
                <w:szCs w:val="16"/>
              </w:rPr>
              <w:t>Low risk</w:t>
            </w:r>
          </w:p>
        </w:tc>
      </w:tr>
      <w:tr w:rsidR="008672BE" w:rsidRPr="00D518FF" w14:paraId="5CB5B686" w14:textId="77777777" w:rsidTr="00F614C8">
        <w:trPr>
          <w:trHeight w:val="307"/>
        </w:trPr>
        <w:tc>
          <w:tcPr>
            <w:tcW w:w="661" w:type="dxa"/>
          </w:tcPr>
          <w:p w14:paraId="7F8BF9A2" w14:textId="77777777" w:rsidR="008672BE" w:rsidRPr="00D518FF" w:rsidRDefault="008672BE" w:rsidP="008672BE">
            <w:pPr>
              <w:rPr>
                <w:rFonts w:ascii="Aptos" w:hAnsi="Aptos" w:cs="Arial"/>
                <w:sz w:val="16"/>
                <w:szCs w:val="16"/>
              </w:rPr>
            </w:pPr>
            <w:r w:rsidRPr="00D518FF">
              <w:rPr>
                <w:rFonts w:ascii="Aptos" w:hAnsi="Aptos" w:cs="Arial"/>
                <w:sz w:val="16"/>
                <w:szCs w:val="16"/>
              </w:rPr>
              <w:t>Hurley 2020</w:t>
            </w:r>
          </w:p>
        </w:tc>
        <w:tc>
          <w:tcPr>
            <w:tcW w:w="702" w:type="dxa"/>
          </w:tcPr>
          <w:p w14:paraId="37F4C7BE" w14:textId="77777777" w:rsidR="008672BE" w:rsidRPr="00D518FF" w:rsidRDefault="008672BE" w:rsidP="008672BE">
            <w:pPr>
              <w:rPr>
                <w:rFonts w:ascii="Aptos" w:hAnsi="Aptos" w:cs="Arial"/>
                <w:sz w:val="16"/>
                <w:szCs w:val="16"/>
              </w:rPr>
            </w:pPr>
            <w:r w:rsidRPr="00D518FF">
              <w:rPr>
                <w:rFonts w:ascii="Aptos" w:hAnsi="Aptos" w:cs="Arial"/>
                <w:sz w:val="16"/>
                <w:szCs w:val="16"/>
              </w:rPr>
              <w:t>5</w:t>
            </w:r>
          </w:p>
        </w:tc>
        <w:tc>
          <w:tcPr>
            <w:tcW w:w="818" w:type="dxa"/>
          </w:tcPr>
          <w:p w14:paraId="449FA2A8" w14:textId="188C980A" w:rsidR="008672BE" w:rsidRPr="00D518FF" w:rsidRDefault="008672BE" w:rsidP="008672BE">
            <w:pPr>
              <w:rPr>
                <w:rFonts w:ascii="Aptos" w:hAnsi="Aptos" w:cs="Arial"/>
                <w:sz w:val="16"/>
                <w:szCs w:val="16"/>
              </w:rPr>
            </w:pPr>
            <w:r w:rsidRPr="005A43DC">
              <w:rPr>
                <w:rFonts w:ascii="Aptos" w:hAnsi="Aptos"/>
                <w:sz w:val="16"/>
                <w:szCs w:val="16"/>
              </w:rPr>
              <w:t>With condition</w:t>
            </w:r>
          </w:p>
        </w:tc>
        <w:tc>
          <w:tcPr>
            <w:tcW w:w="818" w:type="dxa"/>
          </w:tcPr>
          <w:p w14:paraId="3B2FF0AE" w14:textId="4ACF08DD" w:rsidR="008672BE" w:rsidRPr="00D518FF" w:rsidRDefault="008672BE" w:rsidP="008672BE">
            <w:pPr>
              <w:rPr>
                <w:rFonts w:ascii="Aptos" w:hAnsi="Aptos" w:cs="Arial"/>
                <w:sz w:val="16"/>
                <w:szCs w:val="16"/>
              </w:rPr>
            </w:pPr>
            <w:r w:rsidRPr="00D518FF">
              <w:rPr>
                <w:rFonts w:ascii="Aptos" w:hAnsi="Aptos" w:cs="Arial"/>
                <w:sz w:val="16"/>
                <w:szCs w:val="16"/>
              </w:rPr>
              <w:t>Children with cystic fibrosis</w:t>
            </w:r>
          </w:p>
        </w:tc>
        <w:tc>
          <w:tcPr>
            <w:tcW w:w="1178" w:type="dxa"/>
          </w:tcPr>
          <w:p w14:paraId="39312166" w14:textId="5484D234" w:rsidR="008672BE" w:rsidRPr="00D518FF" w:rsidRDefault="008672BE" w:rsidP="008672BE">
            <w:pPr>
              <w:rPr>
                <w:rFonts w:ascii="Aptos" w:hAnsi="Aptos" w:cs="Arial"/>
                <w:sz w:val="16"/>
                <w:szCs w:val="16"/>
              </w:rPr>
            </w:pPr>
            <w:r w:rsidRPr="00D518FF">
              <w:rPr>
                <w:rFonts w:ascii="Aptos" w:hAnsi="Aptos" w:cs="Arial"/>
                <w:sz w:val="16"/>
                <w:szCs w:val="16"/>
              </w:rPr>
              <w:t>Eligible supplement VS placebo/inactive control</w:t>
            </w:r>
          </w:p>
        </w:tc>
        <w:tc>
          <w:tcPr>
            <w:tcW w:w="1914" w:type="dxa"/>
          </w:tcPr>
          <w:p w14:paraId="2CDB05E5" w14:textId="6096E171" w:rsidR="008672BE" w:rsidRPr="00D518FF" w:rsidRDefault="008672BE" w:rsidP="008672BE">
            <w:pPr>
              <w:rPr>
                <w:rFonts w:ascii="Aptos" w:hAnsi="Aptos" w:cs="Arial"/>
                <w:sz w:val="16"/>
                <w:szCs w:val="16"/>
              </w:rPr>
            </w:pPr>
            <w:r>
              <w:rPr>
                <w:rFonts w:ascii="Aptos" w:hAnsi="Aptos" w:cs="Arial"/>
                <w:sz w:val="16"/>
                <w:szCs w:val="16"/>
              </w:rPr>
              <w:t>Z</w:t>
            </w:r>
            <w:r w:rsidRPr="00D518FF">
              <w:rPr>
                <w:rFonts w:ascii="Aptos" w:hAnsi="Aptos" w:cs="Arial"/>
                <w:sz w:val="16"/>
                <w:szCs w:val="16"/>
              </w:rPr>
              <w:t>inc supplementation (30 mg orally once daily)</w:t>
            </w:r>
          </w:p>
        </w:tc>
        <w:tc>
          <w:tcPr>
            <w:tcW w:w="850" w:type="dxa"/>
          </w:tcPr>
          <w:p w14:paraId="697DF2BD" w14:textId="77777777" w:rsidR="008672BE" w:rsidRPr="00D518FF" w:rsidRDefault="008672BE" w:rsidP="008672BE">
            <w:pPr>
              <w:rPr>
                <w:rFonts w:ascii="Aptos" w:hAnsi="Aptos" w:cs="Arial"/>
                <w:sz w:val="16"/>
                <w:szCs w:val="16"/>
              </w:rPr>
            </w:pPr>
            <w:r w:rsidRPr="00D518FF">
              <w:rPr>
                <w:rFonts w:ascii="Aptos" w:hAnsi="Aptos" w:cs="Arial"/>
                <w:sz w:val="16"/>
                <w:szCs w:val="16"/>
              </w:rPr>
              <w:t>placebo</w:t>
            </w:r>
          </w:p>
        </w:tc>
        <w:tc>
          <w:tcPr>
            <w:tcW w:w="709" w:type="dxa"/>
          </w:tcPr>
          <w:p w14:paraId="1FD6209E" w14:textId="77777777" w:rsidR="008672BE" w:rsidRPr="00D518FF" w:rsidRDefault="008672BE" w:rsidP="008672BE">
            <w:pPr>
              <w:rPr>
                <w:rFonts w:ascii="Aptos" w:hAnsi="Aptos" w:cs="Arial"/>
                <w:sz w:val="16"/>
                <w:szCs w:val="16"/>
              </w:rPr>
            </w:pPr>
            <w:r w:rsidRPr="00D518FF">
              <w:rPr>
                <w:rFonts w:ascii="Aptos" w:hAnsi="Aptos" w:cs="Arial"/>
                <w:sz w:val="16"/>
                <w:szCs w:val="16"/>
              </w:rPr>
              <w:t>2</w:t>
            </w:r>
          </w:p>
        </w:tc>
        <w:tc>
          <w:tcPr>
            <w:tcW w:w="850" w:type="dxa"/>
          </w:tcPr>
          <w:p w14:paraId="74AE0CB6" w14:textId="77777777" w:rsidR="008672BE" w:rsidRPr="00D518FF" w:rsidRDefault="008672BE" w:rsidP="008672BE">
            <w:pPr>
              <w:rPr>
                <w:rFonts w:ascii="Aptos" w:hAnsi="Aptos" w:cs="Arial"/>
                <w:sz w:val="16"/>
                <w:szCs w:val="16"/>
              </w:rPr>
            </w:pPr>
            <w:r w:rsidRPr="00D518FF">
              <w:rPr>
                <w:rFonts w:ascii="Aptos" w:hAnsi="Aptos" w:cs="Arial"/>
                <w:sz w:val="16"/>
                <w:szCs w:val="16"/>
              </w:rPr>
              <w:t>62</w:t>
            </w:r>
          </w:p>
        </w:tc>
        <w:tc>
          <w:tcPr>
            <w:tcW w:w="1418" w:type="dxa"/>
          </w:tcPr>
          <w:p w14:paraId="542A8E9D" w14:textId="77777777" w:rsidR="008672BE" w:rsidRPr="00D518FF" w:rsidRDefault="008672BE" w:rsidP="008672BE">
            <w:pPr>
              <w:rPr>
                <w:rFonts w:ascii="Aptos" w:hAnsi="Aptos" w:cs="Arial"/>
                <w:sz w:val="16"/>
                <w:szCs w:val="16"/>
              </w:rPr>
            </w:pPr>
            <w:r w:rsidRPr="00D518FF">
              <w:rPr>
                <w:rFonts w:ascii="Aptos" w:hAnsi="Aptos" w:cs="Arial"/>
                <w:sz w:val="16"/>
                <w:szCs w:val="16"/>
              </w:rPr>
              <w:t>Need for antibiotics</w:t>
            </w:r>
            <w:r w:rsidRPr="00D518FF">
              <w:rPr>
                <w:rFonts w:ascii="Aptos" w:hAnsi="Aptos" w:cs="Arial"/>
                <w:sz w:val="16"/>
                <w:szCs w:val="16"/>
              </w:rPr>
              <w:br/>
              <w:t>number of days on IV or oral antibiotics</w:t>
            </w:r>
            <w:r w:rsidRPr="00D518FF">
              <w:rPr>
                <w:rFonts w:ascii="Aptos" w:hAnsi="Aptos" w:cs="Arial"/>
                <w:sz w:val="16"/>
                <w:szCs w:val="16"/>
              </w:rPr>
              <w:br/>
              <w:t>Follow-up: 24 months</w:t>
            </w:r>
          </w:p>
        </w:tc>
        <w:tc>
          <w:tcPr>
            <w:tcW w:w="850" w:type="dxa"/>
          </w:tcPr>
          <w:p w14:paraId="7FADF778" w14:textId="77777777" w:rsidR="008672BE" w:rsidRPr="00D518FF" w:rsidRDefault="008672BE" w:rsidP="008672BE">
            <w:pPr>
              <w:rPr>
                <w:rFonts w:ascii="Aptos" w:hAnsi="Aptos" w:cs="Arial"/>
                <w:sz w:val="16"/>
                <w:szCs w:val="16"/>
              </w:rPr>
            </w:pPr>
          </w:p>
        </w:tc>
        <w:tc>
          <w:tcPr>
            <w:tcW w:w="1134" w:type="dxa"/>
          </w:tcPr>
          <w:p w14:paraId="67AA1FC6" w14:textId="6EFA3926" w:rsidR="008672BE" w:rsidRDefault="008672BE" w:rsidP="008672BE">
            <w:pPr>
              <w:rPr>
                <w:rFonts w:ascii="Aptos" w:hAnsi="Aptos" w:cs="Arial"/>
                <w:sz w:val="16"/>
                <w:szCs w:val="16"/>
              </w:rPr>
            </w:pPr>
            <w:r>
              <w:rPr>
                <w:rFonts w:ascii="Aptos" w:hAnsi="Aptos" w:cs="Arial"/>
                <w:sz w:val="16"/>
                <w:szCs w:val="16"/>
              </w:rPr>
              <w:t>F</w:t>
            </w:r>
            <w:r w:rsidRPr="00D518FF">
              <w:rPr>
                <w:rFonts w:ascii="Aptos" w:hAnsi="Aptos" w:cs="Arial"/>
                <w:sz w:val="16"/>
                <w:szCs w:val="16"/>
              </w:rPr>
              <w:t xml:space="preserve">ewer oral antibiotics alone were needed by participants in the zinc group, MD </w:t>
            </w:r>
            <w:r w:rsidR="0079009A">
              <w:rPr>
                <w:rFonts w:ascii="Aptos" w:hAnsi="Aptos" w:cs="Arial"/>
                <w:sz w:val="16"/>
                <w:szCs w:val="16"/>
              </w:rPr>
              <w:t>= –</w:t>
            </w:r>
            <w:r w:rsidRPr="00D518FF">
              <w:rPr>
                <w:rFonts w:ascii="Aptos" w:hAnsi="Aptos" w:cs="Arial"/>
                <w:sz w:val="16"/>
                <w:szCs w:val="16"/>
              </w:rPr>
              <w:t xml:space="preserve">17.74 (95% CI -26.98 to -8.50); but there was no significant difference between groups in the need for IV antibiotics alone, MD </w:t>
            </w:r>
            <w:r w:rsidR="0079009A">
              <w:rPr>
                <w:rFonts w:ascii="Aptos" w:hAnsi="Aptos" w:cs="Arial"/>
                <w:sz w:val="16"/>
                <w:szCs w:val="16"/>
              </w:rPr>
              <w:t xml:space="preserve">= </w:t>
            </w:r>
            <w:r w:rsidRPr="00D518FF">
              <w:rPr>
                <w:rFonts w:ascii="Aptos" w:hAnsi="Aptos" w:cs="Arial"/>
                <w:sz w:val="16"/>
                <w:szCs w:val="16"/>
              </w:rPr>
              <w:t>0.52 (95% CI -3.07 to 4.11)</w:t>
            </w:r>
            <w:r>
              <w:rPr>
                <w:rFonts w:ascii="Aptos" w:hAnsi="Aptos" w:cs="Arial"/>
                <w:sz w:val="16"/>
                <w:szCs w:val="16"/>
              </w:rPr>
              <w:t>.</w:t>
            </w:r>
          </w:p>
          <w:p w14:paraId="4FFBC003" w14:textId="3336687A" w:rsidR="008672BE" w:rsidRPr="00D518FF" w:rsidRDefault="008672BE" w:rsidP="008672BE">
            <w:pPr>
              <w:rPr>
                <w:rFonts w:ascii="Aptos" w:hAnsi="Aptos" w:cs="Arial"/>
                <w:sz w:val="16"/>
                <w:szCs w:val="16"/>
              </w:rPr>
            </w:pPr>
            <w:r w:rsidRPr="00D518FF">
              <w:rPr>
                <w:rFonts w:ascii="Aptos" w:hAnsi="Aptos" w:cs="Arial"/>
                <w:sz w:val="16"/>
                <w:szCs w:val="16"/>
              </w:rPr>
              <w:br/>
            </w:r>
            <w:r>
              <w:rPr>
                <w:rFonts w:ascii="Aptos" w:hAnsi="Aptos" w:cs="Arial"/>
                <w:sz w:val="16"/>
                <w:szCs w:val="16"/>
              </w:rPr>
              <w:t xml:space="preserve">Another </w:t>
            </w:r>
            <w:r w:rsidRPr="00D518FF">
              <w:rPr>
                <w:rFonts w:ascii="Aptos" w:hAnsi="Aptos" w:cs="Arial"/>
                <w:sz w:val="16"/>
                <w:szCs w:val="16"/>
              </w:rPr>
              <w:t>trial found no significant difference in the number of days on IV or oral antibiotics (P = 0.76).</w:t>
            </w:r>
          </w:p>
        </w:tc>
        <w:tc>
          <w:tcPr>
            <w:tcW w:w="1276" w:type="dxa"/>
          </w:tcPr>
          <w:p w14:paraId="080211E1" w14:textId="692C08AA" w:rsidR="008672BE" w:rsidRPr="00D518FF" w:rsidRDefault="0079009A" w:rsidP="008672BE">
            <w:pPr>
              <w:rPr>
                <w:rFonts w:ascii="Aptos" w:hAnsi="Aptos" w:cs="Arial"/>
                <w:sz w:val="16"/>
                <w:szCs w:val="16"/>
              </w:rPr>
            </w:pPr>
            <w:r>
              <w:rPr>
                <w:rFonts w:ascii="Aptos" w:hAnsi="Aptos" w:cs="Arial"/>
                <w:sz w:val="16"/>
                <w:szCs w:val="16"/>
              </w:rPr>
              <w:t>R</w:t>
            </w:r>
            <w:r w:rsidR="008672BE" w:rsidRPr="00C16212">
              <w:rPr>
                <w:rFonts w:ascii="Aptos" w:hAnsi="Aptos" w:cs="Arial"/>
                <w:sz w:val="16"/>
                <w:szCs w:val="16"/>
              </w:rPr>
              <w:t>isk of bias within 1 of the included trials; there were concerns across 5 out of the 6 domains for assessing risk of bias.</w:t>
            </w:r>
          </w:p>
        </w:tc>
        <w:tc>
          <w:tcPr>
            <w:tcW w:w="1067" w:type="dxa"/>
          </w:tcPr>
          <w:p w14:paraId="52748F99" w14:textId="07CDAA67" w:rsidR="008672BE" w:rsidRPr="00D518FF" w:rsidRDefault="008672BE" w:rsidP="008672BE">
            <w:pPr>
              <w:rPr>
                <w:rFonts w:ascii="Aptos" w:hAnsi="Aptos" w:cs="Arial"/>
                <w:sz w:val="16"/>
                <w:szCs w:val="16"/>
              </w:rPr>
            </w:pPr>
            <w:r>
              <w:rPr>
                <w:rFonts w:ascii="Aptos" w:hAnsi="Aptos" w:cs="Arial"/>
                <w:sz w:val="16"/>
                <w:szCs w:val="16"/>
              </w:rPr>
              <w:t>Low risk</w:t>
            </w:r>
          </w:p>
        </w:tc>
      </w:tr>
      <w:tr w:rsidR="004F0EBE" w:rsidRPr="00D518FF" w14:paraId="3FBFF83D" w14:textId="77777777" w:rsidTr="00F614C8">
        <w:trPr>
          <w:trHeight w:val="307"/>
        </w:trPr>
        <w:tc>
          <w:tcPr>
            <w:tcW w:w="661" w:type="dxa"/>
          </w:tcPr>
          <w:p w14:paraId="422819A2" w14:textId="77777777" w:rsidR="004F0EBE" w:rsidRPr="00D518FF" w:rsidRDefault="004F0EBE" w:rsidP="00E07D97">
            <w:pPr>
              <w:rPr>
                <w:rFonts w:ascii="Aptos" w:hAnsi="Aptos" w:cs="Arial"/>
                <w:sz w:val="16"/>
                <w:szCs w:val="16"/>
              </w:rPr>
            </w:pPr>
            <w:r w:rsidRPr="00D518FF">
              <w:rPr>
                <w:rFonts w:ascii="Aptos" w:hAnsi="Aptos" w:cs="Arial"/>
                <w:sz w:val="16"/>
                <w:szCs w:val="16"/>
              </w:rPr>
              <w:lastRenderedPageBreak/>
              <w:t>Manikam 2016</w:t>
            </w:r>
          </w:p>
        </w:tc>
        <w:tc>
          <w:tcPr>
            <w:tcW w:w="702" w:type="dxa"/>
          </w:tcPr>
          <w:p w14:paraId="176C255C" w14:textId="77777777" w:rsidR="004F0EBE" w:rsidRPr="00D518FF" w:rsidRDefault="004F0EBE" w:rsidP="00E07D97">
            <w:pPr>
              <w:rPr>
                <w:rFonts w:ascii="Aptos" w:hAnsi="Aptos" w:cs="Arial"/>
                <w:sz w:val="16"/>
                <w:szCs w:val="16"/>
              </w:rPr>
            </w:pPr>
            <w:r w:rsidRPr="00D518FF">
              <w:rPr>
                <w:rFonts w:ascii="Aptos" w:hAnsi="Aptos" w:cs="Arial"/>
                <w:sz w:val="16"/>
                <w:szCs w:val="16"/>
              </w:rPr>
              <w:t>1</w:t>
            </w:r>
          </w:p>
        </w:tc>
        <w:tc>
          <w:tcPr>
            <w:tcW w:w="818" w:type="dxa"/>
          </w:tcPr>
          <w:p w14:paraId="2AE1F52B" w14:textId="64B17599" w:rsidR="004F0EBE" w:rsidRPr="00D518FF" w:rsidRDefault="004F0EBE" w:rsidP="00E07D97">
            <w:pPr>
              <w:rPr>
                <w:rFonts w:ascii="Aptos" w:hAnsi="Aptos" w:cs="Arial"/>
                <w:sz w:val="16"/>
                <w:szCs w:val="16"/>
              </w:rPr>
            </w:pPr>
            <w:r>
              <w:rPr>
                <w:rFonts w:ascii="Aptos" w:hAnsi="Aptos" w:cs="Arial"/>
                <w:sz w:val="16"/>
                <w:szCs w:val="16"/>
              </w:rPr>
              <w:t>At-risk of condition</w:t>
            </w:r>
          </w:p>
        </w:tc>
        <w:tc>
          <w:tcPr>
            <w:tcW w:w="818" w:type="dxa"/>
          </w:tcPr>
          <w:p w14:paraId="398735AF" w14:textId="77777777" w:rsidR="004F0EBE" w:rsidRPr="00D518FF" w:rsidRDefault="004F0EBE" w:rsidP="00E07D97">
            <w:pPr>
              <w:rPr>
                <w:rFonts w:ascii="Aptos" w:hAnsi="Aptos" w:cs="Arial"/>
                <w:sz w:val="16"/>
                <w:szCs w:val="16"/>
              </w:rPr>
            </w:pPr>
            <w:r w:rsidRPr="00D518FF">
              <w:rPr>
                <w:rFonts w:ascii="Aptos" w:hAnsi="Aptos" w:cs="Arial"/>
                <w:sz w:val="16"/>
                <w:szCs w:val="16"/>
              </w:rPr>
              <w:t>Children with Down’s syndrome</w:t>
            </w:r>
          </w:p>
        </w:tc>
        <w:tc>
          <w:tcPr>
            <w:tcW w:w="1178" w:type="dxa"/>
          </w:tcPr>
          <w:p w14:paraId="132343DB" w14:textId="285C8117" w:rsidR="004F0EBE" w:rsidRPr="00D518FF" w:rsidRDefault="004F0EBE" w:rsidP="00E07D97">
            <w:pPr>
              <w:rPr>
                <w:rFonts w:ascii="Aptos" w:hAnsi="Aptos" w:cs="Arial"/>
                <w:sz w:val="16"/>
                <w:szCs w:val="16"/>
              </w:rPr>
            </w:pPr>
            <w:r w:rsidRPr="00D518FF">
              <w:rPr>
                <w:rFonts w:ascii="Aptos" w:hAnsi="Aptos" w:cs="Arial"/>
                <w:sz w:val="16"/>
                <w:szCs w:val="16"/>
              </w:rPr>
              <w:t>Eligible supplement VS placebo/inactive control</w:t>
            </w:r>
          </w:p>
        </w:tc>
        <w:tc>
          <w:tcPr>
            <w:tcW w:w="1914" w:type="dxa"/>
          </w:tcPr>
          <w:p w14:paraId="4AEEF4C3" w14:textId="054CA67B" w:rsidR="004F0EBE" w:rsidRPr="00D518FF" w:rsidRDefault="004F0EBE" w:rsidP="00E07D97">
            <w:pPr>
              <w:rPr>
                <w:rFonts w:ascii="Aptos" w:hAnsi="Aptos" w:cs="Arial"/>
                <w:sz w:val="16"/>
                <w:szCs w:val="16"/>
              </w:rPr>
            </w:pPr>
            <w:r w:rsidRPr="00D518FF">
              <w:rPr>
                <w:rFonts w:ascii="Aptos" w:hAnsi="Aptos" w:cs="Arial"/>
                <w:sz w:val="16"/>
                <w:szCs w:val="16"/>
              </w:rPr>
              <w:t>Zinc sulfate 25mg/d for 1–9 yr and 50 mg/d for older children for 6 mo</w:t>
            </w:r>
            <w:r>
              <w:rPr>
                <w:rFonts w:ascii="Aptos" w:hAnsi="Aptos" w:cs="Arial"/>
                <w:sz w:val="16"/>
                <w:szCs w:val="16"/>
              </w:rPr>
              <w:t>nths</w:t>
            </w:r>
          </w:p>
        </w:tc>
        <w:tc>
          <w:tcPr>
            <w:tcW w:w="850" w:type="dxa"/>
          </w:tcPr>
          <w:p w14:paraId="4C30AC43" w14:textId="77777777" w:rsidR="004F0EBE" w:rsidRPr="00D518FF" w:rsidRDefault="004F0EBE" w:rsidP="00E07D97">
            <w:pPr>
              <w:rPr>
                <w:rFonts w:ascii="Aptos" w:hAnsi="Aptos" w:cs="Arial"/>
                <w:sz w:val="16"/>
                <w:szCs w:val="16"/>
              </w:rPr>
            </w:pPr>
            <w:r w:rsidRPr="00D518FF">
              <w:rPr>
                <w:rFonts w:ascii="Aptos" w:hAnsi="Aptos" w:cs="Arial"/>
                <w:sz w:val="16"/>
                <w:szCs w:val="16"/>
              </w:rPr>
              <w:t>placebo</w:t>
            </w:r>
          </w:p>
        </w:tc>
        <w:tc>
          <w:tcPr>
            <w:tcW w:w="709" w:type="dxa"/>
          </w:tcPr>
          <w:p w14:paraId="024D74DD" w14:textId="77777777" w:rsidR="004F0EBE" w:rsidRPr="00D518FF" w:rsidRDefault="004F0EBE" w:rsidP="00E07D97">
            <w:pPr>
              <w:rPr>
                <w:rFonts w:ascii="Aptos" w:hAnsi="Aptos" w:cs="Arial"/>
                <w:sz w:val="16"/>
                <w:szCs w:val="16"/>
              </w:rPr>
            </w:pPr>
            <w:r w:rsidRPr="00D518FF">
              <w:rPr>
                <w:rFonts w:ascii="Aptos" w:hAnsi="Aptos" w:cs="Arial"/>
                <w:sz w:val="16"/>
                <w:szCs w:val="16"/>
              </w:rPr>
              <w:t>1</w:t>
            </w:r>
          </w:p>
        </w:tc>
        <w:tc>
          <w:tcPr>
            <w:tcW w:w="850" w:type="dxa"/>
          </w:tcPr>
          <w:p w14:paraId="7088F2B0" w14:textId="77777777" w:rsidR="004F0EBE" w:rsidRPr="00D518FF" w:rsidRDefault="004F0EBE" w:rsidP="00E07D97">
            <w:pPr>
              <w:rPr>
                <w:rFonts w:ascii="Aptos" w:hAnsi="Aptos" w:cs="Arial"/>
                <w:sz w:val="16"/>
                <w:szCs w:val="16"/>
              </w:rPr>
            </w:pPr>
            <w:r w:rsidRPr="00D518FF">
              <w:rPr>
                <w:rFonts w:ascii="Aptos" w:hAnsi="Aptos" w:cs="Arial"/>
                <w:sz w:val="16"/>
                <w:szCs w:val="16"/>
              </w:rPr>
              <w:t>64</w:t>
            </w:r>
          </w:p>
        </w:tc>
        <w:tc>
          <w:tcPr>
            <w:tcW w:w="1418" w:type="dxa"/>
          </w:tcPr>
          <w:p w14:paraId="50D330D1" w14:textId="77777777" w:rsidR="004F0EBE" w:rsidRPr="00D518FF" w:rsidRDefault="004F0EBE" w:rsidP="00E07D97">
            <w:pPr>
              <w:rPr>
                <w:rFonts w:ascii="Aptos" w:hAnsi="Aptos" w:cs="Arial"/>
                <w:sz w:val="16"/>
                <w:szCs w:val="16"/>
              </w:rPr>
            </w:pPr>
            <w:r w:rsidRPr="00D518FF">
              <w:rPr>
                <w:rFonts w:ascii="Aptos" w:hAnsi="Aptos" w:cs="Arial"/>
                <w:sz w:val="16"/>
                <w:szCs w:val="16"/>
              </w:rPr>
              <w:t>Number of children with URTI</w:t>
            </w:r>
          </w:p>
        </w:tc>
        <w:tc>
          <w:tcPr>
            <w:tcW w:w="850" w:type="dxa"/>
          </w:tcPr>
          <w:p w14:paraId="51049B77" w14:textId="77777777" w:rsidR="004F0EBE" w:rsidRPr="00D518FF" w:rsidRDefault="004F0EBE" w:rsidP="00E07D97">
            <w:pPr>
              <w:rPr>
                <w:rFonts w:ascii="Aptos" w:hAnsi="Aptos" w:cs="Arial"/>
                <w:sz w:val="16"/>
                <w:szCs w:val="16"/>
              </w:rPr>
            </w:pPr>
          </w:p>
        </w:tc>
        <w:tc>
          <w:tcPr>
            <w:tcW w:w="1134" w:type="dxa"/>
          </w:tcPr>
          <w:p w14:paraId="38CD0065" w14:textId="79078FFF" w:rsidR="004F0EBE" w:rsidRPr="00D518FF" w:rsidRDefault="004F0EBE" w:rsidP="00E07D97">
            <w:pPr>
              <w:rPr>
                <w:rFonts w:ascii="Aptos" w:hAnsi="Aptos" w:cs="Arial"/>
                <w:sz w:val="16"/>
                <w:szCs w:val="16"/>
              </w:rPr>
            </w:pPr>
            <w:r w:rsidRPr="00D518FF">
              <w:rPr>
                <w:rFonts w:ascii="Aptos" w:hAnsi="Aptos" w:cs="Arial"/>
                <w:sz w:val="16"/>
                <w:szCs w:val="16"/>
              </w:rPr>
              <w:t xml:space="preserve">no significant differences in terms of </w:t>
            </w:r>
            <w:r w:rsidR="0079009A">
              <w:rPr>
                <w:rFonts w:ascii="Aptos" w:hAnsi="Aptos" w:cs="Arial"/>
                <w:sz w:val="16"/>
                <w:szCs w:val="16"/>
              </w:rPr>
              <w:t>U</w:t>
            </w:r>
            <w:r w:rsidRPr="00D518FF">
              <w:rPr>
                <w:rFonts w:ascii="Aptos" w:hAnsi="Aptos" w:cs="Arial"/>
                <w:sz w:val="16"/>
                <w:szCs w:val="16"/>
              </w:rPr>
              <w:t>RTI episodes</w:t>
            </w:r>
          </w:p>
        </w:tc>
        <w:tc>
          <w:tcPr>
            <w:tcW w:w="1276" w:type="dxa"/>
            <w:vMerge w:val="restart"/>
          </w:tcPr>
          <w:p w14:paraId="2B94E634" w14:textId="51787FD3" w:rsidR="004F0EBE" w:rsidRPr="00D518FF" w:rsidRDefault="004F0EBE" w:rsidP="00E07D97">
            <w:pPr>
              <w:rPr>
                <w:rFonts w:ascii="Aptos" w:hAnsi="Aptos" w:cs="Arial"/>
                <w:sz w:val="16"/>
                <w:szCs w:val="16"/>
              </w:rPr>
            </w:pPr>
            <w:r w:rsidRPr="00D518FF">
              <w:rPr>
                <w:rFonts w:ascii="Aptos" w:hAnsi="Aptos" w:cs="Arial"/>
                <w:sz w:val="16"/>
                <w:szCs w:val="16"/>
              </w:rPr>
              <w:t xml:space="preserve">Moderate </w:t>
            </w:r>
            <w:r>
              <w:rPr>
                <w:rFonts w:ascii="Aptos" w:hAnsi="Aptos" w:cs="Arial"/>
                <w:sz w:val="16"/>
                <w:szCs w:val="16"/>
              </w:rPr>
              <w:t>risk of bias overall</w:t>
            </w:r>
            <w:r w:rsidRPr="00D518FF">
              <w:rPr>
                <w:rFonts w:ascii="Aptos" w:hAnsi="Aptos" w:cs="Arial"/>
                <w:sz w:val="16"/>
                <w:szCs w:val="16"/>
              </w:rPr>
              <w:t xml:space="preserve">, study with critical </w:t>
            </w:r>
            <w:r w:rsidR="007637E9">
              <w:rPr>
                <w:rFonts w:ascii="Aptos" w:hAnsi="Aptos" w:cs="Arial"/>
                <w:sz w:val="16"/>
                <w:szCs w:val="16"/>
              </w:rPr>
              <w:t>risk of bias</w:t>
            </w:r>
            <w:r w:rsidRPr="00D518FF">
              <w:rPr>
                <w:rFonts w:ascii="Aptos" w:hAnsi="Aptos" w:cs="Arial"/>
                <w:sz w:val="16"/>
                <w:szCs w:val="16"/>
              </w:rPr>
              <w:t xml:space="preserve"> excluded</w:t>
            </w:r>
            <w:r>
              <w:rPr>
                <w:rFonts w:ascii="Aptos" w:hAnsi="Aptos" w:cs="Arial"/>
                <w:sz w:val="16"/>
                <w:szCs w:val="16"/>
              </w:rPr>
              <w:t>.</w:t>
            </w:r>
          </w:p>
        </w:tc>
        <w:tc>
          <w:tcPr>
            <w:tcW w:w="1067" w:type="dxa"/>
          </w:tcPr>
          <w:p w14:paraId="0A50259F" w14:textId="286ACA21" w:rsidR="004F0EBE" w:rsidRPr="00D518FF" w:rsidRDefault="008672BE" w:rsidP="00E07D97">
            <w:pPr>
              <w:rPr>
                <w:rFonts w:ascii="Aptos" w:hAnsi="Aptos" w:cs="Arial"/>
                <w:sz w:val="16"/>
                <w:szCs w:val="16"/>
              </w:rPr>
            </w:pPr>
            <w:r>
              <w:rPr>
                <w:rFonts w:ascii="Aptos" w:hAnsi="Aptos" w:cs="Arial"/>
                <w:sz w:val="16"/>
                <w:szCs w:val="16"/>
              </w:rPr>
              <w:t>Unclear risk</w:t>
            </w:r>
          </w:p>
        </w:tc>
      </w:tr>
      <w:tr w:rsidR="008672BE" w:rsidRPr="00D518FF" w14:paraId="3BDFE862" w14:textId="77777777" w:rsidTr="00F614C8">
        <w:trPr>
          <w:trHeight w:val="307"/>
        </w:trPr>
        <w:tc>
          <w:tcPr>
            <w:tcW w:w="661" w:type="dxa"/>
          </w:tcPr>
          <w:p w14:paraId="42A30DD5" w14:textId="77777777" w:rsidR="008672BE" w:rsidRPr="00D518FF" w:rsidRDefault="008672BE" w:rsidP="008672BE">
            <w:pPr>
              <w:rPr>
                <w:rFonts w:ascii="Aptos" w:hAnsi="Aptos" w:cs="Arial"/>
                <w:sz w:val="16"/>
                <w:szCs w:val="16"/>
              </w:rPr>
            </w:pPr>
            <w:r w:rsidRPr="00D518FF">
              <w:rPr>
                <w:rFonts w:ascii="Aptos" w:hAnsi="Aptos" w:cs="Arial"/>
                <w:sz w:val="16"/>
                <w:szCs w:val="16"/>
              </w:rPr>
              <w:t>Manikam 2016</w:t>
            </w:r>
          </w:p>
        </w:tc>
        <w:tc>
          <w:tcPr>
            <w:tcW w:w="702" w:type="dxa"/>
          </w:tcPr>
          <w:p w14:paraId="04567DC6" w14:textId="77777777" w:rsidR="008672BE" w:rsidRPr="00D518FF" w:rsidRDefault="008672BE" w:rsidP="008672BE">
            <w:pPr>
              <w:rPr>
                <w:rFonts w:ascii="Aptos" w:hAnsi="Aptos" w:cs="Arial"/>
                <w:sz w:val="16"/>
                <w:szCs w:val="16"/>
              </w:rPr>
            </w:pPr>
            <w:r w:rsidRPr="00D518FF">
              <w:rPr>
                <w:rFonts w:ascii="Aptos" w:hAnsi="Aptos" w:cs="Arial"/>
                <w:sz w:val="16"/>
                <w:szCs w:val="16"/>
              </w:rPr>
              <w:t>5</w:t>
            </w:r>
          </w:p>
        </w:tc>
        <w:tc>
          <w:tcPr>
            <w:tcW w:w="818" w:type="dxa"/>
          </w:tcPr>
          <w:p w14:paraId="0523BCCC" w14:textId="06F950BE" w:rsidR="008672BE" w:rsidRPr="00D518FF" w:rsidRDefault="008672BE" w:rsidP="008672BE">
            <w:pPr>
              <w:rPr>
                <w:rFonts w:ascii="Aptos" w:hAnsi="Aptos" w:cs="Arial"/>
                <w:sz w:val="16"/>
                <w:szCs w:val="16"/>
              </w:rPr>
            </w:pPr>
            <w:r>
              <w:rPr>
                <w:rFonts w:ascii="Aptos" w:hAnsi="Aptos" w:cs="Arial"/>
                <w:sz w:val="16"/>
                <w:szCs w:val="16"/>
              </w:rPr>
              <w:t>At-risk of condition</w:t>
            </w:r>
          </w:p>
        </w:tc>
        <w:tc>
          <w:tcPr>
            <w:tcW w:w="818" w:type="dxa"/>
          </w:tcPr>
          <w:p w14:paraId="470E8380" w14:textId="77777777" w:rsidR="008672BE" w:rsidRPr="00D518FF" w:rsidRDefault="008672BE" w:rsidP="008672BE">
            <w:pPr>
              <w:rPr>
                <w:rFonts w:ascii="Aptos" w:hAnsi="Aptos" w:cs="Arial"/>
                <w:sz w:val="16"/>
                <w:szCs w:val="16"/>
              </w:rPr>
            </w:pPr>
            <w:r w:rsidRPr="00D518FF">
              <w:rPr>
                <w:rFonts w:ascii="Aptos" w:hAnsi="Aptos" w:cs="Arial"/>
                <w:sz w:val="16"/>
                <w:szCs w:val="16"/>
              </w:rPr>
              <w:t>Children with Down’s syndrome</w:t>
            </w:r>
          </w:p>
        </w:tc>
        <w:tc>
          <w:tcPr>
            <w:tcW w:w="1178" w:type="dxa"/>
          </w:tcPr>
          <w:p w14:paraId="12D7917B" w14:textId="10E7D13C" w:rsidR="008672BE" w:rsidRPr="00D518FF" w:rsidRDefault="008672BE" w:rsidP="008672BE">
            <w:pPr>
              <w:rPr>
                <w:rFonts w:ascii="Aptos" w:hAnsi="Aptos" w:cs="Arial"/>
                <w:sz w:val="16"/>
                <w:szCs w:val="16"/>
              </w:rPr>
            </w:pPr>
            <w:r w:rsidRPr="00D518FF">
              <w:rPr>
                <w:rFonts w:ascii="Aptos" w:hAnsi="Aptos" w:cs="Arial"/>
                <w:sz w:val="16"/>
                <w:szCs w:val="16"/>
              </w:rPr>
              <w:t>Eligible supplement VS placebo/inactive control</w:t>
            </w:r>
          </w:p>
        </w:tc>
        <w:tc>
          <w:tcPr>
            <w:tcW w:w="1914" w:type="dxa"/>
          </w:tcPr>
          <w:p w14:paraId="72F4D633" w14:textId="599A08B3" w:rsidR="008672BE" w:rsidRPr="00D518FF" w:rsidRDefault="008672BE" w:rsidP="008672BE">
            <w:pPr>
              <w:rPr>
                <w:rFonts w:ascii="Aptos" w:hAnsi="Aptos" w:cs="Arial"/>
                <w:sz w:val="16"/>
                <w:szCs w:val="16"/>
              </w:rPr>
            </w:pPr>
            <w:r w:rsidRPr="00D518FF">
              <w:rPr>
                <w:rFonts w:ascii="Aptos" w:hAnsi="Aptos" w:cs="Arial"/>
                <w:sz w:val="16"/>
                <w:szCs w:val="16"/>
              </w:rPr>
              <w:t>Zinc sulfate 25mg/d for 1–9 yr and 50 mg/d for older children for 6 mo</w:t>
            </w:r>
            <w:r>
              <w:rPr>
                <w:rFonts w:ascii="Aptos" w:hAnsi="Aptos" w:cs="Arial"/>
                <w:sz w:val="16"/>
                <w:szCs w:val="16"/>
              </w:rPr>
              <w:t>nths</w:t>
            </w:r>
          </w:p>
        </w:tc>
        <w:tc>
          <w:tcPr>
            <w:tcW w:w="850" w:type="dxa"/>
          </w:tcPr>
          <w:p w14:paraId="35CA5D69" w14:textId="77777777" w:rsidR="008672BE" w:rsidRPr="00D518FF" w:rsidRDefault="008672BE" w:rsidP="008672BE">
            <w:pPr>
              <w:rPr>
                <w:rFonts w:ascii="Aptos" w:hAnsi="Aptos" w:cs="Arial"/>
                <w:sz w:val="16"/>
                <w:szCs w:val="16"/>
              </w:rPr>
            </w:pPr>
            <w:r w:rsidRPr="00D518FF">
              <w:rPr>
                <w:rFonts w:ascii="Aptos" w:hAnsi="Aptos" w:cs="Arial"/>
                <w:sz w:val="16"/>
                <w:szCs w:val="16"/>
              </w:rPr>
              <w:t>placebo</w:t>
            </w:r>
          </w:p>
        </w:tc>
        <w:tc>
          <w:tcPr>
            <w:tcW w:w="709" w:type="dxa"/>
          </w:tcPr>
          <w:p w14:paraId="2F6E5ACA" w14:textId="77777777" w:rsidR="008672BE" w:rsidRPr="00D518FF" w:rsidRDefault="008672BE" w:rsidP="008672BE">
            <w:pPr>
              <w:rPr>
                <w:rFonts w:ascii="Aptos" w:hAnsi="Aptos" w:cs="Arial"/>
                <w:sz w:val="16"/>
                <w:szCs w:val="16"/>
              </w:rPr>
            </w:pPr>
            <w:r w:rsidRPr="00D518FF">
              <w:rPr>
                <w:rFonts w:ascii="Aptos" w:hAnsi="Aptos" w:cs="Arial"/>
                <w:sz w:val="16"/>
                <w:szCs w:val="16"/>
              </w:rPr>
              <w:t>1</w:t>
            </w:r>
          </w:p>
        </w:tc>
        <w:tc>
          <w:tcPr>
            <w:tcW w:w="850" w:type="dxa"/>
          </w:tcPr>
          <w:p w14:paraId="379DC276" w14:textId="77777777" w:rsidR="008672BE" w:rsidRPr="00D518FF" w:rsidRDefault="008672BE" w:rsidP="008672BE">
            <w:pPr>
              <w:rPr>
                <w:rFonts w:ascii="Aptos" w:hAnsi="Aptos" w:cs="Arial"/>
                <w:sz w:val="16"/>
                <w:szCs w:val="16"/>
              </w:rPr>
            </w:pPr>
            <w:r w:rsidRPr="00D518FF">
              <w:rPr>
                <w:rFonts w:ascii="Aptos" w:hAnsi="Aptos" w:cs="Arial"/>
                <w:sz w:val="16"/>
                <w:szCs w:val="16"/>
              </w:rPr>
              <w:t>64</w:t>
            </w:r>
          </w:p>
        </w:tc>
        <w:tc>
          <w:tcPr>
            <w:tcW w:w="1418" w:type="dxa"/>
          </w:tcPr>
          <w:p w14:paraId="3A3A02DB" w14:textId="70078887" w:rsidR="008672BE" w:rsidRPr="00D518FF" w:rsidRDefault="0079009A" w:rsidP="008672BE">
            <w:pPr>
              <w:rPr>
                <w:rFonts w:ascii="Aptos" w:hAnsi="Aptos" w:cs="Arial"/>
                <w:sz w:val="16"/>
                <w:szCs w:val="16"/>
              </w:rPr>
            </w:pPr>
            <w:r>
              <w:rPr>
                <w:rFonts w:ascii="Aptos" w:hAnsi="Aptos" w:cs="Arial"/>
                <w:sz w:val="16"/>
                <w:szCs w:val="16"/>
              </w:rPr>
              <w:t>A</w:t>
            </w:r>
            <w:r w:rsidR="008672BE" w:rsidRPr="00D518FF">
              <w:rPr>
                <w:rFonts w:ascii="Aptos" w:hAnsi="Aptos" w:cs="Arial"/>
                <w:sz w:val="16"/>
                <w:szCs w:val="16"/>
              </w:rPr>
              <w:t xml:space="preserve">ntibiotic use </w:t>
            </w:r>
          </w:p>
        </w:tc>
        <w:tc>
          <w:tcPr>
            <w:tcW w:w="850" w:type="dxa"/>
          </w:tcPr>
          <w:p w14:paraId="5E8C6B2A" w14:textId="77777777" w:rsidR="008672BE" w:rsidRPr="00D518FF" w:rsidRDefault="008672BE" w:rsidP="008672BE">
            <w:pPr>
              <w:rPr>
                <w:rFonts w:ascii="Aptos" w:hAnsi="Aptos" w:cs="Arial"/>
                <w:sz w:val="16"/>
                <w:szCs w:val="16"/>
              </w:rPr>
            </w:pPr>
          </w:p>
        </w:tc>
        <w:tc>
          <w:tcPr>
            <w:tcW w:w="1134" w:type="dxa"/>
          </w:tcPr>
          <w:p w14:paraId="4BF821C5" w14:textId="77777777" w:rsidR="008672BE" w:rsidRPr="00D518FF" w:rsidRDefault="008672BE" w:rsidP="008672BE">
            <w:pPr>
              <w:rPr>
                <w:rFonts w:ascii="Aptos" w:hAnsi="Aptos" w:cs="Arial"/>
                <w:sz w:val="16"/>
                <w:szCs w:val="16"/>
              </w:rPr>
            </w:pPr>
            <w:r w:rsidRPr="00D518FF">
              <w:rPr>
                <w:rFonts w:ascii="Aptos" w:hAnsi="Aptos" w:cs="Arial"/>
                <w:sz w:val="16"/>
                <w:szCs w:val="16"/>
              </w:rPr>
              <w:t>no significant differences in terms of antibiotic use</w:t>
            </w:r>
          </w:p>
        </w:tc>
        <w:tc>
          <w:tcPr>
            <w:tcW w:w="1276" w:type="dxa"/>
            <w:vMerge/>
          </w:tcPr>
          <w:p w14:paraId="0934518B" w14:textId="77777777" w:rsidR="008672BE" w:rsidRPr="00D518FF" w:rsidRDefault="008672BE" w:rsidP="008672BE">
            <w:pPr>
              <w:rPr>
                <w:rFonts w:ascii="Aptos" w:hAnsi="Aptos" w:cs="Arial"/>
                <w:sz w:val="16"/>
                <w:szCs w:val="16"/>
              </w:rPr>
            </w:pPr>
          </w:p>
        </w:tc>
        <w:tc>
          <w:tcPr>
            <w:tcW w:w="1067" w:type="dxa"/>
          </w:tcPr>
          <w:p w14:paraId="37290635" w14:textId="1D935F60" w:rsidR="008672BE" w:rsidRPr="00D518FF" w:rsidRDefault="008672BE" w:rsidP="008672BE">
            <w:pPr>
              <w:rPr>
                <w:rFonts w:ascii="Aptos" w:hAnsi="Aptos" w:cs="Arial"/>
                <w:sz w:val="16"/>
                <w:szCs w:val="16"/>
              </w:rPr>
            </w:pPr>
            <w:r>
              <w:rPr>
                <w:rFonts w:ascii="Aptos" w:hAnsi="Aptos" w:cs="Arial"/>
                <w:sz w:val="16"/>
                <w:szCs w:val="16"/>
              </w:rPr>
              <w:t>Unclear risk</w:t>
            </w:r>
          </w:p>
        </w:tc>
      </w:tr>
    </w:tbl>
    <w:p w14:paraId="17E2DC3C" w14:textId="1A9CB1A5" w:rsidR="009E4D3F" w:rsidRPr="007637E9"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 xml:space="preserve">Abbreviations: </w:t>
      </w:r>
      <w:r w:rsidR="007637E9" w:rsidRPr="007637E9">
        <w:rPr>
          <w:rFonts w:ascii="Aptos" w:hAnsi="Aptos"/>
          <w:b w:val="0"/>
          <w:bCs w:val="0"/>
          <w:sz w:val="16"/>
          <w:szCs w:val="16"/>
        </w:rPr>
        <w:t xml:space="preserve">AOM=acute otitis media; </w:t>
      </w:r>
      <w:r w:rsidR="0079009A">
        <w:rPr>
          <w:rFonts w:ascii="Aptos" w:hAnsi="Aptos"/>
          <w:b w:val="0"/>
          <w:bCs w:val="0"/>
          <w:sz w:val="16"/>
          <w:szCs w:val="16"/>
        </w:rPr>
        <w:t>CI=confidence interval; FEV1=</w:t>
      </w:r>
      <w:r w:rsidR="0079009A" w:rsidRPr="0079009A">
        <w:rPr>
          <w:rFonts w:ascii="Aptos" w:hAnsi="Aptos"/>
          <w:b w:val="0"/>
          <w:bCs w:val="0"/>
          <w:sz w:val="16"/>
          <w:szCs w:val="16"/>
        </w:rPr>
        <w:t xml:space="preserve">Forced expiratory volume; IQR=interquartile range; </w:t>
      </w:r>
      <w:r w:rsidR="0079009A">
        <w:rPr>
          <w:rFonts w:ascii="Aptos" w:hAnsi="Aptos"/>
          <w:b w:val="0"/>
          <w:bCs w:val="0"/>
          <w:sz w:val="16"/>
          <w:szCs w:val="16"/>
        </w:rPr>
        <w:t>IV=intravenous;</w:t>
      </w:r>
      <w:r w:rsidR="0079009A" w:rsidRPr="0079009A">
        <w:rPr>
          <w:rFonts w:ascii="Aptos" w:hAnsi="Aptos"/>
          <w:b w:val="0"/>
          <w:bCs w:val="0"/>
          <w:sz w:val="16"/>
          <w:szCs w:val="16"/>
        </w:rPr>
        <w:t xml:space="preserve"> </w:t>
      </w:r>
      <w:r w:rsidR="0079009A">
        <w:rPr>
          <w:rFonts w:ascii="Aptos" w:hAnsi="Aptos"/>
          <w:b w:val="0"/>
          <w:bCs w:val="0"/>
          <w:sz w:val="16"/>
          <w:szCs w:val="16"/>
        </w:rPr>
        <w:t xml:space="preserve">MD=mean difference; RR=relative risk; </w:t>
      </w:r>
      <w:r w:rsidR="0079009A" w:rsidRPr="007637E9">
        <w:rPr>
          <w:rFonts w:ascii="Aptos" w:hAnsi="Aptos"/>
          <w:b w:val="0"/>
          <w:bCs w:val="0"/>
          <w:sz w:val="16"/>
          <w:szCs w:val="16"/>
        </w:rPr>
        <w:t>URTI=upper respiratory tract infection;</w:t>
      </w:r>
    </w:p>
    <w:p w14:paraId="75279B19" w14:textId="77777777" w:rsidR="009E4D3F" w:rsidRPr="00D518FF" w:rsidRDefault="009E4D3F" w:rsidP="00AA72BD">
      <w:pPr>
        <w:pStyle w:val="Caption1"/>
        <w:spacing w:before="0" w:after="0"/>
        <w:rPr>
          <w:rFonts w:ascii="Aptos" w:hAnsi="Aptos"/>
          <w:b w:val="0"/>
          <w:bCs w:val="0"/>
          <w:sz w:val="16"/>
          <w:szCs w:val="16"/>
        </w:rPr>
      </w:pPr>
    </w:p>
    <w:p w14:paraId="0B75FBDB"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484BB815" w14:textId="77777777" w:rsidR="009E4D3F" w:rsidRPr="00D518FF" w:rsidRDefault="009E4D3F" w:rsidP="00007084">
      <w:pPr>
        <w:pStyle w:val="ListParagraph"/>
        <w:numPr>
          <w:ilvl w:val="0"/>
          <w:numId w:val="5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Overall control of disease (recurrence)</w:t>
      </w:r>
    </w:p>
    <w:p w14:paraId="1BE1C7F6" w14:textId="77777777" w:rsidR="009E4D3F" w:rsidRPr="00D518FF" w:rsidRDefault="009E4D3F" w:rsidP="00007084">
      <w:pPr>
        <w:pStyle w:val="ListParagraph"/>
        <w:numPr>
          <w:ilvl w:val="0"/>
          <w:numId w:val="5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Overall severity of symptoms</w:t>
      </w:r>
    </w:p>
    <w:p w14:paraId="3FC0E309" w14:textId="77777777" w:rsidR="009E4D3F" w:rsidRPr="00D518FF" w:rsidRDefault="009E4D3F" w:rsidP="00007084">
      <w:pPr>
        <w:pStyle w:val="ListParagraph"/>
        <w:numPr>
          <w:ilvl w:val="0"/>
          <w:numId w:val="5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Time (days) from initiation of treatment to resolution of symptoms</w:t>
      </w:r>
    </w:p>
    <w:p w14:paraId="65D2B2B9" w14:textId="77777777" w:rsidR="009E4D3F" w:rsidRPr="00D518FF" w:rsidRDefault="009E4D3F" w:rsidP="00007084">
      <w:pPr>
        <w:pStyle w:val="ListParagraph"/>
        <w:numPr>
          <w:ilvl w:val="0"/>
          <w:numId w:val="5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5F1F56F8" w14:textId="77777777" w:rsidR="009E4D3F" w:rsidRPr="00D518FF" w:rsidRDefault="009E4D3F" w:rsidP="00007084">
      <w:pPr>
        <w:pStyle w:val="ListParagraph"/>
        <w:numPr>
          <w:ilvl w:val="0"/>
          <w:numId w:val="5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Use of acute and prophylactic antibiotics for conditions where antibiotics are indicated</w:t>
      </w:r>
    </w:p>
    <w:p w14:paraId="50585A49" w14:textId="77777777" w:rsidR="009E4D3F" w:rsidRDefault="009E4D3F" w:rsidP="00007084">
      <w:pPr>
        <w:pStyle w:val="ListParagraph"/>
        <w:numPr>
          <w:ilvl w:val="0"/>
          <w:numId w:val="5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Duration of hospital stay</w:t>
      </w:r>
    </w:p>
    <w:p w14:paraId="212F6B85" w14:textId="77777777" w:rsidR="00007084" w:rsidRPr="00007084" w:rsidRDefault="00007084" w:rsidP="00007084">
      <w:pPr>
        <w:ind w:left="360"/>
        <w:rPr>
          <w:rFonts w:ascii="Aptos" w:hAnsi="Aptos" w:cs="Arial"/>
          <w:color w:val="000000" w:themeColor="text1"/>
          <w:sz w:val="16"/>
          <w:szCs w:val="16"/>
        </w:rPr>
      </w:pPr>
    </w:p>
    <w:p w14:paraId="2C049C50" w14:textId="5843573F" w:rsidR="00756151" w:rsidRPr="00007084" w:rsidRDefault="00491D48" w:rsidP="00007084">
      <w:pPr>
        <w:pStyle w:val="2024TABLEFOOTER"/>
        <w:spacing w:line="240" w:lineRule="auto"/>
        <w:rPr>
          <w:rStyle w:val="Heading1Char"/>
          <w:rFonts w:ascii="Aptos" w:eastAsia="Calibri" w:hAnsi="Aptos" w:cs="Times New Roman"/>
          <w:bCs w:val="0"/>
          <w:color w:val="auto"/>
          <w:sz w:val="20"/>
          <w:szCs w:val="20"/>
        </w:rPr>
      </w:pPr>
      <w:r>
        <w:rPr>
          <w:sz w:val="20"/>
          <w:szCs w:val="20"/>
        </w:rPr>
        <w:t xml:space="preserve">For </w:t>
      </w:r>
      <w:r w:rsidR="006C209E">
        <w:rPr>
          <w:sz w:val="20"/>
          <w:szCs w:val="20"/>
        </w:rPr>
        <w:t>recurrent infections</w:t>
      </w:r>
      <w:r>
        <w:rPr>
          <w:sz w:val="20"/>
          <w:szCs w:val="20"/>
        </w:rPr>
        <w:t xml:space="preserve"> all included reviews were preferred reviews. </w:t>
      </w:r>
    </w:p>
    <w:p w14:paraId="688C7577" w14:textId="67A1625E" w:rsidR="009E4D3F" w:rsidRPr="00B53559" w:rsidRDefault="009E4D3F" w:rsidP="00B53559">
      <w:pPr>
        <w:pStyle w:val="heading2numbers"/>
        <w:rPr>
          <w:rStyle w:val="Heading1Char"/>
          <w:rFonts w:ascii="Aptos" w:eastAsia="Calibri" w:hAnsi="Aptos"/>
          <w:bCs w:val="0"/>
          <w:color w:val="C00000"/>
          <w:sz w:val="28"/>
          <w:szCs w:val="26"/>
        </w:rPr>
      </w:pPr>
      <w:bookmarkStart w:id="213" w:name="_Toc185254674"/>
      <w:r w:rsidRPr="00B53559">
        <w:rPr>
          <w:rStyle w:val="Heading1Char"/>
          <w:rFonts w:ascii="Aptos" w:eastAsia="Calibri" w:hAnsi="Aptos"/>
          <w:bCs w:val="0"/>
          <w:color w:val="C00000"/>
          <w:sz w:val="28"/>
          <w:szCs w:val="26"/>
        </w:rPr>
        <w:t>Diabetes (Type II) (including metabolic syndrome), antioxidants (specifically coq10 and alpha-lipoic acid)</w:t>
      </w:r>
      <w:bookmarkEnd w:id="213"/>
    </w:p>
    <w:p w14:paraId="326A223B" w14:textId="44CB2DB1" w:rsidR="006C209E" w:rsidRPr="00D518FF" w:rsidRDefault="00834CBC" w:rsidP="00F614C8">
      <w:pPr>
        <w:pStyle w:val="Caption"/>
        <w:spacing w:before="240"/>
        <w:rPr>
          <w:rFonts w:ascii="Aptos" w:hAnsi="Aptos"/>
        </w:rPr>
      </w:pPr>
      <w:bookmarkStart w:id="214" w:name="_Toc185254591"/>
      <w:r w:rsidRPr="00F614C8">
        <w:rPr>
          <w:rFonts w:ascii="Aptos" w:hAnsi="Aptos"/>
        </w:rPr>
        <w:t xml:space="preserve">Table </w:t>
      </w:r>
      <w:r w:rsidR="00DC4767" w:rsidRPr="00F614C8">
        <w:rPr>
          <w:rFonts w:ascii="Aptos" w:hAnsi="Aptos"/>
        </w:rPr>
        <w:fldChar w:fldCharType="begin" w:fldLock="1"/>
      </w:r>
      <w:r w:rsidR="00DC4767" w:rsidRPr="00F614C8">
        <w:rPr>
          <w:rFonts w:ascii="Aptos" w:hAnsi="Aptos"/>
        </w:rPr>
        <w:instrText xml:space="preserve"> STYLEREF 1 \s </w:instrText>
      </w:r>
      <w:r w:rsidR="00DC4767" w:rsidRPr="00F614C8">
        <w:rPr>
          <w:rFonts w:ascii="Aptos" w:hAnsi="Aptos"/>
        </w:rPr>
        <w:fldChar w:fldCharType="separate"/>
      </w:r>
      <w:r w:rsidR="00DC4767" w:rsidRPr="00F614C8">
        <w:rPr>
          <w:rFonts w:ascii="Aptos" w:hAnsi="Aptos"/>
        </w:rPr>
        <w:t>E</w:t>
      </w:r>
      <w:r w:rsidR="00DC4767" w:rsidRPr="00F614C8">
        <w:rPr>
          <w:rFonts w:ascii="Aptos" w:hAnsi="Aptos"/>
        </w:rPr>
        <w:fldChar w:fldCharType="end"/>
      </w:r>
      <w:r w:rsidR="00DC4767" w:rsidRPr="00F614C8">
        <w:rPr>
          <w:rFonts w:ascii="Aptos" w:hAnsi="Aptos"/>
        </w:rPr>
        <w:noBreakHyphen/>
      </w:r>
      <w:r w:rsidR="003B0594" w:rsidRPr="00F614C8">
        <w:rPr>
          <w:rFonts w:ascii="Aptos" w:hAnsi="Aptos"/>
        </w:rPr>
        <w:fldChar w:fldCharType="begin"/>
      </w:r>
      <w:r w:rsidR="003B0594" w:rsidRPr="00F614C8">
        <w:rPr>
          <w:rFonts w:ascii="Aptos" w:hAnsi="Aptos"/>
        </w:rPr>
        <w:instrText xml:space="preserve"> SEQ Table \* ARABIC \s 1 </w:instrText>
      </w:r>
      <w:r w:rsidR="003B0594" w:rsidRPr="00F614C8">
        <w:rPr>
          <w:rFonts w:ascii="Aptos" w:hAnsi="Aptos"/>
        </w:rPr>
        <w:fldChar w:fldCharType="separate"/>
      </w:r>
      <w:r w:rsidR="00C426C6">
        <w:rPr>
          <w:rFonts w:ascii="Aptos" w:hAnsi="Aptos"/>
          <w:noProof/>
        </w:rPr>
        <w:t>19</w:t>
      </w:r>
      <w:r w:rsidR="003B0594" w:rsidRPr="00F614C8">
        <w:rPr>
          <w:rFonts w:ascii="Aptos" w:hAnsi="Aptos"/>
        </w:rPr>
        <w:fldChar w:fldCharType="end"/>
      </w:r>
      <w:r w:rsidR="009E4D3F" w:rsidRPr="00D518FF">
        <w:rPr>
          <w:rFonts w:ascii="Aptos" w:hAnsi="Aptos"/>
        </w:rPr>
        <w:t xml:space="preserve">. Results of </w:t>
      </w:r>
      <w:r w:rsidR="00FD144B">
        <w:rPr>
          <w:rFonts w:ascii="Aptos" w:hAnsi="Aptos"/>
        </w:rPr>
        <w:t>preferred</w:t>
      </w:r>
      <w:r w:rsidR="009E4D3F" w:rsidRPr="00D518FF">
        <w:rPr>
          <w:rFonts w:ascii="Aptos" w:hAnsi="Aptos"/>
        </w:rPr>
        <w:t xml:space="preserve"> reviews by outcome domain – diabetes (Type li) (including metabolic syndrome), antioxidants (specifically coq10 and alpha-lipoic acid)</w:t>
      </w:r>
      <w:r>
        <w:rPr>
          <w:rFonts w:ascii="Aptos" w:hAnsi="Aptos"/>
        </w:rPr>
        <w:t>.</w:t>
      </w:r>
      <w:bookmarkEnd w:id="214"/>
    </w:p>
    <w:tbl>
      <w:tblPr>
        <w:tblStyle w:val="TableGrid"/>
        <w:tblW w:w="14029" w:type="dxa"/>
        <w:tblLayout w:type="fixed"/>
        <w:tblCellMar>
          <w:top w:w="28" w:type="dxa"/>
          <w:left w:w="57" w:type="dxa"/>
          <w:bottom w:w="28" w:type="dxa"/>
          <w:right w:w="0" w:type="dxa"/>
        </w:tblCellMar>
        <w:tblLook w:val="04A0" w:firstRow="1" w:lastRow="0" w:firstColumn="1" w:lastColumn="0" w:noHBand="0" w:noVBand="1"/>
      </w:tblPr>
      <w:tblGrid>
        <w:gridCol w:w="971"/>
        <w:gridCol w:w="875"/>
        <w:gridCol w:w="855"/>
        <w:gridCol w:w="1122"/>
        <w:gridCol w:w="1275"/>
        <w:gridCol w:w="1276"/>
        <w:gridCol w:w="1014"/>
        <w:gridCol w:w="774"/>
        <w:gridCol w:w="940"/>
        <w:gridCol w:w="1008"/>
        <w:gridCol w:w="950"/>
        <w:gridCol w:w="720"/>
        <w:gridCol w:w="1115"/>
        <w:gridCol w:w="1134"/>
      </w:tblGrid>
      <w:tr w:rsidR="006B5A09" w:rsidRPr="00D518FF" w14:paraId="437072FD" w14:textId="77777777" w:rsidTr="00F614C8">
        <w:trPr>
          <w:trHeight w:val="92"/>
        </w:trPr>
        <w:tc>
          <w:tcPr>
            <w:tcW w:w="971" w:type="dxa"/>
            <w:vMerge w:val="restart"/>
            <w:shd w:val="clear" w:color="auto" w:fill="D9D9D9" w:themeFill="background1" w:themeFillShade="D9"/>
          </w:tcPr>
          <w:p w14:paraId="2CAFF8D7"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Review ID</w:t>
            </w:r>
          </w:p>
        </w:tc>
        <w:tc>
          <w:tcPr>
            <w:tcW w:w="875" w:type="dxa"/>
            <w:vMerge w:val="restart"/>
            <w:shd w:val="clear" w:color="auto" w:fill="D9D9D9" w:themeFill="background1" w:themeFillShade="D9"/>
          </w:tcPr>
          <w:p w14:paraId="75EA2DEA"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Outcome domain</w:t>
            </w:r>
          </w:p>
        </w:tc>
        <w:tc>
          <w:tcPr>
            <w:tcW w:w="855" w:type="dxa"/>
            <w:vMerge w:val="restart"/>
            <w:shd w:val="clear" w:color="auto" w:fill="D9D9D9" w:themeFill="background1" w:themeFillShade="D9"/>
          </w:tcPr>
          <w:p w14:paraId="33F053BC"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Population group</w:t>
            </w:r>
          </w:p>
        </w:tc>
        <w:tc>
          <w:tcPr>
            <w:tcW w:w="1122" w:type="dxa"/>
            <w:vMerge w:val="restart"/>
            <w:shd w:val="clear" w:color="auto" w:fill="D9D9D9" w:themeFill="background1" w:themeFillShade="D9"/>
          </w:tcPr>
          <w:p w14:paraId="25C9122A"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Population details</w:t>
            </w:r>
          </w:p>
        </w:tc>
        <w:tc>
          <w:tcPr>
            <w:tcW w:w="1275" w:type="dxa"/>
            <w:vMerge w:val="restart"/>
            <w:shd w:val="clear" w:color="auto" w:fill="D9D9D9" w:themeFill="background1" w:themeFillShade="D9"/>
          </w:tcPr>
          <w:p w14:paraId="2DCA97F2"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Type of comparison</w:t>
            </w:r>
          </w:p>
        </w:tc>
        <w:tc>
          <w:tcPr>
            <w:tcW w:w="1276" w:type="dxa"/>
            <w:vMerge w:val="restart"/>
            <w:shd w:val="clear" w:color="auto" w:fill="D9D9D9" w:themeFill="background1" w:themeFillShade="D9"/>
          </w:tcPr>
          <w:p w14:paraId="5033EBB7"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Intervention description</w:t>
            </w:r>
          </w:p>
        </w:tc>
        <w:tc>
          <w:tcPr>
            <w:tcW w:w="1014" w:type="dxa"/>
            <w:vMerge w:val="restart"/>
            <w:shd w:val="clear" w:color="auto" w:fill="D9D9D9" w:themeFill="background1" w:themeFillShade="D9"/>
          </w:tcPr>
          <w:p w14:paraId="72E6AC49"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Comparator description</w:t>
            </w:r>
          </w:p>
        </w:tc>
        <w:tc>
          <w:tcPr>
            <w:tcW w:w="774" w:type="dxa"/>
            <w:vMerge w:val="restart"/>
            <w:shd w:val="clear" w:color="auto" w:fill="D9D9D9" w:themeFill="background1" w:themeFillShade="D9"/>
          </w:tcPr>
          <w:p w14:paraId="166C6070"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No/types of included studies</w:t>
            </w:r>
          </w:p>
        </w:tc>
        <w:tc>
          <w:tcPr>
            <w:tcW w:w="940" w:type="dxa"/>
            <w:vMerge w:val="restart"/>
            <w:shd w:val="clear" w:color="auto" w:fill="D9D9D9" w:themeFill="background1" w:themeFillShade="D9"/>
          </w:tcPr>
          <w:p w14:paraId="56BC5C2A"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No of participants (total)</w:t>
            </w:r>
          </w:p>
        </w:tc>
        <w:tc>
          <w:tcPr>
            <w:tcW w:w="1008" w:type="dxa"/>
            <w:vMerge w:val="restart"/>
            <w:shd w:val="clear" w:color="auto" w:fill="D9D9D9" w:themeFill="background1" w:themeFillShade="D9"/>
          </w:tcPr>
          <w:p w14:paraId="132888EF"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Outcome measure(s) used</w:t>
            </w:r>
          </w:p>
        </w:tc>
        <w:tc>
          <w:tcPr>
            <w:tcW w:w="2785" w:type="dxa"/>
            <w:gridSpan w:val="3"/>
            <w:shd w:val="clear" w:color="auto" w:fill="D9D9D9" w:themeFill="background1" w:themeFillShade="D9"/>
          </w:tcPr>
          <w:p w14:paraId="1519EBDA" w14:textId="27CABB91"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Results</w:t>
            </w:r>
          </w:p>
        </w:tc>
        <w:tc>
          <w:tcPr>
            <w:tcW w:w="1134" w:type="dxa"/>
            <w:vMerge w:val="restart"/>
            <w:shd w:val="clear" w:color="auto" w:fill="D9D9D9" w:themeFill="background1" w:themeFillShade="D9"/>
          </w:tcPr>
          <w:p w14:paraId="1E79D86C" w14:textId="77777777" w:rsidR="006B5A09" w:rsidRPr="00D518FF" w:rsidRDefault="006B5A09" w:rsidP="00CF6EDC">
            <w:pPr>
              <w:pStyle w:val="Caption1"/>
              <w:spacing w:before="0" w:after="0"/>
              <w:rPr>
                <w:rFonts w:ascii="Aptos" w:hAnsi="Aptos"/>
                <w:sz w:val="16"/>
                <w:szCs w:val="16"/>
              </w:rPr>
            </w:pPr>
            <w:r w:rsidRPr="00E77295">
              <w:rPr>
                <w:rFonts w:ascii="Aptos" w:hAnsi="Aptos"/>
                <w:sz w:val="16"/>
                <w:szCs w:val="16"/>
              </w:rPr>
              <w:t>ROBIS assessment (for the review overall)</w:t>
            </w:r>
          </w:p>
        </w:tc>
      </w:tr>
      <w:tr w:rsidR="006B5A09" w:rsidRPr="00D518FF" w14:paraId="5BEEF0E2" w14:textId="77777777" w:rsidTr="00F614C8">
        <w:trPr>
          <w:trHeight w:val="92"/>
        </w:trPr>
        <w:tc>
          <w:tcPr>
            <w:tcW w:w="971" w:type="dxa"/>
            <w:vMerge/>
            <w:shd w:val="clear" w:color="auto" w:fill="D9D9D9" w:themeFill="background1" w:themeFillShade="D9"/>
          </w:tcPr>
          <w:p w14:paraId="4BF81FE3" w14:textId="77777777" w:rsidR="006B5A09" w:rsidRPr="00D518FF" w:rsidRDefault="006B5A09" w:rsidP="00CF6EDC">
            <w:pPr>
              <w:pStyle w:val="Caption1"/>
              <w:spacing w:before="0" w:after="0"/>
              <w:rPr>
                <w:rFonts w:ascii="Aptos" w:hAnsi="Aptos"/>
                <w:sz w:val="16"/>
                <w:szCs w:val="16"/>
              </w:rPr>
            </w:pPr>
          </w:p>
        </w:tc>
        <w:tc>
          <w:tcPr>
            <w:tcW w:w="875" w:type="dxa"/>
            <w:vMerge/>
            <w:shd w:val="clear" w:color="auto" w:fill="D9D9D9" w:themeFill="background1" w:themeFillShade="D9"/>
          </w:tcPr>
          <w:p w14:paraId="08EC285A" w14:textId="77777777" w:rsidR="006B5A09" w:rsidRPr="00D518FF" w:rsidRDefault="006B5A09" w:rsidP="00CF6EDC">
            <w:pPr>
              <w:pStyle w:val="Caption1"/>
              <w:spacing w:before="0" w:after="0"/>
              <w:rPr>
                <w:rFonts w:ascii="Aptos" w:hAnsi="Aptos"/>
                <w:sz w:val="16"/>
                <w:szCs w:val="16"/>
              </w:rPr>
            </w:pPr>
          </w:p>
        </w:tc>
        <w:tc>
          <w:tcPr>
            <w:tcW w:w="855" w:type="dxa"/>
            <w:vMerge/>
            <w:shd w:val="clear" w:color="auto" w:fill="D9D9D9" w:themeFill="background1" w:themeFillShade="D9"/>
          </w:tcPr>
          <w:p w14:paraId="66D4B2D9" w14:textId="77777777" w:rsidR="006B5A09" w:rsidRPr="00D518FF" w:rsidRDefault="006B5A09" w:rsidP="00CF6EDC">
            <w:pPr>
              <w:pStyle w:val="Caption1"/>
              <w:spacing w:before="0" w:after="0"/>
              <w:rPr>
                <w:rFonts w:ascii="Aptos" w:hAnsi="Aptos"/>
                <w:sz w:val="16"/>
                <w:szCs w:val="16"/>
              </w:rPr>
            </w:pPr>
          </w:p>
        </w:tc>
        <w:tc>
          <w:tcPr>
            <w:tcW w:w="1122" w:type="dxa"/>
            <w:vMerge/>
            <w:shd w:val="clear" w:color="auto" w:fill="D9D9D9" w:themeFill="background1" w:themeFillShade="D9"/>
          </w:tcPr>
          <w:p w14:paraId="08DE2AD8" w14:textId="77777777" w:rsidR="006B5A09" w:rsidRPr="00D518FF" w:rsidRDefault="006B5A09" w:rsidP="00CF6EDC">
            <w:pPr>
              <w:pStyle w:val="Caption1"/>
              <w:spacing w:before="0" w:after="0"/>
              <w:rPr>
                <w:rFonts w:ascii="Aptos" w:hAnsi="Aptos"/>
                <w:sz w:val="16"/>
                <w:szCs w:val="16"/>
              </w:rPr>
            </w:pPr>
          </w:p>
        </w:tc>
        <w:tc>
          <w:tcPr>
            <w:tcW w:w="1275" w:type="dxa"/>
            <w:vMerge/>
            <w:shd w:val="clear" w:color="auto" w:fill="D9D9D9" w:themeFill="background1" w:themeFillShade="D9"/>
          </w:tcPr>
          <w:p w14:paraId="4E1E452F" w14:textId="77777777" w:rsidR="006B5A09" w:rsidRPr="00D518FF" w:rsidRDefault="006B5A09" w:rsidP="00CF6EDC">
            <w:pPr>
              <w:pStyle w:val="Caption1"/>
              <w:spacing w:before="0" w:after="0"/>
              <w:rPr>
                <w:rFonts w:ascii="Aptos" w:hAnsi="Aptos"/>
                <w:sz w:val="16"/>
                <w:szCs w:val="16"/>
              </w:rPr>
            </w:pPr>
          </w:p>
        </w:tc>
        <w:tc>
          <w:tcPr>
            <w:tcW w:w="1276" w:type="dxa"/>
            <w:vMerge/>
            <w:shd w:val="clear" w:color="auto" w:fill="D9D9D9" w:themeFill="background1" w:themeFillShade="D9"/>
          </w:tcPr>
          <w:p w14:paraId="7A50F60F" w14:textId="77777777" w:rsidR="006B5A09" w:rsidRPr="00D518FF" w:rsidRDefault="006B5A09" w:rsidP="00CF6EDC">
            <w:pPr>
              <w:pStyle w:val="Caption1"/>
              <w:spacing w:before="0" w:after="0"/>
              <w:rPr>
                <w:rFonts w:ascii="Aptos" w:hAnsi="Aptos"/>
                <w:sz w:val="16"/>
                <w:szCs w:val="16"/>
              </w:rPr>
            </w:pPr>
          </w:p>
        </w:tc>
        <w:tc>
          <w:tcPr>
            <w:tcW w:w="1014" w:type="dxa"/>
            <w:vMerge/>
            <w:shd w:val="clear" w:color="auto" w:fill="D9D9D9" w:themeFill="background1" w:themeFillShade="D9"/>
          </w:tcPr>
          <w:p w14:paraId="0EFCA36D" w14:textId="77777777" w:rsidR="006B5A09" w:rsidRPr="00D518FF" w:rsidRDefault="006B5A09" w:rsidP="00CF6EDC">
            <w:pPr>
              <w:pStyle w:val="Caption1"/>
              <w:spacing w:before="0" w:after="0"/>
              <w:rPr>
                <w:rFonts w:ascii="Aptos" w:hAnsi="Aptos"/>
                <w:sz w:val="16"/>
                <w:szCs w:val="16"/>
              </w:rPr>
            </w:pPr>
          </w:p>
        </w:tc>
        <w:tc>
          <w:tcPr>
            <w:tcW w:w="774" w:type="dxa"/>
            <w:vMerge/>
            <w:shd w:val="clear" w:color="auto" w:fill="D9D9D9" w:themeFill="background1" w:themeFillShade="D9"/>
          </w:tcPr>
          <w:p w14:paraId="0D163763" w14:textId="77777777" w:rsidR="006B5A09" w:rsidRPr="00D518FF" w:rsidRDefault="006B5A09" w:rsidP="00CF6EDC">
            <w:pPr>
              <w:pStyle w:val="Caption1"/>
              <w:spacing w:before="0" w:after="0"/>
              <w:rPr>
                <w:rFonts w:ascii="Aptos" w:hAnsi="Aptos"/>
                <w:sz w:val="16"/>
                <w:szCs w:val="16"/>
              </w:rPr>
            </w:pPr>
          </w:p>
        </w:tc>
        <w:tc>
          <w:tcPr>
            <w:tcW w:w="940" w:type="dxa"/>
            <w:vMerge/>
            <w:shd w:val="clear" w:color="auto" w:fill="D9D9D9" w:themeFill="background1" w:themeFillShade="D9"/>
          </w:tcPr>
          <w:p w14:paraId="28577994" w14:textId="77777777" w:rsidR="006B5A09" w:rsidRPr="00D518FF" w:rsidRDefault="006B5A09" w:rsidP="00CF6EDC">
            <w:pPr>
              <w:pStyle w:val="Caption1"/>
              <w:spacing w:before="0" w:after="0"/>
              <w:rPr>
                <w:rFonts w:ascii="Aptos" w:hAnsi="Aptos"/>
                <w:sz w:val="16"/>
                <w:szCs w:val="16"/>
              </w:rPr>
            </w:pPr>
          </w:p>
        </w:tc>
        <w:tc>
          <w:tcPr>
            <w:tcW w:w="1008" w:type="dxa"/>
            <w:vMerge/>
            <w:shd w:val="clear" w:color="auto" w:fill="D9D9D9" w:themeFill="background1" w:themeFillShade="D9"/>
          </w:tcPr>
          <w:p w14:paraId="3EDFE77A" w14:textId="77777777" w:rsidR="006B5A09" w:rsidRPr="00D518FF" w:rsidRDefault="006B5A09" w:rsidP="00CF6EDC">
            <w:pPr>
              <w:pStyle w:val="Caption1"/>
              <w:spacing w:before="0" w:after="0"/>
              <w:rPr>
                <w:rFonts w:ascii="Aptos" w:hAnsi="Aptos"/>
                <w:sz w:val="16"/>
                <w:szCs w:val="16"/>
              </w:rPr>
            </w:pPr>
          </w:p>
        </w:tc>
        <w:tc>
          <w:tcPr>
            <w:tcW w:w="950" w:type="dxa"/>
            <w:shd w:val="clear" w:color="auto" w:fill="D9D9D9" w:themeFill="background1" w:themeFillShade="D9"/>
          </w:tcPr>
          <w:p w14:paraId="2EBFFC74"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Relative effect (95% CI)</w:t>
            </w:r>
          </w:p>
        </w:tc>
        <w:tc>
          <w:tcPr>
            <w:tcW w:w="720" w:type="dxa"/>
            <w:shd w:val="clear" w:color="auto" w:fill="D9D9D9" w:themeFill="background1" w:themeFillShade="D9"/>
          </w:tcPr>
          <w:p w14:paraId="1644AC69" w14:textId="77777777" w:rsidR="006B5A09" w:rsidRPr="00D518FF" w:rsidRDefault="006B5A09" w:rsidP="00CF6EDC">
            <w:pPr>
              <w:pStyle w:val="Caption1"/>
              <w:spacing w:before="0" w:after="0"/>
              <w:rPr>
                <w:rFonts w:ascii="Aptos" w:hAnsi="Aptos"/>
                <w:sz w:val="16"/>
                <w:szCs w:val="16"/>
              </w:rPr>
            </w:pPr>
            <w:r w:rsidRPr="00D518FF">
              <w:rPr>
                <w:rFonts w:ascii="Aptos" w:hAnsi="Aptos"/>
                <w:sz w:val="16"/>
                <w:szCs w:val="16"/>
              </w:rPr>
              <w:t>Other reported results</w:t>
            </w:r>
          </w:p>
        </w:tc>
        <w:tc>
          <w:tcPr>
            <w:tcW w:w="1115" w:type="dxa"/>
            <w:shd w:val="clear" w:color="auto" w:fill="D9D9D9" w:themeFill="background1" w:themeFillShade="D9"/>
          </w:tcPr>
          <w:p w14:paraId="6396E972" w14:textId="77777777" w:rsidR="006B5A09" w:rsidRPr="00D518FF" w:rsidRDefault="006B5A09" w:rsidP="00CF6EDC">
            <w:pPr>
              <w:pStyle w:val="Caption1"/>
              <w:spacing w:before="0" w:after="0"/>
              <w:rPr>
                <w:rFonts w:ascii="Aptos" w:hAnsi="Aptos"/>
                <w:sz w:val="16"/>
                <w:szCs w:val="16"/>
              </w:rPr>
            </w:pPr>
            <w:r w:rsidRPr="006B5A09">
              <w:rPr>
                <w:rFonts w:ascii="Aptos" w:hAnsi="Aptos"/>
                <w:sz w:val="16"/>
                <w:szCs w:val="16"/>
              </w:rPr>
              <w:t>Risk of bias summary (primary studies)</w:t>
            </w:r>
          </w:p>
        </w:tc>
        <w:tc>
          <w:tcPr>
            <w:tcW w:w="1134" w:type="dxa"/>
            <w:vMerge/>
            <w:shd w:val="clear" w:color="auto" w:fill="D9D9D9" w:themeFill="background1" w:themeFillShade="D9"/>
          </w:tcPr>
          <w:p w14:paraId="2F86A82F" w14:textId="77777777" w:rsidR="006B5A09" w:rsidRPr="00D518FF" w:rsidRDefault="006B5A09" w:rsidP="00CF6EDC">
            <w:pPr>
              <w:pStyle w:val="Caption1"/>
              <w:spacing w:before="0" w:after="0"/>
              <w:rPr>
                <w:rFonts w:ascii="Aptos" w:hAnsi="Aptos"/>
                <w:sz w:val="16"/>
                <w:szCs w:val="16"/>
              </w:rPr>
            </w:pPr>
          </w:p>
        </w:tc>
      </w:tr>
      <w:tr w:rsidR="006B1408" w:rsidRPr="00D518FF" w14:paraId="032D95BB" w14:textId="77777777" w:rsidTr="00F614C8">
        <w:trPr>
          <w:trHeight w:val="196"/>
        </w:trPr>
        <w:tc>
          <w:tcPr>
            <w:tcW w:w="971" w:type="dxa"/>
          </w:tcPr>
          <w:p w14:paraId="648322A4" w14:textId="77777777" w:rsidR="006C209E" w:rsidRPr="00D518FF" w:rsidRDefault="006C209E" w:rsidP="00CF6EDC">
            <w:pPr>
              <w:rPr>
                <w:rFonts w:ascii="Aptos" w:hAnsi="Aptos"/>
                <w:sz w:val="16"/>
                <w:szCs w:val="16"/>
              </w:rPr>
            </w:pPr>
            <w:r w:rsidRPr="00D518FF">
              <w:rPr>
                <w:rFonts w:ascii="Aptos" w:hAnsi="Aptos"/>
                <w:sz w:val="16"/>
                <w:szCs w:val="16"/>
              </w:rPr>
              <w:t>Dludla 2020</w:t>
            </w:r>
          </w:p>
        </w:tc>
        <w:tc>
          <w:tcPr>
            <w:tcW w:w="875" w:type="dxa"/>
          </w:tcPr>
          <w:p w14:paraId="15D4E564" w14:textId="77777777" w:rsidR="006C209E" w:rsidRPr="00D518FF" w:rsidRDefault="006C209E" w:rsidP="00CF6EDC">
            <w:pPr>
              <w:rPr>
                <w:rFonts w:ascii="Aptos" w:hAnsi="Aptos"/>
                <w:sz w:val="16"/>
                <w:szCs w:val="16"/>
              </w:rPr>
            </w:pPr>
            <w:r w:rsidRPr="00D518FF">
              <w:rPr>
                <w:rFonts w:ascii="Aptos" w:hAnsi="Aptos"/>
                <w:sz w:val="16"/>
                <w:szCs w:val="16"/>
              </w:rPr>
              <w:t>1 - FBI</w:t>
            </w:r>
          </w:p>
        </w:tc>
        <w:tc>
          <w:tcPr>
            <w:tcW w:w="855" w:type="dxa"/>
          </w:tcPr>
          <w:p w14:paraId="2370F1D1"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3EF99327" w14:textId="77777777" w:rsidR="006C209E" w:rsidRPr="00D518FF" w:rsidRDefault="006C209E" w:rsidP="00CF6EDC">
            <w:pPr>
              <w:rPr>
                <w:rFonts w:ascii="Aptos" w:hAnsi="Aptos"/>
                <w:sz w:val="16"/>
                <w:szCs w:val="16"/>
              </w:rPr>
            </w:pPr>
            <w:r w:rsidRPr="00D518FF">
              <w:rPr>
                <w:rFonts w:ascii="Aptos" w:hAnsi="Aptos"/>
                <w:sz w:val="16"/>
                <w:szCs w:val="16"/>
              </w:rPr>
              <w:t>Adults (&gt;18 years) with diabetes or metabolic syndrome</w:t>
            </w:r>
          </w:p>
        </w:tc>
        <w:tc>
          <w:tcPr>
            <w:tcW w:w="1275" w:type="dxa"/>
          </w:tcPr>
          <w:p w14:paraId="078F09CD"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1577ADA8" w14:textId="6B2E50D0" w:rsidR="006C209E" w:rsidRPr="00D518FF" w:rsidRDefault="005220BE" w:rsidP="00CF6EDC">
            <w:pPr>
              <w:rPr>
                <w:rFonts w:ascii="Aptos" w:hAnsi="Aptos"/>
                <w:sz w:val="16"/>
                <w:szCs w:val="16"/>
              </w:rPr>
            </w:pPr>
            <w:r w:rsidRPr="00D518FF">
              <w:rPr>
                <w:rFonts w:ascii="Aptos" w:hAnsi="Aptos"/>
                <w:sz w:val="16"/>
                <w:szCs w:val="16"/>
              </w:rPr>
              <w:t>Co</w:t>
            </w:r>
            <w:r>
              <w:rPr>
                <w:rFonts w:ascii="Aptos" w:hAnsi="Aptos"/>
                <w:sz w:val="16"/>
                <w:szCs w:val="16"/>
              </w:rPr>
              <w:t>Q</w:t>
            </w:r>
            <w:r w:rsidRPr="00D518FF">
              <w:rPr>
                <w:rFonts w:ascii="Aptos" w:hAnsi="Aptos"/>
                <w:sz w:val="16"/>
                <w:szCs w:val="16"/>
              </w:rPr>
              <w:t>10</w:t>
            </w:r>
          </w:p>
        </w:tc>
        <w:tc>
          <w:tcPr>
            <w:tcW w:w="1014" w:type="dxa"/>
          </w:tcPr>
          <w:p w14:paraId="2B4DB1A4" w14:textId="77777777" w:rsidR="006C209E" w:rsidRPr="00D518FF" w:rsidRDefault="006C209E" w:rsidP="00CF6EDC">
            <w:pPr>
              <w:rPr>
                <w:rFonts w:ascii="Aptos" w:hAnsi="Aptos"/>
                <w:sz w:val="16"/>
                <w:szCs w:val="16"/>
              </w:rPr>
            </w:pPr>
            <w:r w:rsidRPr="00D518FF">
              <w:rPr>
                <w:rFonts w:ascii="Aptos" w:hAnsi="Aptos"/>
                <w:sz w:val="16"/>
                <w:szCs w:val="16"/>
              </w:rPr>
              <w:t>Placebo</w:t>
            </w:r>
          </w:p>
        </w:tc>
        <w:tc>
          <w:tcPr>
            <w:tcW w:w="774" w:type="dxa"/>
          </w:tcPr>
          <w:p w14:paraId="5EA4AF7A" w14:textId="77777777" w:rsidR="006C209E" w:rsidRPr="00D518FF" w:rsidRDefault="006C209E" w:rsidP="00CF6EDC">
            <w:pPr>
              <w:rPr>
                <w:rFonts w:ascii="Aptos" w:hAnsi="Aptos"/>
                <w:sz w:val="16"/>
                <w:szCs w:val="16"/>
              </w:rPr>
            </w:pPr>
            <w:r w:rsidRPr="00D518FF">
              <w:rPr>
                <w:rFonts w:ascii="Aptos" w:hAnsi="Aptos"/>
                <w:sz w:val="16"/>
                <w:szCs w:val="16"/>
              </w:rPr>
              <w:t>5</w:t>
            </w:r>
          </w:p>
        </w:tc>
        <w:tc>
          <w:tcPr>
            <w:tcW w:w="940" w:type="dxa"/>
          </w:tcPr>
          <w:p w14:paraId="6EECBF6C" w14:textId="77777777" w:rsidR="006C209E" w:rsidRPr="00D518FF" w:rsidRDefault="006C209E" w:rsidP="00CF6EDC">
            <w:pPr>
              <w:rPr>
                <w:rFonts w:ascii="Aptos" w:hAnsi="Aptos"/>
                <w:sz w:val="16"/>
                <w:szCs w:val="16"/>
              </w:rPr>
            </w:pPr>
            <w:r w:rsidRPr="00D518FF">
              <w:rPr>
                <w:rFonts w:ascii="Aptos" w:hAnsi="Aptos"/>
                <w:sz w:val="16"/>
                <w:szCs w:val="16"/>
              </w:rPr>
              <w:t>308</w:t>
            </w:r>
          </w:p>
        </w:tc>
        <w:tc>
          <w:tcPr>
            <w:tcW w:w="1008" w:type="dxa"/>
          </w:tcPr>
          <w:p w14:paraId="0B7885DA" w14:textId="77777777" w:rsidR="006C209E" w:rsidRPr="00D518FF" w:rsidRDefault="006C209E" w:rsidP="00CF6EDC">
            <w:pPr>
              <w:rPr>
                <w:rFonts w:ascii="Aptos" w:hAnsi="Aptos"/>
                <w:sz w:val="16"/>
                <w:szCs w:val="16"/>
              </w:rPr>
            </w:pPr>
          </w:p>
        </w:tc>
        <w:tc>
          <w:tcPr>
            <w:tcW w:w="950" w:type="dxa"/>
          </w:tcPr>
          <w:p w14:paraId="29B3BA2A" w14:textId="77777777" w:rsidR="006C209E" w:rsidRPr="00D518FF" w:rsidRDefault="006C209E" w:rsidP="00CF6EDC">
            <w:pPr>
              <w:rPr>
                <w:rFonts w:ascii="Aptos" w:hAnsi="Aptos"/>
                <w:sz w:val="16"/>
                <w:szCs w:val="16"/>
              </w:rPr>
            </w:pPr>
            <w:r w:rsidRPr="00D518FF">
              <w:rPr>
                <w:rFonts w:ascii="Aptos" w:hAnsi="Aptos"/>
                <w:sz w:val="16"/>
                <w:szCs w:val="16"/>
              </w:rPr>
              <w:t>SMD = 0.19 [-0.30, 0,68]</w:t>
            </w:r>
          </w:p>
        </w:tc>
        <w:tc>
          <w:tcPr>
            <w:tcW w:w="720" w:type="dxa"/>
          </w:tcPr>
          <w:p w14:paraId="6EF9990C" w14:textId="77777777" w:rsidR="006C209E" w:rsidRPr="00D518FF" w:rsidRDefault="006C209E" w:rsidP="00CF6EDC">
            <w:pPr>
              <w:rPr>
                <w:rFonts w:ascii="Aptos" w:hAnsi="Aptos"/>
                <w:sz w:val="16"/>
                <w:szCs w:val="16"/>
              </w:rPr>
            </w:pPr>
            <w:r>
              <w:rPr>
                <w:rFonts w:ascii="Aptos" w:hAnsi="Aptos"/>
                <w:sz w:val="16"/>
                <w:szCs w:val="16"/>
              </w:rPr>
              <w:t xml:space="preserve">I² </w:t>
            </w:r>
            <w:r w:rsidRPr="00D518FF">
              <w:rPr>
                <w:rFonts w:ascii="Aptos" w:hAnsi="Aptos"/>
                <w:sz w:val="16"/>
                <w:szCs w:val="16"/>
              </w:rPr>
              <w:t>= 78%</w:t>
            </w:r>
          </w:p>
        </w:tc>
        <w:tc>
          <w:tcPr>
            <w:tcW w:w="1115" w:type="dxa"/>
            <w:vMerge w:val="restart"/>
          </w:tcPr>
          <w:p w14:paraId="78715F9C" w14:textId="3528FF0B" w:rsidR="006C209E" w:rsidRPr="00D518FF" w:rsidRDefault="006C209E" w:rsidP="00CF6EDC">
            <w:pPr>
              <w:rPr>
                <w:rFonts w:ascii="Aptos" w:hAnsi="Aptos"/>
                <w:sz w:val="16"/>
                <w:szCs w:val="16"/>
              </w:rPr>
            </w:pPr>
            <w:r>
              <w:rPr>
                <w:rFonts w:ascii="Aptos" w:hAnsi="Aptos"/>
                <w:sz w:val="16"/>
                <w:szCs w:val="16"/>
              </w:rPr>
              <w:t>A</w:t>
            </w:r>
            <w:r w:rsidRPr="005F347C">
              <w:rPr>
                <w:rFonts w:ascii="Aptos" w:hAnsi="Aptos"/>
                <w:sz w:val="16"/>
                <w:szCs w:val="16"/>
              </w:rPr>
              <w:t>ll included studies had low internal and reporting</w:t>
            </w:r>
            <w:r w:rsidR="004C6AA1">
              <w:rPr>
                <w:rFonts w:ascii="Aptos" w:hAnsi="Aptos"/>
                <w:sz w:val="16"/>
                <w:szCs w:val="16"/>
              </w:rPr>
              <w:t xml:space="preserve"> bias</w:t>
            </w:r>
            <w:r>
              <w:rPr>
                <w:rFonts w:ascii="Aptos" w:hAnsi="Aptos"/>
                <w:sz w:val="16"/>
                <w:szCs w:val="16"/>
              </w:rPr>
              <w:t xml:space="preserve">. </w:t>
            </w:r>
            <w:r w:rsidRPr="005F347C">
              <w:rPr>
                <w:rFonts w:ascii="Aptos" w:hAnsi="Aptos"/>
                <w:sz w:val="16"/>
                <w:szCs w:val="16"/>
              </w:rPr>
              <w:t xml:space="preserve">However, included studies scored poor on </w:t>
            </w:r>
            <w:r w:rsidRPr="005F347C">
              <w:rPr>
                <w:rFonts w:ascii="Aptos" w:hAnsi="Aptos"/>
                <w:sz w:val="16"/>
                <w:szCs w:val="16"/>
              </w:rPr>
              <w:lastRenderedPageBreak/>
              <w:t>external validity</w:t>
            </w:r>
            <w:r>
              <w:rPr>
                <w:rFonts w:ascii="Aptos" w:hAnsi="Aptos"/>
                <w:sz w:val="16"/>
                <w:szCs w:val="16"/>
              </w:rPr>
              <w:t>.</w:t>
            </w:r>
          </w:p>
        </w:tc>
        <w:tc>
          <w:tcPr>
            <w:tcW w:w="1134" w:type="dxa"/>
          </w:tcPr>
          <w:p w14:paraId="306DE66C" w14:textId="77777777" w:rsidR="006C209E" w:rsidRPr="00D518FF" w:rsidRDefault="006C209E" w:rsidP="00CF6EDC">
            <w:pPr>
              <w:rPr>
                <w:rFonts w:ascii="Aptos" w:hAnsi="Aptos"/>
                <w:sz w:val="16"/>
                <w:szCs w:val="16"/>
              </w:rPr>
            </w:pPr>
            <w:r>
              <w:rPr>
                <w:rFonts w:ascii="Aptos" w:hAnsi="Aptos"/>
                <w:sz w:val="16"/>
                <w:szCs w:val="16"/>
              </w:rPr>
              <w:lastRenderedPageBreak/>
              <w:t>Low risk</w:t>
            </w:r>
          </w:p>
        </w:tc>
      </w:tr>
      <w:tr w:rsidR="006B1408" w:rsidRPr="00D518FF" w14:paraId="750821BE" w14:textId="77777777" w:rsidTr="00F614C8">
        <w:trPr>
          <w:trHeight w:val="196"/>
        </w:trPr>
        <w:tc>
          <w:tcPr>
            <w:tcW w:w="971" w:type="dxa"/>
          </w:tcPr>
          <w:p w14:paraId="06D5C7E8" w14:textId="77777777" w:rsidR="006C209E" w:rsidRPr="00D518FF" w:rsidRDefault="006C209E" w:rsidP="00CF6EDC">
            <w:pPr>
              <w:rPr>
                <w:rFonts w:ascii="Aptos" w:hAnsi="Aptos"/>
                <w:sz w:val="16"/>
                <w:szCs w:val="16"/>
              </w:rPr>
            </w:pPr>
            <w:r w:rsidRPr="00D518FF">
              <w:rPr>
                <w:rFonts w:ascii="Aptos" w:hAnsi="Aptos"/>
                <w:sz w:val="16"/>
                <w:szCs w:val="16"/>
              </w:rPr>
              <w:t>Dludla 2020</w:t>
            </w:r>
          </w:p>
        </w:tc>
        <w:tc>
          <w:tcPr>
            <w:tcW w:w="875" w:type="dxa"/>
          </w:tcPr>
          <w:p w14:paraId="5262BFC3" w14:textId="77777777" w:rsidR="006C209E" w:rsidRPr="00D518FF" w:rsidRDefault="006C209E" w:rsidP="00CF6EDC">
            <w:pPr>
              <w:rPr>
                <w:rFonts w:ascii="Aptos" w:hAnsi="Aptos"/>
                <w:sz w:val="16"/>
                <w:szCs w:val="16"/>
              </w:rPr>
            </w:pPr>
            <w:r w:rsidRPr="00D518FF">
              <w:rPr>
                <w:rFonts w:ascii="Aptos" w:hAnsi="Aptos"/>
                <w:sz w:val="16"/>
                <w:szCs w:val="16"/>
              </w:rPr>
              <w:t>1 - FPG/FBG</w:t>
            </w:r>
          </w:p>
        </w:tc>
        <w:tc>
          <w:tcPr>
            <w:tcW w:w="855" w:type="dxa"/>
          </w:tcPr>
          <w:p w14:paraId="31637A51"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505841DA" w14:textId="77777777" w:rsidR="006C209E" w:rsidRPr="00D518FF" w:rsidRDefault="006C209E" w:rsidP="00CF6EDC">
            <w:pPr>
              <w:rPr>
                <w:rFonts w:ascii="Aptos" w:hAnsi="Aptos"/>
                <w:sz w:val="16"/>
                <w:szCs w:val="16"/>
              </w:rPr>
            </w:pPr>
            <w:r w:rsidRPr="00D518FF">
              <w:rPr>
                <w:rFonts w:ascii="Aptos" w:hAnsi="Aptos"/>
                <w:sz w:val="16"/>
                <w:szCs w:val="16"/>
              </w:rPr>
              <w:t xml:space="preserve">Adults (&gt;18 years) with diabetes or </w:t>
            </w:r>
            <w:r w:rsidRPr="00D518FF">
              <w:rPr>
                <w:rFonts w:ascii="Aptos" w:hAnsi="Aptos"/>
                <w:sz w:val="16"/>
                <w:szCs w:val="16"/>
              </w:rPr>
              <w:lastRenderedPageBreak/>
              <w:t>metabolic syndrome</w:t>
            </w:r>
          </w:p>
        </w:tc>
        <w:tc>
          <w:tcPr>
            <w:tcW w:w="1275" w:type="dxa"/>
          </w:tcPr>
          <w:p w14:paraId="64E32C86" w14:textId="77777777" w:rsidR="006C209E" w:rsidRPr="00D518FF" w:rsidRDefault="006C209E" w:rsidP="00CF6EDC">
            <w:pPr>
              <w:rPr>
                <w:rFonts w:ascii="Aptos" w:hAnsi="Aptos"/>
                <w:sz w:val="16"/>
                <w:szCs w:val="16"/>
              </w:rPr>
            </w:pPr>
            <w:r w:rsidRPr="00D518FF">
              <w:rPr>
                <w:rFonts w:ascii="Aptos" w:hAnsi="Aptos"/>
                <w:sz w:val="16"/>
                <w:szCs w:val="16"/>
              </w:rPr>
              <w:lastRenderedPageBreak/>
              <w:t xml:space="preserve">Eligible supplement VS </w:t>
            </w:r>
            <w:r w:rsidRPr="00D518FF">
              <w:rPr>
                <w:rFonts w:ascii="Aptos" w:hAnsi="Aptos"/>
                <w:sz w:val="16"/>
                <w:szCs w:val="16"/>
              </w:rPr>
              <w:lastRenderedPageBreak/>
              <w:t>placebo/inactive control</w:t>
            </w:r>
          </w:p>
        </w:tc>
        <w:tc>
          <w:tcPr>
            <w:tcW w:w="1276" w:type="dxa"/>
          </w:tcPr>
          <w:p w14:paraId="7A2FF2D5" w14:textId="40CE4CD3" w:rsidR="006C209E" w:rsidRPr="00D518FF" w:rsidRDefault="006C209E" w:rsidP="00CF6EDC">
            <w:pPr>
              <w:rPr>
                <w:rFonts w:ascii="Aptos" w:hAnsi="Aptos"/>
                <w:sz w:val="16"/>
                <w:szCs w:val="16"/>
              </w:rPr>
            </w:pPr>
            <w:r w:rsidRPr="00D518FF">
              <w:rPr>
                <w:rFonts w:ascii="Aptos" w:hAnsi="Aptos"/>
                <w:sz w:val="16"/>
                <w:szCs w:val="16"/>
              </w:rPr>
              <w:lastRenderedPageBreak/>
              <w:t>Co</w:t>
            </w:r>
            <w:r w:rsidR="005220BE">
              <w:rPr>
                <w:rFonts w:ascii="Aptos" w:hAnsi="Aptos"/>
                <w:sz w:val="16"/>
                <w:szCs w:val="16"/>
              </w:rPr>
              <w:t>Q</w:t>
            </w:r>
            <w:r w:rsidRPr="00D518FF">
              <w:rPr>
                <w:rFonts w:ascii="Aptos" w:hAnsi="Aptos"/>
                <w:sz w:val="16"/>
                <w:szCs w:val="16"/>
              </w:rPr>
              <w:t>10</w:t>
            </w:r>
          </w:p>
        </w:tc>
        <w:tc>
          <w:tcPr>
            <w:tcW w:w="1014" w:type="dxa"/>
          </w:tcPr>
          <w:p w14:paraId="1C83D3A3" w14:textId="77777777" w:rsidR="006C209E" w:rsidRPr="00D518FF" w:rsidRDefault="006C209E" w:rsidP="00CF6EDC">
            <w:pPr>
              <w:rPr>
                <w:rFonts w:ascii="Aptos" w:hAnsi="Aptos"/>
                <w:sz w:val="16"/>
                <w:szCs w:val="16"/>
              </w:rPr>
            </w:pPr>
            <w:r w:rsidRPr="00D518FF">
              <w:rPr>
                <w:rFonts w:ascii="Aptos" w:hAnsi="Aptos"/>
                <w:sz w:val="16"/>
                <w:szCs w:val="16"/>
              </w:rPr>
              <w:t>Placebo</w:t>
            </w:r>
          </w:p>
        </w:tc>
        <w:tc>
          <w:tcPr>
            <w:tcW w:w="774" w:type="dxa"/>
          </w:tcPr>
          <w:p w14:paraId="085ACA3E" w14:textId="77777777" w:rsidR="006C209E" w:rsidRPr="00D518FF" w:rsidRDefault="006C209E" w:rsidP="00CF6EDC">
            <w:pPr>
              <w:rPr>
                <w:rFonts w:ascii="Aptos" w:hAnsi="Aptos"/>
                <w:sz w:val="16"/>
                <w:szCs w:val="16"/>
              </w:rPr>
            </w:pPr>
            <w:r w:rsidRPr="00D518FF">
              <w:rPr>
                <w:rFonts w:ascii="Aptos" w:hAnsi="Aptos"/>
                <w:sz w:val="16"/>
                <w:szCs w:val="16"/>
              </w:rPr>
              <w:t>9</w:t>
            </w:r>
          </w:p>
        </w:tc>
        <w:tc>
          <w:tcPr>
            <w:tcW w:w="940" w:type="dxa"/>
          </w:tcPr>
          <w:p w14:paraId="1E0D5E94" w14:textId="77777777" w:rsidR="006C209E" w:rsidRPr="00D518FF" w:rsidRDefault="006C209E" w:rsidP="00CF6EDC">
            <w:pPr>
              <w:rPr>
                <w:rFonts w:ascii="Aptos" w:hAnsi="Aptos"/>
                <w:sz w:val="16"/>
                <w:szCs w:val="16"/>
              </w:rPr>
            </w:pPr>
            <w:r w:rsidRPr="00D518FF">
              <w:rPr>
                <w:rFonts w:ascii="Aptos" w:hAnsi="Aptos"/>
                <w:sz w:val="16"/>
                <w:szCs w:val="16"/>
              </w:rPr>
              <w:t>457</w:t>
            </w:r>
          </w:p>
        </w:tc>
        <w:tc>
          <w:tcPr>
            <w:tcW w:w="1008" w:type="dxa"/>
          </w:tcPr>
          <w:p w14:paraId="01F21422" w14:textId="77777777" w:rsidR="006C209E" w:rsidRPr="00D518FF" w:rsidRDefault="006C209E" w:rsidP="00CF6EDC">
            <w:pPr>
              <w:rPr>
                <w:rFonts w:ascii="Aptos" w:hAnsi="Aptos"/>
                <w:sz w:val="16"/>
                <w:szCs w:val="16"/>
              </w:rPr>
            </w:pPr>
          </w:p>
        </w:tc>
        <w:tc>
          <w:tcPr>
            <w:tcW w:w="950" w:type="dxa"/>
          </w:tcPr>
          <w:p w14:paraId="3EFB10F4" w14:textId="77777777" w:rsidR="006C209E" w:rsidRPr="00D518FF" w:rsidRDefault="006C209E" w:rsidP="00CF6EDC">
            <w:pPr>
              <w:rPr>
                <w:rFonts w:ascii="Aptos" w:hAnsi="Aptos"/>
                <w:sz w:val="16"/>
                <w:szCs w:val="16"/>
              </w:rPr>
            </w:pPr>
            <w:r w:rsidRPr="00D518FF">
              <w:rPr>
                <w:rFonts w:ascii="Aptos" w:hAnsi="Aptos"/>
                <w:sz w:val="16"/>
                <w:szCs w:val="16"/>
              </w:rPr>
              <w:t>SMD = 0.14 [-0.11, 0,39]</w:t>
            </w:r>
          </w:p>
        </w:tc>
        <w:tc>
          <w:tcPr>
            <w:tcW w:w="720" w:type="dxa"/>
          </w:tcPr>
          <w:p w14:paraId="40C627C0" w14:textId="77777777" w:rsidR="006C209E" w:rsidRPr="00D518FF" w:rsidRDefault="006C209E" w:rsidP="00CF6EDC">
            <w:pPr>
              <w:rPr>
                <w:rFonts w:ascii="Aptos" w:hAnsi="Aptos"/>
                <w:sz w:val="16"/>
                <w:szCs w:val="16"/>
              </w:rPr>
            </w:pPr>
            <w:r>
              <w:rPr>
                <w:rFonts w:ascii="Aptos" w:hAnsi="Aptos"/>
                <w:sz w:val="16"/>
                <w:szCs w:val="16"/>
              </w:rPr>
              <w:t xml:space="preserve">I² </w:t>
            </w:r>
            <w:r w:rsidRPr="00D518FF">
              <w:rPr>
                <w:rFonts w:ascii="Aptos" w:hAnsi="Aptos"/>
                <w:sz w:val="16"/>
                <w:szCs w:val="16"/>
              </w:rPr>
              <w:t>= 38%</w:t>
            </w:r>
          </w:p>
        </w:tc>
        <w:tc>
          <w:tcPr>
            <w:tcW w:w="1115" w:type="dxa"/>
            <w:vMerge/>
          </w:tcPr>
          <w:p w14:paraId="0CEFC9B1" w14:textId="77777777" w:rsidR="006C209E" w:rsidRPr="00D518FF" w:rsidRDefault="006C209E" w:rsidP="00CF6EDC">
            <w:pPr>
              <w:rPr>
                <w:rFonts w:ascii="Aptos" w:hAnsi="Aptos"/>
                <w:sz w:val="16"/>
                <w:szCs w:val="16"/>
              </w:rPr>
            </w:pPr>
          </w:p>
        </w:tc>
        <w:tc>
          <w:tcPr>
            <w:tcW w:w="1134" w:type="dxa"/>
          </w:tcPr>
          <w:p w14:paraId="66195614" w14:textId="77777777" w:rsidR="006C209E" w:rsidRPr="00D518FF" w:rsidRDefault="006C209E" w:rsidP="00CF6EDC">
            <w:pPr>
              <w:rPr>
                <w:rFonts w:ascii="Aptos" w:hAnsi="Aptos"/>
                <w:sz w:val="16"/>
                <w:szCs w:val="16"/>
              </w:rPr>
            </w:pPr>
            <w:r>
              <w:rPr>
                <w:rFonts w:ascii="Aptos" w:hAnsi="Aptos"/>
                <w:sz w:val="16"/>
                <w:szCs w:val="16"/>
              </w:rPr>
              <w:t>Low risk</w:t>
            </w:r>
          </w:p>
        </w:tc>
      </w:tr>
      <w:tr w:rsidR="005220BE" w:rsidRPr="00D518FF" w14:paraId="4D34523D" w14:textId="77777777" w:rsidTr="00F614C8">
        <w:trPr>
          <w:trHeight w:val="196"/>
        </w:trPr>
        <w:tc>
          <w:tcPr>
            <w:tcW w:w="971" w:type="dxa"/>
          </w:tcPr>
          <w:p w14:paraId="5403661E" w14:textId="77777777" w:rsidR="005220BE" w:rsidRPr="00D518FF" w:rsidRDefault="005220BE" w:rsidP="005220BE">
            <w:pPr>
              <w:rPr>
                <w:rFonts w:ascii="Aptos" w:hAnsi="Aptos"/>
                <w:sz w:val="16"/>
                <w:szCs w:val="16"/>
              </w:rPr>
            </w:pPr>
            <w:r w:rsidRPr="00D518FF">
              <w:rPr>
                <w:rFonts w:ascii="Aptos" w:hAnsi="Aptos"/>
                <w:sz w:val="16"/>
                <w:szCs w:val="16"/>
              </w:rPr>
              <w:t>Dludla 2020</w:t>
            </w:r>
          </w:p>
        </w:tc>
        <w:tc>
          <w:tcPr>
            <w:tcW w:w="875" w:type="dxa"/>
          </w:tcPr>
          <w:p w14:paraId="21715C8D" w14:textId="77777777" w:rsidR="005220BE" w:rsidRPr="00D518FF" w:rsidRDefault="005220BE" w:rsidP="005220BE">
            <w:pPr>
              <w:rPr>
                <w:rFonts w:ascii="Aptos" w:hAnsi="Aptos"/>
                <w:sz w:val="16"/>
                <w:szCs w:val="16"/>
              </w:rPr>
            </w:pPr>
            <w:r w:rsidRPr="00D518FF">
              <w:rPr>
                <w:rFonts w:ascii="Aptos" w:hAnsi="Aptos"/>
                <w:sz w:val="16"/>
                <w:szCs w:val="16"/>
              </w:rPr>
              <w:t>1 - Hb1AC</w:t>
            </w:r>
          </w:p>
        </w:tc>
        <w:tc>
          <w:tcPr>
            <w:tcW w:w="855" w:type="dxa"/>
          </w:tcPr>
          <w:p w14:paraId="14F843EC" w14:textId="77777777" w:rsidR="005220BE" w:rsidRPr="00D518FF" w:rsidRDefault="005220BE" w:rsidP="005220BE">
            <w:pPr>
              <w:rPr>
                <w:rFonts w:ascii="Aptos" w:hAnsi="Aptos"/>
                <w:sz w:val="16"/>
                <w:szCs w:val="16"/>
              </w:rPr>
            </w:pPr>
            <w:r w:rsidRPr="005A43DC">
              <w:rPr>
                <w:rFonts w:ascii="Aptos" w:hAnsi="Aptos"/>
                <w:sz w:val="16"/>
                <w:szCs w:val="16"/>
              </w:rPr>
              <w:t>With condition</w:t>
            </w:r>
          </w:p>
        </w:tc>
        <w:tc>
          <w:tcPr>
            <w:tcW w:w="1122" w:type="dxa"/>
          </w:tcPr>
          <w:p w14:paraId="13527F24" w14:textId="77777777" w:rsidR="005220BE" w:rsidRPr="00D518FF" w:rsidRDefault="005220BE" w:rsidP="005220BE">
            <w:pPr>
              <w:rPr>
                <w:rFonts w:ascii="Aptos" w:hAnsi="Aptos"/>
                <w:sz w:val="16"/>
                <w:szCs w:val="16"/>
              </w:rPr>
            </w:pPr>
            <w:r w:rsidRPr="00D518FF">
              <w:rPr>
                <w:rFonts w:ascii="Aptos" w:hAnsi="Aptos"/>
                <w:sz w:val="16"/>
                <w:szCs w:val="16"/>
              </w:rPr>
              <w:t>Adults (&gt;18 years) with diabetes or metabolic syndrome</w:t>
            </w:r>
          </w:p>
        </w:tc>
        <w:tc>
          <w:tcPr>
            <w:tcW w:w="1275" w:type="dxa"/>
          </w:tcPr>
          <w:p w14:paraId="5EE449B7" w14:textId="77777777" w:rsidR="005220BE" w:rsidRPr="00D518FF" w:rsidRDefault="005220BE" w:rsidP="005220BE">
            <w:pPr>
              <w:rPr>
                <w:rFonts w:ascii="Aptos" w:hAnsi="Aptos"/>
                <w:sz w:val="16"/>
                <w:szCs w:val="16"/>
              </w:rPr>
            </w:pPr>
            <w:r w:rsidRPr="00D518FF">
              <w:rPr>
                <w:rFonts w:ascii="Aptos" w:hAnsi="Aptos"/>
                <w:sz w:val="16"/>
                <w:szCs w:val="16"/>
              </w:rPr>
              <w:t>Eligible supplement VS placebo/inactive control</w:t>
            </w:r>
          </w:p>
        </w:tc>
        <w:tc>
          <w:tcPr>
            <w:tcW w:w="1276" w:type="dxa"/>
          </w:tcPr>
          <w:p w14:paraId="76ECCFD0" w14:textId="0803DFC2" w:rsidR="005220BE" w:rsidRPr="00D518FF" w:rsidRDefault="005220BE" w:rsidP="005220BE">
            <w:pPr>
              <w:rPr>
                <w:rFonts w:ascii="Aptos" w:hAnsi="Aptos"/>
                <w:sz w:val="16"/>
                <w:szCs w:val="16"/>
              </w:rPr>
            </w:pPr>
            <w:r w:rsidRPr="002B1B28">
              <w:rPr>
                <w:rFonts w:ascii="Aptos" w:hAnsi="Aptos"/>
                <w:sz w:val="16"/>
                <w:szCs w:val="16"/>
              </w:rPr>
              <w:t>CoQ10</w:t>
            </w:r>
          </w:p>
        </w:tc>
        <w:tc>
          <w:tcPr>
            <w:tcW w:w="1014" w:type="dxa"/>
          </w:tcPr>
          <w:p w14:paraId="75ED52B3" w14:textId="77777777" w:rsidR="005220BE" w:rsidRPr="00D518FF" w:rsidRDefault="005220BE" w:rsidP="005220BE">
            <w:pPr>
              <w:rPr>
                <w:rFonts w:ascii="Aptos" w:hAnsi="Aptos"/>
                <w:sz w:val="16"/>
                <w:szCs w:val="16"/>
              </w:rPr>
            </w:pPr>
            <w:r w:rsidRPr="00D518FF">
              <w:rPr>
                <w:rFonts w:ascii="Aptos" w:hAnsi="Aptos"/>
                <w:sz w:val="16"/>
                <w:szCs w:val="16"/>
              </w:rPr>
              <w:t>Placebo</w:t>
            </w:r>
          </w:p>
        </w:tc>
        <w:tc>
          <w:tcPr>
            <w:tcW w:w="774" w:type="dxa"/>
          </w:tcPr>
          <w:p w14:paraId="2C8A8BD9" w14:textId="77777777" w:rsidR="005220BE" w:rsidRPr="00D518FF" w:rsidRDefault="005220BE" w:rsidP="005220BE">
            <w:pPr>
              <w:rPr>
                <w:rFonts w:ascii="Aptos" w:hAnsi="Aptos"/>
                <w:sz w:val="16"/>
                <w:szCs w:val="16"/>
              </w:rPr>
            </w:pPr>
            <w:r w:rsidRPr="00D518FF">
              <w:rPr>
                <w:rFonts w:ascii="Aptos" w:hAnsi="Aptos"/>
                <w:sz w:val="16"/>
                <w:szCs w:val="16"/>
              </w:rPr>
              <w:t>8</w:t>
            </w:r>
          </w:p>
        </w:tc>
        <w:tc>
          <w:tcPr>
            <w:tcW w:w="940" w:type="dxa"/>
          </w:tcPr>
          <w:p w14:paraId="5A23D02F" w14:textId="77777777" w:rsidR="005220BE" w:rsidRPr="00D518FF" w:rsidRDefault="005220BE" w:rsidP="005220BE">
            <w:pPr>
              <w:rPr>
                <w:rFonts w:ascii="Aptos" w:hAnsi="Aptos"/>
                <w:sz w:val="16"/>
                <w:szCs w:val="16"/>
              </w:rPr>
            </w:pPr>
            <w:r w:rsidRPr="00D518FF">
              <w:rPr>
                <w:rFonts w:ascii="Aptos" w:hAnsi="Aptos"/>
                <w:sz w:val="16"/>
                <w:szCs w:val="16"/>
              </w:rPr>
              <w:t>419</w:t>
            </w:r>
          </w:p>
        </w:tc>
        <w:tc>
          <w:tcPr>
            <w:tcW w:w="1008" w:type="dxa"/>
          </w:tcPr>
          <w:p w14:paraId="2AF67870" w14:textId="77777777" w:rsidR="005220BE" w:rsidRPr="00D518FF" w:rsidRDefault="005220BE" w:rsidP="005220BE">
            <w:pPr>
              <w:rPr>
                <w:rFonts w:ascii="Aptos" w:hAnsi="Aptos"/>
                <w:sz w:val="16"/>
                <w:szCs w:val="16"/>
              </w:rPr>
            </w:pPr>
            <w:r w:rsidRPr="00D518FF">
              <w:rPr>
                <w:rFonts w:ascii="Aptos" w:hAnsi="Aptos"/>
                <w:sz w:val="16"/>
                <w:szCs w:val="16"/>
              </w:rPr>
              <w:t xml:space="preserve">Hb1AC </w:t>
            </w:r>
          </w:p>
        </w:tc>
        <w:tc>
          <w:tcPr>
            <w:tcW w:w="950" w:type="dxa"/>
          </w:tcPr>
          <w:p w14:paraId="4C77209A" w14:textId="77777777" w:rsidR="005220BE" w:rsidRPr="00D518FF" w:rsidRDefault="005220BE" w:rsidP="005220BE">
            <w:pPr>
              <w:rPr>
                <w:rFonts w:ascii="Aptos" w:hAnsi="Aptos"/>
                <w:sz w:val="16"/>
                <w:szCs w:val="16"/>
              </w:rPr>
            </w:pPr>
            <w:r w:rsidRPr="00D518FF">
              <w:rPr>
                <w:rFonts w:ascii="Aptos" w:hAnsi="Aptos"/>
                <w:sz w:val="16"/>
                <w:szCs w:val="16"/>
              </w:rPr>
              <w:t>SMD in the - intervention group was</w:t>
            </w:r>
            <w:r w:rsidRPr="00D518FF">
              <w:rPr>
                <w:rFonts w:ascii="Aptos" w:hAnsi="Aptos"/>
                <w:sz w:val="16"/>
                <w:szCs w:val="16"/>
              </w:rPr>
              <w:br/>
              <w:t>0.35 lower (0.03 lower</w:t>
            </w:r>
            <w:r w:rsidRPr="00D518FF">
              <w:rPr>
                <w:rFonts w:ascii="Aptos" w:hAnsi="Aptos"/>
                <w:sz w:val="16"/>
                <w:szCs w:val="16"/>
              </w:rPr>
              <w:br/>
              <w:t>to 0.67 lower)</w:t>
            </w:r>
          </w:p>
        </w:tc>
        <w:tc>
          <w:tcPr>
            <w:tcW w:w="720" w:type="dxa"/>
          </w:tcPr>
          <w:p w14:paraId="112A8B77" w14:textId="77777777" w:rsidR="005220BE" w:rsidRPr="00D518FF" w:rsidRDefault="005220BE" w:rsidP="005220BE">
            <w:pPr>
              <w:rPr>
                <w:rFonts w:ascii="Aptos" w:hAnsi="Aptos"/>
                <w:sz w:val="16"/>
                <w:szCs w:val="16"/>
              </w:rPr>
            </w:pPr>
            <w:r w:rsidRPr="00D518FF">
              <w:rPr>
                <w:rFonts w:ascii="Aptos" w:hAnsi="Aptos"/>
                <w:sz w:val="16"/>
                <w:szCs w:val="16"/>
              </w:rPr>
              <w:t>NR</w:t>
            </w:r>
          </w:p>
        </w:tc>
        <w:tc>
          <w:tcPr>
            <w:tcW w:w="1115" w:type="dxa"/>
            <w:vMerge/>
          </w:tcPr>
          <w:p w14:paraId="28350DB4" w14:textId="77777777" w:rsidR="005220BE" w:rsidRPr="00D518FF" w:rsidRDefault="005220BE" w:rsidP="005220BE">
            <w:pPr>
              <w:rPr>
                <w:rFonts w:ascii="Aptos" w:hAnsi="Aptos"/>
                <w:sz w:val="16"/>
                <w:szCs w:val="16"/>
              </w:rPr>
            </w:pPr>
          </w:p>
        </w:tc>
        <w:tc>
          <w:tcPr>
            <w:tcW w:w="1134" w:type="dxa"/>
          </w:tcPr>
          <w:p w14:paraId="165B7215" w14:textId="77777777" w:rsidR="005220BE" w:rsidRPr="00D518FF" w:rsidRDefault="005220BE" w:rsidP="005220BE">
            <w:pPr>
              <w:rPr>
                <w:rFonts w:ascii="Aptos" w:hAnsi="Aptos"/>
                <w:sz w:val="16"/>
                <w:szCs w:val="16"/>
              </w:rPr>
            </w:pPr>
            <w:r>
              <w:rPr>
                <w:rFonts w:ascii="Aptos" w:hAnsi="Aptos"/>
                <w:sz w:val="16"/>
                <w:szCs w:val="16"/>
              </w:rPr>
              <w:t>Low risk</w:t>
            </w:r>
          </w:p>
        </w:tc>
      </w:tr>
      <w:tr w:rsidR="005220BE" w:rsidRPr="00D518FF" w14:paraId="21A81F19" w14:textId="77777777" w:rsidTr="00F614C8">
        <w:trPr>
          <w:trHeight w:val="196"/>
        </w:trPr>
        <w:tc>
          <w:tcPr>
            <w:tcW w:w="971" w:type="dxa"/>
          </w:tcPr>
          <w:p w14:paraId="6B43DA5B" w14:textId="77777777" w:rsidR="005220BE" w:rsidRPr="00D518FF" w:rsidRDefault="005220BE" w:rsidP="005220BE">
            <w:pPr>
              <w:rPr>
                <w:rFonts w:ascii="Aptos" w:hAnsi="Aptos"/>
                <w:sz w:val="16"/>
                <w:szCs w:val="16"/>
              </w:rPr>
            </w:pPr>
            <w:r w:rsidRPr="00D518FF">
              <w:rPr>
                <w:rFonts w:ascii="Aptos" w:hAnsi="Aptos"/>
                <w:sz w:val="16"/>
                <w:szCs w:val="16"/>
              </w:rPr>
              <w:t>Dludla 2020</w:t>
            </w:r>
          </w:p>
        </w:tc>
        <w:tc>
          <w:tcPr>
            <w:tcW w:w="875" w:type="dxa"/>
          </w:tcPr>
          <w:p w14:paraId="251CB9FD" w14:textId="77777777" w:rsidR="005220BE" w:rsidRPr="00D518FF" w:rsidRDefault="005220BE" w:rsidP="005220BE">
            <w:pPr>
              <w:rPr>
                <w:rFonts w:ascii="Aptos" w:hAnsi="Aptos"/>
                <w:sz w:val="16"/>
                <w:szCs w:val="16"/>
              </w:rPr>
            </w:pPr>
            <w:r w:rsidRPr="00D518FF">
              <w:rPr>
                <w:rFonts w:ascii="Aptos" w:hAnsi="Aptos"/>
                <w:sz w:val="16"/>
                <w:szCs w:val="16"/>
              </w:rPr>
              <w:t>2 - SBP</w:t>
            </w:r>
          </w:p>
        </w:tc>
        <w:tc>
          <w:tcPr>
            <w:tcW w:w="855" w:type="dxa"/>
          </w:tcPr>
          <w:p w14:paraId="5A17EC29" w14:textId="77777777" w:rsidR="005220BE" w:rsidRPr="00D518FF" w:rsidRDefault="005220BE" w:rsidP="005220BE">
            <w:pPr>
              <w:rPr>
                <w:rFonts w:ascii="Aptos" w:hAnsi="Aptos"/>
                <w:sz w:val="16"/>
                <w:szCs w:val="16"/>
              </w:rPr>
            </w:pPr>
            <w:r w:rsidRPr="005A43DC">
              <w:rPr>
                <w:rFonts w:ascii="Aptos" w:hAnsi="Aptos"/>
                <w:sz w:val="16"/>
                <w:szCs w:val="16"/>
              </w:rPr>
              <w:t>With condition</w:t>
            </w:r>
          </w:p>
        </w:tc>
        <w:tc>
          <w:tcPr>
            <w:tcW w:w="1122" w:type="dxa"/>
          </w:tcPr>
          <w:p w14:paraId="62CBC526" w14:textId="77777777" w:rsidR="005220BE" w:rsidRPr="00D518FF" w:rsidRDefault="005220BE" w:rsidP="005220BE">
            <w:pPr>
              <w:rPr>
                <w:rFonts w:ascii="Aptos" w:hAnsi="Aptos"/>
                <w:sz w:val="16"/>
                <w:szCs w:val="16"/>
              </w:rPr>
            </w:pPr>
            <w:r w:rsidRPr="00D518FF">
              <w:rPr>
                <w:rFonts w:ascii="Aptos" w:hAnsi="Aptos"/>
                <w:sz w:val="16"/>
                <w:szCs w:val="16"/>
              </w:rPr>
              <w:t>Adults (&gt;18 years) with diabetes or metabolic syndrome</w:t>
            </w:r>
          </w:p>
        </w:tc>
        <w:tc>
          <w:tcPr>
            <w:tcW w:w="1275" w:type="dxa"/>
          </w:tcPr>
          <w:p w14:paraId="3E571DFE" w14:textId="77777777" w:rsidR="005220BE" w:rsidRPr="00D518FF" w:rsidRDefault="005220BE" w:rsidP="005220BE">
            <w:pPr>
              <w:rPr>
                <w:rFonts w:ascii="Aptos" w:hAnsi="Aptos"/>
                <w:sz w:val="16"/>
                <w:szCs w:val="16"/>
              </w:rPr>
            </w:pPr>
            <w:r w:rsidRPr="00D518FF">
              <w:rPr>
                <w:rFonts w:ascii="Aptos" w:hAnsi="Aptos"/>
                <w:sz w:val="16"/>
                <w:szCs w:val="16"/>
              </w:rPr>
              <w:t>Eligible supplement VS placebo/inactive control</w:t>
            </w:r>
          </w:p>
        </w:tc>
        <w:tc>
          <w:tcPr>
            <w:tcW w:w="1276" w:type="dxa"/>
          </w:tcPr>
          <w:p w14:paraId="2F267549" w14:textId="34154CA4" w:rsidR="005220BE" w:rsidRPr="00D518FF" w:rsidRDefault="005220BE" w:rsidP="005220BE">
            <w:pPr>
              <w:rPr>
                <w:rFonts w:ascii="Aptos" w:hAnsi="Aptos"/>
                <w:sz w:val="16"/>
                <w:szCs w:val="16"/>
              </w:rPr>
            </w:pPr>
            <w:r w:rsidRPr="002B1B28">
              <w:rPr>
                <w:rFonts w:ascii="Aptos" w:hAnsi="Aptos"/>
                <w:sz w:val="16"/>
                <w:szCs w:val="16"/>
              </w:rPr>
              <w:t>CoQ10</w:t>
            </w:r>
          </w:p>
        </w:tc>
        <w:tc>
          <w:tcPr>
            <w:tcW w:w="1014" w:type="dxa"/>
          </w:tcPr>
          <w:p w14:paraId="716E4D74" w14:textId="77777777" w:rsidR="005220BE" w:rsidRPr="00D518FF" w:rsidRDefault="005220BE" w:rsidP="005220BE">
            <w:pPr>
              <w:rPr>
                <w:rFonts w:ascii="Aptos" w:hAnsi="Aptos"/>
                <w:sz w:val="16"/>
                <w:szCs w:val="16"/>
              </w:rPr>
            </w:pPr>
            <w:r w:rsidRPr="00D518FF">
              <w:rPr>
                <w:rFonts w:ascii="Aptos" w:hAnsi="Aptos"/>
                <w:sz w:val="16"/>
                <w:szCs w:val="16"/>
              </w:rPr>
              <w:t>Placebo</w:t>
            </w:r>
          </w:p>
        </w:tc>
        <w:tc>
          <w:tcPr>
            <w:tcW w:w="774" w:type="dxa"/>
          </w:tcPr>
          <w:p w14:paraId="2F9E5679" w14:textId="77777777" w:rsidR="005220BE" w:rsidRPr="00D518FF" w:rsidRDefault="005220BE" w:rsidP="005220BE">
            <w:pPr>
              <w:rPr>
                <w:rFonts w:ascii="Aptos" w:hAnsi="Aptos"/>
                <w:sz w:val="16"/>
                <w:szCs w:val="16"/>
              </w:rPr>
            </w:pPr>
            <w:r w:rsidRPr="00D518FF">
              <w:rPr>
                <w:rFonts w:ascii="Aptos" w:hAnsi="Aptos"/>
                <w:sz w:val="16"/>
                <w:szCs w:val="16"/>
              </w:rPr>
              <w:t>4</w:t>
            </w:r>
          </w:p>
        </w:tc>
        <w:tc>
          <w:tcPr>
            <w:tcW w:w="940" w:type="dxa"/>
          </w:tcPr>
          <w:p w14:paraId="68683932" w14:textId="77777777" w:rsidR="005220BE" w:rsidRPr="00D518FF" w:rsidRDefault="005220BE" w:rsidP="005220BE">
            <w:pPr>
              <w:rPr>
                <w:rFonts w:ascii="Aptos" w:hAnsi="Aptos"/>
                <w:sz w:val="16"/>
                <w:szCs w:val="16"/>
              </w:rPr>
            </w:pPr>
            <w:r w:rsidRPr="00D518FF">
              <w:rPr>
                <w:rFonts w:ascii="Aptos" w:hAnsi="Aptos"/>
                <w:sz w:val="16"/>
                <w:szCs w:val="16"/>
              </w:rPr>
              <w:t>187</w:t>
            </w:r>
          </w:p>
        </w:tc>
        <w:tc>
          <w:tcPr>
            <w:tcW w:w="1008" w:type="dxa"/>
          </w:tcPr>
          <w:p w14:paraId="016719D2" w14:textId="77777777" w:rsidR="005220BE" w:rsidRPr="00D518FF" w:rsidRDefault="005220BE" w:rsidP="005220BE">
            <w:pPr>
              <w:rPr>
                <w:rFonts w:ascii="Aptos" w:hAnsi="Aptos"/>
                <w:sz w:val="16"/>
                <w:szCs w:val="16"/>
              </w:rPr>
            </w:pPr>
          </w:p>
        </w:tc>
        <w:tc>
          <w:tcPr>
            <w:tcW w:w="950" w:type="dxa"/>
          </w:tcPr>
          <w:p w14:paraId="6B563AEB" w14:textId="77777777" w:rsidR="005220BE" w:rsidRPr="00D518FF" w:rsidRDefault="005220BE" w:rsidP="005220BE">
            <w:pPr>
              <w:rPr>
                <w:rFonts w:ascii="Aptos" w:hAnsi="Aptos"/>
                <w:sz w:val="16"/>
                <w:szCs w:val="16"/>
              </w:rPr>
            </w:pPr>
            <w:r w:rsidRPr="00D518FF">
              <w:rPr>
                <w:rFonts w:ascii="Aptos" w:hAnsi="Aptos"/>
                <w:sz w:val="16"/>
                <w:szCs w:val="16"/>
              </w:rPr>
              <w:t>SMD = -0.07 [-0.35, 0,22]</w:t>
            </w:r>
          </w:p>
        </w:tc>
        <w:tc>
          <w:tcPr>
            <w:tcW w:w="720" w:type="dxa"/>
          </w:tcPr>
          <w:p w14:paraId="661F3AF6" w14:textId="77777777" w:rsidR="005220BE" w:rsidRPr="00D518FF" w:rsidRDefault="005220BE" w:rsidP="005220BE">
            <w:pPr>
              <w:rPr>
                <w:rFonts w:ascii="Aptos" w:hAnsi="Aptos"/>
                <w:sz w:val="16"/>
                <w:szCs w:val="16"/>
              </w:rPr>
            </w:pPr>
            <w:r>
              <w:rPr>
                <w:rFonts w:ascii="Aptos" w:hAnsi="Aptos"/>
                <w:sz w:val="16"/>
                <w:szCs w:val="16"/>
              </w:rPr>
              <w:t xml:space="preserve">I² </w:t>
            </w:r>
            <w:r w:rsidRPr="00D518FF">
              <w:rPr>
                <w:rFonts w:ascii="Aptos" w:hAnsi="Aptos"/>
                <w:sz w:val="16"/>
                <w:szCs w:val="16"/>
              </w:rPr>
              <w:t>= 0%</w:t>
            </w:r>
          </w:p>
        </w:tc>
        <w:tc>
          <w:tcPr>
            <w:tcW w:w="1115" w:type="dxa"/>
            <w:vMerge/>
          </w:tcPr>
          <w:p w14:paraId="5725E2D5" w14:textId="77777777" w:rsidR="005220BE" w:rsidRPr="00D518FF" w:rsidRDefault="005220BE" w:rsidP="005220BE">
            <w:pPr>
              <w:rPr>
                <w:rFonts w:ascii="Aptos" w:hAnsi="Aptos"/>
                <w:sz w:val="16"/>
                <w:szCs w:val="16"/>
              </w:rPr>
            </w:pPr>
          </w:p>
        </w:tc>
        <w:tc>
          <w:tcPr>
            <w:tcW w:w="1134" w:type="dxa"/>
          </w:tcPr>
          <w:p w14:paraId="637BDBB2" w14:textId="77777777" w:rsidR="005220BE" w:rsidRPr="00D518FF" w:rsidRDefault="005220BE" w:rsidP="005220BE">
            <w:pPr>
              <w:rPr>
                <w:rFonts w:ascii="Aptos" w:hAnsi="Aptos"/>
                <w:sz w:val="16"/>
                <w:szCs w:val="16"/>
              </w:rPr>
            </w:pPr>
            <w:r>
              <w:rPr>
                <w:rFonts w:ascii="Aptos" w:hAnsi="Aptos"/>
                <w:sz w:val="16"/>
                <w:szCs w:val="16"/>
              </w:rPr>
              <w:t>Low risk</w:t>
            </w:r>
          </w:p>
        </w:tc>
      </w:tr>
      <w:tr w:rsidR="006B1408" w:rsidRPr="00D518FF" w14:paraId="66ED06F7" w14:textId="77777777" w:rsidTr="00F614C8">
        <w:trPr>
          <w:trHeight w:val="196"/>
        </w:trPr>
        <w:tc>
          <w:tcPr>
            <w:tcW w:w="971" w:type="dxa"/>
          </w:tcPr>
          <w:p w14:paraId="7586F8ED" w14:textId="77777777" w:rsidR="006C209E" w:rsidRPr="00D518FF" w:rsidRDefault="006C209E" w:rsidP="00CF6EDC">
            <w:pPr>
              <w:rPr>
                <w:rFonts w:ascii="Aptos" w:hAnsi="Aptos"/>
                <w:sz w:val="16"/>
                <w:szCs w:val="16"/>
              </w:rPr>
            </w:pPr>
            <w:r w:rsidRPr="00D518FF">
              <w:rPr>
                <w:rFonts w:ascii="Aptos" w:hAnsi="Aptos"/>
                <w:sz w:val="16"/>
                <w:szCs w:val="16"/>
              </w:rPr>
              <w:t>Jibril 2022</w:t>
            </w:r>
          </w:p>
        </w:tc>
        <w:tc>
          <w:tcPr>
            <w:tcW w:w="875" w:type="dxa"/>
          </w:tcPr>
          <w:p w14:paraId="560883A6" w14:textId="77777777" w:rsidR="006C209E" w:rsidRPr="00D518FF" w:rsidRDefault="006C209E" w:rsidP="00CF6EDC">
            <w:pPr>
              <w:rPr>
                <w:rFonts w:ascii="Aptos" w:hAnsi="Aptos"/>
                <w:sz w:val="16"/>
                <w:szCs w:val="16"/>
              </w:rPr>
            </w:pPr>
            <w:r w:rsidRPr="00D518FF">
              <w:rPr>
                <w:rFonts w:ascii="Aptos" w:hAnsi="Aptos"/>
                <w:sz w:val="16"/>
                <w:szCs w:val="16"/>
              </w:rPr>
              <w:t>1 - FPG/FBG</w:t>
            </w:r>
          </w:p>
        </w:tc>
        <w:tc>
          <w:tcPr>
            <w:tcW w:w="855" w:type="dxa"/>
          </w:tcPr>
          <w:p w14:paraId="1FAF5258"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23F6C80C" w14:textId="77777777" w:rsidR="006C209E" w:rsidRPr="00D518FF" w:rsidRDefault="006C209E" w:rsidP="00CF6EDC">
            <w:pPr>
              <w:rPr>
                <w:rFonts w:ascii="Aptos" w:hAnsi="Aptos"/>
                <w:sz w:val="16"/>
                <w:szCs w:val="16"/>
              </w:rPr>
            </w:pPr>
            <w:r w:rsidRPr="00D518FF">
              <w:rPr>
                <w:rFonts w:ascii="Aptos" w:hAnsi="Aptos"/>
                <w:sz w:val="16"/>
                <w:szCs w:val="16"/>
              </w:rPr>
              <w:t>Type 2 diabetes patients (men and women), 18 years and above,</w:t>
            </w:r>
          </w:p>
        </w:tc>
        <w:tc>
          <w:tcPr>
            <w:tcW w:w="1275" w:type="dxa"/>
          </w:tcPr>
          <w:p w14:paraId="4D65322D"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3E42BC91" w14:textId="77777777" w:rsidR="006C209E" w:rsidRPr="00D518FF" w:rsidRDefault="006C209E" w:rsidP="00CF6EDC">
            <w:pPr>
              <w:rPr>
                <w:rFonts w:ascii="Aptos" w:hAnsi="Aptos"/>
                <w:sz w:val="16"/>
                <w:szCs w:val="16"/>
              </w:rPr>
            </w:pPr>
            <w:r w:rsidRPr="00D518FF">
              <w:rPr>
                <w:rFonts w:ascii="Aptos" w:hAnsi="Aptos"/>
                <w:sz w:val="16"/>
                <w:szCs w:val="16"/>
              </w:rPr>
              <w:t>Oral supplementation of ALA ≥4 weeks</w:t>
            </w:r>
          </w:p>
        </w:tc>
        <w:tc>
          <w:tcPr>
            <w:tcW w:w="1014" w:type="dxa"/>
          </w:tcPr>
          <w:p w14:paraId="2148E6D0" w14:textId="77777777" w:rsidR="006C209E" w:rsidRPr="00D518FF" w:rsidRDefault="006C209E" w:rsidP="00CF6EDC">
            <w:pPr>
              <w:rPr>
                <w:rFonts w:ascii="Aptos" w:hAnsi="Aptos"/>
                <w:sz w:val="16"/>
                <w:szCs w:val="16"/>
              </w:rPr>
            </w:pPr>
            <w:r w:rsidRPr="00D518FF">
              <w:rPr>
                <w:rFonts w:ascii="Aptos" w:hAnsi="Aptos"/>
                <w:sz w:val="16"/>
                <w:szCs w:val="16"/>
              </w:rPr>
              <w:t>Placebo</w:t>
            </w:r>
          </w:p>
        </w:tc>
        <w:tc>
          <w:tcPr>
            <w:tcW w:w="774" w:type="dxa"/>
          </w:tcPr>
          <w:p w14:paraId="04CB6EC4" w14:textId="77777777" w:rsidR="006C209E" w:rsidRPr="00D518FF" w:rsidRDefault="006C209E" w:rsidP="00CF6EDC">
            <w:pPr>
              <w:rPr>
                <w:rFonts w:ascii="Aptos" w:hAnsi="Aptos"/>
                <w:sz w:val="16"/>
                <w:szCs w:val="16"/>
              </w:rPr>
            </w:pPr>
            <w:r w:rsidRPr="00D518FF">
              <w:rPr>
                <w:rFonts w:ascii="Aptos" w:hAnsi="Aptos"/>
                <w:sz w:val="16"/>
                <w:szCs w:val="16"/>
              </w:rPr>
              <w:t>9</w:t>
            </w:r>
          </w:p>
        </w:tc>
        <w:tc>
          <w:tcPr>
            <w:tcW w:w="940" w:type="dxa"/>
          </w:tcPr>
          <w:p w14:paraId="0B650755" w14:textId="77777777" w:rsidR="006C209E" w:rsidRPr="00D518FF" w:rsidRDefault="006C209E" w:rsidP="00CF6EDC">
            <w:pPr>
              <w:rPr>
                <w:rFonts w:ascii="Aptos" w:hAnsi="Aptos"/>
                <w:sz w:val="16"/>
                <w:szCs w:val="16"/>
              </w:rPr>
            </w:pPr>
            <w:r w:rsidRPr="00D518FF">
              <w:rPr>
                <w:rFonts w:ascii="Aptos" w:hAnsi="Aptos"/>
                <w:sz w:val="16"/>
                <w:szCs w:val="16"/>
              </w:rPr>
              <w:t>620</w:t>
            </w:r>
          </w:p>
        </w:tc>
        <w:tc>
          <w:tcPr>
            <w:tcW w:w="1008" w:type="dxa"/>
          </w:tcPr>
          <w:p w14:paraId="3DD70F36" w14:textId="77777777" w:rsidR="006C209E" w:rsidRPr="00D518FF" w:rsidRDefault="006C209E" w:rsidP="00CF6EDC">
            <w:pPr>
              <w:rPr>
                <w:rFonts w:ascii="Aptos" w:hAnsi="Aptos"/>
                <w:sz w:val="16"/>
                <w:szCs w:val="16"/>
              </w:rPr>
            </w:pPr>
          </w:p>
        </w:tc>
        <w:tc>
          <w:tcPr>
            <w:tcW w:w="950" w:type="dxa"/>
          </w:tcPr>
          <w:p w14:paraId="7E6F6175" w14:textId="77777777" w:rsidR="006C209E" w:rsidRPr="00D518FF" w:rsidRDefault="006C209E" w:rsidP="00CF6EDC">
            <w:pPr>
              <w:rPr>
                <w:rFonts w:ascii="Aptos" w:hAnsi="Aptos"/>
                <w:sz w:val="16"/>
                <w:szCs w:val="16"/>
              </w:rPr>
            </w:pPr>
            <w:r w:rsidRPr="00D518FF">
              <w:rPr>
                <w:rFonts w:ascii="Aptos" w:hAnsi="Aptos"/>
                <w:sz w:val="16"/>
                <w:szCs w:val="16"/>
              </w:rPr>
              <w:t>MD: −6.08 mg/dl; 95% CI: −9.74</w:t>
            </w:r>
            <w:r w:rsidRPr="00D518FF">
              <w:rPr>
                <w:rFonts w:ascii="Aptos" w:hAnsi="Aptos"/>
                <w:sz w:val="16"/>
                <w:szCs w:val="16"/>
              </w:rPr>
              <w:br/>
              <w:t>to −2.42, P</w:t>
            </w:r>
            <w:r w:rsidRPr="00D518FF">
              <w:rPr>
                <w:rFonts w:ascii="Aptos" w:hAnsi="Aptos"/>
                <w:sz w:val="16"/>
                <w:szCs w:val="16"/>
              </w:rPr>
              <w:br/>
              <w:t>=</w:t>
            </w:r>
            <w:r w:rsidRPr="00D518FF">
              <w:rPr>
                <w:rFonts w:ascii="Aptos" w:hAnsi="Aptos"/>
                <w:sz w:val="16"/>
                <w:szCs w:val="16"/>
              </w:rPr>
              <w:br/>
              <w:t>0.001</w:t>
            </w:r>
          </w:p>
        </w:tc>
        <w:tc>
          <w:tcPr>
            <w:tcW w:w="720" w:type="dxa"/>
          </w:tcPr>
          <w:p w14:paraId="11FAB35A" w14:textId="77777777" w:rsidR="006C209E" w:rsidRPr="00D518FF" w:rsidRDefault="006C209E" w:rsidP="00CF6EDC">
            <w:pPr>
              <w:rPr>
                <w:rFonts w:ascii="Aptos" w:hAnsi="Aptos"/>
                <w:sz w:val="16"/>
                <w:szCs w:val="16"/>
              </w:rPr>
            </w:pPr>
            <w:r>
              <w:rPr>
                <w:rFonts w:ascii="Aptos" w:hAnsi="Aptos"/>
                <w:sz w:val="16"/>
                <w:szCs w:val="16"/>
              </w:rPr>
              <w:t xml:space="preserve">I² </w:t>
            </w:r>
            <w:r w:rsidRPr="00D518FF">
              <w:rPr>
                <w:rFonts w:ascii="Aptos" w:hAnsi="Aptos"/>
                <w:sz w:val="16"/>
                <w:szCs w:val="16"/>
              </w:rPr>
              <w:t xml:space="preserve">=94.2%, P &lt; 0.001). </w:t>
            </w:r>
            <w:r w:rsidRPr="00D518FF">
              <w:rPr>
                <w:rFonts w:ascii="Aptos" w:hAnsi="Aptos"/>
                <w:sz w:val="16"/>
                <w:szCs w:val="16"/>
              </w:rPr>
              <w:br/>
            </w:r>
            <w:r>
              <w:rPr>
                <w:rFonts w:ascii="Aptos" w:hAnsi="Aptos"/>
                <w:sz w:val="16"/>
                <w:szCs w:val="16"/>
              </w:rPr>
              <w:t>E</w:t>
            </w:r>
            <w:r w:rsidRPr="00D518FF">
              <w:rPr>
                <w:rFonts w:ascii="Aptos" w:hAnsi="Aptos"/>
                <w:sz w:val="16"/>
                <w:szCs w:val="16"/>
              </w:rPr>
              <w:t>xclusion of each study at a time did not change the pooled</w:t>
            </w:r>
            <w:r w:rsidRPr="00D518FF">
              <w:rPr>
                <w:rFonts w:ascii="Aptos" w:hAnsi="Aptos"/>
                <w:sz w:val="16"/>
                <w:szCs w:val="16"/>
              </w:rPr>
              <w:br/>
              <w:t>effect size</w:t>
            </w:r>
            <w:r>
              <w:rPr>
                <w:rFonts w:ascii="Aptos" w:hAnsi="Aptos"/>
                <w:sz w:val="16"/>
                <w:szCs w:val="16"/>
              </w:rPr>
              <w:t>. S</w:t>
            </w:r>
            <w:r w:rsidRPr="00D518FF">
              <w:rPr>
                <w:rFonts w:ascii="Aptos" w:hAnsi="Aptos"/>
                <w:sz w:val="16"/>
                <w:szCs w:val="16"/>
              </w:rPr>
              <w:t>ubgroup analysis</w:t>
            </w:r>
            <w:r w:rsidRPr="00D518FF">
              <w:rPr>
                <w:rFonts w:ascii="Aptos" w:hAnsi="Aptos"/>
                <w:sz w:val="16"/>
                <w:szCs w:val="16"/>
              </w:rPr>
              <w:br/>
              <w:t>showed the risk of bias partly explained the heterogeneity,</w:t>
            </w:r>
            <w:r w:rsidRPr="00D518FF">
              <w:rPr>
                <w:rFonts w:ascii="Aptos" w:hAnsi="Aptos"/>
                <w:sz w:val="16"/>
                <w:szCs w:val="16"/>
              </w:rPr>
              <w:br/>
              <w:t xml:space="preserve">where a greater decrease was observed in the </w:t>
            </w:r>
            <w:r w:rsidRPr="00D518FF">
              <w:rPr>
                <w:rFonts w:ascii="Aptos" w:hAnsi="Aptos"/>
                <w:sz w:val="16"/>
                <w:szCs w:val="16"/>
              </w:rPr>
              <w:lastRenderedPageBreak/>
              <w:t>studies with a</w:t>
            </w:r>
            <w:r w:rsidRPr="00D518FF">
              <w:rPr>
                <w:rFonts w:ascii="Aptos" w:hAnsi="Aptos"/>
                <w:sz w:val="16"/>
                <w:szCs w:val="16"/>
              </w:rPr>
              <w:br/>
              <w:t>low risk of bias</w:t>
            </w:r>
            <w:r>
              <w:rPr>
                <w:rFonts w:ascii="Aptos" w:hAnsi="Aptos"/>
                <w:sz w:val="16"/>
                <w:szCs w:val="16"/>
              </w:rPr>
              <w:t>.</w:t>
            </w:r>
          </w:p>
        </w:tc>
        <w:tc>
          <w:tcPr>
            <w:tcW w:w="1115" w:type="dxa"/>
            <w:vMerge w:val="restart"/>
          </w:tcPr>
          <w:p w14:paraId="59BF4242" w14:textId="77777777" w:rsidR="006C209E" w:rsidRPr="00231FEA" w:rsidRDefault="006C209E" w:rsidP="00CF6EDC">
            <w:pPr>
              <w:rPr>
                <w:rFonts w:ascii="Aptos" w:hAnsi="Aptos"/>
                <w:sz w:val="16"/>
                <w:szCs w:val="16"/>
              </w:rPr>
            </w:pPr>
            <w:r w:rsidRPr="00231FEA">
              <w:rPr>
                <w:rFonts w:ascii="Aptos" w:hAnsi="Aptos"/>
                <w:sz w:val="16"/>
                <w:szCs w:val="16"/>
              </w:rPr>
              <w:lastRenderedPageBreak/>
              <w:t>All included studies were at low risk of bias in terms of</w:t>
            </w:r>
          </w:p>
          <w:p w14:paraId="195DD185" w14:textId="77777777" w:rsidR="006C209E" w:rsidRPr="00D518FF" w:rsidRDefault="006C209E" w:rsidP="00CF6EDC">
            <w:pPr>
              <w:rPr>
                <w:rFonts w:ascii="Aptos" w:hAnsi="Aptos"/>
                <w:sz w:val="16"/>
                <w:szCs w:val="16"/>
              </w:rPr>
            </w:pPr>
            <w:r w:rsidRPr="00231FEA">
              <w:rPr>
                <w:rFonts w:ascii="Aptos" w:hAnsi="Aptos"/>
                <w:sz w:val="16"/>
                <w:szCs w:val="16"/>
              </w:rPr>
              <w:t>incomplete outcome data, selective reporting, and other</w:t>
            </w:r>
          </w:p>
          <w:p w14:paraId="3F3B923D" w14:textId="77777777" w:rsidR="006C209E" w:rsidRPr="00D518FF" w:rsidRDefault="006C209E" w:rsidP="00CF6EDC">
            <w:pPr>
              <w:rPr>
                <w:rFonts w:ascii="Aptos" w:hAnsi="Aptos"/>
                <w:sz w:val="16"/>
                <w:szCs w:val="16"/>
              </w:rPr>
            </w:pPr>
          </w:p>
          <w:p w14:paraId="6B660D77" w14:textId="77777777" w:rsidR="006C209E" w:rsidRPr="00D518FF" w:rsidRDefault="006C209E" w:rsidP="00CF6EDC">
            <w:pPr>
              <w:rPr>
                <w:rFonts w:ascii="Aptos" w:hAnsi="Aptos"/>
                <w:sz w:val="16"/>
                <w:szCs w:val="16"/>
              </w:rPr>
            </w:pPr>
          </w:p>
        </w:tc>
        <w:tc>
          <w:tcPr>
            <w:tcW w:w="1134" w:type="dxa"/>
          </w:tcPr>
          <w:p w14:paraId="451F903B" w14:textId="77777777" w:rsidR="006C209E" w:rsidRPr="00D518FF" w:rsidRDefault="006C209E" w:rsidP="00CF6EDC">
            <w:pPr>
              <w:rPr>
                <w:rFonts w:ascii="Aptos" w:hAnsi="Aptos"/>
                <w:sz w:val="16"/>
                <w:szCs w:val="16"/>
              </w:rPr>
            </w:pPr>
            <w:r>
              <w:rPr>
                <w:rFonts w:ascii="Aptos" w:hAnsi="Aptos"/>
                <w:sz w:val="16"/>
                <w:szCs w:val="16"/>
              </w:rPr>
              <w:t>Low risk</w:t>
            </w:r>
          </w:p>
        </w:tc>
      </w:tr>
      <w:tr w:rsidR="006B1408" w:rsidRPr="00D518FF" w14:paraId="28B1144B" w14:textId="77777777" w:rsidTr="00F614C8">
        <w:trPr>
          <w:trHeight w:val="196"/>
        </w:trPr>
        <w:tc>
          <w:tcPr>
            <w:tcW w:w="971" w:type="dxa"/>
          </w:tcPr>
          <w:p w14:paraId="2E312246" w14:textId="77777777" w:rsidR="006C209E" w:rsidRPr="00D518FF" w:rsidRDefault="006C209E" w:rsidP="00CF6EDC">
            <w:pPr>
              <w:rPr>
                <w:rFonts w:ascii="Aptos" w:hAnsi="Aptos"/>
                <w:sz w:val="16"/>
                <w:szCs w:val="16"/>
              </w:rPr>
            </w:pPr>
            <w:r w:rsidRPr="00D518FF">
              <w:rPr>
                <w:rFonts w:ascii="Aptos" w:hAnsi="Aptos"/>
                <w:sz w:val="16"/>
                <w:szCs w:val="16"/>
              </w:rPr>
              <w:t>Jibril 2022</w:t>
            </w:r>
          </w:p>
        </w:tc>
        <w:tc>
          <w:tcPr>
            <w:tcW w:w="875" w:type="dxa"/>
          </w:tcPr>
          <w:p w14:paraId="2DFCAA87" w14:textId="77777777" w:rsidR="006C209E" w:rsidRPr="00D518FF" w:rsidRDefault="006C209E" w:rsidP="00CF6EDC">
            <w:pPr>
              <w:rPr>
                <w:rFonts w:ascii="Aptos" w:hAnsi="Aptos"/>
                <w:sz w:val="16"/>
                <w:szCs w:val="16"/>
              </w:rPr>
            </w:pPr>
            <w:r w:rsidRPr="00D518FF">
              <w:rPr>
                <w:rFonts w:ascii="Aptos" w:hAnsi="Aptos"/>
                <w:sz w:val="16"/>
                <w:szCs w:val="16"/>
              </w:rPr>
              <w:t>1 - Hb1AC</w:t>
            </w:r>
          </w:p>
        </w:tc>
        <w:tc>
          <w:tcPr>
            <w:tcW w:w="855" w:type="dxa"/>
          </w:tcPr>
          <w:p w14:paraId="5126C160"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56D572E4" w14:textId="77777777" w:rsidR="006C209E" w:rsidRPr="00D518FF" w:rsidRDefault="006C209E" w:rsidP="00CF6EDC">
            <w:pPr>
              <w:rPr>
                <w:rFonts w:ascii="Aptos" w:hAnsi="Aptos"/>
                <w:sz w:val="16"/>
                <w:szCs w:val="16"/>
              </w:rPr>
            </w:pPr>
            <w:r w:rsidRPr="00D518FF">
              <w:rPr>
                <w:rFonts w:ascii="Aptos" w:hAnsi="Aptos"/>
                <w:sz w:val="16"/>
                <w:szCs w:val="16"/>
              </w:rPr>
              <w:t>Type 2 diabetes patients (men and women), 18 years and above,</w:t>
            </w:r>
          </w:p>
        </w:tc>
        <w:tc>
          <w:tcPr>
            <w:tcW w:w="1275" w:type="dxa"/>
          </w:tcPr>
          <w:p w14:paraId="55A567B3"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458813D2" w14:textId="77777777" w:rsidR="006C209E" w:rsidRPr="00D518FF" w:rsidRDefault="006C209E" w:rsidP="00CF6EDC">
            <w:pPr>
              <w:rPr>
                <w:rFonts w:ascii="Aptos" w:hAnsi="Aptos"/>
                <w:sz w:val="16"/>
                <w:szCs w:val="16"/>
              </w:rPr>
            </w:pPr>
            <w:r w:rsidRPr="00D518FF">
              <w:rPr>
                <w:rFonts w:ascii="Aptos" w:hAnsi="Aptos"/>
                <w:sz w:val="16"/>
                <w:szCs w:val="16"/>
              </w:rPr>
              <w:t>Oral supplementation of ALA ≥4 weeks</w:t>
            </w:r>
          </w:p>
        </w:tc>
        <w:tc>
          <w:tcPr>
            <w:tcW w:w="1014" w:type="dxa"/>
          </w:tcPr>
          <w:p w14:paraId="106D384F" w14:textId="77777777" w:rsidR="006C209E" w:rsidRPr="00D518FF" w:rsidRDefault="006C209E" w:rsidP="00CF6EDC">
            <w:pPr>
              <w:rPr>
                <w:rFonts w:ascii="Aptos" w:hAnsi="Aptos"/>
                <w:sz w:val="16"/>
                <w:szCs w:val="16"/>
              </w:rPr>
            </w:pPr>
            <w:r w:rsidRPr="00D518FF">
              <w:rPr>
                <w:rFonts w:ascii="Aptos" w:hAnsi="Aptos"/>
                <w:sz w:val="16"/>
                <w:szCs w:val="16"/>
              </w:rPr>
              <w:t>Placebo</w:t>
            </w:r>
          </w:p>
        </w:tc>
        <w:tc>
          <w:tcPr>
            <w:tcW w:w="774" w:type="dxa"/>
          </w:tcPr>
          <w:p w14:paraId="4915DA15" w14:textId="77777777" w:rsidR="006C209E" w:rsidRPr="00D518FF" w:rsidRDefault="006C209E" w:rsidP="00CF6EDC">
            <w:pPr>
              <w:rPr>
                <w:rFonts w:ascii="Aptos" w:hAnsi="Aptos"/>
                <w:sz w:val="16"/>
                <w:szCs w:val="16"/>
              </w:rPr>
            </w:pPr>
            <w:r w:rsidRPr="00D518FF">
              <w:rPr>
                <w:rFonts w:ascii="Aptos" w:hAnsi="Aptos"/>
                <w:sz w:val="16"/>
                <w:szCs w:val="16"/>
              </w:rPr>
              <w:t>11</w:t>
            </w:r>
          </w:p>
        </w:tc>
        <w:tc>
          <w:tcPr>
            <w:tcW w:w="940" w:type="dxa"/>
          </w:tcPr>
          <w:p w14:paraId="665C37FC" w14:textId="77777777" w:rsidR="006C209E" w:rsidRPr="00D518FF" w:rsidRDefault="006C209E" w:rsidP="00CF6EDC">
            <w:pPr>
              <w:rPr>
                <w:rFonts w:ascii="Aptos" w:hAnsi="Aptos"/>
                <w:sz w:val="16"/>
                <w:szCs w:val="16"/>
              </w:rPr>
            </w:pPr>
            <w:r w:rsidRPr="00D518FF">
              <w:rPr>
                <w:rFonts w:ascii="Aptos" w:hAnsi="Aptos"/>
                <w:sz w:val="16"/>
                <w:szCs w:val="16"/>
              </w:rPr>
              <w:t>782</w:t>
            </w:r>
          </w:p>
        </w:tc>
        <w:tc>
          <w:tcPr>
            <w:tcW w:w="1008" w:type="dxa"/>
          </w:tcPr>
          <w:p w14:paraId="7ADCAF03" w14:textId="77777777" w:rsidR="006C209E" w:rsidRPr="00D518FF" w:rsidRDefault="006C209E" w:rsidP="00CF6EDC">
            <w:pPr>
              <w:rPr>
                <w:rFonts w:ascii="Aptos" w:hAnsi="Aptos"/>
                <w:sz w:val="16"/>
                <w:szCs w:val="16"/>
              </w:rPr>
            </w:pPr>
          </w:p>
        </w:tc>
        <w:tc>
          <w:tcPr>
            <w:tcW w:w="950" w:type="dxa"/>
          </w:tcPr>
          <w:p w14:paraId="7F32F894" w14:textId="77777777" w:rsidR="006C209E" w:rsidRPr="00D518FF" w:rsidRDefault="006C209E" w:rsidP="00CF6EDC">
            <w:pPr>
              <w:rPr>
                <w:rFonts w:ascii="Aptos" w:hAnsi="Aptos"/>
                <w:sz w:val="16"/>
                <w:szCs w:val="16"/>
              </w:rPr>
            </w:pPr>
            <w:r w:rsidRPr="00D518FF">
              <w:rPr>
                <w:rFonts w:ascii="Aptos" w:hAnsi="Aptos"/>
                <w:sz w:val="16"/>
                <w:szCs w:val="16"/>
              </w:rPr>
              <w:t>MD: –0.17%; 95% CI: −0.30</w:t>
            </w:r>
            <w:r w:rsidRPr="00D518FF">
              <w:rPr>
                <w:rFonts w:ascii="Aptos" w:hAnsi="Aptos"/>
                <w:sz w:val="16"/>
                <w:szCs w:val="16"/>
              </w:rPr>
              <w:br/>
              <w:t>to −0.05, P</w:t>
            </w:r>
            <w:r w:rsidRPr="00D518FF">
              <w:rPr>
                <w:rFonts w:ascii="Aptos" w:hAnsi="Aptos"/>
                <w:sz w:val="16"/>
                <w:szCs w:val="16"/>
              </w:rPr>
              <w:br/>
              <w:t>=</w:t>
            </w:r>
            <w:r w:rsidRPr="00D518FF">
              <w:rPr>
                <w:rFonts w:ascii="Aptos" w:hAnsi="Aptos"/>
                <w:sz w:val="16"/>
                <w:szCs w:val="16"/>
              </w:rPr>
              <w:br/>
              <w:t>0.008</w:t>
            </w:r>
          </w:p>
        </w:tc>
        <w:tc>
          <w:tcPr>
            <w:tcW w:w="720" w:type="dxa"/>
          </w:tcPr>
          <w:p w14:paraId="61773495" w14:textId="77777777" w:rsidR="006C209E" w:rsidRPr="00D518FF" w:rsidRDefault="006C209E" w:rsidP="00CF6EDC">
            <w:pPr>
              <w:rPr>
                <w:rFonts w:ascii="Aptos" w:hAnsi="Aptos"/>
                <w:sz w:val="16"/>
                <w:szCs w:val="16"/>
              </w:rPr>
            </w:pPr>
            <w:r>
              <w:rPr>
                <w:rFonts w:ascii="Aptos" w:hAnsi="Aptos"/>
                <w:sz w:val="16"/>
                <w:szCs w:val="16"/>
              </w:rPr>
              <w:t xml:space="preserve">I² = </w:t>
            </w:r>
            <w:r w:rsidRPr="00D518FF">
              <w:rPr>
                <w:rFonts w:ascii="Aptos" w:hAnsi="Aptos"/>
                <w:sz w:val="16"/>
                <w:szCs w:val="16"/>
              </w:rPr>
              <w:t>91.5%, P &lt; 0.001</w:t>
            </w:r>
          </w:p>
        </w:tc>
        <w:tc>
          <w:tcPr>
            <w:tcW w:w="1115" w:type="dxa"/>
            <w:vMerge/>
          </w:tcPr>
          <w:p w14:paraId="35292AD8" w14:textId="77777777" w:rsidR="006C209E" w:rsidRPr="00D518FF" w:rsidRDefault="006C209E" w:rsidP="00CF6EDC">
            <w:pPr>
              <w:rPr>
                <w:rFonts w:ascii="Aptos" w:hAnsi="Aptos"/>
                <w:sz w:val="16"/>
                <w:szCs w:val="16"/>
              </w:rPr>
            </w:pPr>
          </w:p>
        </w:tc>
        <w:tc>
          <w:tcPr>
            <w:tcW w:w="1134" w:type="dxa"/>
          </w:tcPr>
          <w:p w14:paraId="075D7DD5" w14:textId="77777777" w:rsidR="006C209E" w:rsidRPr="00D518FF" w:rsidRDefault="006C209E" w:rsidP="00CF6EDC">
            <w:pPr>
              <w:rPr>
                <w:rFonts w:ascii="Aptos" w:hAnsi="Aptos"/>
                <w:sz w:val="16"/>
                <w:szCs w:val="16"/>
              </w:rPr>
            </w:pPr>
            <w:r>
              <w:rPr>
                <w:rFonts w:ascii="Aptos" w:hAnsi="Aptos"/>
                <w:sz w:val="16"/>
                <w:szCs w:val="16"/>
              </w:rPr>
              <w:t>Low risk</w:t>
            </w:r>
          </w:p>
        </w:tc>
      </w:tr>
      <w:tr w:rsidR="006B1408" w:rsidRPr="00D518FF" w14:paraId="23FCD200" w14:textId="77777777" w:rsidTr="00F614C8">
        <w:trPr>
          <w:trHeight w:val="196"/>
        </w:trPr>
        <w:tc>
          <w:tcPr>
            <w:tcW w:w="971" w:type="dxa"/>
          </w:tcPr>
          <w:p w14:paraId="2C6458C4" w14:textId="77777777" w:rsidR="006C209E" w:rsidRPr="00D518FF" w:rsidRDefault="006C209E" w:rsidP="00CF6EDC">
            <w:pPr>
              <w:rPr>
                <w:rFonts w:ascii="Aptos" w:hAnsi="Aptos"/>
                <w:sz w:val="16"/>
                <w:szCs w:val="16"/>
              </w:rPr>
            </w:pPr>
            <w:r w:rsidRPr="00D518FF">
              <w:rPr>
                <w:rFonts w:ascii="Aptos" w:hAnsi="Aptos"/>
                <w:sz w:val="16"/>
                <w:szCs w:val="16"/>
              </w:rPr>
              <w:t>Jibril 2022</w:t>
            </w:r>
          </w:p>
        </w:tc>
        <w:tc>
          <w:tcPr>
            <w:tcW w:w="875" w:type="dxa"/>
          </w:tcPr>
          <w:p w14:paraId="20AE10AD" w14:textId="77777777" w:rsidR="006C209E" w:rsidRPr="00D518FF" w:rsidRDefault="006C209E" w:rsidP="00CF6EDC">
            <w:pPr>
              <w:rPr>
                <w:rFonts w:ascii="Aptos" w:hAnsi="Aptos"/>
                <w:sz w:val="16"/>
                <w:szCs w:val="16"/>
              </w:rPr>
            </w:pPr>
            <w:r w:rsidRPr="00D518FF">
              <w:rPr>
                <w:rFonts w:ascii="Aptos" w:hAnsi="Aptos"/>
                <w:sz w:val="16"/>
                <w:szCs w:val="16"/>
              </w:rPr>
              <w:t>2 - SBP</w:t>
            </w:r>
          </w:p>
        </w:tc>
        <w:tc>
          <w:tcPr>
            <w:tcW w:w="855" w:type="dxa"/>
          </w:tcPr>
          <w:p w14:paraId="50C27C89"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50307CBE" w14:textId="77777777" w:rsidR="006C209E" w:rsidRPr="00D518FF" w:rsidRDefault="006C209E" w:rsidP="00CF6EDC">
            <w:pPr>
              <w:rPr>
                <w:rFonts w:ascii="Aptos" w:hAnsi="Aptos"/>
                <w:sz w:val="16"/>
                <w:szCs w:val="16"/>
              </w:rPr>
            </w:pPr>
            <w:r w:rsidRPr="00D518FF">
              <w:rPr>
                <w:rFonts w:ascii="Aptos" w:hAnsi="Aptos"/>
                <w:sz w:val="16"/>
                <w:szCs w:val="16"/>
              </w:rPr>
              <w:t>Type 2 diabetes patients (men and women), 18 years and above,</w:t>
            </w:r>
          </w:p>
        </w:tc>
        <w:tc>
          <w:tcPr>
            <w:tcW w:w="1275" w:type="dxa"/>
          </w:tcPr>
          <w:p w14:paraId="6F2E7138"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63BA5645" w14:textId="77777777" w:rsidR="006C209E" w:rsidRPr="00D518FF" w:rsidRDefault="006C209E" w:rsidP="00CF6EDC">
            <w:pPr>
              <w:rPr>
                <w:rFonts w:ascii="Aptos" w:hAnsi="Aptos"/>
                <w:sz w:val="16"/>
                <w:szCs w:val="16"/>
              </w:rPr>
            </w:pPr>
            <w:r w:rsidRPr="00D518FF">
              <w:rPr>
                <w:rFonts w:ascii="Aptos" w:hAnsi="Aptos"/>
                <w:sz w:val="16"/>
                <w:szCs w:val="16"/>
              </w:rPr>
              <w:t>Oral supplementation of ALA ≥4 weeks</w:t>
            </w:r>
          </w:p>
        </w:tc>
        <w:tc>
          <w:tcPr>
            <w:tcW w:w="1014" w:type="dxa"/>
          </w:tcPr>
          <w:p w14:paraId="7E8C88AD" w14:textId="77777777" w:rsidR="006C209E" w:rsidRPr="00D518FF" w:rsidRDefault="006C209E" w:rsidP="00CF6EDC">
            <w:pPr>
              <w:rPr>
                <w:rFonts w:ascii="Aptos" w:hAnsi="Aptos"/>
                <w:sz w:val="16"/>
                <w:szCs w:val="16"/>
              </w:rPr>
            </w:pPr>
            <w:r w:rsidRPr="00D518FF">
              <w:rPr>
                <w:rFonts w:ascii="Aptos" w:hAnsi="Aptos"/>
                <w:sz w:val="16"/>
                <w:szCs w:val="16"/>
              </w:rPr>
              <w:t>Placebo</w:t>
            </w:r>
          </w:p>
        </w:tc>
        <w:tc>
          <w:tcPr>
            <w:tcW w:w="774" w:type="dxa"/>
          </w:tcPr>
          <w:p w14:paraId="70645F76" w14:textId="77777777" w:rsidR="006C209E" w:rsidRPr="00D518FF" w:rsidRDefault="006C209E" w:rsidP="00CF6EDC">
            <w:pPr>
              <w:rPr>
                <w:rFonts w:ascii="Aptos" w:hAnsi="Aptos"/>
                <w:sz w:val="16"/>
                <w:szCs w:val="16"/>
              </w:rPr>
            </w:pPr>
            <w:r w:rsidRPr="00D518FF">
              <w:rPr>
                <w:rFonts w:ascii="Aptos" w:hAnsi="Aptos"/>
                <w:sz w:val="16"/>
                <w:szCs w:val="16"/>
              </w:rPr>
              <w:t>5</w:t>
            </w:r>
          </w:p>
        </w:tc>
        <w:tc>
          <w:tcPr>
            <w:tcW w:w="940" w:type="dxa"/>
          </w:tcPr>
          <w:p w14:paraId="55AF3391" w14:textId="77777777" w:rsidR="006C209E" w:rsidRPr="00D518FF" w:rsidRDefault="006C209E" w:rsidP="00CF6EDC">
            <w:pPr>
              <w:rPr>
                <w:rFonts w:ascii="Aptos" w:hAnsi="Aptos"/>
                <w:sz w:val="16"/>
                <w:szCs w:val="16"/>
              </w:rPr>
            </w:pPr>
            <w:r w:rsidRPr="00D518FF">
              <w:rPr>
                <w:rFonts w:ascii="Aptos" w:hAnsi="Aptos"/>
                <w:sz w:val="16"/>
                <w:szCs w:val="16"/>
              </w:rPr>
              <w:t>388</w:t>
            </w:r>
          </w:p>
        </w:tc>
        <w:tc>
          <w:tcPr>
            <w:tcW w:w="1008" w:type="dxa"/>
          </w:tcPr>
          <w:p w14:paraId="3D5A2BB3" w14:textId="77777777" w:rsidR="006C209E" w:rsidRPr="00D518FF" w:rsidRDefault="006C209E" w:rsidP="00CF6EDC">
            <w:pPr>
              <w:rPr>
                <w:rFonts w:ascii="Aptos" w:hAnsi="Aptos"/>
                <w:sz w:val="16"/>
                <w:szCs w:val="16"/>
              </w:rPr>
            </w:pPr>
          </w:p>
        </w:tc>
        <w:tc>
          <w:tcPr>
            <w:tcW w:w="950" w:type="dxa"/>
          </w:tcPr>
          <w:p w14:paraId="474B4CB1" w14:textId="77777777" w:rsidR="006C209E" w:rsidRPr="00D518FF" w:rsidRDefault="006C209E" w:rsidP="00CF6EDC">
            <w:pPr>
              <w:rPr>
                <w:rFonts w:ascii="Aptos" w:hAnsi="Aptos"/>
                <w:sz w:val="16"/>
                <w:szCs w:val="16"/>
              </w:rPr>
            </w:pPr>
            <w:r w:rsidRPr="00D518FF">
              <w:rPr>
                <w:rFonts w:ascii="Aptos" w:hAnsi="Aptos"/>
                <w:sz w:val="16"/>
                <w:szCs w:val="16"/>
              </w:rPr>
              <w:t>MD: −1.71 mmhg; 95% CI: −5.48 to 2.07</w:t>
            </w:r>
          </w:p>
        </w:tc>
        <w:tc>
          <w:tcPr>
            <w:tcW w:w="720" w:type="dxa"/>
          </w:tcPr>
          <w:p w14:paraId="2EC9F3E6" w14:textId="77777777" w:rsidR="006C209E" w:rsidRPr="00D518FF" w:rsidRDefault="006C209E" w:rsidP="00CF6EDC">
            <w:pPr>
              <w:rPr>
                <w:rFonts w:ascii="Aptos" w:hAnsi="Aptos"/>
                <w:sz w:val="16"/>
                <w:szCs w:val="16"/>
              </w:rPr>
            </w:pPr>
          </w:p>
        </w:tc>
        <w:tc>
          <w:tcPr>
            <w:tcW w:w="1115" w:type="dxa"/>
            <w:vMerge/>
          </w:tcPr>
          <w:p w14:paraId="149E90FB" w14:textId="77777777" w:rsidR="006C209E" w:rsidRPr="00D518FF" w:rsidRDefault="006C209E" w:rsidP="00CF6EDC">
            <w:pPr>
              <w:rPr>
                <w:rFonts w:ascii="Aptos" w:hAnsi="Aptos"/>
                <w:sz w:val="16"/>
                <w:szCs w:val="16"/>
              </w:rPr>
            </w:pPr>
          </w:p>
        </w:tc>
        <w:tc>
          <w:tcPr>
            <w:tcW w:w="1134" w:type="dxa"/>
          </w:tcPr>
          <w:p w14:paraId="222C992B" w14:textId="77777777" w:rsidR="006C209E" w:rsidRPr="00D518FF" w:rsidRDefault="006C209E" w:rsidP="00CF6EDC">
            <w:pPr>
              <w:rPr>
                <w:rFonts w:ascii="Aptos" w:hAnsi="Aptos"/>
                <w:sz w:val="16"/>
                <w:szCs w:val="16"/>
              </w:rPr>
            </w:pPr>
            <w:r>
              <w:rPr>
                <w:rFonts w:ascii="Aptos" w:hAnsi="Aptos"/>
                <w:sz w:val="16"/>
                <w:szCs w:val="16"/>
              </w:rPr>
              <w:t>Low risk</w:t>
            </w:r>
          </w:p>
        </w:tc>
      </w:tr>
      <w:tr w:rsidR="006B1408" w:rsidRPr="00D518FF" w14:paraId="015FC139" w14:textId="77777777" w:rsidTr="00F614C8">
        <w:trPr>
          <w:trHeight w:val="196"/>
        </w:trPr>
        <w:tc>
          <w:tcPr>
            <w:tcW w:w="971" w:type="dxa"/>
          </w:tcPr>
          <w:p w14:paraId="35111980" w14:textId="77777777" w:rsidR="006C209E" w:rsidRPr="00D518FF" w:rsidRDefault="006C209E" w:rsidP="00CF6EDC">
            <w:pPr>
              <w:rPr>
                <w:rFonts w:ascii="Aptos" w:hAnsi="Aptos"/>
                <w:sz w:val="16"/>
                <w:szCs w:val="16"/>
              </w:rPr>
            </w:pPr>
            <w:r w:rsidRPr="00D518FF">
              <w:rPr>
                <w:rFonts w:ascii="Aptos" w:hAnsi="Aptos"/>
                <w:sz w:val="16"/>
                <w:szCs w:val="16"/>
              </w:rPr>
              <w:t>Kim 2022</w:t>
            </w:r>
          </w:p>
        </w:tc>
        <w:tc>
          <w:tcPr>
            <w:tcW w:w="875" w:type="dxa"/>
          </w:tcPr>
          <w:p w14:paraId="6C0C129F" w14:textId="77777777" w:rsidR="006C209E" w:rsidRPr="00D518FF" w:rsidRDefault="006C209E" w:rsidP="00CF6EDC">
            <w:pPr>
              <w:rPr>
                <w:rFonts w:ascii="Aptos" w:hAnsi="Aptos"/>
                <w:sz w:val="16"/>
                <w:szCs w:val="16"/>
              </w:rPr>
            </w:pPr>
            <w:r w:rsidRPr="00D518FF">
              <w:rPr>
                <w:rFonts w:ascii="Aptos" w:hAnsi="Aptos"/>
                <w:sz w:val="16"/>
                <w:szCs w:val="16"/>
              </w:rPr>
              <w:t>1 - FPG/FBG</w:t>
            </w:r>
          </w:p>
        </w:tc>
        <w:tc>
          <w:tcPr>
            <w:tcW w:w="855" w:type="dxa"/>
          </w:tcPr>
          <w:p w14:paraId="263356C6"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1A94AAE5" w14:textId="77777777" w:rsidR="006C209E" w:rsidRPr="00D518FF" w:rsidRDefault="006C209E" w:rsidP="00CF6EDC">
            <w:pPr>
              <w:rPr>
                <w:rFonts w:ascii="Aptos" w:hAnsi="Aptos"/>
                <w:sz w:val="16"/>
                <w:szCs w:val="16"/>
              </w:rPr>
            </w:pPr>
            <w:r w:rsidRPr="00D518FF">
              <w:rPr>
                <w:rFonts w:ascii="Aptos" w:hAnsi="Aptos"/>
                <w:sz w:val="16"/>
                <w:szCs w:val="16"/>
              </w:rPr>
              <w:t xml:space="preserve">Patients with T2DM; </w:t>
            </w:r>
          </w:p>
        </w:tc>
        <w:tc>
          <w:tcPr>
            <w:tcW w:w="1275" w:type="dxa"/>
          </w:tcPr>
          <w:p w14:paraId="546CD92C"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6ED45FD9" w14:textId="77777777" w:rsidR="006C209E" w:rsidRPr="00D518FF" w:rsidRDefault="006C209E" w:rsidP="00CF6EDC">
            <w:pPr>
              <w:rPr>
                <w:rFonts w:ascii="Aptos" w:hAnsi="Aptos"/>
                <w:sz w:val="16"/>
                <w:szCs w:val="16"/>
              </w:rPr>
            </w:pPr>
            <w:r w:rsidRPr="00D518FF">
              <w:rPr>
                <w:rFonts w:ascii="Aptos" w:hAnsi="Aptos"/>
                <w:sz w:val="16"/>
                <w:szCs w:val="16"/>
              </w:rPr>
              <w:t xml:space="preserve">Coq10 </w:t>
            </w:r>
          </w:p>
        </w:tc>
        <w:tc>
          <w:tcPr>
            <w:tcW w:w="1014" w:type="dxa"/>
          </w:tcPr>
          <w:p w14:paraId="646DF321" w14:textId="77777777" w:rsidR="006C209E" w:rsidRPr="00D518FF" w:rsidRDefault="006C209E" w:rsidP="00CF6EDC">
            <w:pPr>
              <w:rPr>
                <w:rFonts w:ascii="Aptos" w:hAnsi="Aptos"/>
                <w:sz w:val="16"/>
                <w:szCs w:val="16"/>
              </w:rPr>
            </w:pPr>
            <w:r w:rsidRPr="00D518FF">
              <w:rPr>
                <w:rFonts w:ascii="Aptos" w:hAnsi="Aptos"/>
                <w:sz w:val="16"/>
                <w:szCs w:val="16"/>
              </w:rPr>
              <w:t>Placebo/non-exposure</w:t>
            </w:r>
          </w:p>
        </w:tc>
        <w:tc>
          <w:tcPr>
            <w:tcW w:w="774" w:type="dxa"/>
          </w:tcPr>
          <w:p w14:paraId="69151705" w14:textId="77777777" w:rsidR="006C209E" w:rsidRPr="00D518FF" w:rsidRDefault="006C209E" w:rsidP="00CF6EDC">
            <w:pPr>
              <w:rPr>
                <w:rFonts w:ascii="Aptos" w:hAnsi="Aptos"/>
                <w:sz w:val="16"/>
                <w:szCs w:val="16"/>
              </w:rPr>
            </w:pPr>
            <w:r w:rsidRPr="00D518FF">
              <w:rPr>
                <w:rFonts w:ascii="Aptos" w:hAnsi="Aptos"/>
                <w:sz w:val="16"/>
                <w:szCs w:val="16"/>
              </w:rPr>
              <w:t>9</w:t>
            </w:r>
          </w:p>
        </w:tc>
        <w:tc>
          <w:tcPr>
            <w:tcW w:w="940" w:type="dxa"/>
          </w:tcPr>
          <w:p w14:paraId="69211971" w14:textId="77777777" w:rsidR="006C209E" w:rsidRPr="00D518FF" w:rsidRDefault="006C209E" w:rsidP="00CF6EDC">
            <w:pPr>
              <w:rPr>
                <w:rFonts w:ascii="Aptos" w:hAnsi="Aptos"/>
                <w:sz w:val="16"/>
                <w:szCs w:val="16"/>
              </w:rPr>
            </w:pPr>
            <w:r w:rsidRPr="00D518FF">
              <w:rPr>
                <w:rFonts w:ascii="Aptos" w:hAnsi="Aptos"/>
                <w:sz w:val="16"/>
                <w:szCs w:val="16"/>
              </w:rPr>
              <w:t>NR</w:t>
            </w:r>
          </w:p>
        </w:tc>
        <w:tc>
          <w:tcPr>
            <w:tcW w:w="1008" w:type="dxa"/>
          </w:tcPr>
          <w:p w14:paraId="35DA0334" w14:textId="77777777" w:rsidR="006C209E" w:rsidRPr="00D518FF" w:rsidRDefault="006C209E" w:rsidP="00CF6EDC">
            <w:pPr>
              <w:rPr>
                <w:rFonts w:ascii="Aptos" w:hAnsi="Aptos"/>
                <w:sz w:val="16"/>
                <w:szCs w:val="16"/>
              </w:rPr>
            </w:pPr>
          </w:p>
        </w:tc>
        <w:tc>
          <w:tcPr>
            <w:tcW w:w="950" w:type="dxa"/>
          </w:tcPr>
          <w:p w14:paraId="07B9C519" w14:textId="77777777" w:rsidR="006C209E" w:rsidRPr="00D518FF" w:rsidRDefault="006C209E" w:rsidP="00CF6EDC">
            <w:pPr>
              <w:rPr>
                <w:rFonts w:ascii="Aptos" w:hAnsi="Aptos"/>
                <w:sz w:val="16"/>
                <w:szCs w:val="16"/>
              </w:rPr>
            </w:pPr>
            <w:r w:rsidRPr="00D518FF">
              <w:rPr>
                <w:rFonts w:ascii="Aptos" w:hAnsi="Aptos"/>
                <w:sz w:val="16"/>
                <w:szCs w:val="16"/>
              </w:rPr>
              <w:t>MD = -8.84 (-16.94, -0.75)</w:t>
            </w:r>
          </w:p>
        </w:tc>
        <w:tc>
          <w:tcPr>
            <w:tcW w:w="720" w:type="dxa"/>
          </w:tcPr>
          <w:p w14:paraId="7CCB1670" w14:textId="77777777" w:rsidR="006C209E" w:rsidRPr="00D518FF" w:rsidRDefault="006C209E" w:rsidP="00CF6EDC">
            <w:pPr>
              <w:rPr>
                <w:rFonts w:ascii="Aptos" w:hAnsi="Aptos"/>
                <w:sz w:val="16"/>
                <w:szCs w:val="16"/>
              </w:rPr>
            </w:pPr>
            <w:r>
              <w:rPr>
                <w:rFonts w:ascii="Aptos" w:hAnsi="Aptos"/>
                <w:sz w:val="16"/>
                <w:szCs w:val="16"/>
              </w:rPr>
              <w:t xml:space="preserve">I² </w:t>
            </w:r>
            <w:r w:rsidRPr="00D518FF">
              <w:rPr>
                <w:rFonts w:ascii="Aptos" w:hAnsi="Aptos"/>
                <w:sz w:val="16"/>
                <w:szCs w:val="16"/>
              </w:rPr>
              <w:t>= 6%</w:t>
            </w:r>
          </w:p>
        </w:tc>
        <w:tc>
          <w:tcPr>
            <w:tcW w:w="1115" w:type="dxa"/>
            <w:vMerge w:val="restart"/>
          </w:tcPr>
          <w:p w14:paraId="1628B609" w14:textId="77777777" w:rsidR="006C209E" w:rsidRPr="00D518FF" w:rsidRDefault="006C209E" w:rsidP="00CF6EDC">
            <w:pPr>
              <w:rPr>
                <w:rFonts w:ascii="Aptos" w:hAnsi="Aptos"/>
                <w:sz w:val="16"/>
                <w:szCs w:val="16"/>
              </w:rPr>
            </w:pPr>
            <w:r>
              <w:rPr>
                <w:rFonts w:ascii="Aptos" w:hAnsi="Aptos"/>
                <w:sz w:val="16"/>
                <w:szCs w:val="16"/>
              </w:rPr>
              <w:t>High and unclear risk of bias in included studies.</w:t>
            </w:r>
          </w:p>
          <w:p w14:paraId="32DC27C0" w14:textId="77777777" w:rsidR="006C209E" w:rsidRPr="00D518FF" w:rsidRDefault="006C209E" w:rsidP="00CF6EDC">
            <w:pPr>
              <w:rPr>
                <w:rFonts w:ascii="Aptos" w:hAnsi="Aptos"/>
                <w:sz w:val="16"/>
                <w:szCs w:val="16"/>
              </w:rPr>
            </w:pPr>
          </w:p>
          <w:p w14:paraId="42EDB83B" w14:textId="77777777" w:rsidR="006C209E" w:rsidRPr="00D518FF" w:rsidRDefault="006C209E" w:rsidP="00CF6EDC">
            <w:pPr>
              <w:rPr>
                <w:rFonts w:ascii="Aptos" w:hAnsi="Aptos"/>
                <w:sz w:val="16"/>
                <w:szCs w:val="16"/>
              </w:rPr>
            </w:pPr>
          </w:p>
        </w:tc>
        <w:tc>
          <w:tcPr>
            <w:tcW w:w="1134" w:type="dxa"/>
          </w:tcPr>
          <w:p w14:paraId="34C19437" w14:textId="77777777" w:rsidR="006C209E" w:rsidRPr="00D518FF" w:rsidRDefault="006C209E" w:rsidP="00CF6EDC">
            <w:pPr>
              <w:rPr>
                <w:rFonts w:ascii="Aptos" w:hAnsi="Aptos"/>
                <w:sz w:val="16"/>
                <w:szCs w:val="16"/>
              </w:rPr>
            </w:pPr>
            <w:r>
              <w:rPr>
                <w:rFonts w:ascii="Aptos" w:hAnsi="Aptos"/>
                <w:sz w:val="16"/>
                <w:szCs w:val="16"/>
              </w:rPr>
              <w:t>Low risk</w:t>
            </w:r>
          </w:p>
        </w:tc>
      </w:tr>
      <w:tr w:rsidR="006B1408" w:rsidRPr="00D518FF" w14:paraId="6D03EB03" w14:textId="77777777" w:rsidTr="00F614C8">
        <w:trPr>
          <w:trHeight w:val="196"/>
        </w:trPr>
        <w:tc>
          <w:tcPr>
            <w:tcW w:w="971" w:type="dxa"/>
          </w:tcPr>
          <w:p w14:paraId="518466DF" w14:textId="77777777" w:rsidR="006C209E" w:rsidRPr="00D518FF" w:rsidRDefault="006C209E" w:rsidP="00CF6EDC">
            <w:pPr>
              <w:rPr>
                <w:rFonts w:ascii="Aptos" w:hAnsi="Aptos"/>
                <w:sz w:val="16"/>
                <w:szCs w:val="16"/>
              </w:rPr>
            </w:pPr>
            <w:r w:rsidRPr="00D518FF">
              <w:rPr>
                <w:rFonts w:ascii="Aptos" w:hAnsi="Aptos"/>
                <w:sz w:val="16"/>
                <w:szCs w:val="16"/>
              </w:rPr>
              <w:t>Kim 2022</w:t>
            </w:r>
          </w:p>
        </w:tc>
        <w:tc>
          <w:tcPr>
            <w:tcW w:w="875" w:type="dxa"/>
          </w:tcPr>
          <w:p w14:paraId="5F6B5792" w14:textId="77777777" w:rsidR="006C209E" w:rsidRPr="00D518FF" w:rsidRDefault="006C209E" w:rsidP="00CF6EDC">
            <w:pPr>
              <w:rPr>
                <w:rFonts w:ascii="Aptos" w:hAnsi="Aptos"/>
                <w:sz w:val="16"/>
                <w:szCs w:val="16"/>
              </w:rPr>
            </w:pPr>
            <w:r w:rsidRPr="00D518FF">
              <w:rPr>
                <w:rFonts w:ascii="Aptos" w:hAnsi="Aptos"/>
                <w:sz w:val="16"/>
                <w:szCs w:val="16"/>
              </w:rPr>
              <w:t>1 - Hb1AC</w:t>
            </w:r>
          </w:p>
        </w:tc>
        <w:tc>
          <w:tcPr>
            <w:tcW w:w="855" w:type="dxa"/>
          </w:tcPr>
          <w:p w14:paraId="340B6A2F"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34F5675D" w14:textId="77777777" w:rsidR="006C209E" w:rsidRPr="00D518FF" w:rsidRDefault="006C209E" w:rsidP="00CF6EDC">
            <w:pPr>
              <w:rPr>
                <w:rFonts w:ascii="Aptos" w:hAnsi="Aptos"/>
                <w:sz w:val="16"/>
                <w:szCs w:val="16"/>
              </w:rPr>
            </w:pPr>
            <w:r w:rsidRPr="00D518FF">
              <w:rPr>
                <w:rFonts w:ascii="Aptos" w:hAnsi="Aptos"/>
                <w:sz w:val="16"/>
                <w:szCs w:val="16"/>
              </w:rPr>
              <w:t xml:space="preserve">Patients with T2DM; </w:t>
            </w:r>
          </w:p>
        </w:tc>
        <w:tc>
          <w:tcPr>
            <w:tcW w:w="1275" w:type="dxa"/>
          </w:tcPr>
          <w:p w14:paraId="458B2FE7"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07B997F3" w14:textId="77777777" w:rsidR="006C209E" w:rsidRPr="00D518FF" w:rsidRDefault="006C209E" w:rsidP="00CF6EDC">
            <w:pPr>
              <w:rPr>
                <w:rFonts w:ascii="Aptos" w:hAnsi="Aptos"/>
                <w:sz w:val="16"/>
                <w:szCs w:val="16"/>
              </w:rPr>
            </w:pPr>
            <w:r w:rsidRPr="00D518FF">
              <w:rPr>
                <w:rFonts w:ascii="Aptos" w:hAnsi="Aptos"/>
                <w:sz w:val="16"/>
                <w:szCs w:val="16"/>
              </w:rPr>
              <w:t xml:space="preserve">Coq10 </w:t>
            </w:r>
          </w:p>
        </w:tc>
        <w:tc>
          <w:tcPr>
            <w:tcW w:w="1014" w:type="dxa"/>
          </w:tcPr>
          <w:p w14:paraId="7606EF62" w14:textId="77777777" w:rsidR="006C209E" w:rsidRPr="00D518FF" w:rsidRDefault="006C209E" w:rsidP="00CF6EDC">
            <w:pPr>
              <w:rPr>
                <w:rFonts w:ascii="Aptos" w:hAnsi="Aptos"/>
                <w:sz w:val="16"/>
                <w:szCs w:val="16"/>
              </w:rPr>
            </w:pPr>
            <w:r w:rsidRPr="00D518FF">
              <w:rPr>
                <w:rFonts w:ascii="Aptos" w:hAnsi="Aptos"/>
                <w:sz w:val="16"/>
                <w:szCs w:val="16"/>
              </w:rPr>
              <w:t>Placebo/non-exposure</w:t>
            </w:r>
          </w:p>
        </w:tc>
        <w:tc>
          <w:tcPr>
            <w:tcW w:w="774" w:type="dxa"/>
          </w:tcPr>
          <w:p w14:paraId="031A85F4" w14:textId="77777777" w:rsidR="006C209E" w:rsidRPr="00D518FF" w:rsidRDefault="006C209E" w:rsidP="00CF6EDC">
            <w:pPr>
              <w:rPr>
                <w:rFonts w:ascii="Aptos" w:hAnsi="Aptos"/>
                <w:sz w:val="16"/>
                <w:szCs w:val="16"/>
              </w:rPr>
            </w:pPr>
            <w:r w:rsidRPr="00D518FF">
              <w:rPr>
                <w:rFonts w:ascii="Aptos" w:hAnsi="Aptos"/>
                <w:sz w:val="16"/>
                <w:szCs w:val="16"/>
              </w:rPr>
              <w:t>11</w:t>
            </w:r>
          </w:p>
        </w:tc>
        <w:tc>
          <w:tcPr>
            <w:tcW w:w="940" w:type="dxa"/>
          </w:tcPr>
          <w:p w14:paraId="2B91A527" w14:textId="77777777" w:rsidR="006C209E" w:rsidRPr="00D518FF" w:rsidRDefault="006C209E" w:rsidP="00CF6EDC">
            <w:pPr>
              <w:rPr>
                <w:rFonts w:ascii="Aptos" w:hAnsi="Aptos"/>
                <w:sz w:val="16"/>
                <w:szCs w:val="16"/>
              </w:rPr>
            </w:pPr>
            <w:r w:rsidRPr="00D518FF">
              <w:rPr>
                <w:rFonts w:ascii="Aptos" w:hAnsi="Aptos"/>
                <w:sz w:val="16"/>
                <w:szCs w:val="16"/>
              </w:rPr>
              <w:t>NR</w:t>
            </w:r>
          </w:p>
        </w:tc>
        <w:tc>
          <w:tcPr>
            <w:tcW w:w="1008" w:type="dxa"/>
          </w:tcPr>
          <w:p w14:paraId="0D7995E6" w14:textId="77777777" w:rsidR="006C209E" w:rsidRPr="00D518FF" w:rsidRDefault="006C209E" w:rsidP="00CF6EDC">
            <w:pPr>
              <w:rPr>
                <w:rFonts w:ascii="Aptos" w:hAnsi="Aptos"/>
                <w:sz w:val="16"/>
                <w:szCs w:val="16"/>
              </w:rPr>
            </w:pPr>
          </w:p>
        </w:tc>
        <w:tc>
          <w:tcPr>
            <w:tcW w:w="950" w:type="dxa"/>
          </w:tcPr>
          <w:p w14:paraId="0C786309" w14:textId="77777777" w:rsidR="006C209E" w:rsidRPr="00D518FF" w:rsidRDefault="006C209E" w:rsidP="00CF6EDC">
            <w:pPr>
              <w:rPr>
                <w:rFonts w:ascii="Aptos" w:hAnsi="Aptos"/>
                <w:sz w:val="16"/>
                <w:szCs w:val="16"/>
              </w:rPr>
            </w:pPr>
            <w:r w:rsidRPr="00D518FF">
              <w:rPr>
                <w:rFonts w:ascii="Aptos" w:hAnsi="Aptos"/>
                <w:sz w:val="16"/>
                <w:szCs w:val="16"/>
              </w:rPr>
              <w:t>MD=-0.23 (-0.40, -0.05)</w:t>
            </w:r>
          </w:p>
        </w:tc>
        <w:tc>
          <w:tcPr>
            <w:tcW w:w="720" w:type="dxa"/>
          </w:tcPr>
          <w:p w14:paraId="017C18E1" w14:textId="77777777" w:rsidR="006C209E" w:rsidRPr="00D518FF" w:rsidRDefault="006C209E" w:rsidP="00CF6EDC">
            <w:pPr>
              <w:rPr>
                <w:rFonts w:ascii="Aptos" w:hAnsi="Aptos"/>
                <w:sz w:val="16"/>
                <w:szCs w:val="16"/>
              </w:rPr>
            </w:pPr>
            <w:r>
              <w:rPr>
                <w:rFonts w:ascii="Aptos" w:hAnsi="Aptos"/>
                <w:sz w:val="16"/>
                <w:szCs w:val="16"/>
              </w:rPr>
              <w:t xml:space="preserve">I² </w:t>
            </w:r>
            <w:r w:rsidRPr="00D518FF">
              <w:rPr>
                <w:rFonts w:ascii="Aptos" w:hAnsi="Aptos"/>
                <w:sz w:val="16"/>
                <w:szCs w:val="16"/>
              </w:rPr>
              <w:t>= 3%</w:t>
            </w:r>
          </w:p>
        </w:tc>
        <w:tc>
          <w:tcPr>
            <w:tcW w:w="1115" w:type="dxa"/>
            <w:vMerge/>
          </w:tcPr>
          <w:p w14:paraId="10D32398" w14:textId="77777777" w:rsidR="006C209E" w:rsidRPr="00D518FF" w:rsidRDefault="006C209E" w:rsidP="00CF6EDC">
            <w:pPr>
              <w:rPr>
                <w:rFonts w:ascii="Aptos" w:hAnsi="Aptos"/>
                <w:sz w:val="16"/>
                <w:szCs w:val="16"/>
              </w:rPr>
            </w:pPr>
          </w:p>
        </w:tc>
        <w:tc>
          <w:tcPr>
            <w:tcW w:w="1134" w:type="dxa"/>
          </w:tcPr>
          <w:p w14:paraId="0F092603" w14:textId="77777777" w:rsidR="006C209E" w:rsidRPr="00D518FF" w:rsidRDefault="006C209E" w:rsidP="00CF6EDC">
            <w:pPr>
              <w:rPr>
                <w:rFonts w:ascii="Aptos" w:hAnsi="Aptos"/>
                <w:sz w:val="16"/>
                <w:szCs w:val="16"/>
              </w:rPr>
            </w:pPr>
            <w:r>
              <w:rPr>
                <w:rFonts w:ascii="Aptos" w:hAnsi="Aptos"/>
                <w:sz w:val="16"/>
                <w:szCs w:val="16"/>
              </w:rPr>
              <w:t>Low risk</w:t>
            </w:r>
          </w:p>
        </w:tc>
      </w:tr>
      <w:tr w:rsidR="006B1408" w:rsidRPr="00D518FF" w14:paraId="69656DAC" w14:textId="77777777" w:rsidTr="00F614C8">
        <w:trPr>
          <w:trHeight w:val="196"/>
        </w:trPr>
        <w:tc>
          <w:tcPr>
            <w:tcW w:w="971" w:type="dxa"/>
          </w:tcPr>
          <w:p w14:paraId="4A5BB0D6" w14:textId="77777777" w:rsidR="006C209E" w:rsidRPr="00D518FF" w:rsidRDefault="006C209E" w:rsidP="00CF6EDC">
            <w:pPr>
              <w:rPr>
                <w:rFonts w:ascii="Aptos" w:hAnsi="Aptos"/>
                <w:sz w:val="16"/>
                <w:szCs w:val="16"/>
              </w:rPr>
            </w:pPr>
            <w:r w:rsidRPr="00D518FF">
              <w:rPr>
                <w:rFonts w:ascii="Aptos" w:hAnsi="Aptos"/>
                <w:sz w:val="16"/>
                <w:szCs w:val="16"/>
              </w:rPr>
              <w:t>Kim 2022</w:t>
            </w:r>
          </w:p>
        </w:tc>
        <w:tc>
          <w:tcPr>
            <w:tcW w:w="875" w:type="dxa"/>
          </w:tcPr>
          <w:p w14:paraId="3A9BE2C6" w14:textId="77777777" w:rsidR="006C209E" w:rsidRPr="00D518FF" w:rsidRDefault="006C209E" w:rsidP="00CF6EDC">
            <w:pPr>
              <w:rPr>
                <w:rFonts w:ascii="Aptos" w:hAnsi="Aptos"/>
                <w:sz w:val="16"/>
                <w:szCs w:val="16"/>
              </w:rPr>
            </w:pPr>
            <w:r w:rsidRPr="00D518FF">
              <w:rPr>
                <w:rFonts w:ascii="Aptos" w:hAnsi="Aptos"/>
                <w:sz w:val="16"/>
                <w:szCs w:val="16"/>
              </w:rPr>
              <w:t>1 - HOMA-IR</w:t>
            </w:r>
          </w:p>
        </w:tc>
        <w:tc>
          <w:tcPr>
            <w:tcW w:w="855" w:type="dxa"/>
          </w:tcPr>
          <w:p w14:paraId="0957A864" w14:textId="77777777" w:rsidR="006C209E" w:rsidRPr="00D518FF" w:rsidRDefault="006C209E" w:rsidP="00CF6EDC">
            <w:pPr>
              <w:rPr>
                <w:rFonts w:ascii="Aptos" w:hAnsi="Aptos"/>
                <w:sz w:val="16"/>
                <w:szCs w:val="16"/>
              </w:rPr>
            </w:pPr>
            <w:r w:rsidRPr="005A43DC">
              <w:rPr>
                <w:rFonts w:ascii="Aptos" w:hAnsi="Aptos"/>
                <w:sz w:val="16"/>
                <w:szCs w:val="16"/>
              </w:rPr>
              <w:t>With condition</w:t>
            </w:r>
          </w:p>
        </w:tc>
        <w:tc>
          <w:tcPr>
            <w:tcW w:w="1122" w:type="dxa"/>
          </w:tcPr>
          <w:p w14:paraId="02E3AB5F" w14:textId="77777777" w:rsidR="006C209E" w:rsidRPr="00D518FF" w:rsidRDefault="006C209E" w:rsidP="00CF6EDC">
            <w:pPr>
              <w:rPr>
                <w:rFonts w:ascii="Aptos" w:hAnsi="Aptos"/>
                <w:sz w:val="16"/>
                <w:szCs w:val="16"/>
              </w:rPr>
            </w:pPr>
            <w:r w:rsidRPr="00D518FF">
              <w:rPr>
                <w:rFonts w:ascii="Aptos" w:hAnsi="Aptos"/>
                <w:sz w:val="16"/>
                <w:szCs w:val="16"/>
              </w:rPr>
              <w:t xml:space="preserve">Patients with T2DM; </w:t>
            </w:r>
          </w:p>
        </w:tc>
        <w:tc>
          <w:tcPr>
            <w:tcW w:w="1275" w:type="dxa"/>
          </w:tcPr>
          <w:p w14:paraId="733200F9"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605C49C4" w14:textId="77777777" w:rsidR="006C209E" w:rsidRPr="00D518FF" w:rsidRDefault="006C209E" w:rsidP="00CF6EDC">
            <w:pPr>
              <w:rPr>
                <w:rFonts w:ascii="Aptos" w:hAnsi="Aptos"/>
                <w:sz w:val="16"/>
                <w:szCs w:val="16"/>
              </w:rPr>
            </w:pPr>
            <w:r w:rsidRPr="00D518FF">
              <w:rPr>
                <w:rFonts w:ascii="Aptos" w:hAnsi="Aptos"/>
                <w:sz w:val="16"/>
                <w:szCs w:val="16"/>
              </w:rPr>
              <w:t xml:space="preserve">Coq10 </w:t>
            </w:r>
          </w:p>
        </w:tc>
        <w:tc>
          <w:tcPr>
            <w:tcW w:w="1014" w:type="dxa"/>
          </w:tcPr>
          <w:p w14:paraId="4F86D7F7" w14:textId="77777777" w:rsidR="006C209E" w:rsidRPr="00D518FF" w:rsidRDefault="006C209E" w:rsidP="00CF6EDC">
            <w:pPr>
              <w:rPr>
                <w:rFonts w:ascii="Aptos" w:hAnsi="Aptos"/>
                <w:sz w:val="16"/>
                <w:szCs w:val="16"/>
              </w:rPr>
            </w:pPr>
            <w:r w:rsidRPr="00D518FF">
              <w:rPr>
                <w:rFonts w:ascii="Aptos" w:hAnsi="Aptos"/>
                <w:sz w:val="16"/>
                <w:szCs w:val="16"/>
              </w:rPr>
              <w:t>Placebo/non-exposure</w:t>
            </w:r>
          </w:p>
        </w:tc>
        <w:tc>
          <w:tcPr>
            <w:tcW w:w="774" w:type="dxa"/>
          </w:tcPr>
          <w:p w14:paraId="031810ED" w14:textId="77777777" w:rsidR="006C209E" w:rsidRPr="00D518FF" w:rsidRDefault="006C209E" w:rsidP="00CF6EDC">
            <w:pPr>
              <w:rPr>
                <w:rFonts w:ascii="Aptos" w:hAnsi="Aptos"/>
                <w:sz w:val="16"/>
                <w:szCs w:val="16"/>
              </w:rPr>
            </w:pPr>
            <w:r w:rsidRPr="00D518FF">
              <w:rPr>
                <w:rFonts w:ascii="Aptos" w:hAnsi="Aptos"/>
                <w:sz w:val="16"/>
                <w:szCs w:val="16"/>
              </w:rPr>
              <w:t>4</w:t>
            </w:r>
          </w:p>
        </w:tc>
        <w:tc>
          <w:tcPr>
            <w:tcW w:w="940" w:type="dxa"/>
          </w:tcPr>
          <w:p w14:paraId="4D4E00AE" w14:textId="77777777" w:rsidR="006C209E" w:rsidRPr="00D518FF" w:rsidRDefault="006C209E" w:rsidP="00CF6EDC">
            <w:pPr>
              <w:rPr>
                <w:rFonts w:ascii="Aptos" w:hAnsi="Aptos"/>
                <w:sz w:val="16"/>
                <w:szCs w:val="16"/>
              </w:rPr>
            </w:pPr>
            <w:r w:rsidRPr="00D518FF">
              <w:rPr>
                <w:rFonts w:ascii="Aptos" w:hAnsi="Aptos"/>
                <w:sz w:val="16"/>
                <w:szCs w:val="16"/>
              </w:rPr>
              <w:t>228</w:t>
            </w:r>
          </w:p>
        </w:tc>
        <w:tc>
          <w:tcPr>
            <w:tcW w:w="1008" w:type="dxa"/>
          </w:tcPr>
          <w:p w14:paraId="447CEFF9" w14:textId="77777777" w:rsidR="006C209E" w:rsidRPr="00D518FF" w:rsidRDefault="006C209E" w:rsidP="00CF6EDC">
            <w:pPr>
              <w:rPr>
                <w:rFonts w:ascii="Aptos" w:hAnsi="Aptos"/>
                <w:sz w:val="16"/>
                <w:szCs w:val="16"/>
              </w:rPr>
            </w:pPr>
          </w:p>
        </w:tc>
        <w:tc>
          <w:tcPr>
            <w:tcW w:w="950" w:type="dxa"/>
          </w:tcPr>
          <w:p w14:paraId="080F0F5C" w14:textId="77777777" w:rsidR="006C209E" w:rsidRPr="00D518FF" w:rsidRDefault="006C209E" w:rsidP="00CF6EDC">
            <w:pPr>
              <w:rPr>
                <w:rFonts w:ascii="Aptos" w:hAnsi="Aptos"/>
                <w:sz w:val="16"/>
                <w:szCs w:val="16"/>
              </w:rPr>
            </w:pPr>
            <w:r w:rsidRPr="00D518FF">
              <w:rPr>
                <w:rFonts w:ascii="Aptos" w:hAnsi="Aptos"/>
                <w:sz w:val="16"/>
                <w:szCs w:val="16"/>
              </w:rPr>
              <w:t>MD = -0.83 (-2.12, 0.47)</w:t>
            </w:r>
          </w:p>
        </w:tc>
        <w:tc>
          <w:tcPr>
            <w:tcW w:w="720" w:type="dxa"/>
          </w:tcPr>
          <w:p w14:paraId="44CCDF1D" w14:textId="10E83836" w:rsidR="006C209E" w:rsidRPr="00D518FF" w:rsidRDefault="005220BE" w:rsidP="00CF6EDC">
            <w:pPr>
              <w:rPr>
                <w:rFonts w:ascii="Aptos" w:hAnsi="Aptos"/>
                <w:sz w:val="16"/>
                <w:szCs w:val="16"/>
              </w:rPr>
            </w:pPr>
            <w:r>
              <w:rPr>
                <w:rFonts w:ascii="Aptos" w:hAnsi="Aptos"/>
                <w:sz w:val="16"/>
                <w:szCs w:val="16"/>
              </w:rPr>
              <w:t>H</w:t>
            </w:r>
            <w:r w:rsidR="006C209E" w:rsidRPr="00D518FF">
              <w:rPr>
                <w:rFonts w:ascii="Aptos" w:hAnsi="Aptos"/>
                <w:sz w:val="16"/>
                <w:szCs w:val="16"/>
              </w:rPr>
              <w:t>igh heterogeneity observed</w:t>
            </w:r>
          </w:p>
        </w:tc>
        <w:tc>
          <w:tcPr>
            <w:tcW w:w="1115" w:type="dxa"/>
            <w:vMerge/>
          </w:tcPr>
          <w:p w14:paraId="02983933" w14:textId="77777777" w:rsidR="006C209E" w:rsidRPr="00D518FF" w:rsidRDefault="006C209E" w:rsidP="00CF6EDC">
            <w:pPr>
              <w:rPr>
                <w:rFonts w:ascii="Aptos" w:hAnsi="Aptos"/>
                <w:sz w:val="16"/>
                <w:szCs w:val="16"/>
              </w:rPr>
            </w:pPr>
          </w:p>
        </w:tc>
        <w:tc>
          <w:tcPr>
            <w:tcW w:w="1134" w:type="dxa"/>
          </w:tcPr>
          <w:p w14:paraId="24D70EF4" w14:textId="77777777" w:rsidR="006C209E" w:rsidRPr="00D518FF" w:rsidRDefault="006C209E" w:rsidP="00CF6EDC">
            <w:pPr>
              <w:rPr>
                <w:rFonts w:ascii="Aptos" w:hAnsi="Aptos"/>
                <w:sz w:val="16"/>
                <w:szCs w:val="16"/>
              </w:rPr>
            </w:pPr>
            <w:r>
              <w:rPr>
                <w:rFonts w:ascii="Aptos" w:hAnsi="Aptos"/>
                <w:sz w:val="16"/>
                <w:szCs w:val="16"/>
              </w:rPr>
              <w:t>Low risk</w:t>
            </w:r>
          </w:p>
        </w:tc>
      </w:tr>
      <w:tr w:rsidR="006B1408" w:rsidRPr="00D518FF" w14:paraId="45A6CD1D" w14:textId="77777777" w:rsidTr="00F614C8">
        <w:trPr>
          <w:trHeight w:val="196"/>
        </w:trPr>
        <w:tc>
          <w:tcPr>
            <w:tcW w:w="971" w:type="dxa"/>
          </w:tcPr>
          <w:p w14:paraId="4106FB9B" w14:textId="77777777" w:rsidR="006C209E" w:rsidRPr="00D518FF" w:rsidRDefault="006C209E" w:rsidP="00CF6EDC">
            <w:pPr>
              <w:rPr>
                <w:rFonts w:ascii="Aptos" w:hAnsi="Aptos"/>
                <w:sz w:val="16"/>
                <w:szCs w:val="16"/>
              </w:rPr>
            </w:pPr>
            <w:r w:rsidRPr="00D518FF">
              <w:rPr>
                <w:rFonts w:ascii="Aptos" w:hAnsi="Aptos"/>
                <w:sz w:val="16"/>
                <w:szCs w:val="16"/>
              </w:rPr>
              <w:t>Wang 2022</w:t>
            </w:r>
          </w:p>
        </w:tc>
        <w:tc>
          <w:tcPr>
            <w:tcW w:w="875" w:type="dxa"/>
          </w:tcPr>
          <w:p w14:paraId="43EF3BBB" w14:textId="77777777" w:rsidR="006C209E" w:rsidRPr="00D518FF" w:rsidRDefault="006C209E" w:rsidP="00CF6EDC">
            <w:pPr>
              <w:rPr>
                <w:rFonts w:ascii="Aptos" w:hAnsi="Aptos"/>
                <w:sz w:val="16"/>
                <w:szCs w:val="16"/>
              </w:rPr>
            </w:pPr>
            <w:r w:rsidRPr="00D518FF">
              <w:rPr>
                <w:rFonts w:ascii="Aptos" w:hAnsi="Aptos"/>
                <w:sz w:val="16"/>
                <w:szCs w:val="16"/>
              </w:rPr>
              <w:t>1 - FPG/FBG</w:t>
            </w:r>
          </w:p>
        </w:tc>
        <w:tc>
          <w:tcPr>
            <w:tcW w:w="855" w:type="dxa"/>
          </w:tcPr>
          <w:p w14:paraId="4BD34748" w14:textId="77777777" w:rsidR="006C209E" w:rsidRPr="00D518FF" w:rsidRDefault="006C209E" w:rsidP="00CF6EDC">
            <w:pPr>
              <w:rPr>
                <w:rFonts w:ascii="Aptos" w:hAnsi="Aptos"/>
                <w:sz w:val="16"/>
                <w:szCs w:val="16"/>
              </w:rPr>
            </w:pPr>
            <w:r>
              <w:rPr>
                <w:rFonts w:ascii="Aptos" w:hAnsi="Aptos"/>
                <w:sz w:val="16"/>
                <w:szCs w:val="16"/>
              </w:rPr>
              <w:t>At-risk of condition</w:t>
            </w:r>
          </w:p>
        </w:tc>
        <w:tc>
          <w:tcPr>
            <w:tcW w:w="1122" w:type="dxa"/>
          </w:tcPr>
          <w:p w14:paraId="0362608A" w14:textId="5E77E7D2" w:rsidR="006C209E" w:rsidRPr="00D518FF" w:rsidRDefault="006C209E" w:rsidP="00CF6EDC">
            <w:pPr>
              <w:rPr>
                <w:rFonts w:ascii="Aptos" w:hAnsi="Aptos"/>
                <w:sz w:val="16"/>
                <w:szCs w:val="16"/>
              </w:rPr>
            </w:pPr>
            <w:r w:rsidRPr="00D518FF">
              <w:rPr>
                <w:rFonts w:ascii="Aptos" w:hAnsi="Aptos"/>
                <w:sz w:val="16"/>
                <w:szCs w:val="16"/>
              </w:rPr>
              <w:t>Patients had obesity (BMI ≥30 kg/m2) who did not habitually use antioxidant supplements</w:t>
            </w:r>
          </w:p>
        </w:tc>
        <w:tc>
          <w:tcPr>
            <w:tcW w:w="1275" w:type="dxa"/>
          </w:tcPr>
          <w:p w14:paraId="701E3744"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523B2131" w14:textId="77777777" w:rsidR="006C209E" w:rsidRPr="00D518FF" w:rsidRDefault="006C209E" w:rsidP="00CF6EDC">
            <w:pPr>
              <w:rPr>
                <w:rFonts w:ascii="Aptos" w:hAnsi="Aptos"/>
                <w:sz w:val="16"/>
                <w:szCs w:val="16"/>
              </w:rPr>
            </w:pPr>
            <w:r w:rsidRPr="00D518FF">
              <w:rPr>
                <w:rFonts w:ascii="Aptos" w:hAnsi="Aptos"/>
                <w:sz w:val="16"/>
                <w:szCs w:val="16"/>
              </w:rPr>
              <w:t xml:space="preserve">Antioxidant </w:t>
            </w:r>
          </w:p>
        </w:tc>
        <w:tc>
          <w:tcPr>
            <w:tcW w:w="1014" w:type="dxa"/>
          </w:tcPr>
          <w:p w14:paraId="41752772" w14:textId="77777777" w:rsidR="006C209E" w:rsidRPr="00D518FF" w:rsidRDefault="006C209E" w:rsidP="00CF6EDC">
            <w:pPr>
              <w:rPr>
                <w:rFonts w:ascii="Aptos" w:hAnsi="Aptos"/>
                <w:sz w:val="16"/>
                <w:szCs w:val="16"/>
              </w:rPr>
            </w:pPr>
            <w:r w:rsidRPr="00D518FF">
              <w:rPr>
                <w:rFonts w:ascii="Aptos" w:hAnsi="Aptos"/>
                <w:sz w:val="16"/>
                <w:szCs w:val="16"/>
              </w:rPr>
              <w:t>Placebo</w:t>
            </w:r>
          </w:p>
        </w:tc>
        <w:tc>
          <w:tcPr>
            <w:tcW w:w="774" w:type="dxa"/>
          </w:tcPr>
          <w:p w14:paraId="467727AA" w14:textId="77777777" w:rsidR="006C209E" w:rsidRPr="00D518FF" w:rsidRDefault="006C209E" w:rsidP="00CF6EDC">
            <w:pPr>
              <w:rPr>
                <w:rFonts w:ascii="Aptos" w:hAnsi="Aptos"/>
                <w:sz w:val="16"/>
                <w:szCs w:val="16"/>
              </w:rPr>
            </w:pPr>
            <w:r w:rsidRPr="00D518FF">
              <w:rPr>
                <w:rFonts w:ascii="Aptos" w:hAnsi="Aptos"/>
                <w:sz w:val="16"/>
                <w:szCs w:val="16"/>
              </w:rPr>
              <w:t>6</w:t>
            </w:r>
          </w:p>
        </w:tc>
        <w:tc>
          <w:tcPr>
            <w:tcW w:w="940" w:type="dxa"/>
          </w:tcPr>
          <w:p w14:paraId="64398A22" w14:textId="77777777" w:rsidR="006C209E" w:rsidRPr="00D518FF" w:rsidRDefault="006C209E" w:rsidP="00CF6EDC">
            <w:pPr>
              <w:rPr>
                <w:rFonts w:ascii="Aptos" w:hAnsi="Aptos"/>
                <w:sz w:val="16"/>
                <w:szCs w:val="16"/>
              </w:rPr>
            </w:pPr>
            <w:r w:rsidRPr="00D518FF">
              <w:rPr>
                <w:rFonts w:ascii="Aptos" w:hAnsi="Aptos"/>
                <w:sz w:val="16"/>
                <w:szCs w:val="16"/>
              </w:rPr>
              <w:t>315</w:t>
            </w:r>
          </w:p>
        </w:tc>
        <w:tc>
          <w:tcPr>
            <w:tcW w:w="1008" w:type="dxa"/>
          </w:tcPr>
          <w:p w14:paraId="0E753157" w14:textId="77777777" w:rsidR="006C209E" w:rsidRPr="00D518FF" w:rsidRDefault="006C209E" w:rsidP="00CF6EDC">
            <w:pPr>
              <w:rPr>
                <w:rFonts w:ascii="Aptos" w:hAnsi="Aptos"/>
                <w:sz w:val="16"/>
                <w:szCs w:val="16"/>
              </w:rPr>
            </w:pPr>
          </w:p>
        </w:tc>
        <w:tc>
          <w:tcPr>
            <w:tcW w:w="950" w:type="dxa"/>
          </w:tcPr>
          <w:p w14:paraId="40F29B2A" w14:textId="77777777" w:rsidR="006C209E" w:rsidRPr="00D518FF" w:rsidRDefault="006C209E" w:rsidP="00CF6EDC">
            <w:pPr>
              <w:rPr>
                <w:rFonts w:ascii="Aptos" w:hAnsi="Aptos"/>
                <w:sz w:val="16"/>
                <w:szCs w:val="16"/>
              </w:rPr>
            </w:pPr>
            <w:r w:rsidRPr="00D518FF">
              <w:rPr>
                <w:rFonts w:ascii="Aptos" w:hAnsi="Aptos"/>
                <w:sz w:val="16"/>
                <w:szCs w:val="16"/>
              </w:rPr>
              <w:t>MD=–4.92 [–6.87, –2.98]</w:t>
            </w:r>
          </w:p>
        </w:tc>
        <w:tc>
          <w:tcPr>
            <w:tcW w:w="720" w:type="dxa"/>
          </w:tcPr>
          <w:p w14:paraId="36377BD1" w14:textId="77777777" w:rsidR="006C209E" w:rsidRPr="00D518FF" w:rsidRDefault="006C209E" w:rsidP="00CF6EDC">
            <w:pPr>
              <w:rPr>
                <w:rFonts w:ascii="Aptos" w:hAnsi="Aptos"/>
                <w:sz w:val="16"/>
                <w:szCs w:val="16"/>
              </w:rPr>
            </w:pPr>
            <w:r>
              <w:rPr>
                <w:rFonts w:ascii="Aptos" w:hAnsi="Aptos"/>
                <w:sz w:val="16"/>
                <w:szCs w:val="16"/>
              </w:rPr>
              <w:t>I² =</w:t>
            </w:r>
            <w:r w:rsidRPr="00D518FF">
              <w:rPr>
                <w:rFonts w:ascii="Aptos" w:hAnsi="Aptos"/>
                <w:sz w:val="16"/>
                <w:szCs w:val="16"/>
              </w:rPr>
              <w:t xml:space="preserve"> 45%</w:t>
            </w:r>
          </w:p>
        </w:tc>
        <w:tc>
          <w:tcPr>
            <w:tcW w:w="1115" w:type="dxa"/>
            <w:vMerge w:val="restart"/>
          </w:tcPr>
          <w:p w14:paraId="0995C770" w14:textId="77777777" w:rsidR="006C209E" w:rsidRPr="00D518FF" w:rsidRDefault="006C209E" w:rsidP="00CF6EDC">
            <w:pPr>
              <w:rPr>
                <w:rFonts w:ascii="Aptos" w:hAnsi="Aptos"/>
                <w:sz w:val="16"/>
                <w:szCs w:val="16"/>
              </w:rPr>
            </w:pPr>
            <w:r>
              <w:rPr>
                <w:rFonts w:ascii="Aptos" w:hAnsi="Aptos"/>
                <w:sz w:val="16"/>
                <w:szCs w:val="16"/>
              </w:rPr>
              <w:t>Unclear risk of bias in allocation bias, attrition bias, attrition bias and reporting bias for all primary studies.</w:t>
            </w:r>
          </w:p>
          <w:p w14:paraId="5210C43E" w14:textId="77777777" w:rsidR="006C209E" w:rsidRPr="00D518FF" w:rsidRDefault="006C209E" w:rsidP="00CF6EDC">
            <w:pPr>
              <w:rPr>
                <w:rFonts w:ascii="Aptos" w:hAnsi="Aptos"/>
                <w:sz w:val="16"/>
                <w:szCs w:val="16"/>
              </w:rPr>
            </w:pPr>
          </w:p>
        </w:tc>
        <w:tc>
          <w:tcPr>
            <w:tcW w:w="1134" w:type="dxa"/>
          </w:tcPr>
          <w:p w14:paraId="68454CF9" w14:textId="77777777" w:rsidR="006C209E" w:rsidRPr="00D518FF" w:rsidRDefault="006C209E" w:rsidP="00CF6EDC">
            <w:pPr>
              <w:rPr>
                <w:rFonts w:ascii="Aptos" w:hAnsi="Aptos"/>
                <w:sz w:val="16"/>
                <w:szCs w:val="16"/>
              </w:rPr>
            </w:pPr>
            <w:r>
              <w:rPr>
                <w:rFonts w:ascii="Aptos" w:hAnsi="Aptos"/>
                <w:sz w:val="16"/>
                <w:szCs w:val="16"/>
              </w:rPr>
              <w:t>Unclear risk</w:t>
            </w:r>
          </w:p>
        </w:tc>
      </w:tr>
      <w:tr w:rsidR="006B1408" w:rsidRPr="00D518FF" w14:paraId="3ADE3BD1" w14:textId="77777777" w:rsidTr="00F614C8">
        <w:trPr>
          <w:trHeight w:val="196"/>
        </w:trPr>
        <w:tc>
          <w:tcPr>
            <w:tcW w:w="971" w:type="dxa"/>
          </w:tcPr>
          <w:p w14:paraId="2B17B784" w14:textId="77777777" w:rsidR="006C209E" w:rsidRPr="00D518FF" w:rsidRDefault="006C209E" w:rsidP="00CF6EDC">
            <w:pPr>
              <w:rPr>
                <w:rFonts w:ascii="Aptos" w:hAnsi="Aptos"/>
                <w:sz w:val="16"/>
                <w:szCs w:val="16"/>
              </w:rPr>
            </w:pPr>
            <w:r w:rsidRPr="00D518FF">
              <w:rPr>
                <w:rFonts w:ascii="Aptos" w:hAnsi="Aptos"/>
                <w:sz w:val="16"/>
                <w:szCs w:val="16"/>
              </w:rPr>
              <w:t>Wang 2022</w:t>
            </w:r>
          </w:p>
        </w:tc>
        <w:tc>
          <w:tcPr>
            <w:tcW w:w="875" w:type="dxa"/>
          </w:tcPr>
          <w:p w14:paraId="47E7FE99" w14:textId="77777777" w:rsidR="006C209E" w:rsidRPr="00D518FF" w:rsidRDefault="006C209E" w:rsidP="00CF6EDC">
            <w:pPr>
              <w:rPr>
                <w:rFonts w:ascii="Aptos" w:hAnsi="Aptos"/>
                <w:sz w:val="16"/>
                <w:szCs w:val="16"/>
              </w:rPr>
            </w:pPr>
            <w:r w:rsidRPr="00D518FF">
              <w:rPr>
                <w:rFonts w:ascii="Aptos" w:hAnsi="Aptos"/>
                <w:sz w:val="16"/>
                <w:szCs w:val="16"/>
              </w:rPr>
              <w:t>1- HOMA-ir</w:t>
            </w:r>
          </w:p>
        </w:tc>
        <w:tc>
          <w:tcPr>
            <w:tcW w:w="855" w:type="dxa"/>
          </w:tcPr>
          <w:p w14:paraId="2A1EFD8A" w14:textId="77777777" w:rsidR="006C209E" w:rsidRPr="00D518FF" w:rsidRDefault="006C209E" w:rsidP="00CF6EDC">
            <w:pPr>
              <w:rPr>
                <w:rFonts w:ascii="Aptos" w:hAnsi="Aptos"/>
                <w:sz w:val="16"/>
                <w:szCs w:val="16"/>
              </w:rPr>
            </w:pPr>
            <w:r>
              <w:rPr>
                <w:rFonts w:ascii="Aptos" w:hAnsi="Aptos"/>
                <w:sz w:val="16"/>
                <w:szCs w:val="16"/>
              </w:rPr>
              <w:t>At-risk of condition</w:t>
            </w:r>
          </w:p>
        </w:tc>
        <w:tc>
          <w:tcPr>
            <w:tcW w:w="1122" w:type="dxa"/>
          </w:tcPr>
          <w:p w14:paraId="01F15554" w14:textId="77777777" w:rsidR="006C209E" w:rsidRPr="00D518FF" w:rsidRDefault="006C209E" w:rsidP="00CF6EDC">
            <w:pPr>
              <w:rPr>
                <w:rFonts w:ascii="Aptos" w:hAnsi="Aptos"/>
                <w:sz w:val="16"/>
                <w:szCs w:val="16"/>
              </w:rPr>
            </w:pPr>
            <w:r w:rsidRPr="00D518FF">
              <w:rPr>
                <w:rFonts w:ascii="Aptos" w:hAnsi="Aptos"/>
                <w:sz w:val="16"/>
                <w:szCs w:val="16"/>
              </w:rPr>
              <w:t xml:space="preserve">Patients had obesity (BMI ≥30 kg/m2) who did not habitu- ally use antioxidant supplements </w:t>
            </w:r>
          </w:p>
        </w:tc>
        <w:tc>
          <w:tcPr>
            <w:tcW w:w="1275" w:type="dxa"/>
          </w:tcPr>
          <w:p w14:paraId="226321DA" w14:textId="77777777" w:rsidR="006C209E" w:rsidRPr="00D518FF" w:rsidRDefault="006C209E" w:rsidP="00CF6EDC">
            <w:pPr>
              <w:rPr>
                <w:rFonts w:ascii="Aptos" w:hAnsi="Aptos"/>
                <w:sz w:val="16"/>
                <w:szCs w:val="16"/>
              </w:rPr>
            </w:pPr>
            <w:r w:rsidRPr="00D518FF">
              <w:rPr>
                <w:rFonts w:ascii="Aptos" w:hAnsi="Aptos"/>
                <w:sz w:val="16"/>
                <w:szCs w:val="16"/>
              </w:rPr>
              <w:t>Eligible supplement VS placebo/inactive control</w:t>
            </w:r>
          </w:p>
        </w:tc>
        <w:tc>
          <w:tcPr>
            <w:tcW w:w="1276" w:type="dxa"/>
          </w:tcPr>
          <w:p w14:paraId="501673BA" w14:textId="77777777" w:rsidR="006C209E" w:rsidRPr="00D518FF" w:rsidRDefault="006C209E" w:rsidP="00CF6EDC">
            <w:pPr>
              <w:rPr>
                <w:rFonts w:ascii="Aptos" w:hAnsi="Aptos"/>
                <w:sz w:val="16"/>
                <w:szCs w:val="16"/>
              </w:rPr>
            </w:pPr>
            <w:r w:rsidRPr="00D518FF">
              <w:rPr>
                <w:rFonts w:ascii="Aptos" w:hAnsi="Aptos"/>
                <w:sz w:val="16"/>
                <w:szCs w:val="16"/>
              </w:rPr>
              <w:t xml:space="preserve">Antioxidant </w:t>
            </w:r>
          </w:p>
        </w:tc>
        <w:tc>
          <w:tcPr>
            <w:tcW w:w="1014" w:type="dxa"/>
          </w:tcPr>
          <w:p w14:paraId="086274A6" w14:textId="77777777" w:rsidR="006C209E" w:rsidRPr="00D518FF" w:rsidRDefault="006C209E" w:rsidP="00CF6EDC">
            <w:pPr>
              <w:rPr>
                <w:rFonts w:ascii="Aptos" w:hAnsi="Aptos"/>
                <w:sz w:val="16"/>
                <w:szCs w:val="16"/>
              </w:rPr>
            </w:pPr>
            <w:r w:rsidRPr="00D518FF">
              <w:rPr>
                <w:rFonts w:ascii="Aptos" w:hAnsi="Aptos"/>
                <w:sz w:val="16"/>
                <w:szCs w:val="16"/>
              </w:rPr>
              <w:t>Placebo</w:t>
            </w:r>
          </w:p>
        </w:tc>
        <w:tc>
          <w:tcPr>
            <w:tcW w:w="774" w:type="dxa"/>
          </w:tcPr>
          <w:p w14:paraId="4421C21F" w14:textId="77777777" w:rsidR="006C209E" w:rsidRPr="00D518FF" w:rsidRDefault="006C209E" w:rsidP="00CF6EDC">
            <w:pPr>
              <w:rPr>
                <w:rFonts w:ascii="Aptos" w:hAnsi="Aptos"/>
                <w:sz w:val="16"/>
                <w:szCs w:val="16"/>
              </w:rPr>
            </w:pPr>
            <w:r w:rsidRPr="00D518FF">
              <w:rPr>
                <w:rFonts w:ascii="Aptos" w:hAnsi="Aptos"/>
                <w:sz w:val="16"/>
                <w:szCs w:val="16"/>
              </w:rPr>
              <w:t>8</w:t>
            </w:r>
          </w:p>
        </w:tc>
        <w:tc>
          <w:tcPr>
            <w:tcW w:w="940" w:type="dxa"/>
          </w:tcPr>
          <w:p w14:paraId="5E20F37B" w14:textId="77777777" w:rsidR="006C209E" w:rsidRPr="00D518FF" w:rsidRDefault="006C209E" w:rsidP="00CF6EDC">
            <w:pPr>
              <w:rPr>
                <w:rFonts w:ascii="Aptos" w:hAnsi="Aptos"/>
                <w:sz w:val="16"/>
                <w:szCs w:val="16"/>
              </w:rPr>
            </w:pPr>
            <w:r w:rsidRPr="00D518FF">
              <w:rPr>
                <w:rFonts w:ascii="Aptos" w:hAnsi="Aptos"/>
                <w:sz w:val="16"/>
                <w:szCs w:val="16"/>
              </w:rPr>
              <w:t>395</w:t>
            </w:r>
          </w:p>
        </w:tc>
        <w:tc>
          <w:tcPr>
            <w:tcW w:w="1008" w:type="dxa"/>
          </w:tcPr>
          <w:p w14:paraId="312995D1" w14:textId="77777777" w:rsidR="006C209E" w:rsidRPr="00D518FF" w:rsidRDefault="006C209E" w:rsidP="00CF6EDC">
            <w:pPr>
              <w:rPr>
                <w:rFonts w:ascii="Aptos" w:hAnsi="Aptos"/>
                <w:sz w:val="16"/>
                <w:szCs w:val="16"/>
              </w:rPr>
            </w:pPr>
          </w:p>
        </w:tc>
        <w:tc>
          <w:tcPr>
            <w:tcW w:w="950" w:type="dxa"/>
          </w:tcPr>
          <w:p w14:paraId="23654E7D" w14:textId="77777777" w:rsidR="006C209E" w:rsidRPr="00D518FF" w:rsidRDefault="006C209E" w:rsidP="00CF6EDC">
            <w:pPr>
              <w:rPr>
                <w:rFonts w:ascii="Aptos" w:hAnsi="Aptos"/>
                <w:sz w:val="16"/>
                <w:szCs w:val="16"/>
              </w:rPr>
            </w:pPr>
            <w:r w:rsidRPr="00D518FF">
              <w:rPr>
                <w:rFonts w:ascii="Aptos" w:hAnsi="Aptos"/>
                <w:sz w:val="16"/>
                <w:szCs w:val="16"/>
              </w:rPr>
              <w:t>MD = –0.45 [–0.61, –0.30]</w:t>
            </w:r>
          </w:p>
        </w:tc>
        <w:tc>
          <w:tcPr>
            <w:tcW w:w="720" w:type="dxa"/>
          </w:tcPr>
          <w:p w14:paraId="0080E9E8" w14:textId="77777777" w:rsidR="006C209E" w:rsidRPr="00D518FF" w:rsidRDefault="006C209E" w:rsidP="00CF6EDC">
            <w:pPr>
              <w:rPr>
                <w:rFonts w:ascii="Aptos" w:hAnsi="Aptos"/>
                <w:sz w:val="16"/>
                <w:szCs w:val="16"/>
              </w:rPr>
            </w:pPr>
            <w:r>
              <w:rPr>
                <w:rFonts w:ascii="Aptos" w:hAnsi="Aptos"/>
                <w:sz w:val="16"/>
                <w:szCs w:val="16"/>
              </w:rPr>
              <w:t>I² =</w:t>
            </w:r>
            <w:r w:rsidRPr="00D518FF">
              <w:rPr>
                <w:rFonts w:ascii="Aptos" w:hAnsi="Aptos"/>
                <w:sz w:val="16"/>
                <w:szCs w:val="16"/>
              </w:rPr>
              <w:t xml:space="preserve"> 48%</w:t>
            </w:r>
          </w:p>
        </w:tc>
        <w:tc>
          <w:tcPr>
            <w:tcW w:w="1115" w:type="dxa"/>
            <w:vMerge/>
          </w:tcPr>
          <w:p w14:paraId="6C9A0A3F" w14:textId="77777777" w:rsidR="006C209E" w:rsidRPr="00D518FF" w:rsidRDefault="006C209E" w:rsidP="00CF6EDC">
            <w:pPr>
              <w:rPr>
                <w:rFonts w:ascii="Aptos" w:hAnsi="Aptos"/>
                <w:sz w:val="16"/>
                <w:szCs w:val="16"/>
              </w:rPr>
            </w:pPr>
          </w:p>
        </w:tc>
        <w:tc>
          <w:tcPr>
            <w:tcW w:w="1134" w:type="dxa"/>
          </w:tcPr>
          <w:p w14:paraId="6C881017" w14:textId="77777777" w:rsidR="006C209E" w:rsidRPr="00D518FF" w:rsidRDefault="006C209E" w:rsidP="00CF6EDC">
            <w:pPr>
              <w:rPr>
                <w:rFonts w:ascii="Aptos" w:hAnsi="Aptos"/>
                <w:sz w:val="16"/>
                <w:szCs w:val="16"/>
              </w:rPr>
            </w:pPr>
            <w:r>
              <w:rPr>
                <w:rFonts w:ascii="Aptos" w:hAnsi="Aptos"/>
                <w:sz w:val="16"/>
                <w:szCs w:val="16"/>
              </w:rPr>
              <w:t>Unclear risk</w:t>
            </w:r>
          </w:p>
        </w:tc>
      </w:tr>
    </w:tbl>
    <w:p w14:paraId="7B36A354" w14:textId="12BCA61F" w:rsidR="006C209E" w:rsidRPr="00D518FF" w:rsidRDefault="006C209E" w:rsidP="006C209E">
      <w:pPr>
        <w:pStyle w:val="Caption1"/>
        <w:spacing w:before="0" w:after="0"/>
        <w:rPr>
          <w:rFonts w:ascii="Aptos" w:hAnsi="Aptos"/>
          <w:b w:val="0"/>
          <w:bCs w:val="0"/>
          <w:sz w:val="16"/>
          <w:szCs w:val="16"/>
        </w:rPr>
      </w:pPr>
      <w:r w:rsidRPr="00D518FF">
        <w:rPr>
          <w:rFonts w:ascii="Aptos" w:hAnsi="Aptos"/>
          <w:b w:val="0"/>
          <w:bCs w:val="0"/>
          <w:sz w:val="16"/>
          <w:szCs w:val="16"/>
        </w:rPr>
        <w:lastRenderedPageBreak/>
        <w:t xml:space="preserve">Abbreviations: </w:t>
      </w:r>
      <w:r w:rsidR="005220BE">
        <w:rPr>
          <w:rFonts w:ascii="Aptos" w:hAnsi="Aptos"/>
          <w:b w:val="0"/>
          <w:bCs w:val="0"/>
          <w:sz w:val="16"/>
          <w:szCs w:val="16"/>
        </w:rPr>
        <w:t xml:space="preserve">BMI=body mass index; </w:t>
      </w:r>
      <w:r w:rsidR="005220BE" w:rsidRPr="005220BE">
        <w:rPr>
          <w:rFonts w:ascii="Aptos" w:hAnsi="Aptos"/>
          <w:b w:val="0"/>
          <w:bCs w:val="0"/>
          <w:sz w:val="16"/>
          <w:szCs w:val="16"/>
        </w:rPr>
        <w:t>CoQ10=Coenzyme Q10, CI=Confidence interval</w:t>
      </w:r>
      <w:r w:rsidR="00690D5B">
        <w:rPr>
          <w:rFonts w:ascii="Aptos" w:hAnsi="Aptos"/>
          <w:b w:val="0"/>
          <w:bCs w:val="0"/>
          <w:sz w:val="16"/>
          <w:szCs w:val="16"/>
        </w:rPr>
        <w:t xml:space="preserve">; </w:t>
      </w:r>
      <w:r w:rsidR="00F530EC">
        <w:rPr>
          <w:rFonts w:ascii="Aptos" w:hAnsi="Aptos"/>
          <w:b w:val="0"/>
          <w:bCs w:val="0"/>
          <w:sz w:val="16"/>
          <w:szCs w:val="16"/>
        </w:rPr>
        <w:t>DBP=diastolic</w:t>
      </w:r>
      <w:r w:rsidR="00F530EC" w:rsidRPr="00F530EC">
        <w:rPr>
          <w:rFonts w:ascii="Aptos" w:hAnsi="Aptos"/>
          <w:b w:val="0"/>
          <w:bCs w:val="0"/>
          <w:sz w:val="16"/>
          <w:szCs w:val="16"/>
        </w:rPr>
        <w:t xml:space="preserve"> blood pressure</w:t>
      </w:r>
      <w:r w:rsidR="00F530EC">
        <w:rPr>
          <w:rFonts w:ascii="Aptos" w:hAnsi="Aptos"/>
          <w:b w:val="0"/>
          <w:bCs w:val="0"/>
          <w:sz w:val="16"/>
          <w:szCs w:val="16"/>
        </w:rPr>
        <w:t xml:space="preserve">; </w:t>
      </w:r>
      <w:r w:rsidR="00690D5B">
        <w:rPr>
          <w:rFonts w:ascii="Aptos" w:hAnsi="Aptos"/>
          <w:b w:val="0"/>
          <w:bCs w:val="0"/>
          <w:sz w:val="16"/>
          <w:szCs w:val="16"/>
        </w:rPr>
        <w:t>FBG=</w:t>
      </w:r>
      <w:r w:rsidR="00690D5B" w:rsidRPr="00690D5B">
        <w:rPr>
          <w:rFonts w:ascii="Aptos" w:hAnsi="Aptos"/>
          <w:b w:val="0"/>
          <w:bCs w:val="0"/>
          <w:sz w:val="16"/>
          <w:szCs w:val="16"/>
        </w:rPr>
        <w:t xml:space="preserve">fasting </w:t>
      </w:r>
      <w:r w:rsidR="00690D5B">
        <w:rPr>
          <w:rFonts w:ascii="Aptos" w:hAnsi="Aptos"/>
          <w:b w:val="0"/>
          <w:bCs w:val="0"/>
          <w:sz w:val="16"/>
          <w:szCs w:val="16"/>
        </w:rPr>
        <w:t>blood</w:t>
      </w:r>
      <w:r w:rsidR="00690D5B" w:rsidRPr="00690D5B">
        <w:rPr>
          <w:rFonts w:ascii="Aptos" w:hAnsi="Aptos"/>
          <w:b w:val="0"/>
          <w:bCs w:val="0"/>
          <w:sz w:val="16"/>
          <w:szCs w:val="16"/>
        </w:rPr>
        <w:t xml:space="preserve"> glucose</w:t>
      </w:r>
      <w:r w:rsidR="00690D5B">
        <w:rPr>
          <w:rFonts w:ascii="Aptos" w:hAnsi="Aptos"/>
          <w:b w:val="0"/>
          <w:bCs w:val="0"/>
          <w:sz w:val="16"/>
          <w:szCs w:val="16"/>
        </w:rPr>
        <w:t>; FPG=</w:t>
      </w:r>
      <w:r w:rsidR="00690D5B" w:rsidRPr="00690D5B">
        <w:rPr>
          <w:rFonts w:ascii="Aptos" w:hAnsi="Aptos"/>
          <w:b w:val="0"/>
          <w:bCs w:val="0"/>
          <w:sz w:val="16"/>
          <w:szCs w:val="16"/>
        </w:rPr>
        <w:t>fasting plasma glucose</w:t>
      </w:r>
      <w:r w:rsidR="00690D5B">
        <w:rPr>
          <w:rFonts w:ascii="Aptos" w:hAnsi="Aptos"/>
          <w:b w:val="0"/>
          <w:bCs w:val="0"/>
          <w:sz w:val="16"/>
          <w:szCs w:val="16"/>
        </w:rPr>
        <w:t xml:space="preserve">; </w:t>
      </w:r>
      <w:r w:rsidR="005220BE" w:rsidRPr="005220BE">
        <w:rPr>
          <w:rFonts w:ascii="Aptos" w:hAnsi="Aptos"/>
          <w:b w:val="0"/>
          <w:bCs w:val="0"/>
          <w:sz w:val="16"/>
          <w:szCs w:val="16"/>
        </w:rPr>
        <w:t>MD=Mean difference, NR=Not reported, T2DM=Type II Diabetes Mellitus; Homeostatic Model Assessment for Insulin Resistance=HOMA-ir; Hb1AC=Hemoglobin A1C</w:t>
      </w:r>
      <w:r w:rsidR="00F530EC">
        <w:rPr>
          <w:rFonts w:ascii="Aptos" w:hAnsi="Aptos"/>
          <w:b w:val="0"/>
          <w:bCs w:val="0"/>
          <w:sz w:val="16"/>
          <w:szCs w:val="16"/>
        </w:rPr>
        <w:t>; SBP=s</w:t>
      </w:r>
      <w:r w:rsidR="00F530EC" w:rsidRPr="00F530EC">
        <w:rPr>
          <w:rFonts w:ascii="Aptos" w:hAnsi="Aptos"/>
          <w:b w:val="0"/>
          <w:bCs w:val="0"/>
          <w:sz w:val="16"/>
          <w:szCs w:val="16"/>
        </w:rPr>
        <w:t>ystolic blood pressure</w:t>
      </w:r>
    </w:p>
    <w:p w14:paraId="7A24C4A6" w14:textId="77777777" w:rsidR="006C209E" w:rsidRPr="00D518FF" w:rsidRDefault="006C209E" w:rsidP="006C209E">
      <w:pPr>
        <w:pStyle w:val="Caption1"/>
        <w:spacing w:before="0" w:after="0"/>
        <w:rPr>
          <w:rFonts w:ascii="Aptos" w:hAnsi="Aptos"/>
          <w:b w:val="0"/>
          <w:bCs w:val="0"/>
          <w:sz w:val="16"/>
          <w:szCs w:val="16"/>
        </w:rPr>
      </w:pPr>
    </w:p>
    <w:p w14:paraId="6F990D50" w14:textId="77777777" w:rsidR="006C209E" w:rsidRPr="00D518FF" w:rsidRDefault="006C209E" w:rsidP="006C209E">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5DA09D63" w14:textId="77777777" w:rsidR="006C209E" w:rsidRPr="00D518FF" w:rsidRDefault="006C209E" w:rsidP="00A4650A">
      <w:pPr>
        <w:pStyle w:val="ListParagraph"/>
        <w:numPr>
          <w:ilvl w:val="0"/>
          <w:numId w:val="4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Glycemic control</w:t>
      </w:r>
    </w:p>
    <w:p w14:paraId="75C2CB62"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Hba1c</w:t>
      </w:r>
    </w:p>
    <w:p w14:paraId="4D01686F"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Fasting glucose</w:t>
      </w:r>
    </w:p>
    <w:p w14:paraId="4A1051A6"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Fasting insulin</w:t>
      </w:r>
    </w:p>
    <w:p w14:paraId="6F1939A6"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Homeostatic model assessment of insulin resistance</w:t>
      </w:r>
    </w:p>
    <w:p w14:paraId="35C5882C"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2 hour post-prandial blood sugar</w:t>
      </w:r>
    </w:p>
    <w:p w14:paraId="7605C4FE"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Hyperglycemia (frequency)</w:t>
      </w:r>
    </w:p>
    <w:p w14:paraId="56632947"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Hypoglycemia (frequency)</w:t>
      </w:r>
    </w:p>
    <w:p w14:paraId="35335CF0" w14:textId="77777777" w:rsidR="006C209E" w:rsidRPr="00D518FF" w:rsidRDefault="006C209E" w:rsidP="00A4650A">
      <w:pPr>
        <w:pStyle w:val="ListParagraph"/>
        <w:numPr>
          <w:ilvl w:val="0"/>
          <w:numId w:val="4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Blood pressure</w:t>
      </w:r>
    </w:p>
    <w:p w14:paraId="0E813C5B"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Systolic</w:t>
      </w:r>
    </w:p>
    <w:p w14:paraId="0EF52862"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Diastolic</w:t>
      </w:r>
    </w:p>
    <w:p w14:paraId="6E1AE95A" w14:textId="77777777" w:rsidR="006C209E" w:rsidRPr="00D518FF" w:rsidRDefault="006C209E" w:rsidP="00A4650A">
      <w:pPr>
        <w:pStyle w:val="ListParagraph"/>
        <w:numPr>
          <w:ilvl w:val="0"/>
          <w:numId w:val="4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Oxidative stress</w:t>
      </w:r>
    </w:p>
    <w:p w14:paraId="197712EA"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 xml:space="preserve">Malonaldehyde </w:t>
      </w:r>
    </w:p>
    <w:p w14:paraId="081D602C"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Total antioxidant status/capacity</w:t>
      </w:r>
    </w:p>
    <w:p w14:paraId="69FF1E32"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Free oxygen radical test</w:t>
      </w:r>
    </w:p>
    <w:p w14:paraId="7B36566D"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Reative oxygen metabolites</w:t>
      </w:r>
    </w:p>
    <w:p w14:paraId="6E9E93DF"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Biological antioxidant potential</w:t>
      </w:r>
    </w:p>
    <w:p w14:paraId="549BD104"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Lipo-peroxidation products</w:t>
      </w:r>
    </w:p>
    <w:p w14:paraId="78AE5BCB"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Catalase</w:t>
      </w:r>
    </w:p>
    <w:p w14:paraId="540476AD" w14:textId="77777777" w:rsidR="006C209E" w:rsidRPr="00D518FF" w:rsidRDefault="006C209E" w:rsidP="006C209E">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Glutathione peroxidase</w:t>
      </w:r>
    </w:p>
    <w:p w14:paraId="4A49B578" w14:textId="77777777" w:rsidR="006C209E" w:rsidRPr="00D518FF" w:rsidRDefault="006C209E" w:rsidP="00A4650A">
      <w:pPr>
        <w:pStyle w:val="ListParagraph"/>
        <w:numPr>
          <w:ilvl w:val="0"/>
          <w:numId w:val="4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Diabetes related symptoms</w:t>
      </w:r>
    </w:p>
    <w:p w14:paraId="08C3A8A5" w14:textId="77777777" w:rsidR="006C209E" w:rsidRPr="00D518FF" w:rsidRDefault="006C209E" w:rsidP="00A4650A">
      <w:pPr>
        <w:pStyle w:val="ListParagraph"/>
        <w:numPr>
          <w:ilvl w:val="0"/>
          <w:numId w:val="4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Overall diabetes related complications</w:t>
      </w:r>
    </w:p>
    <w:p w14:paraId="55297292" w14:textId="77777777" w:rsidR="006C209E" w:rsidRPr="00D518FF" w:rsidRDefault="006C209E" w:rsidP="00A4650A">
      <w:pPr>
        <w:pStyle w:val="ListParagraph"/>
        <w:numPr>
          <w:ilvl w:val="0"/>
          <w:numId w:val="4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321D2075" w14:textId="77777777" w:rsidR="006C209E" w:rsidRPr="00D518FF" w:rsidRDefault="006C209E" w:rsidP="00A4650A">
      <w:pPr>
        <w:pStyle w:val="ListParagraph"/>
        <w:numPr>
          <w:ilvl w:val="0"/>
          <w:numId w:val="45"/>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Incidence of type 2 diabetes mellitus</w:t>
      </w:r>
    </w:p>
    <w:p w14:paraId="2273050B" w14:textId="77777777" w:rsidR="006C209E" w:rsidRPr="00D518FF" w:rsidRDefault="006C209E" w:rsidP="006C209E">
      <w:pPr>
        <w:rPr>
          <w:rFonts w:ascii="Aptos" w:hAnsi="Aptos" w:cs="Arial"/>
          <w:color w:val="000000" w:themeColor="text1"/>
          <w:sz w:val="14"/>
          <w:szCs w:val="14"/>
        </w:rPr>
      </w:pPr>
    </w:p>
    <w:p w14:paraId="319536FC" w14:textId="77777777" w:rsidR="006C209E" w:rsidRPr="00D518FF" w:rsidRDefault="006C209E" w:rsidP="006C209E">
      <w:pPr>
        <w:rPr>
          <w:rFonts w:ascii="Aptos" w:hAnsi="Aptos" w:cs="Arial"/>
          <w:color w:val="000000" w:themeColor="text1"/>
          <w:sz w:val="14"/>
          <w:szCs w:val="14"/>
        </w:rPr>
      </w:pPr>
    </w:p>
    <w:p w14:paraId="6F8332FD" w14:textId="6A4FFC87" w:rsidR="009E4D3F" w:rsidRPr="00D518FF" w:rsidRDefault="00834CBC" w:rsidP="00834CBC">
      <w:pPr>
        <w:pStyle w:val="Caption"/>
        <w:rPr>
          <w:rFonts w:ascii="Aptos" w:hAnsi="Aptos"/>
        </w:rPr>
      </w:pPr>
      <w:bookmarkStart w:id="215" w:name="_Toc185254592"/>
      <w:r w:rsidRPr="007F74AF">
        <w:rPr>
          <w:rFonts w:ascii="Aptos" w:hAnsi="Aptos"/>
        </w:rPr>
        <w:t xml:space="preserve">Table </w:t>
      </w:r>
      <w:r w:rsidR="003B0594" w:rsidRPr="007F74AF">
        <w:rPr>
          <w:rFonts w:ascii="Aptos" w:hAnsi="Aptos"/>
        </w:rPr>
        <w:fldChar w:fldCharType="begin" w:fldLock="1"/>
      </w:r>
      <w:r w:rsidR="003B0594" w:rsidRPr="007F74AF">
        <w:rPr>
          <w:rFonts w:ascii="Aptos" w:hAnsi="Aptos"/>
        </w:rPr>
        <w:instrText xml:space="preserve"> STYLEREF 1 \s </w:instrText>
      </w:r>
      <w:r w:rsidR="003B0594" w:rsidRPr="007F74AF">
        <w:rPr>
          <w:rFonts w:ascii="Aptos" w:hAnsi="Aptos"/>
        </w:rPr>
        <w:fldChar w:fldCharType="separate"/>
      </w:r>
      <w:r w:rsidR="003B0594" w:rsidRPr="007F74AF">
        <w:rPr>
          <w:rFonts w:ascii="Aptos" w:hAnsi="Aptos"/>
        </w:rPr>
        <w:t>E</w:t>
      </w:r>
      <w:r w:rsidR="003B0594" w:rsidRPr="007F74AF">
        <w:rPr>
          <w:rFonts w:ascii="Aptos" w:hAnsi="Aptos"/>
        </w:rPr>
        <w:fldChar w:fldCharType="end"/>
      </w:r>
      <w:r w:rsidR="00DC4767" w:rsidRPr="007F74AF">
        <w:rPr>
          <w:rFonts w:ascii="Aptos" w:hAnsi="Aptos"/>
        </w:rPr>
        <w:noBreakHyphen/>
      </w:r>
      <w:r w:rsidR="003B0594" w:rsidRPr="007F74AF">
        <w:rPr>
          <w:rFonts w:ascii="Aptos" w:hAnsi="Aptos"/>
        </w:rPr>
        <w:fldChar w:fldCharType="begin"/>
      </w:r>
      <w:r w:rsidR="003B0594" w:rsidRPr="007F74AF">
        <w:rPr>
          <w:rFonts w:ascii="Aptos" w:hAnsi="Aptos"/>
        </w:rPr>
        <w:instrText xml:space="preserve"> SEQ Table \* ARABIC \s 1 </w:instrText>
      </w:r>
      <w:r w:rsidR="003B0594" w:rsidRPr="007F74AF">
        <w:rPr>
          <w:rFonts w:ascii="Aptos" w:hAnsi="Aptos"/>
        </w:rPr>
        <w:fldChar w:fldCharType="separate"/>
      </w:r>
      <w:r w:rsidR="00C426C6">
        <w:rPr>
          <w:rFonts w:ascii="Aptos" w:hAnsi="Aptos"/>
          <w:noProof/>
        </w:rPr>
        <w:t>20</w:t>
      </w:r>
      <w:r w:rsidR="003B0594" w:rsidRPr="007F74AF">
        <w:rPr>
          <w:rFonts w:ascii="Aptos" w:hAnsi="Aptos"/>
        </w:rPr>
        <w:fldChar w:fldCharType="end"/>
      </w:r>
      <w:r w:rsidR="009E4D3F" w:rsidRPr="00D518FF">
        <w:rPr>
          <w:rFonts w:ascii="Aptos" w:hAnsi="Aptos"/>
        </w:rPr>
        <w:t xml:space="preserve">. Results of included </w:t>
      </w:r>
      <w:r w:rsidR="005E492F">
        <w:rPr>
          <w:rFonts w:ascii="Aptos" w:hAnsi="Aptos"/>
        </w:rPr>
        <w:t xml:space="preserve">(non-preferred) </w:t>
      </w:r>
      <w:r w:rsidR="009E4D3F" w:rsidRPr="00D518FF">
        <w:rPr>
          <w:rFonts w:ascii="Aptos" w:hAnsi="Aptos"/>
        </w:rPr>
        <w:t>reviews by outcome domain – diabetes (Type li) (including metabolic syndrome), antioxidants (specifically coq10 and alpha-lipoic acid)</w:t>
      </w:r>
      <w:r>
        <w:rPr>
          <w:rFonts w:ascii="Aptos" w:hAnsi="Aptos"/>
        </w:rPr>
        <w:t>.</w:t>
      </w:r>
      <w:bookmarkEnd w:id="215"/>
    </w:p>
    <w:tbl>
      <w:tblPr>
        <w:tblStyle w:val="TableGrid"/>
        <w:tblW w:w="14596" w:type="dxa"/>
        <w:tblLayout w:type="fixed"/>
        <w:tblCellMar>
          <w:top w:w="28" w:type="dxa"/>
          <w:left w:w="57" w:type="dxa"/>
          <w:bottom w:w="28" w:type="dxa"/>
          <w:right w:w="0" w:type="dxa"/>
        </w:tblCellMar>
        <w:tblLook w:val="04A0" w:firstRow="1" w:lastRow="0" w:firstColumn="1" w:lastColumn="0" w:noHBand="0" w:noVBand="1"/>
      </w:tblPr>
      <w:tblGrid>
        <w:gridCol w:w="971"/>
        <w:gridCol w:w="875"/>
        <w:gridCol w:w="855"/>
        <w:gridCol w:w="1382"/>
        <w:gridCol w:w="1330"/>
        <w:gridCol w:w="1367"/>
        <w:gridCol w:w="1014"/>
        <w:gridCol w:w="774"/>
        <w:gridCol w:w="940"/>
        <w:gridCol w:w="1008"/>
        <w:gridCol w:w="950"/>
        <w:gridCol w:w="1003"/>
        <w:gridCol w:w="993"/>
        <w:gridCol w:w="1134"/>
      </w:tblGrid>
      <w:tr w:rsidR="006B5A09" w:rsidRPr="00D518FF" w14:paraId="406FA188" w14:textId="77777777" w:rsidTr="007F74AF">
        <w:trPr>
          <w:trHeight w:val="92"/>
        </w:trPr>
        <w:tc>
          <w:tcPr>
            <w:tcW w:w="971" w:type="dxa"/>
            <w:vMerge w:val="restart"/>
            <w:shd w:val="clear" w:color="auto" w:fill="D9D9D9" w:themeFill="background1" w:themeFillShade="D9"/>
          </w:tcPr>
          <w:p w14:paraId="17480F2C"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Review ID</w:t>
            </w:r>
          </w:p>
        </w:tc>
        <w:tc>
          <w:tcPr>
            <w:tcW w:w="875" w:type="dxa"/>
            <w:vMerge w:val="restart"/>
            <w:shd w:val="clear" w:color="auto" w:fill="D9D9D9" w:themeFill="background1" w:themeFillShade="D9"/>
          </w:tcPr>
          <w:p w14:paraId="427AB6D1"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Outcome domain</w:t>
            </w:r>
          </w:p>
        </w:tc>
        <w:tc>
          <w:tcPr>
            <w:tcW w:w="855" w:type="dxa"/>
            <w:vMerge w:val="restart"/>
            <w:shd w:val="clear" w:color="auto" w:fill="D9D9D9" w:themeFill="background1" w:themeFillShade="D9"/>
          </w:tcPr>
          <w:p w14:paraId="78C453BA"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Population group</w:t>
            </w:r>
          </w:p>
        </w:tc>
        <w:tc>
          <w:tcPr>
            <w:tcW w:w="1382" w:type="dxa"/>
            <w:vMerge w:val="restart"/>
            <w:shd w:val="clear" w:color="auto" w:fill="D9D9D9" w:themeFill="background1" w:themeFillShade="D9"/>
          </w:tcPr>
          <w:p w14:paraId="1ECD04AD"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Population details</w:t>
            </w:r>
          </w:p>
        </w:tc>
        <w:tc>
          <w:tcPr>
            <w:tcW w:w="1330" w:type="dxa"/>
            <w:vMerge w:val="restart"/>
            <w:shd w:val="clear" w:color="auto" w:fill="D9D9D9" w:themeFill="background1" w:themeFillShade="D9"/>
          </w:tcPr>
          <w:p w14:paraId="3A392F4C"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Type of comparison</w:t>
            </w:r>
          </w:p>
        </w:tc>
        <w:tc>
          <w:tcPr>
            <w:tcW w:w="1367" w:type="dxa"/>
            <w:vMerge w:val="restart"/>
            <w:shd w:val="clear" w:color="auto" w:fill="D9D9D9" w:themeFill="background1" w:themeFillShade="D9"/>
          </w:tcPr>
          <w:p w14:paraId="3ED85744"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Intervention description</w:t>
            </w:r>
          </w:p>
        </w:tc>
        <w:tc>
          <w:tcPr>
            <w:tcW w:w="1014" w:type="dxa"/>
            <w:vMerge w:val="restart"/>
            <w:shd w:val="clear" w:color="auto" w:fill="D9D9D9" w:themeFill="background1" w:themeFillShade="D9"/>
          </w:tcPr>
          <w:p w14:paraId="0C98B1AF"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Comparator description</w:t>
            </w:r>
          </w:p>
        </w:tc>
        <w:tc>
          <w:tcPr>
            <w:tcW w:w="774" w:type="dxa"/>
            <w:vMerge w:val="restart"/>
            <w:shd w:val="clear" w:color="auto" w:fill="D9D9D9" w:themeFill="background1" w:themeFillShade="D9"/>
          </w:tcPr>
          <w:p w14:paraId="58E54237"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No/types of included studies</w:t>
            </w:r>
          </w:p>
        </w:tc>
        <w:tc>
          <w:tcPr>
            <w:tcW w:w="940" w:type="dxa"/>
            <w:vMerge w:val="restart"/>
            <w:shd w:val="clear" w:color="auto" w:fill="D9D9D9" w:themeFill="background1" w:themeFillShade="D9"/>
          </w:tcPr>
          <w:p w14:paraId="6E2A284C"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No of participants (total)</w:t>
            </w:r>
          </w:p>
        </w:tc>
        <w:tc>
          <w:tcPr>
            <w:tcW w:w="1008" w:type="dxa"/>
            <w:vMerge w:val="restart"/>
            <w:shd w:val="clear" w:color="auto" w:fill="D9D9D9" w:themeFill="background1" w:themeFillShade="D9"/>
          </w:tcPr>
          <w:p w14:paraId="6258D029" w14:textId="77777777" w:rsidR="006B5A09" w:rsidRPr="00D518FF" w:rsidRDefault="006B5A09" w:rsidP="00AA72BD">
            <w:pPr>
              <w:pStyle w:val="Caption1"/>
              <w:spacing w:before="0" w:after="0"/>
              <w:rPr>
                <w:rFonts w:ascii="Aptos" w:hAnsi="Aptos"/>
                <w:sz w:val="16"/>
                <w:szCs w:val="16"/>
              </w:rPr>
            </w:pPr>
            <w:r w:rsidRPr="00D518FF">
              <w:rPr>
                <w:rFonts w:ascii="Aptos" w:hAnsi="Aptos"/>
                <w:sz w:val="16"/>
                <w:szCs w:val="16"/>
              </w:rPr>
              <w:t>Outcome measure(s) used</w:t>
            </w:r>
          </w:p>
        </w:tc>
        <w:tc>
          <w:tcPr>
            <w:tcW w:w="2946" w:type="dxa"/>
            <w:gridSpan w:val="3"/>
            <w:shd w:val="clear" w:color="auto" w:fill="D9D9D9" w:themeFill="background1" w:themeFillShade="D9"/>
          </w:tcPr>
          <w:p w14:paraId="1D35623A" w14:textId="2D48ADA7" w:rsidR="006B5A09" w:rsidRPr="00E77295" w:rsidRDefault="006B5A09" w:rsidP="00AA62BB">
            <w:pPr>
              <w:pStyle w:val="Caption1"/>
              <w:spacing w:before="0" w:after="0"/>
              <w:rPr>
                <w:rFonts w:ascii="Aptos" w:hAnsi="Aptos"/>
                <w:sz w:val="16"/>
                <w:szCs w:val="16"/>
              </w:rPr>
            </w:pPr>
            <w:r w:rsidRPr="00D518FF">
              <w:rPr>
                <w:rFonts w:ascii="Aptos" w:hAnsi="Aptos"/>
                <w:sz w:val="16"/>
                <w:szCs w:val="16"/>
              </w:rPr>
              <w:t>Results</w:t>
            </w:r>
          </w:p>
        </w:tc>
        <w:tc>
          <w:tcPr>
            <w:tcW w:w="1134" w:type="dxa"/>
            <w:vMerge w:val="restart"/>
            <w:shd w:val="clear" w:color="auto" w:fill="D9D9D9" w:themeFill="background1" w:themeFillShade="D9"/>
          </w:tcPr>
          <w:p w14:paraId="0436ABF6" w14:textId="7B844AC5" w:rsidR="006B5A09" w:rsidRPr="00D518FF" w:rsidRDefault="006B5A09" w:rsidP="00AA62BB">
            <w:pPr>
              <w:pStyle w:val="Caption1"/>
              <w:spacing w:before="0" w:after="0"/>
              <w:rPr>
                <w:rFonts w:ascii="Aptos" w:hAnsi="Aptos"/>
                <w:sz w:val="16"/>
                <w:szCs w:val="16"/>
              </w:rPr>
            </w:pPr>
            <w:r w:rsidRPr="00E77295">
              <w:rPr>
                <w:rFonts w:ascii="Aptos" w:hAnsi="Aptos"/>
                <w:sz w:val="16"/>
                <w:szCs w:val="16"/>
              </w:rPr>
              <w:t>ROBIS assessment (for the review overall)</w:t>
            </w:r>
          </w:p>
        </w:tc>
      </w:tr>
      <w:tr w:rsidR="006B5A09" w:rsidRPr="00D518FF" w14:paraId="338FE06B" w14:textId="77777777" w:rsidTr="007F74AF">
        <w:trPr>
          <w:trHeight w:val="92"/>
        </w:trPr>
        <w:tc>
          <w:tcPr>
            <w:tcW w:w="971" w:type="dxa"/>
            <w:vMerge/>
            <w:shd w:val="clear" w:color="auto" w:fill="D9D9D9" w:themeFill="background1" w:themeFillShade="D9"/>
          </w:tcPr>
          <w:p w14:paraId="1594BBD8" w14:textId="77777777" w:rsidR="006B5A09" w:rsidRPr="00D518FF" w:rsidRDefault="006B5A09" w:rsidP="006B5A09">
            <w:pPr>
              <w:pStyle w:val="Caption1"/>
              <w:spacing w:before="0" w:after="0"/>
              <w:rPr>
                <w:rFonts w:ascii="Aptos" w:hAnsi="Aptos"/>
                <w:sz w:val="16"/>
                <w:szCs w:val="16"/>
              </w:rPr>
            </w:pPr>
          </w:p>
        </w:tc>
        <w:tc>
          <w:tcPr>
            <w:tcW w:w="875" w:type="dxa"/>
            <w:vMerge/>
            <w:shd w:val="clear" w:color="auto" w:fill="D9D9D9" w:themeFill="background1" w:themeFillShade="D9"/>
          </w:tcPr>
          <w:p w14:paraId="05F7145B" w14:textId="77777777" w:rsidR="006B5A09" w:rsidRPr="00D518FF" w:rsidRDefault="006B5A09" w:rsidP="006B5A09">
            <w:pPr>
              <w:pStyle w:val="Caption1"/>
              <w:spacing w:before="0" w:after="0"/>
              <w:rPr>
                <w:rFonts w:ascii="Aptos" w:hAnsi="Aptos"/>
                <w:sz w:val="16"/>
                <w:szCs w:val="16"/>
              </w:rPr>
            </w:pPr>
          </w:p>
        </w:tc>
        <w:tc>
          <w:tcPr>
            <w:tcW w:w="855" w:type="dxa"/>
            <w:vMerge/>
            <w:shd w:val="clear" w:color="auto" w:fill="D9D9D9" w:themeFill="background1" w:themeFillShade="D9"/>
          </w:tcPr>
          <w:p w14:paraId="72D49416" w14:textId="77777777" w:rsidR="006B5A09" w:rsidRPr="00D518FF" w:rsidRDefault="006B5A09" w:rsidP="006B5A09">
            <w:pPr>
              <w:pStyle w:val="Caption1"/>
              <w:spacing w:before="0" w:after="0"/>
              <w:rPr>
                <w:rFonts w:ascii="Aptos" w:hAnsi="Aptos"/>
                <w:sz w:val="16"/>
                <w:szCs w:val="16"/>
              </w:rPr>
            </w:pPr>
          </w:p>
        </w:tc>
        <w:tc>
          <w:tcPr>
            <w:tcW w:w="1382" w:type="dxa"/>
            <w:vMerge/>
            <w:shd w:val="clear" w:color="auto" w:fill="D9D9D9" w:themeFill="background1" w:themeFillShade="D9"/>
          </w:tcPr>
          <w:p w14:paraId="60421690" w14:textId="77777777" w:rsidR="006B5A09" w:rsidRPr="00D518FF" w:rsidRDefault="006B5A09" w:rsidP="006B5A09">
            <w:pPr>
              <w:pStyle w:val="Caption1"/>
              <w:spacing w:before="0" w:after="0"/>
              <w:rPr>
                <w:rFonts w:ascii="Aptos" w:hAnsi="Aptos"/>
                <w:sz w:val="16"/>
                <w:szCs w:val="16"/>
              </w:rPr>
            </w:pPr>
          </w:p>
        </w:tc>
        <w:tc>
          <w:tcPr>
            <w:tcW w:w="1330" w:type="dxa"/>
            <w:vMerge/>
            <w:shd w:val="clear" w:color="auto" w:fill="D9D9D9" w:themeFill="background1" w:themeFillShade="D9"/>
          </w:tcPr>
          <w:p w14:paraId="626874D7" w14:textId="77777777" w:rsidR="006B5A09" w:rsidRPr="00D518FF" w:rsidRDefault="006B5A09" w:rsidP="006B5A09">
            <w:pPr>
              <w:pStyle w:val="Caption1"/>
              <w:spacing w:before="0" w:after="0"/>
              <w:rPr>
                <w:rFonts w:ascii="Aptos" w:hAnsi="Aptos"/>
                <w:sz w:val="16"/>
                <w:szCs w:val="16"/>
              </w:rPr>
            </w:pPr>
          </w:p>
        </w:tc>
        <w:tc>
          <w:tcPr>
            <w:tcW w:w="1367" w:type="dxa"/>
            <w:vMerge/>
            <w:shd w:val="clear" w:color="auto" w:fill="D9D9D9" w:themeFill="background1" w:themeFillShade="D9"/>
          </w:tcPr>
          <w:p w14:paraId="5C5756D6" w14:textId="77777777" w:rsidR="006B5A09" w:rsidRPr="00D518FF" w:rsidRDefault="006B5A09" w:rsidP="006B5A09">
            <w:pPr>
              <w:pStyle w:val="Caption1"/>
              <w:spacing w:before="0" w:after="0"/>
              <w:rPr>
                <w:rFonts w:ascii="Aptos" w:hAnsi="Aptos"/>
                <w:sz w:val="16"/>
                <w:szCs w:val="16"/>
              </w:rPr>
            </w:pPr>
          </w:p>
        </w:tc>
        <w:tc>
          <w:tcPr>
            <w:tcW w:w="1014" w:type="dxa"/>
            <w:vMerge/>
            <w:shd w:val="clear" w:color="auto" w:fill="D9D9D9" w:themeFill="background1" w:themeFillShade="D9"/>
          </w:tcPr>
          <w:p w14:paraId="1DAB3DD0" w14:textId="77777777" w:rsidR="006B5A09" w:rsidRPr="00D518FF" w:rsidRDefault="006B5A09" w:rsidP="006B5A09">
            <w:pPr>
              <w:pStyle w:val="Caption1"/>
              <w:spacing w:before="0" w:after="0"/>
              <w:rPr>
                <w:rFonts w:ascii="Aptos" w:hAnsi="Aptos"/>
                <w:sz w:val="16"/>
                <w:szCs w:val="16"/>
              </w:rPr>
            </w:pPr>
          </w:p>
        </w:tc>
        <w:tc>
          <w:tcPr>
            <w:tcW w:w="774" w:type="dxa"/>
            <w:vMerge/>
            <w:shd w:val="clear" w:color="auto" w:fill="D9D9D9" w:themeFill="background1" w:themeFillShade="D9"/>
          </w:tcPr>
          <w:p w14:paraId="4D6F27E2" w14:textId="77777777" w:rsidR="006B5A09" w:rsidRPr="00D518FF" w:rsidRDefault="006B5A09" w:rsidP="006B5A09">
            <w:pPr>
              <w:pStyle w:val="Caption1"/>
              <w:spacing w:before="0" w:after="0"/>
              <w:rPr>
                <w:rFonts w:ascii="Aptos" w:hAnsi="Aptos"/>
                <w:sz w:val="16"/>
                <w:szCs w:val="16"/>
              </w:rPr>
            </w:pPr>
          </w:p>
        </w:tc>
        <w:tc>
          <w:tcPr>
            <w:tcW w:w="940" w:type="dxa"/>
            <w:vMerge/>
            <w:shd w:val="clear" w:color="auto" w:fill="D9D9D9" w:themeFill="background1" w:themeFillShade="D9"/>
          </w:tcPr>
          <w:p w14:paraId="3C59E257" w14:textId="77777777" w:rsidR="006B5A09" w:rsidRPr="00D518FF" w:rsidRDefault="006B5A09" w:rsidP="006B5A09">
            <w:pPr>
              <w:pStyle w:val="Caption1"/>
              <w:spacing w:before="0" w:after="0"/>
              <w:rPr>
                <w:rFonts w:ascii="Aptos" w:hAnsi="Aptos"/>
                <w:sz w:val="16"/>
                <w:szCs w:val="16"/>
              </w:rPr>
            </w:pPr>
          </w:p>
        </w:tc>
        <w:tc>
          <w:tcPr>
            <w:tcW w:w="1008" w:type="dxa"/>
            <w:vMerge/>
            <w:shd w:val="clear" w:color="auto" w:fill="D9D9D9" w:themeFill="background1" w:themeFillShade="D9"/>
          </w:tcPr>
          <w:p w14:paraId="5F4D0A41" w14:textId="77777777" w:rsidR="006B5A09" w:rsidRPr="00D518FF" w:rsidRDefault="006B5A09" w:rsidP="006B5A09">
            <w:pPr>
              <w:pStyle w:val="Caption1"/>
              <w:spacing w:before="0" w:after="0"/>
              <w:rPr>
                <w:rFonts w:ascii="Aptos" w:hAnsi="Aptos"/>
                <w:sz w:val="16"/>
                <w:szCs w:val="16"/>
              </w:rPr>
            </w:pPr>
          </w:p>
        </w:tc>
        <w:tc>
          <w:tcPr>
            <w:tcW w:w="950" w:type="dxa"/>
            <w:shd w:val="clear" w:color="auto" w:fill="D9D9D9" w:themeFill="background1" w:themeFillShade="D9"/>
          </w:tcPr>
          <w:p w14:paraId="298F59F9" w14:textId="77777777" w:rsidR="006B5A09" w:rsidRPr="00D518FF" w:rsidRDefault="006B5A09" w:rsidP="006B5A09">
            <w:pPr>
              <w:pStyle w:val="Caption1"/>
              <w:spacing w:before="0" w:after="0"/>
              <w:rPr>
                <w:rFonts w:ascii="Aptos" w:hAnsi="Aptos"/>
                <w:sz w:val="16"/>
                <w:szCs w:val="16"/>
              </w:rPr>
            </w:pPr>
            <w:r w:rsidRPr="00D518FF">
              <w:rPr>
                <w:rFonts w:ascii="Aptos" w:hAnsi="Aptos"/>
                <w:sz w:val="16"/>
                <w:szCs w:val="16"/>
              </w:rPr>
              <w:t>Relative effect (95% CI)</w:t>
            </w:r>
          </w:p>
        </w:tc>
        <w:tc>
          <w:tcPr>
            <w:tcW w:w="1003" w:type="dxa"/>
            <w:shd w:val="clear" w:color="auto" w:fill="D9D9D9" w:themeFill="background1" w:themeFillShade="D9"/>
          </w:tcPr>
          <w:p w14:paraId="7B7B70AF" w14:textId="77777777" w:rsidR="006B5A09" w:rsidRPr="00D518FF" w:rsidRDefault="006B5A09" w:rsidP="006B5A09">
            <w:pPr>
              <w:pStyle w:val="Caption1"/>
              <w:spacing w:before="0" w:after="0"/>
              <w:rPr>
                <w:rFonts w:ascii="Aptos" w:hAnsi="Aptos"/>
                <w:sz w:val="16"/>
                <w:szCs w:val="16"/>
              </w:rPr>
            </w:pPr>
            <w:r w:rsidRPr="00D518FF">
              <w:rPr>
                <w:rFonts w:ascii="Aptos" w:hAnsi="Aptos"/>
                <w:sz w:val="16"/>
                <w:szCs w:val="16"/>
              </w:rPr>
              <w:t>Other reported results</w:t>
            </w:r>
          </w:p>
        </w:tc>
        <w:tc>
          <w:tcPr>
            <w:tcW w:w="993" w:type="dxa"/>
            <w:shd w:val="clear" w:color="auto" w:fill="D9D9D9" w:themeFill="background1" w:themeFillShade="D9"/>
          </w:tcPr>
          <w:p w14:paraId="619C586D" w14:textId="14B4BEE1" w:rsidR="006B5A09" w:rsidRPr="00D518FF" w:rsidRDefault="006B5A09" w:rsidP="006B5A09">
            <w:pPr>
              <w:pStyle w:val="Caption1"/>
              <w:spacing w:before="0" w:after="0"/>
              <w:rPr>
                <w:rFonts w:ascii="Aptos" w:hAnsi="Aptos"/>
                <w:sz w:val="16"/>
                <w:szCs w:val="16"/>
              </w:rPr>
            </w:pPr>
            <w:r w:rsidRPr="006B5A09">
              <w:rPr>
                <w:rFonts w:ascii="Aptos" w:hAnsi="Aptos"/>
                <w:sz w:val="16"/>
                <w:szCs w:val="16"/>
              </w:rPr>
              <w:t>Risk of bias summary (primary studies)</w:t>
            </w:r>
          </w:p>
        </w:tc>
        <w:tc>
          <w:tcPr>
            <w:tcW w:w="1134" w:type="dxa"/>
            <w:vMerge/>
            <w:shd w:val="clear" w:color="auto" w:fill="D9D9D9" w:themeFill="background1" w:themeFillShade="D9"/>
          </w:tcPr>
          <w:p w14:paraId="6CD7F2F0" w14:textId="5EE06555" w:rsidR="006B5A09" w:rsidRPr="00D518FF" w:rsidRDefault="006B5A09" w:rsidP="006B5A09">
            <w:pPr>
              <w:pStyle w:val="Caption1"/>
              <w:spacing w:before="0" w:after="0"/>
              <w:rPr>
                <w:rFonts w:ascii="Aptos" w:hAnsi="Aptos"/>
                <w:sz w:val="16"/>
                <w:szCs w:val="16"/>
              </w:rPr>
            </w:pPr>
          </w:p>
        </w:tc>
      </w:tr>
      <w:tr w:rsidR="006B5A09" w:rsidRPr="00D518FF" w14:paraId="57F5C631" w14:textId="77777777" w:rsidTr="007F74AF">
        <w:trPr>
          <w:trHeight w:val="196"/>
        </w:trPr>
        <w:tc>
          <w:tcPr>
            <w:tcW w:w="971" w:type="dxa"/>
          </w:tcPr>
          <w:p w14:paraId="31A12CAF" w14:textId="77777777" w:rsidR="006B5A09" w:rsidRPr="00D518FF" w:rsidRDefault="006B5A09" w:rsidP="006B5A09">
            <w:pPr>
              <w:rPr>
                <w:rFonts w:ascii="Aptos" w:hAnsi="Aptos"/>
                <w:sz w:val="16"/>
                <w:szCs w:val="16"/>
              </w:rPr>
            </w:pPr>
            <w:r w:rsidRPr="00D518FF">
              <w:rPr>
                <w:rFonts w:ascii="Aptos" w:hAnsi="Aptos"/>
                <w:sz w:val="16"/>
                <w:szCs w:val="16"/>
              </w:rPr>
              <w:t>Araújo 2022</w:t>
            </w:r>
          </w:p>
        </w:tc>
        <w:tc>
          <w:tcPr>
            <w:tcW w:w="875" w:type="dxa"/>
          </w:tcPr>
          <w:p w14:paraId="0F3BF7D0" w14:textId="77777777" w:rsidR="006B5A09" w:rsidRPr="00D518FF" w:rsidRDefault="006B5A09" w:rsidP="006B5A09">
            <w:pPr>
              <w:rPr>
                <w:rFonts w:ascii="Aptos" w:hAnsi="Aptos"/>
                <w:sz w:val="16"/>
                <w:szCs w:val="16"/>
              </w:rPr>
            </w:pPr>
            <w:r w:rsidRPr="00D518FF">
              <w:rPr>
                <w:rFonts w:ascii="Aptos" w:hAnsi="Aptos"/>
                <w:sz w:val="16"/>
                <w:szCs w:val="16"/>
              </w:rPr>
              <w:t>1 - Hb1AC</w:t>
            </w:r>
          </w:p>
        </w:tc>
        <w:tc>
          <w:tcPr>
            <w:tcW w:w="855" w:type="dxa"/>
          </w:tcPr>
          <w:p w14:paraId="0A9EAFEC" w14:textId="259B3A8E"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04CF9D8C" w14:textId="655A66C7" w:rsidR="006B5A09" w:rsidRPr="00D518FF" w:rsidRDefault="006B5A09" w:rsidP="006B5A09">
            <w:pPr>
              <w:rPr>
                <w:rFonts w:ascii="Aptos" w:hAnsi="Aptos"/>
                <w:sz w:val="16"/>
                <w:szCs w:val="16"/>
              </w:rPr>
            </w:pPr>
            <w:r w:rsidRPr="00D518FF">
              <w:rPr>
                <w:rFonts w:ascii="Aptos" w:hAnsi="Aptos"/>
                <w:sz w:val="16"/>
                <w:szCs w:val="16"/>
              </w:rPr>
              <w:t>Adult patients with diagnosed T2D</w:t>
            </w:r>
            <w:r w:rsidR="00FE2A6E">
              <w:rPr>
                <w:rFonts w:ascii="Aptos" w:hAnsi="Aptos"/>
                <w:sz w:val="16"/>
                <w:szCs w:val="16"/>
              </w:rPr>
              <w:t>M</w:t>
            </w:r>
            <w:r w:rsidRPr="00D518FF">
              <w:rPr>
                <w:rFonts w:ascii="Aptos" w:hAnsi="Aptos"/>
                <w:sz w:val="16"/>
                <w:szCs w:val="16"/>
              </w:rPr>
              <w:t xml:space="preserve"> (controlled or not) under treatment (including diet, exercises, </w:t>
            </w:r>
            <w:r w:rsidRPr="00D518FF">
              <w:rPr>
                <w:rFonts w:ascii="Aptos" w:hAnsi="Aptos"/>
                <w:sz w:val="16"/>
                <w:szCs w:val="16"/>
              </w:rPr>
              <w:lastRenderedPageBreak/>
              <w:t>pharmacological therapy or any combination of those) and untreated periodontitis (according to the case definition of the new Periodontal Diseases Classification, patients with interdental clinical attachment level (CAL) detectable at ≥2 non-adjacent teeth, or buccal or oral CAL ≥ 3 mm with pocketing &gt; 3 mm detectable at ≥2 teeth</w:t>
            </w:r>
          </w:p>
        </w:tc>
        <w:tc>
          <w:tcPr>
            <w:tcW w:w="1330" w:type="dxa"/>
          </w:tcPr>
          <w:p w14:paraId="2BDBA8CD" w14:textId="77777777" w:rsidR="006B5A09" w:rsidRPr="00D518FF" w:rsidRDefault="006B5A09" w:rsidP="006B5A09">
            <w:pPr>
              <w:rPr>
                <w:rFonts w:ascii="Aptos" w:hAnsi="Aptos"/>
                <w:sz w:val="16"/>
                <w:szCs w:val="16"/>
              </w:rPr>
            </w:pPr>
            <w:r w:rsidRPr="00D518FF">
              <w:rPr>
                <w:rFonts w:ascii="Aptos" w:hAnsi="Aptos"/>
                <w:sz w:val="16"/>
                <w:szCs w:val="16"/>
              </w:rPr>
              <w:lastRenderedPageBreak/>
              <w:t xml:space="preserve">Eligible supplement + non-naturopathy co-intervention VS non-naturopathy co-intervention </w:t>
            </w:r>
          </w:p>
        </w:tc>
        <w:tc>
          <w:tcPr>
            <w:tcW w:w="1367" w:type="dxa"/>
          </w:tcPr>
          <w:p w14:paraId="24E78901" w14:textId="77777777" w:rsidR="006B5A09" w:rsidRPr="00D518FF" w:rsidRDefault="006B5A09" w:rsidP="006B5A09">
            <w:pPr>
              <w:rPr>
                <w:rFonts w:ascii="Aptos" w:hAnsi="Aptos"/>
                <w:sz w:val="16"/>
                <w:szCs w:val="16"/>
              </w:rPr>
            </w:pPr>
            <w:r w:rsidRPr="00D518FF">
              <w:rPr>
                <w:rFonts w:ascii="Aptos" w:hAnsi="Aptos"/>
                <w:sz w:val="16"/>
                <w:szCs w:val="16"/>
              </w:rPr>
              <w:t>Alpha Lipoic Acid 600 mg thrice a day for 12 weeks + NSPT</w:t>
            </w:r>
          </w:p>
        </w:tc>
        <w:tc>
          <w:tcPr>
            <w:tcW w:w="1014" w:type="dxa"/>
          </w:tcPr>
          <w:p w14:paraId="617FBE9B" w14:textId="77777777" w:rsidR="006B5A09" w:rsidRPr="00D518FF" w:rsidRDefault="006B5A09" w:rsidP="006B5A09">
            <w:pPr>
              <w:rPr>
                <w:rFonts w:ascii="Aptos" w:hAnsi="Aptos"/>
                <w:sz w:val="16"/>
                <w:szCs w:val="16"/>
              </w:rPr>
            </w:pPr>
            <w:r w:rsidRPr="00D518FF">
              <w:rPr>
                <w:rFonts w:ascii="Aptos" w:hAnsi="Aptos"/>
                <w:sz w:val="16"/>
                <w:szCs w:val="16"/>
              </w:rPr>
              <w:t>NSPT</w:t>
            </w:r>
          </w:p>
        </w:tc>
        <w:tc>
          <w:tcPr>
            <w:tcW w:w="774" w:type="dxa"/>
          </w:tcPr>
          <w:p w14:paraId="7CC038F1" w14:textId="77777777" w:rsidR="006B5A09" w:rsidRPr="00D518FF" w:rsidRDefault="006B5A09" w:rsidP="006B5A09">
            <w:pPr>
              <w:rPr>
                <w:rFonts w:ascii="Aptos" w:hAnsi="Aptos"/>
                <w:sz w:val="16"/>
                <w:szCs w:val="16"/>
              </w:rPr>
            </w:pPr>
            <w:r w:rsidRPr="00D518FF">
              <w:rPr>
                <w:rFonts w:ascii="Aptos" w:hAnsi="Aptos"/>
                <w:sz w:val="16"/>
                <w:szCs w:val="16"/>
              </w:rPr>
              <w:t>1</w:t>
            </w:r>
          </w:p>
        </w:tc>
        <w:tc>
          <w:tcPr>
            <w:tcW w:w="940" w:type="dxa"/>
          </w:tcPr>
          <w:p w14:paraId="75556052" w14:textId="77777777" w:rsidR="006B5A09" w:rsidRPr="00D518FF" w:rsidRDefault="006B5A09" w:rsidP="006B5A09">
            <w:pPr>
              <w:rPr>
                <w:rFonts w:ascii="Aptos" w:hAnsi="Aptos"/>
                <w:sz w:val="16"/>
                <w:szCs w:val="16"/>
              </w:rPr>
            </w:pPr>
            <w:r w:rsidRPr="00D518FF">
              <w:rPr>
                <w:rFonts w:ascii="Aptos" w:hAnsi="Aptos"/>
                <w:sz w:val="16"/>
                <w:szCs w:val="16"/>
              </w:rPr>
              <w:t>40</w:t>
            </w:r>
          </w:p>
        </w:tc>
        <w:tc>
          <w:tcPr>
            <w:tcW w:w="1008" w:type="dxa"/>
          </w:tcPr>
          <w:p w14:paraId="675D23D8" w14:textId="77777777" w:rsidR="006B5A09" w:rsidRPr="00D518FF" w:rsidRDefault="006B5A09" w:rsidP="006B5A09">
            <w:pPr>
              <w:rPr>
                <w:rFonts w:ascii="Aptos" w:hAnsi="Aptos"/>
                <w:sz w:val="16"/>
                <w:szCs w:val="16"/>
              </w:rPr>
            </w:pPr>
            <w:r w:rsidRPr="00D518FF">
              <w:rPr>
                <w:rFonts w:ascii="Aptos" w:hAnsi="Aptos"/>
                <w:sz w:val="16"/>
                <w:szCs w:val="16"/>
              </w:rPr>
              <w:t xml:space="preserve">Hba1c level change from baseline to 8 or 12 weeks </w:t>
            </w:r>
          </w:p>
        </w:tc>
        <w:tc>
          <w:tcPr>
            <w:tcW w:w="950" w:type="dxa"/>
          </w:tcPr>
          <w:p w14:paraId="7B35119F" w14:textId="77777777" w:rsidR="006B5A09" w:rsidRPr="00D518FF" w:rsidRDefault="006B5A09" w:rsidP="006B5A09">
            <w:pPr>
              <w:rPr>
                <w:rFonts w:ascii="Aptos" w:hAnsi="Aptos"/>
                <w:sz w:val="16"/>
                <w:szCs w:val="16"/>
              </w:rPr>
            </w:pPr>
            <w:r w:rsidRPr="00D518FF">
              <w:rPr>
                <w:rFonts w:ascii="Aptos" w:hAnsi="Aptos"/>
                <w:sz w:val="16"/>
                <w:szCs w:val="16"/>
              </w:rPr>
              <w:t xml:space="preserve"> P &lt; 0.001</w:t>
            </w:r>
          </w:p>
        </w:tc>
        <w:tc>
          <w:tcPr>
            <w:tcW w:w="1003" w:type="dxa"/>
          </w:tcPr>
          <w:p w14:paraId="3DF20024" w14:textId="77777777" w:rsidR="006B5A09" w:rsidRPr="00D518FF" w:rsidRDefault="006B5A09" w:rsidP="006B5A09">
            <w:pPr>
              <w:rPr>
                <w:rFonts w:ascii="Aptos" w:hAnsi="Aptos"/>
                <w:sz w:val="16"/>
                <w:szCs w:val="16"/>
              </w:rPr>
            </w:pPr>
          </w:p>
        </w:tc>
        <w:tc>
          <w:tcPr>
            <w:tcW w:w="993" w:type="dxa"/>
          </w:tcPr>
          <w:p w14:paraId="0AE17F35" w14:textId="04A52320" w:rsidR="006B5A09" w:rsidRDefault="006B5A09" w:rsidP="006B5A09">
            <w:pPr>
              <w:rPr>
                <w:rFonts w:ascii="Aptos" w:hAnsi="Aptos"/>
                <w:sz w:val="16"/>
                <w:szCs w:val="16"/>
              </w:rPr>
            </w:pPr>
            <w:r>
              <w:rPr>
                <w:rFonts w:ascii="Aptos" w:hAnsi="Aptos"/>
                <w:sz w:val="16"/>
                <w:szCs w:val="16"/>
              </w:rPr>
              <w:t>NA</w:t>
            </w:r>
          </w:p>
        </w:tc>
        <w:tc>
          <w:tcPr>
            <w:tcW w:w="1134" w:type="dxa"/>
          </w:tcPr>
          <w:p w14:paraId="71D01D02" w14:textId="72643F68"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5FD32C38" w14:textId="77777777" w:rsidTr="007F74AF">
        <w:trPr>
          <w:trHeight w:val="196"/>
        </w:trPr>
        <w:tc>
          <w:tcPr>
            <w:tcW w:w="971" w:type="dxa"/>
          </w:tcPr>
          <w:p w14:paraId="5A261B29" w14:textId="77777777" w:rsidR="006B5A09" w:rsidRPr="00D518FF" w:rsidRDefault="006B5A09" w:rsidP="006B5A09">
            <w:pPr>
              <w:rPr>
                <w:rFonts w:ascii="Aptos" w:hAnsi="Aptos"/>
                <w:sz w:val="16"/>
                <w:szCs w:val="16"/>
              </w:rPr>
            </w:pPr>
            <w:r w:rsidRPr="00D518FF">
              <w:rPr>
                <w:rFonts w:ascii="Aptos" w:hAnsi="Aptos"/>
                <w:sz w:val="16"/>
                <w:szCs w:val="16"/>
              </w:rPr>
              <w:t>Huang 2018</w:t>
            </w:r>
          </w:p>
        </w:tc>
        <w:tc>
          <w:tcPr>
            <w:tcW w:w="875" w:type="dxa"/>
          </w:tcPr>
          <w:p w14:paraId="02ECD9BA" w14:textId="77777777" w:rsidR="006B5A09" w:rsidRPr="00D518FF" w:rsidRDefault="006B5A09" w:rsidP="006B5A09">
            <w:pPr>
              <w:rPr>
                <w:rFonts w:ascii="Aptos" w:hAnsi="Aptos"/>
                <w:sz w:val="16"/>
                <w:szCs w:val="16"/>
              </w:rPr>
            </w:pPr>
            <w:r w:rsidRPr="00D518FF">
              <w:rPr>
                <w:rFonts w:ascii="Aptos" w:hAnsi="Aptos"/>
                <w:sz w:val="16"/>
                <w:szCs w:val="16"/>
              </w:rPr>
              <w:t>1 - FBI</w:t>
            </w:r>
          </w:p>
        </w:tc>
        <w:tc>
          <w:tcPr>
            <w:tcW w:w="855" w:type="dxa"/>
          </w:tcPr>
          <w:p w14:paraId="53696247" w14:textId="17D1E162"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0CEC0FFF" w14:textId="77777777" w:rsidR="006B5A09" w:rsidRPr="00D518FF" w:rsidRDefault="006B5A09" w:rsidP="006B5A09">
            <w:pPr>
              <w:rPr>
                <w:rFonts w:ascii="Aptos" w:hAnsi="Aptos"/>
                <w:sz w:val="16"/>
                <w:szCs w:val="16"/>
              </w:rPr>
            </w:pPr>
            <w:r w:rsidRPr="00D518FF">
              <w:rPr>
                <w:rFonts w:ascii="Aptos" w:hAnsi="Aptos"/>
                <w:sz w:val="16"/>
                <w:szCs w:val="16"/>
              </w:rPr>
              <w:t>Adults aged ≥18 years) with a body mass index (BMI) of ≥25 kg/m2 and diagnosed with T2DM</w:t>
            </w:r>
          </w:p>
        </w:tc>
        <w:tc>
          <w:tcPr>
            <w:tcW w:w="1330" w:type="dxa"/>
          </w:tcPr>
          <w:p w14:paraId="572E57B7" w14:textId="2029F705" w:rsidR="006B5A09" w:rsidRPr="00D518FF" w:rsidRDefault="006B5A09" w:rsidP="006B5A09">
            <w:pPr>
              <w:rPr>
                <w:rFonts w:ascii="Aptos" w:hAnsi="Aptos"/>
                <w:sz w:val="16"/>
                <w:szCs w:val="16"/>
              </w:rPr>
            </w:pPr>
            <w:r w:rsidRPr="00D518FF">
              <w:rPr>
                <w:rFonts w:ascii="Aptos" w:hAnsi="Aptos"/>
                <w:sz w:val="16"/>
                <w:szCs w:val="16"/>
              </w:rPr>
              <w:t>Eligible supplement VS placebo/inactive control</w:t>
            </w:r>
          </w:p>
        </w:tc>
        <w:tc>
          <w:tcPr>
            <w:tcW w:w="1367" w:type="dxa"/>
          </w:tcPr>
          <w:p w14:paraId="27E7FC85" w14:textId="77777777" w:rsidR="006B5A09" w:rsidRPr="00D518FF" w:rsidRDefault="006B5A09" w:rsidP="006B5A09">
            <w:pPr>
              <w:rPr>
                <w:rFonts w:ascii="Aptos" w:hAnsi="Aptos"/>
                <w:sz w:val="16"/>
                <w:szCs w:val="16"/>
              </w:rPr>
            </w:pPr>
            <w:r w:rsidRPr="00D518FF">
              <w:rPr>
                <w:rFonts w:ascii="Aptos" w:hAnsi="Aptos"/>
                <w:sz w:val="16"/>
                <w:szCs w:val="16"/>
              </w:rPr>
              <w:t xml:space="preserve">Coq10 </w:t>
            </w:r>
          </w:p>
        </w:tc>
        <w:tc>
          <w:tcPr>
            <w:tcW w:w="1014" w:type="dxa"/>
          </w:tcPr>
          <w:p w14:paraId="09CF4985" w14:textId="77777777" w:rsidR="006B5A09" w:rsidRPr="00D518FF" w:rsidRDefault="006B5A09" w:rsidP="006B5A09">
            <w:pPr>
              <w:rPr>
                <w:rFonts w:ascii="Aptos" w:hAnsi="Aptos"/>
                <w:sz w:val="16"/>
                <w:szCs w:val="16"/>
              </w:rPr>
            </w:pPr>
            <w:r w:rsidRPr="00D518FF">
              <w:rPr>
                <w:rFonts w:ascii="Aptos" w:hAnsi="Aptos"/>
                <w:sz w:val="16"/>
                <w:szCs w:val="16"/>
              </w:rPr>
              <w:t>Placebo</w:t>
            </w:r>
          </w:p>
        </w:tc>
        <w:tc>
          <w:tcPr>
            <w:tcW w:w="774" w:type="dxa"/>
          </w:tcPr>
          <w:p w14:paraId="70442691" w14:textId="77777777" w:rsidR="006B5A09" w:rsidRPr="00D518FF" w:rsidRDefault="006B5A09" w:rsidP="006B5A09">
            <w:pPr>
              <w:rPr>
                <w:rFonts w:ascii="Aptos" w:hAnsi="Aptos"/>
                <w:sz w:val="16"/>
                <w:szCs w:val="16"/>
              </w:rPr>
            </w:pPr>
            <w:r w:rsidRPr="00D518FF">
              <w:rPr>
                <w:rFonts w:ascii="Aptos" w:hAnsi="Aptos"/>
                <w:sz w:val="16"/>
                <w:szCs w:val="16"/>
              </w:rPr>
              <w:t>5</w:t>
            </w:r>
          </w:p>
        </w:tc>
        <w:tc>
          <w:tcPr>
            <w:tcW w:w="940" w:type="dxa"/>
          </w:tcPr>
          <w:p w14:paraId="01886BCF" w14:textId="77777777" w:rsidR="006B5A09" w:rsidRPr="00D518FF" w:rsidRDefault="006B5A09" w:rsidP="006B5A09">
            <w:pPr>
              <w:rPr>
                <w:rFonts w:ascii="Aptos" w:hAnsi="Aptos"/>
                <w:sz w:val="16"/>
                <w:szCs w:val="16"/>
              </w:rPr>
            </w:pPr>
            <w:r w:rsidRPr="00D518FF">
              <w:rPr>
                <w:rFonts w:ascii="Aptos" w:hAnsi="Aptos"/>
                <w:sz w:val="16"/>
                <w:szCs w:val="16"/>
              </w:rPr>
              <w:t>NR</w:t>
            </w:r>
          </w:p>
        </w:tc>
        <w:tc>
          <w:tcPr>
            <w:tcW w:w="1008" w:type="dxa"/>
          </w:tcPr>
          <w:p w14:paraId="699CA3A9" w14:textId="77777777" w:rsidR="006B5A09" w:rsidRPr="00D518FF" w:rsidRDefault="006B5A09" w:rsidP="006B5A09">
            <w:pPr>
              <w:rPr>
                <w:rFonts w:ascii="Aptos" w:hAnsi="Aptos"/>
                <w:sz w:val="16"/>
                <w:szCs w:val="16"/>
              </w:rPr>
            </w:pPr>
          </w:p>
        </w:tc>
        <w:tc>
          <w:tcPr>
            <w:tcW w:w="950" w:type="dxa"/>
          </w:tcPr>
          <w:p w14:paraId="393F84D4" w14:textId="72AABE97" w:rsidR="006B5A09" w:rsidRPr="00D518FF" w:rsidRDefault="006B5A09" w:rsidP="006B5A09">
            <w:pPr>
              <w:rPr>
                <w:rFonts w:ascii="Aptos" w:hAnsi="Aptos"/>
                <w:sz w:val="16"/>
                <w:szCs w:val="16"/>
              </w:rPr>
            </w:pPr>
            <w:r w:rsidRPr="00D518FF">
              <w:rPr>
                <w:rFonts w:ascii="Aptos" w:hAnsi="Aptos"/>
                <w:sz w:val="16"/>
                <w:szCs w:val="16"/>
              </w:rPr>
              <w:t>WMD</w:t>
            </w:r>
            <w:r w:rsidR="00FE2A6E">
              <w:rPr>
                <w:rFonts w:ascii="Aptos" w:hAnsi="Aptos"/>
                <w:sz w:val="16"/>
                <w:szCs w:val="16"/>
              </w:rPr>
              <w:t xml:space="preserve"> </w:t>
            </w:r>
            <w:r w:rsidRPr="00D518FF">
              <w:rPr>
                <w:rFonts w:ascii="Aptos" w:hAnsi="Aptos"/>
                <w:sz w:val="16"/>
                <w:szCs w:val="16"/>
              </w:rPr>
              <w:t>=</w:t>
            </w:r>
            <w:r w:rsidR="00FE2A6E">
              <w:rPr>
                <w:rFonts w:ascii="Aptos" w:hAnsi="Aptos"/>
                <w:sz w:val="16"/>
                <w:szCs w:val="16"/>
              </w:rPr>
              <w:t xml:space="preserve"> </w:t>
            </w:r>
            <w:r w:rsidRPr="00D518FF">
              <w:rPr>
                <w:rFonts w:ascii="Aptos" w:hAnsi="Aptos"/>
                <w:sz w:val="16"/>
                <w:szCs w:val="16"/>
              </w:rPr>
              <w:t>–1.87 μiu/ml; 95% CI=–4.51 to 0.77; P=0.17</w:t>
            </w:r>
          </w:p>
        </w:tc>
        <w:tc>
          <w:tcPr>
            <w:tcW w:w="1003" w:type="dxa"/>
          </w:tcPr>
          <w:p w14:paraId="54D796AD" w14:textId="52C3B5A9" w:rsidR="006B5A09" w:rsidRPr="00D518FF" w:rsidRDefault="006B5A09" w:rsidP="006B5A09">
            <w:pPr>
              <w:rPr>
                <w:rFonts w:ascii="Aptos" w:hAnsi="Aptos"/>
                <w:sz w:val="16"/>
                <w:szCs w:val="16"/>
              </w:rPr>
            </w:pPr>
            <w:r>
              <w:rPr>
                <w:rFonts w:ascii="Aptos" w:hAnsi="Aptos"/>
                <w:sz w:val="16"/>
                <w:szCs w:val="16"/>
              </w:rPr>
              <w:t xml:space="preserve">I² </w:t>
            </w:r>
            <w:r w:rsidRPr="00D518FF">
              <w:rPr>
                <w:rFonts w:ascii="Aptos" w:hAnsi="Aptos"/>
                <w:sz w:val="16"/>
                <w:szCs w:val="16"/>
              </w:rPr>
              <w:t>= 71%</w:t>
            </w:r>
          </w:p>
        </w:tc>
        <w:tc>
          <w:tcPr>
            <w:tcW w:w="993" w:type="dxa"/>
          </w:tcPr>
          <w:p w14:paraId="1DBB4C10" w14:textId="5514F3FD" w:rsidR="006B5A09" w:rsidRDefault="006B5A09" w:rsidP="006B5A09">
            <w:pPr>
              <w:rPr>
                <w:rFonts w:ascii="Aptos" w:hAnsi="Aptos"/>
                <w:sz w:val="16"/>
                <w:szCs w:val="16"/>
              </w:rPr>
            </w:pPr>
            <w:r>
              <w:rPr>
                <w:rFonts w:ascii="Aptos" w:hAnsi="Aptos"/>
                <w:sz w:val="16"/>
                <w:szCs w:val="16"/>
              </w:rPr>
              <w:t>NA</w:t>
            </w:r>
          </w:p>
        </w:tc>
        <w:tc>
          <w:tcPr>
            <w:tcW w:w="1134" w:type="dxa"/>
          </w:tcPr>
          <w:p w14:paraId="6AEEA23F" w14:textId="4C8B795A"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4939A0EB" w14:textId="77777777" w:rsidTr="007F74AF">
        <w:trPr>
          <w:trHeight w:val="196"/>
        </w:trPr>
        <w:tc>
          <w:tcPr>
            <w:tcW w:w="971" w:type="dxa"/>
          </w:tcPr>
          <w:p w14:paraId="43543862" w14:textId="77777777" w:rsidR="006B5A09" w:rsidRPr="00D518FF" w:rsidRDefault="006B5A09" w:rsidP="006B5A09">
            <w:pPr>
              <w:rPr>
                <w:rFonts w:ascii="Aptos" w:hAnsi="Aptos"/>
                <w:sz w:val="16"/>
                <w:szCs w:val="16"/>
              </w:rPr>
            </w:pPr>
            <w:r w:rsidRPr="00D518FF">
              <w:rPr>
                <w:rFonts w:ascii="Aptos" w:hAnsi="Aptos"/>
                <w:sz w:val="16"/>
                <w:szCs w:val="16"/>
              </w:rPr>
              <w:t>Huang 2018</w:t>
            </w:r>
          </w:p>
        </w:tc>
        <w:tc>
          <w:tcPr>
            <w:tcW w:w="875" w:type="dxa"/>
          </w:tcPr>
          <w:p w14:paraId="1103F1DA" w14:textId="77777777" w:rsidR="006B5A09" w:rsidRPr="00D518FF" w:rsidRDefault="006B5A09" w:rsidP="006B5A09">
            <w:pPr>
              <w:rPr>
                <w:rFonts w:ascii="Aptos" w:hAnsi="Aptos"/>
                <w:sz w:val="16"/>
                <w:szCs w:val="16"/>
              </w:rPr>
            </w:pPr>
            <w:r w:rsidRPr="00D518FF">
              <w:rPr>
                <w:rFonts w:ascii="Aptos" w:hAnsi="Aptos"/>
                <w:sz w:val="16"/>
                <w:szCs w:val="16"/>
              </w:rPr>
              <w:t>1 - FPG/FBG</w:t>
            </w:r>
          </w:p>
        </w:tc>
        <w:tc>
          <w:tcPr>
            <w:tcW w:w="855" w:type="dxa"/>
          </w:tcPr>
          <w:p w14:paraId="5F620166" w14:textId="69C026F8"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4DDC91A7" w14:textId="77777777" w:rsidR="006B5A09" w:rsidRPr="00D518FF" w:rsidRDefault="006B5A09" w:rsidP="006B5A09">
            <w:pPr>
              <w:rPr>
                <w:rFonts w:ascii="Aptos" w:hAnsi="Aptos"/>
                <w:sz w:val="16"/>
                <w:szCs w:val="16"/>
              </w:rPr>
            </w:pPr>
            <w:r w:rsidRPr="00D518FF">
              <w:rPr>
                <w:rFonts w:ascii="Aptos" w:hAnsi="Aptos"/>
                <w:sz w:val="16"/>
                <w:szCs w:val="16"/>
              </w:rPr>
              <w:t>Adults aged ≥18 years) with a body mass index (BMI) of ≥25 kg/m2 and diagnosed with T2DM</w:t>
            </w:r>
          </w:p>
        </w:tc>
        <w:tc>
          <w:tcPr>
            <w:tcW w:w="1330" w:type="dxa"/>
          </w:tcPr>
          <w:p w14:paraId="21CC8737" w14:textId="75DBC813" w:rsidR="006B5A09" w:rsidRPr="00D518FF" w:rsidRDefault="006B5A09" w:rsidP="006B5A09">
            <w:pPr>
              <w:rPr>
                <w:rFonts w:ascii="Aptos" w:hAnsi="Aptos"/>
                <w:sz w:val="16"/>
                <w:szCs w:val="16"/>
              </w:rPr>
            </w:pPr>
            <w:r w:rsidRPr="00D518FF">
              <w:rPr>
                <w:rFonts w:ascii="Aptos" w:hAnsi="Aptos"/>
                <w:sz w:val="16"/>
                <w:szCs w:val="16"/>
              </w:rPr>
              <w:t>Eligible supplement VS placebo/inactive control</w:t>
            </w:r>
          </w:p>
        </w:tc>
        <w:tc>
          <w:tcPr>
            <w:tcW w:w="1367" w:type="dxa"/>
          </w:tcPr>
          <w:p w14:paraId="3E6C10C3" w14:textId="77777777" w:rsidR="006B5A09" w:rsidRPr="00D518FF" w:rsidRDefault="006B5A09" w:rsidP="006B5A09">
            <w:pPr>
              <w:rPr>
                <w:rFonts w:ascii="Aptos" w:hAnsi="Aptos"/>
                <w:sz w:val="16"/>
                <w:szCs w:val="16"/>
              </w:rPr>
            </w:pPr>
            <w:r w:rsidRPr="00D518FF">
              <w:rPr>
                <w:rFonts w:ascii="Aptos" w:hAnsi="Aptos"/>
                <w:sz w:val="16"/>
                <w:szCs w:val="16"/>
              </w:rPr>
              <w:t xml:space="preserve">Coq10 </w:t>
            </w:r>
          </w:p>
        </w:tc>
        <w:tc>
          <w:tcPr>
            <w:tcW w:w="1014" w:type="dxa"/>
          </w:tcPr>
          <w:p w14:paraId="52CBE321" w14:textId="77777777" w:rsidR="006B5A09" w:rsidRPr="00D518FF" w:rsidRDefault="006B5A09" w:rsidP="006B5A09">
            <w:pPr>
              <w:rPr>
                <w:rFonts w:ascii="Aptos" w:hAnsi="Aptos"/>
                <w:sz w:val="16"/>
                <w:szCs w:val="16"/>
              </w:rPr>
            </w:pPr>
            <w:r w:rsidRPr="00D518FF">
              <w:rPr>
                <w:rFonts w:ascii="Aptos" w:hAnsi="Aptos"/>
                <w:sz w:val="16"/>
                <w:szCs w:val="16"/>
              </w:rPr>
              <w:t>Placebo</w:t>
            </w:r>
          </w:p>
        </w:tc>
        <w:tc>
          <w:tcPr>
            <w:tcW w:w="774" w:type="dxa"/>
          </w:tcPr>
          <w:p w14:paraId="72D53E1B" w14:textId="77777777" w:rsidR="006B5A09" w:rsidRPr="00D518FF" w:rsidRDefault="006B5A09" w:rsidP="006B5A09">
            <w:pPr>
              <w:rPr>
                <w:rFonts w:ascii="Aptos" w:hAnsi="Aptos"/>
                <w:sz w:val="16"/>
                <w:szCs w:val="16"/>
              </w:rPr>
            </w:pPr>
            <w:r w:rsidRPr="00D518FF">
              <w:rPr>
                <w:rFonts w:ascii="Aptos" w:hAnsi="Aptos"/>
                <w:sz w:val="16"/>
                <w:szCs w:val="16"/>
              </w:rPr>
              <w:t>12</w:t>
            </w:r>
          </w:p>
        </w:tc>
        <w:tc>
          <w:tcPr>
            <w:tcW w:w="940" w:type="dxa"/>
          </w:tcPr>
          <w:p w14:paraId="79BC78D5" w14:textId="77777777" w:rsidR="006B5A09" w:rsidRPr="00D518FF" w:rsidRDefault="006B5A09" w:rsidP="006B5A09">
            <w:pPr>
              <w:rPr>
                <w:rFonts w:ascii="Aptos" w:hAnsi="Aptos"/>
                <w:sz w:val="16"/>
                <w:szCs w:val="16"/>
              </w:rPr>
            </w:pPr>
            <w:r w:rsidRPr="00D518FF">
              <w:rPr>
                <w:rFonts w:ascii="Aptos" w:hAnsi="Aptos"/>
                <w:sz w:val="16"/>
                <w:szCs w:val="16"/>
              </w:rPr>
              <w:t>NR</w:t>
            </w:r>
          </w:p>
        </w:tc>
        <w:tc>
          <w:tcPr>
            <w:tcW w:w="1008" w:type="dxa"/>
          </w:tcPr>
          <w:p w14:paraId="4E747A4A" w14:textId="77777777" w:rsidR="006B5A09" w:rsidRPr="00D518FF" w:rsidRDefault="006B5A09" w:rsidP="006B5A09">
            <w:pPr>
              <w:rPr>
                <w:rFonts w:ascii="Aptos" w:hAnsi="Aptos"/>
                <w:sz w:val="16"/>
                <w:szCs w:val="16"/>
              </w:rPr>
            </w:pPr>
          </w:p>
        </w:tc>
        <w:tc>
          <w:tcPr>
            <w:tcW w:w="950" w:type="dxa"/>
          </w:tcPr>
          <w:p w14:paraId="65844CE9" w14:textId="6E8FCDBC" w:rsidR="006B5A09" w:rsidRPr="00D518FF" w:rsidRDefault="006B5A09" w:rsidP="006B5A09">
            <w:pPr>
              <w:rPr>
                <w:rFonts w:ascii="Aptos" w:hAnsi="Aptos"/>
                <w:sz w:val="16"/>
                <w:szCs w:val="16"/>
              </w:rPr>
            </w:pPr>
            <w:r w:rsidRPr="00D518FF">
              <w:rPr>
                <w:rFonts w:ascii="Aptos" w:hAnsi="Aptos"/>
                <w:sz w:val="16"/>
                <w:szCs w:val="16"/>
              </w:rPr>
              <w:t>WMD</w:t>
            </w:r>
            <w:r w:rsidR="00FE2A6E">
              <w:rPr>
                <w:rFonts w:ascii="Aptos" w:hAnsi="Aptos"/>
                <w:sz w:val="16"/>
                <w:szCs w:val="16"/>
              </w:rPr>
              <w:t xml:space="preserve"> </w:t>
            </w:r>
            <w:r w:rsidRPr="00D518FF">
              <w:rPr>
                <w:rFonts w:ascii="Aptos" w:hAnsi="Aptos"/>
                <w:sz w:val="16"/>
                <w:szCs w:val="16"/>
              </w:rPr>
              <w:t>=</w:t>
            </w:r>
            <w:r w:rsidR="00FE2A6E">
              <w:rPr>
                <w:rFonts w:ascii="Aptos" w:hAnsi="Aptos"/>
                <w:sz w:val="16"/>
                <w:szCs w:val="16"/>
              </w:rPr>
              <w:t xml:space="preserve"> </w:t>
            </w:r>
            <w:r w:rsidRPr="00D518FF">
              <w:rPr>
                <w:rFonts w:ascii="Aptos" w:hAnsi="Aptos"/>
                <w:sz w:val="16"/>
                <w:szCs w:val="16"/>
              </w:rPr>
              <w:t>–0.59 mmol/L; 95% CI=–1.05 to –0.12; P=0.01</w:t>
            </w:r>
          </w:p>
        </w:tc>
        <w:tc>
          <w:tcPr>
            <w:tcW w:w="1003" w:type="dxa"/>
          </w:tcPr>
          <w:p w14:paraId="1F87734B" w14:textId="617BACA7" w:rsidR="006B5A09" w:rsidRPr="00D518FF" w:rsidRDefault="006B5A09" w:rsidP="006B5A09">
            <w:pPr>
              <w:rPr>
                <w:rFonts w:ascii="Aptos" w:hAnsi="Aptos"/>
                <w:sz w:val="16"/>
                <w:szCs w:val="16"/>
              </w:rPr>
            </w:pPr>
            <w:r>
              <w:rPr>
                <w:rFonts w:ascii="Aptos" w:hAnsi="Aptos"/>
                <w:sz w:val="16"/>
                <w:szCs w:val="16"/>
              </w:rPr>
              <w:t xml:space="preserve">I² </w:t>
            </w:r>
            <w:r w:rsidRPr="00D518FF">
              <w:rPr>
                <w:rFonts w:ascii="Aptos" w:hAnsi="Aptos"/>
                <w:sz w:val="16"/>
                <w:szCs w:val="16"/>
              </w:rPr>
              <w:t>= 37%</w:t>
            </w:r>
          </w:p>
        </w:tc>
        <w:tc>
          <w:tcPr>
            <w:tcW w:w="993" w:type="dxa"/>
          </w:tcPr>
          <w:p w14:paraId="7DA6FC20" w14:textId="1FE11B50" w:rsidR="006B5A09" w:rsidRDefault="006B5A09" w:rsidP="006B5A09">
            <w:pPr>
              <w:rPr>
                <w:rFonts w:ascii="Aptos" w:hAnsi="Aptos"/>
                <w:sz w:val="16"/>
                <w:szCs w:val="16"/>
              </w:rPr>
            </w:pPr>
            <w:r>
              <w:rPr>
                <w:rFonts w:ascii="Aptos" w:hAnsi="Aptos"/>
                <w:sz w:val="16"/>
                <w:szCs w:val="16"/>
              </w:rPr>
              <w:t>NA</w:t>
            </w:r>
          </w:p>
        </w:tc>
        <w:tc>
          <w:tcPr>
            <w:tcW w:w="1134" w:type="dxa"/>
          </w:tcPr>
          <w:p w14:paraId="10E8ACCB" w14:textId="02D9EEB3"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68106B61" w14:textId="77777777" w:rsidTr="007F74AF">
        <w:trPr>
          <w:trHeight w:val="196"/>
        </w:trPr>
        <w:tc>
          <w:tcPr>
            <w:tcW w:w="971" w:type="dxa"/>
          </w:tcPr>
          <w:p w14:paraId="42DF218D" w14:textId="77777777" w:rsidR="006B5A09" w:rsidRPr="00D518FF" w:rsidRDefault="006B5A09" w:rsidP="006B5A09">
            <w:pPr>
              <w:rPr>
                <w:rFonts w:ascii="Aptos" w:hAnsi="Aptos"/>
                <w:sz w:val="16"/>
                <w:szCs w:val="16"/>
              </w:rPr>
            </w:pPr>
            <w:r w:rsidRPr="00D518FF">
              <w:rPr>
                <w:rFonts w:ascii="Aptos" w:hAnsi="Aptos"/>
                <w:sz w:val="16"/>
                <w:szCs w:val="16"/>
              </w:rPr>
              <w:t>Huang 2018</w:t>
            </w:r>
          </w:p>
        </w:tc>
        <w:tc>
          <w:tcPr>
            <w:tcW w:w="875" w:type="dxa"/>
          </w:tcPr>
          <w:p w14:paraId="0516F152" w14:textId="77777777" w:rsidR="006B5A09" w:rsidRPr="00D518FF" w:rsidRDefault="006B5A09" w:rsidP="006B5A09">
            <w:pPr>
              <w:rPr>
                <w:rFonts w:ascii="Aptos" w:hAnsi="Aptos"/>
                <w:sz w:val="16"/>
                <w:szCs w:val="16"/>
              </w:rPr>
            </w:pPr>
            <w:r w:rsidRPr="00D518FF">
              <w:rPr>
                <w:rFonts w:ascii="Aptos" w:hAnsi="Aptos"/>
                <w:sz w:val="16"/>
                <w:szCs w:val="16"/>
              </w:rPr>
              <w:t>1 - hba1c</w:t>
            </w:r>
          </w:p>
        </w:tc>
        <w:tc>
          <w:tcPr>
            <w:tcW w:w="855" w:type="dxa"/>
          </w:tcPr>
          <w:p w14:paraId="5C349B1F" w14:textId="0BA3E50B"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692FE746" w14:textId="77777777" w:rsidR="006B5A09" w:rsidRPr="00D518FF" w:rsidRDefault="006B5A09" w:rsidP="006B5A09">
            <w:pPr>
              <w:rPr>
                <w:rFonts w:ascii="Aptos" w:hAnsi="Aptos"/>
                <w:sz w:val="16"/>
                <w:szCs w:val="16"/>
              </w:rPr>
            </w:pPr>
            <w:r w:rsidRPr="00D518FF">
              <w:rPr>
                <w:rFonts w:ascii="Aptos" w:hAnsi="Aptos"/>
                <w:sz w:val="16"/>
                <w:szCs w:val="16"/>
              </w:rPr>
              <w:t>Adults aged ≥18 years) with a body mass index (BMI) of ≥25 kg/m2 and diagnosed with T2DM</w:t>
            </w:r>
          </w:p>
        </w:tc>
        <w:tc>
          <w:tcPr>
            <w:tcW w:w="1330" w:type="dxa"/>
          </w:tcPr>
          <w:p w14:paraId="6DC861A9" w14:textId="4E719848" w:rsidR="006B5A09" w:rsidRPr="00D518FF" w:rsidRDefault="006B5A09" w:rsidP="006B5A09">
            <w:pPr>
              <w:rPr>
                <w:rFonts w:ascii="Aptos" w:hAnsi="Aptos"/>
                <w:sz w:val="16"/>
                <w:szCs w:val="16"/>
              </w:rPr>
            </w:pPr>
            <w:r w:rsidRPr="00D518FF">
              <w:rPr>
                <w:rFonts w:ascii="Aptos" w:hAnsi="Aptos"/>
                <w:sz w:val="16"/>
                <w:szCs w:val="16"/>
              </w:rPr>
              <w:t>Eligible supplement VS placebo/inactive control</w:t>
            </w:r>
          </w:p>
        </w:tc>
        <w:tc>
          <w:tcPr>
            <w:tcW w:w="1367" w:type="dxa"/>
          </w:tcPr>
          <w:p w14:paraId="3B578C8D" w14:textId="77777777" w:rsidR="006B5A09" w:rsidRPr="00D518FF" w:rsidRDefault="006B5A09" w:rsidP="006B5A09">
            <w:pPr>
              <w:rPr>
                <w:rFonts w:ascii="Aptos" w:hAnsi="Aptos"/>
                <w:sz w:val="16"/>
                <w:szCs w:val="16"/>
              </w:rPr>
            </w:pPr>
            <w:r w:rsidRPr="00D518FF">
              <w:rPr>
                <w:rFonts w:ascii="Aptos" w:hAnsi="Aptos"/>
                <w:sz w:val="16"/>
                <w:szCs w:val="16"/>
              </w:rPr>
              <w:t xml:space="preserve">Coq10 </w:t>
            </w:r>
          </w:p>
        </w:tc>
        <w:tc>
          <w:tcPr>
            <w:tcW w:w="1014" w:type="dxa"/>
          </w:tcPr>
          <w:p w14:paraId="28B7D650" w14:textId="77777777" w:rsidR="006B5A09" w:rsidRPr="00D518FF" w:rsidRDefault="006B5A09" w:rsidP="006B5A09">
            <w:pPr>
              <w:rPr>
                <w:rFonts w:ascii="Aptos" w:hAnsi="Aptos"/>
                <w:sz w:val="16"/>
                <w:szCs w:val="16"/>
              </w:rPr>
            </w:pPr>
            <w:r w:rsidRPr="00D518FF">
              <w:rPr>
                <w:rFonts w:ascii="Aptos" w:hAnsi="Aptos"/>
                <w:sz w:val="16"/>
                <w:szCs w:val="16"/>
              </w:rPr>
              <w:t>Placebo</w:t>
            </w:r>
          </w:p>
        </w:tc>
        <w:tc>
          <w:tcPr>
            <w:tcW w:w="774" w:type="dxa"/>
          </w:tcPr>
          <w:p w14:paraId="2FA593C7" w14:textId="77777777" w:rsidR="006B5A09" w:rsidRPr="00D518FF" w:rsidRDefault="006B5A09" w:rsidP="006B5A09">
            <w:pPr>
              <w:rPr>
                <w:rFonts w:ascii="Aptos" w:hAnsi="Aptos"/>
                <w:sz w:val="16"/>
                <w:szCs w:val="16"/>
              </w:rPr>
            </w:pPr>
            <w:r w:rsidRPr="00D518FF">
              <w:rPr>
                <w:rFonts w:ascii="Aptos" w:hAnsi="Aptos"/>
                <w:sz w:val="16"/>
                <w:szCs w:val="16"/>
              </w:rPr>
              <w:t>13</w:t>
            </w:r>
          </w:p>
        </w:tc>
        <w:tc>
          <w:tcPr>
            <w:tcW w:w="940" w:type="dxa"/>
          </w:tcPr>
          <w:p w14:paraId="7E231587" w14:textId="77777777" w:rsidR="006B5A09" w:rsidRPr="00D518FF" w:rsidRDefault="006B5A09" w:rsidP="006B5A09">
            <w:pPr>
              <w:rPr>
                <w:rFonts w:ascii="Aptos" w:hAnsi="Aptos"/>
                <w:sz w:val="16"/>
                <w:szCs w:val="16"/>
              </w:rPr>
            </w:pPr>
            <w:r w:rsidRPr="00D518FF">
              <w:rPr>
                <w:rFonts w:ascii="Aptos" w:hAnsi="Aptos"/>
                <w:sz w:val="16"/>
                <w:szCs w:val="16"/>
              </w:rPr>
              <w:t>NR</w:t>
            </w:r>
          </w:p>
        </w:tc>
        <w:tc>
          <w:tcPr>
            <w:tcW w:w="1008" w:type="dxa"/>
          </w:tcPr>
          <w:p w14:paraId="22FDCCE3" w14:textId="77777777" w:rsidR="006B5A09" w:rsidRPr="00D518FF" w:rsidRDefault="006B5A09" w:rsidP="006B5A09">
            <w:pPr>
              <w:rPr>
                <w:rFonts w:ascii="Aptos" w:hAnsi="Aptos"/>
                <w:sz w:val="16"/>
                <w:szCs w:val="16"/>
              </w:rPr>
            </w:pPr>
          </w:p>
        </w:tc>
        <w:tc>
          <w:tcPr>
            <w:tcW w:w="950" w:type="dxa"/>
          </w:tcPr>
          <w:p w14:paraId="7DA9E911" w14:textId="6DB5DA7D" w:rsidR="006B5A09" w:rsidRPr="00D518FF" w:rsidRDefault="006B5A09" w:rsidP="006B5A09">
            <w:pPr>
              <w:rPr>
                <w:rFonts w:ascii="Aptos" w:hAnsi="Aptos"/>
                <w:sz w:val="16"/>
                <w:szCs w:val="16"/>
              </w:rPr>
            </w:pPr>
            <w:r w:rsidRPr="00D518FF">
              <w:rPr>
                <w:rFonts w:ascii="Aptos" w:hAnsi="Aptos"/>
                <w:sz w:val="16"/>
                <w:szCs w:val="16"/>
              </w:rPr>
              <w:t>WMD</w:t>
            </w:r>
            <w:r w:rsidR="00FE2A6E">
              <w:rPr>
                <w:rFonts w:ascii="Aptos" w:hAnsi="Aptos"/>
                <w:sz w:val="16"/>
                <w:szCs w:val="16"/>
              </w:rPr>
              <w:t xml:space="preserve"> </w:t>
            </w:r>
            <w:r w:rsidRPr="00D518FF">
              <w:rPr>
                <w:rFonts w:ascii="Aptos" w:hAnsi="Aptos"/>
                <w:sz w:val="16"/>
                <w:szCs w:val="16"/>
              </w:rPr>
              <w:t>=</w:t>
            </w:r>
            <w:r w:rsidR="00FE2A6E">
              <w:rPr>
                <w:rFonts w:ascii="Aptos" w:hAnsi="Aptos"/>
                <w:sz w:val="16"/>
                <w:szCs w:val="16"/>
              </w:rPr>
              <w:t xml:space="preserve"> </w:t>
            </w:r>
            <w:r w:rsidRPr="00D518FF">
              <w:rPr>
                <w:rFonts w:ascii="Aptos" w:hAnsi="Aptos"/>
                <w:sz w:val="16"/>
                <w:szCs w:val="16"/>
              </w:rPr>
              <w:t>–0.28%; 95% CI=–0.53 to –0.03; P=0.03</w:t>
            </w:r>
          </w:p>
        </w:tc>
        <w:tc>
          <w:tcPr>
            <w:tcW w:w="1003" w:type="dxa"/>
          </w:tcPr>
          <w:p w14:paraId="7A5F31C0" w14:textId="4EB72B42" w:rsidR="006B5A09" w:rsidRPr="00D518FF" w:rsidRDefault="006B5A09" w:rsidP="006B5A09">
            <w:pPr>
              <w:rPr>
                <w:rFonts w:ascii="Aptos" w:hAnsi="Aptos"/>
                <w:sz w:val="16"/>
                <w:szCs w:val="16"/>
              </w:rPr>
            </w:pPr>
            <w:r>
              <w:rPr>
                <w:rFonts w:ascii="Aptos" w:hAnsi="Aptos"/>
                <w:sz w:val="16"/>
                <w:szCs w:val="16"/>
              </w:rPr>
              <w:t xml:space="preserve">I² </w:t>
            </w:r>
            <w:r w:rsidRPr="00D518FF">
              <w:rPr>
                <w:rFonts w:ascii="Aptos" w:hAnsi="Aptos"/>
                <w:sz w:val="16"/>
                <w:szCs w:val="16"/>
              </w:rPr>
              <w:t>= 33%</w:t>
            </w:r>
          </w:p>
        </w:tc>
        <w:tc>
          <w:tcPr>
            <w:tcW w:w="993" w:type="dxa"/>
          </w:tcPr>
          <w:p w14:paraId="5FB075CE" w14:textId="19E17CD8" w:rsidR="006B5A09" w:rsidRDefault="006B5A09" w:rsidP="006B5A09">
            <w:pPr>
              <w:rPr>
                <w:rFonts w:ascii="Aptos" w:hAnsi="Aptos"/>
                <w:sz w:val="16"/>
                <w:szCs w:val="16"/>
              </w:rPr>
            </w:pPr>
            <w:r>
              <w:rPr>
                <w:rFonts w:ascii="Aptos" w:hAnsi="Aptos"/>
                <w:sz w:val="16"/>
                <w:szCs w:val="16"/>
              </w:rPr>
              <w:t>NA</w:t>
            </w:r>
          </w:p>
        </w:tc>
        <w:tc>
          <w:tcPr>
            <w:tcW w:w="1134" w:type="dxa"/>
          </w:tcPr>
          <w:p w14:paraId="15C60091" w14:textId="7551D6F5"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3A7FF32A" w14:textId="77777777" w:rsidTr="007F74AF">
        <w:trPr>
          <w:trHeight w:val="196"/>
        </w:trPr>
        <w:tc>
          <w:tcPr>
            <w:tcW w:w="971" w:type="dxa"/>
          </w:tcPr>
          <w:p w14:paraId="58F444A0" w14:textId="77777777" w:rsidR="006B5A09" w:rsidRPr="00D518FF" w:rsidRDefault="006B5A09" w:rsidP="006B5A09">
            <w:pPr>
              <w:rPr>
                <w:rFonts w:ascii="Aptos" w:hAnsi="Aptos"/>
                <w:sz w:val="16"/>
                <w:szCs w:val="16"/>
              </w:rPr>
            </w:pPr>
            <w:r w:rsidRPr="00D518FF">
              <w:rPr>
                <w:rFonts w:ascii="Aptos" w:hAnsi="Aptos"/>
                <w:sz w:val="16"/>
                <w:szCs w:val="16"/>
              </w:rPr>
              <w:t>Huang 2018</w:t>
            </w:r>
          </w:p>
        </w:tc>
        <w:tc>
          <w:tcPr>
            <w:tcW w:w="875" w:type="dxa"/>
          </w:tcPr>
          <w:p w14:paraId="2DF9868B" w14:textId="77777777" w:rsidR="006B5A09" w:rsidRPr="00D518FF" w:rsidRDefault="006B5A09" w:rsidP="006B5A09">
            <w:pPr>
              <w:rPr>
                <w:rFonts w:ascii="Aptos" w:hAnsi="Aptos"/>
                <w:sz w:val="16"/>
                <w:szCs w:val="16"/>
              </w:rPr>
            </w:pPr>
            <w:r w:rsidRPr="00D518FF">
              <w:rPr>
                <w:rFonts w:ascii="Aptos" w:hAnsi="Aptos"/>
                <w:sz w:val="16"/>
                <w:szCs w:val="16"/>
              </w:rPr>
              <w:t>1 - HOMA-IR</w:t>
            </w:r>
          </w:p>
        </w:tc>
        <w:tc>
          <w:tcPr>
            <w:tcW w:w="855" w:type="dxa"/>
          </w:tcPr>
          <w:p w14:paraId="58AB42DC" w14:textId="29968E85"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3D30CCE3" w14:textId="77777777" w:rsidR="006B5A09" w:rsidRPr="00D518FF" w:rsidRDefault="006B5A09" w:rsidP="006B5A09">
            <w:pPr>
              <w:rPr>
                <w:rFonts w:ascii="Aptos" w:hAnsi="Aptos"/>
                <w:sz w:val="16"/>
                <w:szCs w:val="16"/>
              </w:rPr>
            </w:pPr>
            <w:r w:rsidRPr="00D518FF">
              <w:rPr>
                <w:rFonts w:ascii="Aptos" w:hAnsi="Aptos"/>
                <w:sz w:val="16"/>
                <w:szCs w:val="16"/>
              </w:rPr>
              <w:t xml:space="preserve">Adults aged ≥18 years) with a body mass index (BMI) of ≥25 kg/m2 and </w:t>
            </w:r>
            <w:r w:rsidRPr="00D518FF">
              <w:rPr>
                <w:rFonts w:ascii="Aptos" w:hAnsi="Aptos"/>
                <w:sz w:val="16"/>
                <w:szCs w:val="16"/>
              </w:rPr>
              <w:lastRenderedPageBreak/>
              <w:t>diagnosed with T2DM</w:t>
            </w:r>
          </w:p>
        </w:tc>
        <w:tc>
          <w:tcPr>
            <w:tcW w:w="1330" w:type="dxa"/>
          </w:tcPr>
          <w:p w14:paraId="1430E793" w14:textId="52522C93" w:rsidR="006B5A09" w:rsidRPr="00D518FF" w:rsidRDefault="006B5A09" w:rsidP="006B5A09">
            <w:pPr>
              <w:rPr>
                <w:rFonts w:ascii="Aptos" w:hAnsi="Aptos"/>
                <w:sz w:val="16"/>
                <w:szCs w:val="16"/>
              </w:rPr>
            </w:pPr>
            <w:r w:rsidRPr="00D518FF">
              <w:rPr>
                <w:rFonts w:ascii="Aptos" w:hAnsi="Aptos"/>
                <w:sz w:val="16"/>
                <w:szCs w:val="16"/>
              </w:rPr>
              <w:lastRenderedPageBreak/>
              <w:t>Eligible supplement VS placebo/inactive control</w:t>
            </w:r>
          </w:p>
        </w:tc>
        <w:tc>
          <w:tcPr>
            <w:tcW w:w="1367" w:type="dxa"/>
          </w:tcPr>
          <w:p w14:paraId="3330B457" w14:textId="77777777" w:rsidR="006B5A09" w:rsidRPr="00D518FF" w:rsidRDefault="006B5A09" w:rsidP="006B5A09">
            <w:pPr>
              <w:rPr>
                <w:rFonts w:ascii="Aptos" w:hAnsi="Aptos"/>
                <w:sz w:val="16"/>
                <w:szCs w:val="16"/>
              </w:rPr>
            </w:pPr>
            <w:r w:rsidRPr="00D518FF">
              <w:rPr>
                <w:rFonts w:ascii="Aptos" w:hAnsi="Aptos"/>
                <w:sz w:val="16"/>
                <w:szCs w:val="16"/>
              </w:rPr>
              <w:t xml:space="preserve">Coq10 </w:t>
            </w:r>
          </w:p>
        </w:tc>
        <w:tc>
          <w:tcPr>
            <w:tcW w:w="1014" w:type="dxa"/>
          </w:tcPr>
          <w:p w14:paraId="6E834173" w14:textId="77777777" w:rsidR="006B5A09" w:rsidRPr="00D518FF" w:rsidRDefault="006B5A09" w:rsidP="006B5A09">
            <w:pPr>
              <w:rPr>
                <w:rFonts w:ascii="Aptos" w:hAnsi="Aptos"/>
                <w:sz w:val="16"/>
                <w:szCs w:val="16"/>
              </w:rPr>
            </w:pPr>
            <w:r w:rsidRPr="00D518FF">
              <w:rPr>
                <w:rFonts w:ascii="Aptos" w:hAnsi="Aptos"/>
                <w:sz w:val="16"/>
                <w:szCs w:val="16"/>
              </w:rPr>
              <w:t>Placebo</w:t>
            </w:r>
          </w:p>
        </w:tc>
        <w:tc>
          <w:tcPr>
            <w:tcW w:w="774" w:type="dxa"/>
          </w:tcPr>
          <w:p w14:paraId="3C72BC6F" w14:textId="77777777" w:rsidR="006B5A09" w:rsidRPr="00D518FF" w:rsidRDefault="006B5A09" w:rsidP="006B5A09">
            <w:pPr>
              <w:rPr>
                <w:rFonts w:ascii="Aptos" w:hAnsi="Aptos"/>
                <w:sz w:val="16"/>
                <w:szCs w:val="16"/>
              </w:rPr>
            </w:pPr>
            <w:r w:rsidRPr="00D518FF">
              <w:rPr>
                <w:rFonts w:ascii="Aptos" w:hAnsi="Aptos"/>
                <w:sz w:val="16"/>
                <w:szCs w:val="16"/>
              </w:rPr>
              <w:t>5</w:t>
            </w:r>
          </w:p>
        </w:tc>
        <w:tc>
          <w:tcPr>
            <w:tcW w:w="940" w:type="dxa"/>
          </w:tcPr>
          <w:p w14:paraId="18B3B822" w14:textId="77777777" w:rsidR="006B5A09" w:rsidRPr="00D518FF" w:rsidRDefault="006B5A09" w:rsidP="006B5A09">
            <w:pPr>
              <w:rPr>
                <w:rFonts w:ascii="Aptos" w:hAnsi="Aptos"/>
                <w:sz w:val="16"/>
                <w:szCs w:val="16"/>
              </w:rPr>
            </w:pPr>
            <w:r w:rsidRPr="00D518FF">
              <w:rPr>
                <w:rFonts w:ascii="Aptos" w:hAnsi="Aptos"/>
                <w:sz w:val="16"/>
                <w:szCs w:val="16"/>
              </w:rPr>
              <w:t>NR</w:t>
            </w:r>
          </w:p>
        </w:tc>
        <w:tc>
          <w:tcPr>
            <w:tcW w:w="1008" w:type="dxa"/>
          </w:tcPr>
          <w:p w14:paraId="41ABA09B" w14:textId="77777777" w:rsidR="006B5A09" w:rsidRPr="00D518FF" w:rsidRDefault="006B5A09" w:rsidP="006B5A09">
            <w:pPr>
              <w:rPr>
                <w:rFonts w:ascii="Aptos" w:hAnsi="Aptos"/>
                <w:sz w:val="16"/>
                <w:szCs w:val="16"/>
              </w:rPr>
            </w:pPr>
          </w:p>
        </w:tc>
        <w:tc>
          <w:tcPr>
            <w:tcW w:w="950" w:type="dxa"/>
          </w:tcPr>
          <w:p w14:paraId="703D333F" w14:textId="3BC39471" w:rsidR="006B5A09" w:rsidRPr="00D518FF" w:rsidRDefault="006B5A09" w:rsidP="006B5A09">
            <w:pPr>
              <w:rPr>
                <w:rFonts w:ascii="Aptos" w:hAnsi="Aptos"/>
                <w:sz w:val="16"/>
                <w:szCs w:val="16"/>
              </w:rPr>
            </w:pPr>
            <w:r w:rsidRPr="00D518FF">
              <w:rPr>
                <w:rFonts w:ascii="Aptos" w:hAnsi="Aptos"/>
                <w:sz w:val="16"/>
                <w:szCs w:val="16"/>
              </w:rPr>
              <w:t>WMD</w:t>
            </w:r>
            <w:r w:rsidR="00FE2A6E">
              <w:rPr>
                <w:rFonts w:ascii="Aptos" w:hAnsi="Aptos"/>
                <w:sz w:val="16"/>
                <w:szCs w:val="16"/>
              </w:rPr>
              <w:t xml:space="preserve"> </w:t>
            </w:r>
            <w:r w:rsidRPr="00D518FF">
              <w:rPr>
                <w:rFonts w:ascii="Aptos" w:hAnsi="Aptos"/>
                <w:sz w:val="16"/>
                <w:szCs w:val="16"/>
              </w:rPr>
              <w:t>=</w:t>
            </w:r>
            <w:r w:rsidR="00FE2A6E">
              <w:rPr>
                <w:rFonts w:ascii="Aptos" w:hAnsi="Aptos"/>
                <w:sz w:val="16"/>
                <w:szCs w:val="16"/>
              </w:rPr>
              <w:t xml:space="preserve"> </w:t>
            </w:r>
            <w:r w:rsidRPr="00D518FF">
              <w:rPr>
                <w:rFonts w:ascii="Aptos" w:hAnsi="Aptos"/>
                <w:sz w:val="16"/>
                <w:szCs w:val="16"/>
              </w:rPr>
              <w:t>–1.03; 95% CI=–2.06 to –0.00; P=0.05</w:t>
            </w:r>
          </w:p>
        </w:tc>
        <w:tc>
          <w:tcPr>
            <w:tcW w:w="1003" w:type="dxa"/>
          </w:tcPr>
          <w:p w14:paraId="76E3E907" w14:textId="6341A9D7" w:rsidR="006B5A09" w:rsidRPr="00D518FF" w:rsidRDefault="006B5A09" w:rsidP="006B5A09">
            <w:pPr>
              <w:rPr>
                <w:rFonts w:ascii="Aptos" w:hAnsi="Aptos"/>
                <w:sz w:val="16"/>
                <w:szCs w:val="16"/>
              </w:rPr>
            </w:pPr>
            <w:r>
              <w:rPr>
                <w:rFonts w:ascii="Aptos" w:hAnsi="Aptos"/>
                <w:sz w:val="16"/>
                <w:szCs w:val="16"/>
              </w:rPr>
              <w:t xml:space="preserve">I² </w:t>
            </w:r>
            <w:r w:rsidRPr="00D518FF">
              <w:rPr>
                <w:rFonts w:ascii="Aptos" w:hAnsi="Aptos"/>
                <w:sz w:val="16"/>
                <w:szCs w:val="16"/>
              </w:rPr>
              <w:t>= 71%</w:t>
            </w:r>
          </w:p>
        </w:tc>
        <w:tc>
          <w:tcPr>
            <w:tcW w:w="993" w:type="dxa"/>
          </w:tcPr>
          <w:p w14:paraId="2FFF5D20" w14:textId="7A7F2775" w:rsidR="006B5A09" w:rsidRDefault="006B5A09" w:rsidP="006B5A09">
            <w:pPr>
              <w:rPr>
                <w:rFonts w:ascii="Aptos" w:hAnsi="Aptos"/>
                <w:sz w:val="16"/>
                <w:szCs w:val="16"/>
              </w:rPr>
            </w:pPr>
            <w:r>
              <w:rPr>
                <w:rFonts w:ascii="Aptos" w:hAnsi="Aptos"/>
                <w:sz w:val="16"/>
                <w:szCs w:val="16"/>
              </w:rPr>
              <w:t>NA</w:t>
            </w:r>
          </w:p>
        </w:tc>
        <w:tc>
          <w:tcPr>
            <w:tcW w:w="1134" w:type="dxa"/>
          </w:tcPr>
          <w:p w14:paraId="73DB2DFB" w14:textId="2F88D926"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798C97FF" w14:textId="77777777" w:rsidTr="007F74AF">
        <w:trPr>
          <w:trHeight w:val="196"/>
        </w:trPr>
        <w:tc>
          <w:tcPr>
            <w:tcW w:w="971" w:type="dxa"/>
          </w:tcPr>
          <w:p w14:paraId="59A06B32" w14:textId="77777777" w:rsidR="006B5A09" w:rsidRPr="00D518FF" w:rsidRDefault="006B5A09" w:rsidP="006B5A09">
            <w:pPr>
              <w:rPr>
                <w:rFonts w:ascii="Aptos" w:hAnsi="Aptos"/>
                <w:sz w:val="16"/>
                <w:szCs w:val="16"/>
              </w:rPr>
            </w:pPr>
            <w:r w:rsidRPr="00D518FF">
              <w:rPr>
                <w:rFonts w:ascii="Aptos" w:hAnsi="Aptos"/>
                <w:sz w:val="16"/>
                <w:szCs w:val="16"/>
              </w:rPr>
              <w:t>Huang 2018</w:t>
            </w:r>
          </w:p>
        </w:tc>
        <w:tc>
          <w:tcPr>
            <w:tcW w:w="875" w:type="dxa"/>
          </w:tcPr>
          <w:p w14:paraId="7A3D4E4D" w14:textId="77777777" w:rsidR="006B5A09" w:rsidRPr="00D518FF" w:rsidRDefault="006B5A09" w:rsidP="006B5A09">
            <w:pPr>
              <w:rPr>
                <w:rFonts w:ascii="Aptos" w:hAnsi="Aptos"/>
                <w:sz w:val="16"/>
                <w:szCs w:val="16"/>
              </w:rPr>
            </w:pPr>
            <w:r w:rsidRPr="00D518FF">
              <w:rPr>
                <w:rFonts w:ascii="Aptos" w:hAnsi="Aptos"/>
                <w:sz w:val="16"/>
                <w:szCs w:val="16"/>
              </w:rPr>
              <w:t>2 - SBP</w:t>
            </w:r>
          </w:p>
        </w:tc>
        <w:tc>
          <w:tcPr>
            <w:tcW w:w="855" w:type="dxa"/>
          </w:tcPr>
          <w:p w14:paraId="1CF1EAD1" w14:textId="0FE64EA6"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07CA1DBC" w14:textId="77777777" w:rsidR="006B5A09" w:rsidRPr="00D518FF" w:rsidRDefault="006B5A09" w:rsidP="006B5A09">
            <w:pPr>
              <w:rPr>
                <w:rFonts w:ascii="Aptos" w:hAnsi="Aptos"/>
                <w:sz w:val="16"/>
                <w:szCs w:val="16"/>
              </w:rPr>
            </w:pPr>
            <w:r w:rsidRPr="00D518FF">
              <w:rPr>
                <w:rFonts w:ascii="Aptos" w:hAnsi="Aptos"/>
                <w:sz w:val="16"/>
                <w:szCs w:val="16"/>
              </w:rPr>
              <w:t>Adults aged ≥18 years) with a body mass index (BMI) of ≥25 kg/m2 and diagnosed with T2DM</w:t>
            </w:r>
          </w:p>
        </w:tc>
        <w:tc>
          <w:tcPr>
            <w:tcW w:w="1330" w:type="dxa"/>
          </w:tcPr>
          <w:p w14:paraId="6FE3658C" w14:textId="4595A048" w:rsidR="006B5A09" w:rsidRPr="00D518FF" w:rsidRDefault="006B5A09" w:rsidP="006B5A09">
            <w:pPr>
              <w:rPr>
                <w:rFonts w:ascii="Aptos" w:hAnsi="Aptos"/>
                <w:sz w:val="16"/>
                <w:szCs w:val="16"/>
              </w:rPr>
            </w:pPr>
            <w:r w:rsidRPr="00D518FF">
              <w:rPr>
                <w:rFonts w:ascii="Aptos" w:hAnsi="Aptos"/>
                <w:sz w:val="16"/>
                <w:szCs w:val="16"/>
              </w:rPr>
              <w:t>Eligible supplement VS placebo/inactive control</w:t>
            </w:r>
          </w:p>
        </w:tc>
        <w:tc>
          <w:tcPr>
            <w:tcW w:w="1367" w:type="dxa"/>
          </w:tcPr>
          <w:p w14:paraId="01BBAB2B" w14:textId="77777777" w:rsidR="006B5A09" w:rsidRPr="00D518FF" w:rsidRDefault="006B5A09" w:rsidP="006B5A09">
            <w:pPr>
              <w:rPr>
                <w:rFonts w:ascii="Aptos" w:hAnsi="Aptos"/>
                <w:sz w:val="16"/>
                <w:szCs w:val="16"/>
              </w:rPr>
            </w:pPr>
            <w:r w:rsidRPr="00D518FF">
              <w:rPr>
                <w:rFonts w:ascii="Aptos" w:hAnsi="Aptos"/>
                <w:sz w:val="16"/>
                <w:szCs w:val="16"/>
              </w:rPr>
              <w:t xml:space="preserve">Coq10 </w:t>
            </w:r>
          </w:p>
        </w:tc>
        <w:tc>
          <w:tcPr>
            <w:tcW w:w="1014" w:type="dxa"/>
          </w:tcPr>
          <w:p w14:paraId="17A2351D" w14:textId="77777777" w:rsidR="006B5A09" w:rsidRPr="00D518FF" w:rsidRDefault="006B5A09" w:rsidP="006B5A09">
            <w:pPr>
              <w:rPr>
                <w:rFonts w:ascii="Aptos" w:hAnsi="Aptos"/>
                <w:sz w:val="16"/>
                <w:szCs w:val="16"/>
              </w:rPr>
            </w:pPr>
            <w:r w:rsidRPr="00D518FF">
              <w:rPr>
                <w:rFonts w:ascii="Aptos" w:hAnsi="Aptos"/>
                <w:sz w:val="16"/>
                <w:szCs w:val="16"/>
              </w:rPr>
              <w:t>Placebo</w:t>
            </w:r>
          </w:p>
        </w:tc>
        <w:tc>
          <w:tcPr>
            <w:tcW w:w="774" w:type="dxa"/>
          </w:tcPr>
          <w:p w14:paraId="44DC5E9F" w14:textId="77777777" w:rsidR="006B5A09" w:rsidRPr="00D518FF" w:rsidRDefault="006B5A09" w:rsidP="006B5A09">
            <w:pPr>
              <w:rPr>
                <w:rFonts w:ascii="Aptos" w:hAnsi="Aptos"/>
                <w:sz w:val="16"/>
                <w:szCs w:val="16"/>
              </w:rPr>
            </w:pPr>
            <w:r w:rsidRPr="00D518FF">
              <w:rPr>
                <w:rFonts w:ascii="Aptos" w:hAnsi="Aptos"/>
                <w:sz w:val="16"/>
                <w:szCs w:val="16"/>
              </w:rPr>
              <w:t>6</w:t>
            </w:r>
          </w:p>
        </w:tc>
        <w:tc>
          <w:tcPr>
            <w:tcW w:w="940" w:type="dxa"/>
          </w:tcPr>
          <w:p w14:paraId="5526D65F" w14:textId="77777777" w:rsidR="006B5A09" w:rsidRPr="00D518FF" w:rsidRDefault="006B5A09" w:rsidP="006B5A09">
            <w:pPr>
              <w:rPr>
                <w:rFonts w:ascii="Aptos" w:hAnsi="Aptos"/>
                <w:sz w:val="16"/>
                <w:szCs w:val="16"/>
              </w:rPr>
            </w:pPr>
            <w:r w:rsidRPr="00D518FF">
              <w:rPr>
                <w:rFonts w:ascii="Aptos" w:hAnsi="Aptos"/>
                <w:sz w:val="16"/>
                <w:szCs w:val="16"/>
              </w:rPr>
              <w:t>NR</w:t>
            </w:r>
          </w:p>
        </w:tc>
        <w:tc>
          <w:tcPr>
            <w:tcW w:w="1008" w:type="dxa"/>
          </w:tcPr>
          <w:p w14:paraId="4DFAE7D5" w14:textId="77777777" w:rsidR="006B5A09" w:rsidRPr="00D518FF" w:rsidRDefault="006B5A09" w:rsidP="006B5A09">
            <w:pPr>
              <w:rPr>
                <w:rFonts w:ascii="Aptos" w:hAnsi="Aptos"/>
                <w:sz w:val="16"/>
                <w:szCs w:val="16"/>
              </w:rPr>
            </w:pPr>
          </w:p>
        </w:tc>
        <w:tc>
          <w:tcPr>
            <w:tcW w:w="950" w:type="dxa"/>
          </w:tcPr>
          <w:p w14:paraId="2D9CB0BE" w14:textId="19C045E2" w:rsidR="006B5A09" w:rsidRPr="00D518FF" w:rsidRDefault="006B5A09" w:rsidP="006B5A09">
            <w:pPr>
              <w:rPr>
                <w:rFonts w:ascii="Aptos" w:hAnsi="Aptos"/>
                <w:sz w:val="16"/>
                <w:szCs w:val="16"/>
              </w:rPr>
            </w:pPr>
            <w:r w:rsidRPr="00D518FF">
              <w:rPr>
                <w:rFonts w:ascii="Aptos" w:hAnsi="Aptos"/>
                <w:sz w:val="16"/>
                <w:szCs w:val="16"/>
              </w:rPr>
              <w:t>WMD</w:t>
            </w:r>
            <w:r w:rsidR="00FE2A6E">
              <w:rPr>
                <w:rFonts w:ascii="Aptos" w:hAnsi="Aptos"/>
                <w:sz w:val="16"/>
                <w:szCs w:val="16"/>
              </w:rPr>
              <w:t xml:space="preserve"> </w:t>
            </w:r>
            <w:r w:rsidRPr="00D518FF">
              <w:rPr>
                <w:rFonts w:ascii="Aptos" w:hAnsi="Aptos"/>
                <w:sz w:val="16"/>
                <w:szCs w:val="16"/>
              </w:rPr>
              <w:t>=</w:t>
            </w:r>
            <w:r w:rsidR="00FE2A6E">
              <w:rPr>
                <w:rFonts w:ascii="Aptos" w:hAnsi="Aptos"/>
                <w:sz w:val="16"/>
                <w:szCs w:val="16"/>
              </w:rPr>
              <w:t xml:space="preserve"> </w:t>
            </w:r>
            <w:r w:rsidRPr="00D518FF">
              <w:rPr>
                <w:rFonts w:ascii="Aptos" w:hAnsi="Aptos"/>
                <w:sz w:val="16"/>
                <w:szCs w:val="16"/>
              </w:rPr>
              <w:t>1.84 mmhg; 95% CI=–5.60 to 1.92; P=0.34</w:t>
            </w:r>
          </w:p>
        </w:tc>
        <w:tc>
          <w:tcPr>
            <w:tcW w:w="1003" w:type="dxa"/>
          </w:tcPr>
          <w:p w14:paraId="6F35451C" w14:textId="691D8122" w:rsidR="006B5A09" w:rsidRPr="00D518FF" w:rsidRDefault="006B5A09" w:rsidP="006B5A09">
            <w:pPr>
              <w:rPr>
                <w:rFonts w:ascii="Aptos" w:hAnsi="Aptos"/>
                <w:sz w:val="16"/>
                <w:szCs w:val="16"/>
              </w:rPr>
            </w:pPr>
            <w:r>
              <w:rPr>
                <w:rFonts w:ascii="Aptos" w:hAnsi="Aptos"/>
                <w:sz w:val="16"/>
                <w:szCs w:val="16"/>
              </w:rPr>
              <w:t xml:space="preserve">I² </w:t>
            </w:r>
            <w:r w:rsidRPr="00D518FF">
              <w:rPr>
                <w:rFonts w:ascii="Aptos" w:hAnsi="Aptos"/>
                <w:sz w:val="16"/>
                <w:szCs w:val="16"/>
              </w:rPr>
              <w:t>= 80%</w:t>
            </w:r>
          </w:p>
        </w:tc>
        <w:tc>
          <w:tcPr>
            <w:tcW w:w="993" w:type="dxa"/>
          </w:tcPr>
          <w:p w14:paraId="374D0E10" w14:textId="113C7754" w:rsidR="006B5A09" w:rsidRDefault="006B5A09" w:rsidP="006B5A09">
            <w:pPr>
              <w:rPr>
                <w:rFonts w:ascii="Aptos" w:hAnsi="Aptos"/>
                <w:sz w:val="16"/>
                <w:szCs w:val="16"/>
              </w:rPr>
            </w:pPr>
            <w:r>
              <w:rPr>
                <w:rFonts w:ascii="Aptos" w:hAnsi="Aptos"/>
                <w:sz w:val="16"/>
                <w:szCs w:val="16"/>
              </w:rPr>
              <w:t>NA</w:t>
            </w:r>
          </w:p>
        </w:tc>
        <w:tc>
          <w:tcPr>
            <w:tcW w:w="1134" w:type="dxa"/>
          </w:tcPr>
          <w:p w14:paraId="19269E1E" w14:textId="12A74D4C"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27937D7C" w14:textId="77777777" w:rsidTr="007F74AF">
        <w:trPr>
          <w:trHeight w:val="196"/>
        </w:trPr>
        <w:tc>
          <w:tcPr>
            <w:tcW w:w="971" w:type="dxa"/>
          </w:tcPr>
          <w:p w14:paraId="21B00D32" w14:textId="77777777" w:rsidR="006B5A09" w:rsidRPr="00D518FF" w:rsidRDefault="006B5A09" w:rsidP="006B5A09">
            <w:pPr>
              <w:rPr>
                <w:rFonts w:ascii="Aptos" w:hAnsi="Aptos"/>
                <w:sz w:val="16"/>
                <w:szCs w:val="16"/>
              </w:rPr>
            </w:pPr>
            <w:r w:rsidRPr="00D518FF">
              <w:rPr>
                <w:rFonts w:ascii="Aptos" w:hAnsi="Aptos"/>
                <w:sz w:val="16"/>
                <w:szCs w:val="16"/>
              </w:rPr>
              <w:t>Huo 2022</w:t>
            </w:r>
          </w:p>
        </w:tc>
        <w:tc>
          <w:tcPr>
            <w:tcW w:w="875" w:type="dxa"/>
          </w:tcPr>
          <w:p w14:paraId="79F6FEDE" w14:textId="77777777" w:rsidR="006B5A09" w:rsidRPr="00D518FF" w:rsidRDefault="006B5A09" w:rsidP="006B5A09">
            <w:pPr>
              <w:rPr>
                <w:rFonts w:ascii="Aptos" w:hAnsi="Aptos"/>
                <w:sz w:val="16"/>
                <w:szCs w:val="16"/>
              </w:rPr>
            </w:pPr>
            <w:r w:rsidRPr="00D518FF">
              <w:rPr>
                <w:rFonts w:ascii="Aptos" w:hAnsi="Aptos"/>
                <w:sz w:val="16"/>
                <w:szCs w:val="16"/>
              </w:rPr>
              <w:t>1 - Hb1AC</w:t>
            </w:r>
          </w:p>
        </w:tc>
        <w:tc>
          <w:tcPr>
            <w:tcW w:w="855" w:type="dxa"/>
          </w:tcPr>
          <w:p w14:paraId="139C8456" w14:textId="1163F0FA"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768D8A1E" w14:textId="386A455B" w:rsidR="006B5A09" w:rsidRPr="00D518FF" w:rsidRDefault="006B5A09" w:rsidP="006B5A09">
            <w:pPr>
              <w:rPr>
                <w:rFonts w:ascii="Aptos" w:hAnsi="Aptos"/>
                <w:sz w:val="16"/>
                <w:szCs w:val="16"/>
              </w:rPr>
            </w:pPr>
            <w:r w:rsidRPr="00D518FF">
              <w:rPr>
                <w:rFonts w:ascii="Aptos" w:hAnsi="Aptos"/>
                <w:sz w:val="16"/>
                <w:szCs w:val="16"/>
              </w:rPr>
              <w:t>Diabetic patients who have been diagnosed with DPN</w:t>
            </w:r>
          </w:p>
        </w:tc>
        <w:tc>
          <w:tcPr>
            <w:tcW w:w="1330" w:type="dxa"/>
          </w:tcPr>
          <w:p w14:paraId="2EF8878D" w14:textId="6E0BE584" w:rsidR="006B5A09" w:rsidRPr="00D518FF" w:rsidRDefault="006B5A09" w:rsidP="006B5A09">
            <w:pPr>
              <w:rPr>
                <w:rFonts w:ascii="Aptos" w:hAnsi="Aptos"/>
                <w:sz w:val="16"/>
                <w:szCs w:val="16"/>
              </w:rPr>
            </w:pPr>
            <w:r w:rsidRPr="00D518FF">
              <w:rPr>
                <w:rFonts w:ascii="Aptos" w:hAnsi="Aptos"/>
                <w:sz w:val="16"/>
                <w:szCs w:val="16"/>
              </w:rPr>
              <w:t>Eligible supplement VS placebo/inactive control</w:t>
            </w:r>
          </w:p>
        </w:tc>
        <w:tc>
          <w:tcPr>
            <w:tcW w:w="1367" w:type="dxa"/>
          </w:tcPr>
          <w:p w14:paraId="0F750038" w14:textId="77777777" w:rsidR="006B5A09" w:rsidRPr="00D518FF" w:rsidRDefault="006B5A09" w:rsidP="006B5A09">
            <w:pPr>
              <w:rPr>
                <w:rFonts w:ascii="Aptos" w:hAnsi="Aptos"/>
                <w:sz w:val="16"/>
                <w:szCs w:val="16"/>
              </w:rPr>
            </w:pPr>
            <w:r w:rsidRPr="00D518FF">
              <w:rPr>
                <w:rFonts w:ascii="Aptos" w:hAnsi="Aptos"/>
                <w:sz w:val="16"/>
                <w:szCs w:val="16"/>
              </w:rPr>
              <w:t>Coq10 (400mg/day 4 months)</w:t>
            </w:r>
          </w:p>
        </w:tc>
        <w:tc>
          <w:tcPr>
            <w:tcW w:w="1014" w:type="dxa"/>
          </w:tcPr>
          <w:p w14:paraId="16962F93" w14:textId="77777777" w:rsidR="006B5A09" w:rsidRPr="00D518FF" w:rsidRDefault="006B5A09" w:rsidP="006B5A09">
            <w:pPr>
              <w:rPr>
                <w:rFonts w:ascii="Aptos" w:hAnsi="Aptos"/>
                <w:sz w:val="16"/>
                <w:szCs w:val="16"/>
              </w:rPr>
            </w:pPr>
            <w:r w:rsidRPr="00D518FF">
              <w:rPr>
                <w:rFonts w:ascii="Aptos" w:hAnsi="Aptos"/>
                <w:sz w:val="16"/>
                <w:szCs w:val="16"/>
              </w:rPr>
              <w:t>Placebo</w:t>
            </w:r>
          </w:p>
        </w:tc>
        <w:tc>
          <w:tcPr>
            <w:tcW w:w="774" w:type="dxa"/>
          </w:tcPr>
          <w:p w14:paraId="1AABDBF8" w14:textId="77777777" w:rsidR="006B5A09" w:rsidRPr="00D518FF" w:rsidRDefault="006B5A09" w:rsidP="006B5A09">
            <w:pPr>
              <w:rPr>
                <w:rFonts w:ascii="Aptos" w:hAnsi="Aptos"/>
                <w:sz w:val="16"/>
                <w:szCs w:val="16"/>
              </w:rPr>
            </w:pPr>
            <w:r w:rsidRPr="00D518FF">
              <w:rPr>
                <w:rFonts w:ascii="Aptos" w:hAnsi="Aptos"/>
                <w:sz w:val="16"/>
                <w:szCs w:val="16"/>
              </w:rPr>
              <w:t>1</w:t>
            </w:r>
          </w:p>
        </w:tc>
        <w:tc>
          <w:tcPr>
            <w:tcW w:w="940" w:type="dxa"/>
          </w:tcPr>
          <w:p w14:paraId="4E226A19" w14:textId="77777777" w:rsidR="006B5A09" w:rsidRPr="00D518FF" w:rsidRDefault="006B5A09" w:rsidP="006B5A09">
            <w:pPr>
              <w:rPr>
                <w:rFonts w:ascii="Aptos" w:hAnsi="Aptos"/>
                <w:sz w:val="16"/>
                <w:szCs w:val="16"/>
              </w:rPr>
            </w:pPr>
            <w:r w:rsidRPr="00D518FF">
              <w:rPr>
                <w:rFonts w:ascii="Aptos" w:hAnsi="Aptos"/>
                <w:sz w:val="16"/>
                <w:szCs w:val="16"/>
              </w:rPr>
              <w:t>49</w:t>
            </w:r>
          </w:p>
        </w:tc>
        <w:tc>
          <w:tcPr>
            <w:tcW w:w="1008" w:type="dxa"/>
          </w:tcPr>
          <w:p w14:paraId="194D12FB" w14:textId="77777777" w:rsidR="006B5A09" w:rsidRPr="00D518FF" w:rsidRDefault="006B5A09" w:rsidP="006B5A09">
            <w:pPr>
              <w:rPr>
                <w:rFonts w:ascii="Aptos" w:hAnsi="Aptos"/>
                <w:sz w:val="16"/>
                <w:szCs w:val="16"/>
              </w:rPr>
            </w:pPr>
          </w:p>
        </w:tc>
        <w:tc>
          <w:tcPr>
            <w:tcW w:w="950" w:type="dxa"/>
          </w:tcPr>
          <w:p w14:paraId="3CDDEF1E" w14:textId="77777777" w:rsidR="006B5A09" w:rsidRPr="00D518FF" w:rsidRDefault="006B5A09" w:rsidP="006B5A09">
            <w:pPr>
              <w:rPr>
                <w:rFonts w:ascii="Aptos" w:hAnsi="Aptos"/>
                <w:sz w:val="16"/>
                <w:szCs w:val="16"/>
              </w:rPr>
            </w:pPr>
            <w:r w:rsidRPr="00D518FF">
              <w:rPr>
                <w:rFonts w:ascii="Aptos" w:hAnsi="Aptos"/>
                <w:sz w:val="16"/>
                <w:szCs w:val="16"/>
              </w:rPr>
              <w:t>MD = −0.20, 95% CI (−1.04, 0.64)</w:t>
            </w:r>
          </w:p>
        </w:tc>
        <w:tc>
          <w:tcPr>
            <w:tcW w:w="1003" w:type="dxa"/>
          </w:tcPr>
          <w:p w14:paraId="292B13C3" w14:textId="77777777" w:rsidR="006B5A09" w:rsidRPr="00D518FF" w:rsidRDefault="006B5A09" w:rsidP="006B5A09">
            <w:pPr>
              <w:rPr>
                <w:rFonts w:ascii="Aptos" w:hAnsi="Aptos"/>
                <w:sz w:val="16"/>
                <w:szCs w:val="16"/>
              </w:rPr>
            </w:pPr>
          </w:p>
        </w:tc>
        <w:tc>
          <w:tcPr>
            <w:tcW w:w="993" w:type="dxa"/>
          </w:tcPr>
          <w:p w14:paraId="328093C6" w14:textId="57BA934D" w:rsidR="006B5A09" w:rsidRDefault="006B5A09" w:rsidP="006B5A09">
            <w:pPr>
              <w:rPr>
                <w:rFonts w:ascii="Aptos" w:hAnsi="Aptos"/>
                <w:sz w:val="16"/>
                <w:szCs w:val="16"/>
              </w:rPr>
            </w:pPr>
            <w:r>
              <w:rPr>
                <w:rFonts w:ascii="Aptos" w:hAnsi="Aptos"/>
                <w:sz w:val="16"/>
                <w:szCs w:val="16"/>
              </w:rPr>
              <w:t>NA</w:t>
            </w:r>
          </w:p>
        </w:tc>
        <w:tc>
          <w:tcPr>
            <w:tcW w:w="1134" w:type="dxa"/>
          </w:tcPr>
          <w:p w14:paraId="03031043" w14:textId="1055468F"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7ECC3D02" w14:textId="77777777" w:rsidTr="007F74AF">
        <w:trPr>
          <w:trHeight w:val="196"/>
        </w:trPr>
        <w:tc>
          <w:tcPr>
            <w:tcW w:w="971" w:type="dxa"/>
          </w:tcPr>
          <w:p w14:paraId="6041B8CB" w14:textId="77777777" w:rsidR="006B5A09" w:rsidRPr="00D518FF" w:rsidRDefault="006B5A09" w:rsidP="006B5A09">
            <w:pPr>
              <w:rPr>
                <w:rFonts w:ascii="Aptos" w:hAnsi="Aptos"/>
                <w:sz w:val="16"/>
                <w:szCs w:val="16"/>
              </w:rPr>
            </w:pPr>
            <w:r w:rsidRPr="00D518FF">
              <w:rPr>
                <w:rFonts w:ascii="Aptos" w:hAnsi="Aptos"/>
                <w:sz w:val="16"/>
                <w:szCs w:val="16"/>
              </w:rPr>
              <w:t>Huo 2022</w:t>
            </w:r>
          </w:p>
        </w:tc>
        <w:tc>
          <w:tcPr>
            <w:tcW w:w="875" w:type="dxa"/>
          </w:tcPr>
          <w:p w14:paraId="545B1DCF" w14:textId="77777777" w:rsidR="006B5A09" w:rsidRPr="00D518FF" w:rsidRDefault="006B5A09" w:rsidP="006B5A09">
            <w:pPr>
              <w:rPr>
                <w:rFonts w:ascii="Aptos" w:hAnsi="Aptos"/>
                <w:sz w:val="16"/>
                <w:szCs w:val="16"/>
              </w:rPr>
            </w:pPr>
            <w:r w:rsidRPr="00D518FF">
              <w:rPr>
                <w:rFonts w:ascii="Aptos" w:hAnsi="Aptos"/>
                <w:sz w:val="16"/>
                <w:szCs w:val="16"/>
              </w:rPr>
              <w:t>1 - Hb1AC</w:t>
            </w:r>
          </w:p>
        </w:tc>
        <w:tc>
          <w:tcPr>
            <w:tcW w:w="855" w:type="dxa"/>
          </w:tcPr>
          <w:p w14:paraId="469374C7" w14:textId="422062EA"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21F3C352" w14:textId="19ABAF7A" w:rsidR="006B5A09" w:rsidRPr="00D518FF" w:rsidRDefault="006B5A09" w:rsidP="006B5A09">
            <w:pPr>
              <w:rPr>
                <w:rFonts w:ascii="Aptos" w:hAnsi="Aptos"/>
                <w:sz w:val="16"/>
                <w:szCs w:val="16"/>
              </w:rPr>
            </w:pPr>
            <w:r w:rsidRPr="00D518FF">
              <w:rPr>
                <w:rFonts w:ascii="Aptos" w:hAnsi="Aptos"/>
                <w:sz w:val="16"/>
                <w:szCs w:val="16"/>
              </w:rPr>
              <w:t>Diabetic patients who have been diagnosed with DPN</w:t>
            </w:r>
          </w:p>
        </w:tc>
        <w:tc>
          <w:tcPr>
            <w:tcW w:w="1330" w:type="dxa"/>
          </w:tcPr>
          <w:p w14:paraId="1F98F024" w14:textId="59283DEC" w:rsidR="006B5A09" w:rsidRPr="00D518FF" w:rsidRDefault="006B5A09" w:rsidP="006B5A09">
            <w:pPr>
              <w:rPr>
                <w:rFonts w:ascii="Aptos" w:hAnsi="Aptos"/>
                <w:sz w:val="16"/>
                <w:szCs w:val="16"/>
              </w:rPr>
            </w:pPr>
            <w:r w:rsidRPr="00D518FF">
              <w:rPr>
                <w:rFonts w:ascii="Aptos" w:hAnsi="Aptos"/>
                <w:sz w:val="16"/>
                <w:szCs w:val="16"/>
              </w:rPr>
              <w:t>Eligible supplement VS placebo/inactive control</w:t>
            </w:r>
          </w:p>
        </w:tc>
        <w:tc>
          <w:tcPr>
            <w:tcW w:w="1367" w:type="dxa"/>
          </w:tcPr>
          <w:p w14:paraId="49415644" w14:textId="77777777" w:rsidR="006B5A09" w:rsidRPr="00D518FF" w:rsidRDefault="006B5A09" w:rsidP="006B5A09">
            <w:pPr>
              <w:rPr>
                <w:rFonts w:ascii="Aptos" w:hAnsi="Aptos"/>
                <w:sz w:val="16"/>
                <w:szCs w:val="16"/>
              </w:rPr>
            </w:pPr>
            <w:r w:rsidRPr="00D518FF">
              <w:rPr>
                <w:rFonts w:ascii="Aptos" w:hAnsi="Aptos"/>
                <w:sz w:val="16"/>
                <w:szCs w:val="16"/>
              </w:rPr>
              <w:t>ALA (1200mg/day for 24 months)</w:t>
            </w:r>
          </w:p>
        </w:tc>
        <w:tc>
          <w:tcPr>
            <w:tcW w:w="1014" w:type="dxa"/>
          </w:tcPr>
          <w:p w14:paraId="6A974997" w14:textId="77777777" w:rsidR="006B5A09" w:rsidRPr="00D518FF" w:rsidRDefault="006B5A09" w:rsidP="006B5A09">
            <w:pPr>
              <w:rPr>
                <w:rFonts w:ascii="Aptos" w:hAnsi="Aptos"/>
                <w:sz w:val="16"/>
                <w:szCs w:val="16"/>
              </w:rPr>
            </w:pPr>
            <w:r w:rsidRPr="00D518FF">
              <w:rPr>
                <w:rFonts w:ascii="Aptos" w:hAnsi="Aptos"/>
                <w:sz w:val="16"/>
                <w:szCs w:val="16"/>
              </w:rPr>
              <w:t>Placebo</w:t>
            </w:r>
          </w:p>
        </w:tc>
        <w:tc>
          <w:tcPr>
            <w:tcW w:w="774" w:type="dxa"/>
          </w:tcPr>
          <w:p w14:paraId="48EF0C5B" w14:textId="77777777" w:rsidR="006B5A09" w:rsidRPr="00D518FF" w:rsidRDefault="006B5A09" w:rsidP="006B5A09">
            <w:pPr>
              <w:rPr>
                <w:rFonts w:ascii="Aptos" w:hAnsi="Aptos"/>
                <w:sz w:val="16"/>
                <w:szCs w:val="16"/>
              </w:rPr>
            </w:pPr>
            <w:r w:rsidRPr="00D518FF">
              <w:rPr>
                <w:rFonts w:ascii="Aptos" w:hAnsi="Aptos"/>
                <w:sz w:val="16"/>
                <w:szCs w:val="16"/>
              </w:rPr>
              <w:t>1</w:t>
            </w:r>
          </w:p>
        </w:tc>
        <w:tc>
          <w:tcPr>
            <w:tcW w:w="940" w:type="dxa"/>
          </w:tcPr>
          <w:p w14:paraId="15B9EB7C" w14:textId="77777777" w:rsidR="006B5A09" w:rsidRPr="00D518FF" w:rsidRDefault="006B5A09" w:rsidP="006B5A09">
            <w:pPr>
              <w:rPr>
                <w:rFonts w:ascii="Aptos" w:hAnsi="Aptos"/>
                <w:sz w:val="16"/>
                <w:szCs w:val="16"/>
              </w:rPr>
            </w:pPr>
            <w:r w:rsidRPr="00D518FF">
              <w:rPr>
                <w:rFonts w:ascii="Aptos" w:hAnsi="Aptos"/>
                <w:sz w:val="16"/>
                <w:szCs w:val="16"/>
              </w:rPr>
              <w:t>38</w:t>
            </w:r>
          </w:p>
        </w:tc>
        <w:tc>
          <w:tcPr>
            <w:tcW w:w="1008" w:type="dxa"/>
          </w:tcPr>
          <w:p w14:paraId="188BA128" w14:textId="77777777" w:rsidR="006B5A09" w:rsidRPr="00D518FF" w:rsidRDefault="006B5A09" w:rsidP="006B5A09">
            <w:pPr>
              <w:rPr>
                <w:rFonts w:ascii="Aptos" w:hAnsi="Aptos"/>
                <w:sz w:val="16"/>
                <w:szCs w:val="16"/>
              </w:rPr>
            </w:pPr>
          </w:p>
        </w:tc>
        <w:tc>
          <w:tcPr>
            <w:tcW w:w="950" w:type="dxa"/>
          </w:tcPr>
          <w:p w14:paraId="3FB23C58" w14:textId="77777777" w:rsidR="006B5A09" w:rsidRPr="00D518FF" w:rsidRDefault="006B5A09" w:rsidP="006B5A09">
            <w:pPr>
              <w:rPr>
                <w:rFonts w:ascii="Aptos" w:hAnsi="Aptos"/>
                <w:sz w:val="16"/>
                <w:szCs w:val="16"/>
              </w:rPr>
            </w:pPr>
            <w:r w:rsidRPr="00D518FF">
              <w:rPr>
                <w:rFonts w:ascii="Aptos" w:hAnsi="Aptos"/>
                <w:sz w:val="16"/>
                <w:szCs w:val="16"/>
              </w:rPr>
              <w:t>MD = −1.10, 95% CI (-2.36, 0.16)</w:t>
            </w:r>
          </w:p>
        </w:tc>
        <w:tc>
          <w:tcPr>
            <w:tcW w:w="1003" w:type="dxa"/>
          </w:tcPr>
          <w:p w14:paraId="33C1DA61" w14:textId="77777777" w:rsidR="006B5A09" w:rsidRPr="00D518FF" w:rsidRDefault="006B5A09" w:rsidP="006B5A09">
            <w:pPr>
              <w:rPr>
                <w:rFonts w:ascii="Aptos" w:hAnsi="Aptos"/>
                <w:sz w:val="16"/>
                <w:szCs w:val="16"/>
              </w:rPr>
            </w:pPr>
          </w:p>
        </w:tc>
        <w:tc>
          <w:tcPr>
            <w:tcW w:w="993" w:type="dxa"/>
          </w:tcPr>
          <w:p w14:paraId="718F0D16" w14:textId="2BB1DD3F" w:rsidR="006B5A09" w:rsidRDefault="006B5A09" w:rsidP="006B5A09">
            <w:pPr>
              <w:rPr>
                <w:rFonts w:ascii="Aptos" w:hAnsi="Aptos"/>
                <w:sz w:val="16"/>
                <w:szCs w:val="16"/>
              </w:rPr>
            </w:pPr>
            <w:r>
              <w:rPr>
                <w:rFonts w:ascii="Aptos" w:hAnsi="Aptos"/>
                <w:sz w:val="16"/>
                <w:szCs w:val="16"/>
              </w:rPr>
              <w:t>NA</w:t>
            </w:r>
          </w:p>
        </w:tc>
        <w:tc>
          <w:tcPr>
            <w:tcW w:w="1134" w:type="dxa"/>
          </w:tcPr>
          <w:p w14:paraId="6B177ABB" w14:textId="54DE5C7D" w:rsidR="006B5A09" w:rsidRPr="00D518FF" w:rsidRDefault="006B5A09" w:rsidP="006B5A09">
            <w:pPr>
              <w:rPr>
                <w:rFonts w:ascii="Aptos" w:hAnsi="Aptos"/>
                <w:sz w:val="16"/>
                <w:szCs w:val="16"/>
              </w:rPr>
            </w:pPr>
            <w:r>
              <w:rPr>
                <w:rFonts w:ascii="Aptos" w:hAnsi="Aptos"/>
                <w:sz w:val="16"/>
                <w:szCs w:val="16"/>
              </w:rPr>
              <w:t>Low risk</w:t>
            </w:r>
          </w:p>
        </w:tc>
      </w:tr>
      <w:tr w:rsidR="006B5A09" w:rsidRPr="00D518FF" w14:paraId="2A34A316" w14:textId="77777777" w:rsidTr="007F74AF">
        <w:trPr>
          <w:trHeight w:val="196"/>
        </w:trPr>
        <w:tc>
          <w:tcPr>
            <w:tcW w:w="971" w:type="dxa"/>
          </w:tcPr>
          <w:p w14:paraId="79B7E634" w14:textId="77777777" w:rsidR="006B5A09" w:rsidRPr="00D518FF" w:rsidRDefault="006B5A09" w:rsidP="006B5A09">
            <w:pPr>
              <w:rPr>
                <w:rFonts w:ascii="Aptos" w:hAnsi="Aptos"/>
                <w:sz w:val="16"/>
                <w:szCs w:val="16"/>
              </w:rPr>
            </w:pPr>
            <w:r w:rsidRPr="00D518FF">
              <w:rPr>
                <w:rFonts w:ascii="Aptos" w:hAnsi="Aptos"/>
                <w:sz w:val="16"/>
                <w:szCs w:val="16"/>
              </w:rPr>
              <w:t>Rahimlou 2019</w:t>
            </w:r>
          </w:p>
        </w:tc>
        <w:tc>
          <w:tcPr>
            <w:tcW w:w="875" w:type="dxa"/>
          </w:tcPr>
          <w:p w14:paraId="1F0745FD" w14:textId="77777777" w:rsidR="006B5A09" w:rsidRPr="00D518FF" w:rsidRDefault="006B5A09" w:rsidP="006B5A09">
            <w:pPr>
              <w:rPr>
                <w:rFonts w:ascii="Aptos" w:hAnsi="Aptos"/>
                <w:sz w:val="16"/>
                <w:szCs w:val="16"/>
              </w:rPr>
            </w:pPr>
            <w:r w:rsidRPr="00D518FF">
              <w:rPr>
                <w:rFonts w:ascii="Aptos" w:hAnsi="Aptos"/>
                <w:sz w:val="16"/>
                <w:szCs w:val="16"/>
              </w:rPr>
              <w:t>1 - FPG/FBG</w:t>
            </w:r>
          </w:p>
        </w:tc>
        <w:tc>
          <w:tcPr>
            <w:tcW w:w="855" w:type="dxa"/>
          </w:tcPr>
          <w:p w14:paraId="7514C05E" w14:textId="4C7FB7CC"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3824BE99" w14:textId="77777777" w:rsidR="006B5A09" w:rsidRPr="00D518FF" w:rsidRDefault="006B5A09" w:rsidP="006B5A09">
            <w:pPr>
              <w:rPr>
                <w:rFonts w:ascii="Aptos" w:hAnsi="Aptos"/>
                <w:sz w:val="16"/>
                <w:szCs w:val="16"/>
              </w:rPr>
            </w:pPr>
            <w:r w:rsidRPr="00D518FF">
              <w:rPr>
                <w:rFonts w:ascii="Aptos" w:hAnsi="Aptos"/>
                <w:sz w:val="16"/>
                <w:szCs w:val="16"/>
              </w:rPr>
              <w:t xml:space="preserve">Patients with T2DM; </w:t>
            </w:r>
          </w:p>
        </w:tc>
        <w:tc>
          <w:tcPr>
            <w:tcW w:w="1330" w:type="dxa"/>
          </w:tcPr>
          <w:p w14:paraId="74B0D55C" w14:textId="1C1951C5" w:rsidR="006B5A09" w:rsidRPr="00D518FF" w:rsidRDefault="006B5A09" w:rsidP="006B5A09">
            <w:pPr>
              <w:rPr>
                <w:rFonts w:ascii="Aptos" w:hAnsi="Aptos"/>
                <w:sz w:val="16"/>
                <w:szCs w:val="16"/>
              </w:rPr>
            </w:pPr>
            <w:r w:rsidRPr="00D518FF">
              <w:rPr>
                <w:rFonts w:ascii="Aptos" w:hAnsi="Aptos"/>
                <w:sz w:val="16"/>
                <w:szCs w:val="16"/>
              </w:rPr>
              <w:t>Eligible supplement VS placebo/inactive control</w:t>
            </w:r>
          </w:p>
        </w:tc>
        <w:tc>
          <w:tcPr>
            <w:tcW w:w="1367" w:type="dxa"/>
          </w:tcPr>
          <w:p w14:paraId="3EF62C33" w14:textId="77777777" w:rsidR="006B5A09" w:rsidRPr="00D518FF" w:rsidRDefault="006B5A09" w:rsidP="006B5A09">
            <w:pPr>
              <w:rPr>
                <w:rFonts w:ascii="Aptos" w:hAnsi="Aptos"/>
                <w:sz w:val="16"/>
                <w:szCs w:val="16"/>
              </w:rPr>
            </w:pPr>
            <w:r w:rsidRPr="00D518FF">
              <w:rPr>
                <w:rFonts w:ascii="Aptos" w:hAnsi="Aptos"/>
                <w:sz w:val="16"/>
                <w:szCs w:val="16"/>
              </w:rPr>
              <w:t>ALA</w:t>
            </w:r>
          </w:p>
        </w:tc>
        <w:tc>
          <w:tcPr>
            <w:tcW w:w="1014" w:type="dxa"/>
          </w:tcPr>
          <w:p w14:paraId="050A6B16" w14:textId="77777777" w:rsidR="006B5A09" w:rsidRPr="00D518FF" w:rsidRDefault="006B5A09" w:rsidP="006B5A09">
            <w:pPr>
              <w:rPr>
                <w:rFonts w:ascii="Aptos" w:hAnsi="Aptos"/>
                <w:sz w:val="16"/>
                <w:szCs w:val="16"/>
              </w:rPr>
            </w:pPr>
            <w:r w:rsidRPr="00D518FF">
              <w:rPr>
                <w:rFonts w:ascii="Aptos" w:hAnsi="Aptos"/>
                <w:sz w:val="16"/>
                <w:szCs w:val="16"/>
              </w:rPr>
              <w:t>Placebo/non-exposure</w:t>
            </w:r>
          </w:p>
        </w:tc>
        <w:tc>
          <w:tcPr>
            <w:tcW w:w="774" w:type="dxa"/>
          </w:tcPr>
          <w:p w14:paraId="7BBAD433" w14:textId="77777777" w:rsidR="006B5A09" w:rsidRPr="00D518FF" w:rsidRDefault="006B5A09" w:rsidP="006B5A09">
            <w:pPr>
              <w:rPr>
                <w:rFonts w:ascii="Aptos" w:hAnsi="Aptos"/>
                <w:sz w:val="16"/>
                <w:szCs w:val="16"/>
              </w:rPr>
            </w:pPr>
            <w:r w:rsidRPr="00D518FF">
              <w:rPr>
                <w:rFonts w:ascii="Aptos" w:hAnsi="Aptos"/>
                <w:sz w:val="16"/>
                <w:szCs w:val="16"/>
              </w:rPr>
              <w:t>NR</w:t>
            </w:r>
          </w:p>
        </w:tc>
        <w:tc>
          <w:tcPr>
            <w:tcW w:w="940" w:type="dxa"/>
          </w:tcPr>
          <w:p w14:paraId="496BA4FC" w14:textId="77777777" w:rsidR="006B5A09" w:rsidRPr="00D518FF" w:rsidRDefault="006B5A09" w:rsidP="006B5A09">
            <w:pPr>
              <w:rPr>
                <w:rFonts w:ascii="Aptos" w:hAnsi="Aptos"/>
                <w:sz w:val="16"/>
                <w:szCs w:val="16"/>
              </w:rPr>
            </w:pPr>
            <w:r w:rsidRPr="00D518FF">
              <w:rPr>
                <w:rFonts w:ascii="Aptos" w:hAnsi="Aptos"/>
                <w:sz w:val="16"/>
                <w:szCs w:val="16"/>
              </w:rPr>
              <w:t>NR</w:t>
            </w:r>
          </w:p>
        </w:tc>
        <w:tc>
          <w:tcPr>
            <w:tcW w:w="1008" w:type="dxa"/>
          </w:tcPr>
          <w:p w14:paraId="41A52626" w14:textId="77777777" w:rsidR="006B5A09" w:rsidRPr="00D518FF" w:rsidRDefault="006B5A09" w:rsidP="006B5A09">
            <w:pPr>
              <w:rPr>
                <w:rFonts w:ascii="Aptos" w:hAnsi="Aptos"/>
                <w:sz w:val="16"/>
                <w:szCs w:val="16"/>
              </w:rPr>
            </w:pPr>
          </w:p>
        </w:tc>
        <w:tc>
          <w:tcPr>
            <w:tcW w:w="950" w:type="dxa"/>
          </w:tcPr>
          <w:p w14:paraId="77B54808" w14:textId="0B0655E0" w:rsidR="006B5A09" w:rsidRPr="00D518FF" w:rsidRDefault="006B5A09" w:rsidP="006B5A09">
            <w:pPr>
              <w:rPr>
                <w:rFonts w:ascii="Aptos" w:hAnsi="Aptos"/>
                <w:sz w:val="16"/>
                <w:szCs w:val="16"/>
              </w:rPr>
            </w:pPr>
            <w:r w:rsidRPr="00D518FF">
              <w:rPr>
                <w:rFonts w:ascii="Aptos" w:hAnsi="Aptos"/>
                <w:sz w:val="16"/>
                <w:szCs w:val="16"/>
              </w:rPr>
              <w:t xml:space="preserve">WMD </w:t>
            </w:r>
            <w:r w:rsidR="00FE2A6E">
              <w:rPr>
                <w:rFonts w:ascii="Aptos" w:hAnsi="Aptos"/>
                <w:sz w:val="16"/>
                <w:szCs w:val="16"/>
              </w:rPr>
              <w:t>=</w:t>
            </w:r>
            <w:r w:rsidRPr="00D518FF">
              <w:rPr>
                <w:rFonts w:ascii="Aptos" w:hAnsi="Aptos"/>
                <w:sz w:val="16"/>
                <w:szCs w:val="16"/>
              </w:rPr>
              <w:t xml:space="preserve"> 9.89, 95% CI: 16.96 to 2.82, P 1⁄4 0.006</w:t>
            </w:r>
          </w:p>
        </w:tc>
        <w:tc>
          <w:tcPr>
            <w:tcW w:w="1003" w:type="dxa"/>
          </w:tcPr>
          <w:p w14:paraId="00995F02" w14:textId="77777777" w:rsidR="006B5A09" w:rsidRPr="00D518FF" w:rsidRDefault="006B5A09" w:rsidP="006B5A09">
            <w:pPr>
              <w:rPr>
                <w:rFonts w:ascii="Aptos" w:hAnsi="Aptos"/>
                <w:sz w:val="16"/>
                <w:szCs w:val="16"/>
              </w:rPr>
            </w:pPr>
          </w:p>
        </w:tc>
        <w:tc>
          <w:tcPr>
            <w:tcW w:w="993" w:type="dxa"/>
          </w:tcPr>
          <w:p w14:paraId="3EDA0040" w14:textId="61817F6B" w:rsidR="006B5A09" w:rsidRDefault="006B5A09" w:rsidP="006B5A09">
            <w:pPr>
              <w:rPr>
                <w:rFonts w:ascii="Aptos" w:hAnsi="Aptos"/>
                <w:sz w:val="16"/>
                <w:szCs w:val="16"/>
              </w:rPr>
            </w:pPr>
            <w:r>
              <w:rPr>
                <w:rFonts w:ascii="Aptos" w:hAnsi="Aptos"/>
                <w:sz w:val="16"/>
                <w:szCs w:val="16"/>
              </w:rPr>
              <w:t>NA</w:t>
            </w:r>
          </w:p>
        </w:tc>
        <w:tc>
          <w:tcPr>
            <w:tcW w:w="1134" w:type="dxa"/>
          </w:tcPr>
          <w:p w14:paraId="72B5240B" w14:textId="57CBC1E3" w:rsidR="006B5A09" w:rsidRPr="00D518FF" w:rsidRDefault="006B5A09" w:rsidP="006B5A09">
            <w:pPr>
              <w:rPr>
                <w:rFonts w:ascii="Aptos" w:hAnsi="Aptos"/>
                <w:sz w:val="16"/>
                <w:szCs w:val="16"/>
              </w:rPr>
            </w:pPr>
            <w:r>
              <w:rPr>
                <w:rFonts w:ascii="Aptos" w:hAnsi="Aptos"/>
                <w:sz w:val="16"/>
                <w:szCs w:val="16"/>
              </w:rPr>
              <w:t>Low risk</w:t>
            </w:r>
          </w:p>
        </w:tc>
      </w:tr>
      <w:tr w:rsidR="00877CDE" w:rsidRPr="00D518FF" w14:paraId="1D6D9297" w14:textId="77777777" w:rsidTr="007F74AF">
        <w:trPr>
          <w:trHeight w:val="196"/>
        </w:trPr>
        <w:tc>
          <w:tcPr>
            <w:tcW w:w="971" w:type="dxa"/>
          </w:tcPr>
          <w:p w14:paraId="2CB35B75" w14:textId="77777777" w:rsidR="00877CDE" w:rsidRPr="00D518FF" w:rsidRDefault="00877CDE" w:rsidP="00877CDE">
            <w:pPr>
              <w:rPr>
                <w:rFonts w:ascii="Aptos" w:hAnsi="Aptos"/>
                <w:sz w:val="16"/>
                <w:szCs w:val="16"/>
              </w:rPr>
            </w:pPr>
            <w:r w:rsidRPr="00D518FF">
              <w:rPr>
                <w:rFonts w:ascii="Aptos" w:hAnsi="Aptos"/>
                <w:sz w:val="16"/>
                <w:szCs w:val="16"/>
              </w:rPr>
              <w:t>Zhang 2018</w:t>
            </w:r>
          </w:p>
        </w:tc>
        <w:tc>
          <w:tcPr>
            <w:tcW w:w="875" w:type="dxa"/>
          </w:tcPr>
          <w:p w14:paraId="77C86D7B" w14:textId="77777777" w:rsidR="00877CDE" w:rsidRPr="00D518FF" w:rsidRDefault="00877CDE" w:rsidP="00877CDE">
            <w:pPr>
              <w:rPr>
                <w:rFonts w:ascii="Aptos" w:hAnsi="Aptos"/>
                <w:sz w:val="16"/>
                <w:szCs w:val="16"/>
              </w:rPr>
            </w:pPr>
            <w:r w:rsidRPr="00D518FF">
              <w:rPr>
                <w:rFonts w:ascii="Aptos" w:hAnsi="Aptos"/>
                <w:sz w:val="16"/>
                <w:szCs w:val="16"/>
              </w:rPr>
              <w:t>1 - FBI</w:t>
            </w:r>
          </w:p>
        </w:tc>
        <w:tc>
          <w:tcPr>
            <w:tcW w:w="855" w:type="dxa"/>
          </w:tcPr>
          <w:p w14:paraId="5F1D054D" w14:textId="7A63D208" w:rsidR="00877CDE" w:rsidRPr="00D518FF" w:rsidRDefault="00877CDE" w:rsidP="00877CDE">
            <w:pPr>
              <w:rPr>
                <w:rFonts w:ascii="Aptos" w:hAnsi="Aptos"/>
                <w:sz w:val="16"/>
                <w:szCs w:val="16"/>
              </w:rPr>
            </w:pPr>
            <w:r w:rsidRPr="005A43DC">
              <w:rPr>
                <w:rFonts w:ascii="Aptos" w:hAnsi="Aptos"/>
                <w:sz w:val="16"/>
                <w:szCs w:val="16"/>
              </w:rPr>
              <w:t>With condition</w:t>
            </w:r>
          </w:p>
        </w:tc>
        <w:tc>
          <w:tcPr>
            <w:tcW w:w="1382" w:type="dxa"/>
          </w:tcPr>
          <w:p w14:paraId="7761358F" w14:textId="14B3EB48" w:rsidR="00877CDE" w:rsidRPr="00D518FF" w:rsidRDefault="00877CDE" w:rsidP="00877CDE">
            <w:pPr>
              <w:rPr>
                <w:rFonts w:ascii="Aptos" w:hAnsi="Aptos"/>
                <w:sz w:val="16"/>
                <w:szCs w:val="16"/>
              </w:rPr>
            </w:pPr>
            <w:r w:rsidRPr="00D518FF">
              <w:rPr>
                <w:rFonts w:ascii="Aptos" w:hAnsi="Aptos"/>
                <w:sz w:val="16"/>
                <w:szCs w:val="16"/>
              </w:rPr>
              <w:t>Patients with T2DM</w:t>
            </w:r>
          </w:p>
        </w:tc>
        <w:tc>
          <w:tcPr>
            <w:tcW w:w="1330" w:type="dxa"/>
          </w:tcPr>
          <w:p w14:paraId="67509FF0" w14:textId="5A9E8672" w:rsidR="00877CDE" w:rsidRPr="00D518FF" w:rsidRDefault="00877CDE" w:rsidP="00877CDE">
            <w:pPr>
              <w:rPr>
                <w:rFonts w:ascii="Aptos" w:hAnsi="Aptos"/>
                <w:sz w:val="16"/>
                <w:szCs w:val="16"/>
              </w:rPr>
            </w:pPr>
            <w:r w:rsidRPr="00D518FF">
              <w:rPr>
                <w:rFonts w:ascii="Aptos" w:hAnsi="Aptos"/>
                <w:sz w:val="16"/>
                <w:szCs w:val="16"/>
              </w:rPr>
              <w:t>•     Eligible supplement VS placebo/inactive control</w:t>
            </w:r>
            <w:r w:rsidRPr="00D518FF">
              <w:rPr>
                <w:rFonts w:ascii="Aptos" w:hAnsi="Aptos"/>
                <w:sz w:val="16"/>
                <w:szCs w:val="16"/>
              </w:rPr>
              <w:br/>
              <w:t>•     Eligible supplement + naturopathy co-intervention VS naturopathy co-intervention</w:t>
            </w:r>
            <w:r w:rsidRPr="00D518FF">
              <w:rPr>
                <w:rFonts w:ascii="Aptos" w:hAnsi="Aptos"/>
                <w:sz w:val="16"/>
                <w:szCs w:val="16"/>
              </w:rPr>
              <w:br/>
              <w:t xml:space="preserve">•     Eligible supplement + non-naturopathy co-intervention VS non-naturopathy co-intervention </w:t>
            </w:r>
          </w:p>
        </w:tc>
        <w:tc>
          <w:tcPr>
            <w:tcW w:w="1367" w:type="dxa"/>
          </w:tcPr>
          <w:p w14:paraId="1B14B718" w14:textId="56E5F7D3" w:rsidR="00877CDE" w:rsidRPr="00D518FF" w:rsidRDefault="00877CDE" w:rsidP="00877CDE">
            <w:pPr>
              <w:rPr>
                <w:rFonts w:ascii="Aptos" w:hAnsi="Aptos"/>
                <w:sz w:val="16"/>
                <w:szCs w:val="16"/>
              </w:rPr>
            </w:pPr>
            <w:r w:rsidRPr="00D518FF">
              <w:rPr>
                <w:rFonts w:ascii="Aptos" w:hAnsi="Aptos"/>
                <w:sz w:val="16"/>
                <w:szCs w:val="16"/>
              </w:rPr>
              <w:t>Co</w:t>
            </w:r>
            <w:r>
              <w:rPr>
                <w:rFonts w:ascii="Aptos" w:hAnsi="Aptos"/>
                <w:sz w:val="16"/>
                <w:szCs w:val="16"/>
              </w:rPr>
              <w:t>Q</w:t>
            </w:r>
            <w:r w:rsidRPr="00D518FF">
              <w:rPr>
                <w:rFonts w:ascii="Aptos" w:hAnsi="Aptos"/>
                <w:sz w:val="16"/>
                <w:szCs w:val="16"/>
              </w:rPr>
              <w:t xml:space="preserve">10 </w:t>
            </w:r>
          </w:p>
        </w:tc>
        <w:tc>
          <w:tcPr>
            <w:tcW w:w="1014" w:type="dxa"/>
          </w:tcPr>
          <w:p w14:paraId="04C0E5B2" w14:textId="77777777" w:rsidR="00877CDE" w:rsidRPr="00D518FF" w:rsidRDefault="00877CDE" w:rsidP="00877CDE">
            <w:pPr>
              <w:rPr>
                <w:rFonts w:ascii="Aptos" w:hAnsi="Aptos"/>
                <w:sz w:val="16"/>
                <w:szCs w:val="16"/>
              </w:rPr>
            </w:pPr>
            <w:r w:rsidRPr="00D518FF">
              <w:rPr>
                <w:rFonts w:ascii="Aptos" w:hAnsi="Aptos"/>
                <w:sz w:val="16"/>
                <w:szCs w:val="16"/>
              </w:rPr>
              <w:t>Control</w:t>
            </w:r>
          </w:p>
        </w:tc>
        <w:tc>
          <w:tcPr>
            <w:tcW w:w="774" w:type="dxa"/>
          </w:tcPr>
          <w:p w14:paraId="77388632" w14:textId="77777777" w:rsidR="00877CDE" w:rsidRPr="00D518FF" w:rsidRDefault="00877CDE" w:rsidP="00877CDE">
            <w:pPr>
              <w:rPr>
                <w:rFonts w:ascii="Aptos" w:hAnsi="Aptos"/>
                <w:sz w:val="16"/>
                <w:szCs w:val="16"/>
              </w:rPr>
            </w:pPr>
            <w:r w:rsidRPr="00D518FF">
              <w:rPr>
                <w:rFonts w:ascii="Aptos" w:hAnsi="Aptos"/>
                <w:sz w:val="16"/>
                <w:szCs w:val="16"/>
              </w:rPr>
              <w:t>4</w:t>
            </w:r>
          </w:p>
        </w:tc>
        <w:tc>
          <w:tcPr>
            <w:tcW w:w="940" w:type="dxa"/>
          </w:tcPr>
          <w:p w14:paraId="4E8136A2" w14:textId="77777777" w:rsidR="00877CDE" w:rsidRPr="00D518FF" w:rsidRDefault="00877CDE" w:rsidP="00877CDE">
            <w:pPr>
              <w:rPr>
                <w:rFonts w:ascii="Aptos" w:hAnsi="Aptos"/>
                <w:sz w:val="16"/>
                <w:szCs w:val="16"/>
              </w:rPr>
            </w:pPr>
            <w:r w:rsidRPr="00D518FF">
              <w:rPr>
                <w:rFonts w:ascii="Aptos" w:hAnsi="Aptos"/>
                <w:sz w:val="16"/>
                <w:szCs w:val="16"/>
              </w:rPr>
              <w:t>228</w:t>
            </w:r>
          </w:p>
        </w:tc>
        <w:tc>
          <w:tcPr>
            <w:tcW w:w="1008" w:type="dxa"/>
          </w:tcPr>
          <w:p w14:paraId="4E19B21A" w14:textId="77777777" w:rsidR="00877CDE" w:rsidRPr="00D518FF" w:rsidRDefault="00877CDE" w:rsidP="00877CDE">
            <w:pPr>
              <w:rPr>
                <w:rFonts w:ascii="Aptos" w:hAnsi="Aptos"/>
                <w:sz w:val="16"/>
                <w:szCs w:val="16"/>
              </w:rPr>
            </w:pPr>
          </w:p>
        </w:tc>
        <w:tc>
          <w:tcPr>
            <w:tcW w:w="950" w:type="dxa"/>
          </w:tcPr>
          <w:p w14:paraId="4AD273B3" w14:textId="7D5ED09A" w:rsidR="00877CDE" w:rsidRPr="00D518FF" w:rsidRDefault="00877CDE" w:rsidP="00877CDE">
            <w:pPr>
              <w:rPr>
                <w:rFonts w:ascii="Aptos" w:hAnsi="Aptos"/>
                <w:sz w:val="16"/>
                <w:szCs w:val="16"/>
              </w:rPr>
            </w:pPr>
            <w:r w:rsidRPr="00D518FF">
              <w:rPr>
                <w:rFonts w:ascii="Aptos" w:hAnsi="Aptos"/>
                <w:sz w:val="16"/>
                <w:szCs w:val="16"/>
              </w:rPr>
              <w:t xml:space="preserve">WMD </w:t>
            </w:r>
            <w:r w:rsidR="00FE2A6E">
              <w:rPr>
                <w:rFonts w:ascii="Aptos" w:hAnsi="Aptos"/>
                <w:sz w:val="16"/>
                <w:szCs w:val="16"/>
              </w:rPr>
              <w:t xml:space="preserve">= </w:t>
            </w:r>
            <w:r w:rsidRPr="00D518FF">
              <w:rPr>
                <w:rFonts w:ascii="Aptos" w:hAnsi="Aptos"/>
                <w:sz w:val="16"/>
                <w:szCs w:val="16"/>
              </w:rPr>
              <w:t>−0.48; 95% CI −2.54, 1.57; P = 0 65</w:t>
            </w:r>
          </w:p>
        </w:tc>
        <w:tc>
          <w:tcPr>
            <w:tcW w:w="1003" w:type="dxa"/>
          </w:tcPr>
          <w:p w14:paraId="06AD7538" w14:textId="2BFEE1E5" w:rsidR="00877CDE" w:rsidRPr="00D518FF" w:rsidRDefault="00877CDE" w:rsidP="00877CDE">
            <w:pPr>
              <w:rPr>
                <w:rFonts w:ascii="Aptos" w:hAnsi="Aptos"/>
                <w:sz w:val="16"/>
                <w:szCs w:val="16"/>
              </w:rPr>
            </w:pPr>
            <w:r w:rsidRPr="00D518FF">
              <w:rPr>
                <w:rFonts w:ascii="Aptos" w:hAnsi="Aptos"/>
                <w:sz w:val="16"/>
                <w:szCs w:val="16"/>
              </w:rPr>
              <w:t xml:space="preserve"> </w:t>
            </w:r>
            <w:r>
              <w:rPr>
                <w:rFonts w:ascii="Aptos" w:hAnsi="Aptos"/>
                <w:sz w:val="16"/>
                <w:szCs w:val="16"/>
              </w:rPr>
              <w:t>I² =</w:t>
            </w:r>
            <w:r w:rsidRPr="00D518FF">
              <w:rPr>
                <w:rFonts w:ascii="Aptos" w:hAnsi="Aptos"/>
                <w:sz w:val="16"/>
                <w:szCs w:val="16"/>
              </w:rPr>
              <w:t xml:space="preserve"> 77%</w:t>
            </w:r>
          </w:p>
        </w:tc>
        <w:tc>
          <w:tcPr>
            <w:tcW w:w="993" w:type="dxa"/>
          </w:tcPr>
          <w:p w14:paraId="3A9E61BB" w14:textId="40021B4A" w:rsidR="00877CDE" w:rsidRDefault="00877CDE" w:rsidP="00877CDE">
            <w:pPr>
              <w:rPr>
                <w:rFonts w:ascii="Aptos" w:hAnsi="Aptos"/>
                <w:sz w:val="16"/>
                <w:szCs w:val="16"/>
              </w:rPr>
            </w:pPr>
            <w:r>
              <w:rPr>
                <w:rFonts w:ascii="Aptos" w:hAnsi="Aptos"/>
                <w:sz w:val="16"/>
                <w:szCs w:val="16"/>
              </w:rPr>
              <w:t>NA</w:t>
            </w:r>
          </w:p>
        </w:tc>
        <w:tc>
          <w:tcPr>
            <w:tcW w:w="1134" w:type="dxa"/>
          </w:tcPr>
          <w:p w14:paraId="2C24DE36" w14:textId="7FBAC181" w:rsidR="00877CDE" w:rsidRPr="00D518FF" w:rsidRDefault="00877CDE" w:rsidP="00877CDE">
            <w:pPr>
              <w:rPr>
                <w:rFonts w:ascii="Aptos" w:hAnsi="Aptos"/>
                <w:sz w:val="16"/>
                <w:szCs w:val="16"/>
              </w:rPr>
            </w:pPr>
            <w:r>
              <w:rPr>
                <w:rFonts w:ascii="Aptos" w:hAnsi="Aptos"/>
                <w:sz w:val="16"/>
                <w:szCs w:val="16"/>
              </w:rPr>
              <w:t>High risk</w:t>
            </w:r>
          </w:p>
        </w:tc>
      </w:tr>
      <w:tr w:rsidR="006B5A09" w:rsidRPr="00D518FF" w14:paraId="5A9B6DDC" w14:textId="77777777" w:rsidTr="007F74AF">
        <w:trPr>
          <w:trHeight w:val="196"/>
        </w:trPr>
        <w:tc>
          <w:tcPr>
            <w:tcW w:w="971" w:type="dxa"/>
          </w:tcPr>
          <w:p w14:paraId="0F9D5D96" w14:textId="77777777" w:rsidR="006B5A09" w:rsidRPr="00D518FF" w:rsidRDefault="006B5A09" w:rsidP="006B5A09">
            <w:pPr>
              <w:rPr>
                <w:rFonts w:ascii="Aptos" w:hAnsi="Aptos"/>
                <w:sz w:val="16"/>
                <w:szCs w:val="16"/>
              </w:rPr>
            </w:pPr>
            <w:r w:rsidRPr="00D518FF">
              <w:rPr>
                <w:rFonts w:ascii="Aptos" w:hAnsi="Aptos"/>
                <w:sz w:val="16"/>
                <w:szCs w:val="16"/>
              </w:rPr>
              <w:t>Zhang 2018</w:t>
            </w:r>
          </w:p>
        </w:tc>
        <w:tc>
          <w:tcPr>
            <w:tcW w:w="875" w:type="dxa"/>
          </w:tcPr>
          <w:p w14:paraId="231BF5D9" w14:textId="77777777" w:rsidR="006B5A09" w:rsidRPr="00D518FF" w:rsidRDefault="006B5A09" w:rsidP="006B5A09">
            <w:pPr>
              <w:rPr>
                <w:rFonts w:ascii="Aptos" w:hAnsi="Aptos"/>
                <w:sz w:val="16"/>
                <w:szCs w:val="16"/>
              </w:rPr>
            </w:pPr>
            <w:r w:rsidRPr="00D518FF">
              <w:rPr>
                <w:rFonts w:ascii="Aptos" w:hAnsi="Aptos"/>
                <w:sz w:val="16"/>
                <w:szCs w:val="16"/>
              </w:rPr>
              <w:t>1 - FPG/FBG</w:t>
            </w:r>
          </w:p>
        </w:tc>
        <w:tc>
          <w:tcPr>
            <w:tcW w:w="855" w:type="dxa"/>
          </w:tcPr>
          <w:p w14:paraId="02B33BB6" w14:textId="627D7A8F" w:rsidR="006B5A09" w:rsidRPr="00D518FF" w:rsidRDefault="006B5A09" w:rsidP="006B5A09">
            <w:pPr>
              <w:rPr>
                <w:rFonts w:ascii="Aptos" w:hAnsi="Aptos"/>
                <w:sz w:val="16"/>
                <w:szCs w:val="16"/>
              </w:rPr>
            </w:pPr>
            <w:r w:rsidRPr="005A43DC">
              <w:rPr>
                <w:rFonts w:ascii="Aptos" w:hAnsi="Aptos"/>
                <w:sz w:val="16"/>
                <w:szCs w:val="16"/>
              </w:rPr>
              <w:t>With condition</w:t>
            </w:r>
          </w:p>
        </w:tc>
        <w:tc>
          <w:tcPr>
            <w:tcW w:w="1382" w:type="dxa"/>
          </w:tcPr>
          <w:p w14:paraId="3106593C" w14:textId="590F6F42" w:rsidR="006B5A09" w:rsidRPr="00D518FF" w:rsidRDefault="006B5A09" w:rsidP="006B5A09">
            <w:pPr>
              <w:rPr>
                <w:rFonts w:ascii="Aptos" w:hAnsi="Aptos"/>
                <w:sz w:val="16"/>
                <w:szCs w:val="16"/>
              </w:rPr>
            </w:pPr>
            <w:r w:rsidRPr="00D518FF">
              <w:rPr>
                <w:rFonts w:ascii="Aptos" w:hAnsi="Aptos"/>
                <w:sz w:val="16"/>
                <w:szCs w:val="16"/>
              </w:rPr>
              <w:t>Patients with T2DM</w:t>
            </w:r>
          </w:p>
        </w:tc>
        <w:tc>
          <w:tcPr>
            <w:tcW w:w="1330" w:type="dxa"/>
          </w:tcPr>
          <w:p w14:paraId="5B9A1B67" w14:textId="1322B244" w:rsidR="006B5A09" w:rsidRPr="00D518FF" w:rsidRDefault="006B5A09" w:rsidP="006B5A09">
            <w:pPr>
              <w:rPr>
                <w:rFonts w:ascii="Aptos" w:hAnsi="Aptos"/>
                <w:sz w:val="16"/>
                <w:szCs w:val="16"/>
              </w:rPr>
            </w:pPr>
            <w:r w:rsidRPr="00D518FF">
              <w:rPr>
                <w:rFonts w:ascii="Aptos" w:hAnsi="Aptos"/>
                <w:sz w:val="16"/>
                <w:szCs w:val="16"/>
              </w:rPr>
              <w:t>•     Eligible supplement VS placebo/inactive control</w:t>
            </w:r>
            <w:r w:rsidRPr="00D518FF">
              <w:rPr>
                <w:rFonts w:ascii="Aptos" w:hAnsi="Aptos"/>
                <w:sz w:val="16"/>
                <w:szCs w:val="16"/>
              </w:rPr>
              <w:br/>
              <w:t>•     Eligible supplement + naturopathy co-</w:t>
            </w:r>
            <w:r w:rsidRPr="00D518FF">
              <w:rPr>
                <w:rFonts w:ascii="Aptos" w:hAnsi="Aptos"/>
                <w:sz w:val="16"/>
                <w:szCs w:val="16"/>
              </w:rPr>
              <w:lastRenderedPageBreak/>
              <w:t>intervention VS naturopathy co-intervention</w:t>
            </w:r>
            <w:r w:rsidRPr="00D518FF">
              <w:rPr>
                <w:rFonts w:ascii="Aptos" w:hAnsi="Aptos"/>
                <w:sz w:val="16"/>
                <w:szCs w:val="16"/>
              </w:rPr>
              <w:br/>
              <w:t xml:space="preserve">•     Eligible supplement + non-naturopathy co-intervention VS non-naturopathy co-intervention </w:t>
            </w:r>
          </w:p>
        </w:tc>
        <w:tc>
          <w:tcPr>
            <w:tcW w:w="1367" w:type="dxa"/>
          </w:tcPr>
          <w:p w14:paraId="421A2FA3" w14:textId="50565DC8" w:rsidR="006B5A09" w:rsidRPr="00D518FF" w:rsidRDefault="006B5A09" w:rsidP="006B5A09">
            <w:pPr>
              <w:rPr>
                <w:rFonts w:ascii="Aptos" w:hAnsi="Aptos"/>
                <w:sz w:val="16"/>
                <w:szCs w:val="16"/>
              </w:rPr>
            </w:pPr>
            <w:r w:rsidRPr="00D518FF">
              <w:rPr>
                <w:rFonts w:ascii="Aptos" w:hAnsi="Aptos"/>
                <w:sz w:val="16"/>
                <w:szCs w:val="16"/>
              </w:rPr>
              <w:lastRenderedPageBreak/>
              <w:t>Co</w:t>
            </w:r>
            <w:r w:rsidR="00877CDE">
              <w:rPr>
                <w:rFonts w:ascii="Aptos" w:hAnsi="Aptos"/>
                <w:sz w:val="16"/>
                <w:szCs w:val="16"/>
              </w:rPr>
              <w:t>Q</w:t>
            </w:r>
            <w:r w:rsidRPr="00D518FF">
              <w:rPr>
                <w:rFonts w:ascii="Aptos" w:hAnsi="Aptos"/>
                <w:sz w:val="16"/>
                <w:szCs w:val="16"/>
              </w:rPr>
              <w:t xml:space="preserve">10 </w:t>
            </w:r>
          </w:p>
        </w:tc>
        <w:tc>
          <w:tcPr>
            <w:tcW w:w="1014" w:type="dxa"/>
          </w:tcPr>
          <w:p w14:paraId="01A2454E" w14:textId="77777777" w:rsidR="006B5A09" w:rsidRPr="00D518FF" w:rsidRDefault="006B5A09" w:rsidP="006B5A09">
            <w:pPr>
              <w:rPr>
                <w:rFonts w:ascii="Aptos" w:hAnsi="Aptos"/>
                <w:sz w:val="16"/>
                <w:szCs w:val="16"/>
              </w:rPr>
            </w:pPr>
            <w:r w:rsidRPr="00D518FF">
              <w:rPr>
                <w:rFonts w:ascii="Aptos" w:hAnsi="Aptos"/>
                <w:sz w:val="16"/>
                <w:szCs w:val="16"/>
              </w:rPr>
              <w:t>Control</w:t>
            </w:r>
          </w:p>
        </w:tc>
        <w:tc>
          <w:tcPr>
            <w:tcW w:w="774" w:type="dxa"/>
          </w:tcPr>
          <w:p w14:paraId="49496095" w14:textId="77777777" w:rsidR="006B5A09" w:rsidRPr="00D518FF" w:rsidRDefault="006B5A09" w:rsidP="006B5A09">
            <w:pPr>
              <w:rPr>
                <w:rFonts w:ascii="Aptos" w:hAnsi="Aptos"/>
                <w:sz w:val="16"/>
                <w:szCs w:val="16"/>
              </w:rPr>
            </w:pPr>
            <w:r w:rsidRPr="00D518FF">
              <w:rPr>
                <w:rFonts w:ascii="Aptos" w:hAnsi="Aptos"/>
                <w:sz w:val="16"/>
                <w:szCs w:val="16"/>
              </w:rPr>
              <w:t>10</w:t>
            </w:r>
          </w:p>
        </w:tc>
        <w:tc>
          <w:tcPr>
            <w:tcW w:w="940" w:type="dxa"/>
          </w:tcPr>
          <w:p w14:paraId="1F0B0428" w14:textId="77777777" w:rsidR="006B5A09" w:rsidRPr="00D518FF" w:rsidRDefault="006B5A09" w:rsidP="006B5A09">
            <w:pPr>
              <w:rPr>
                <w:rFonts w:ascii="Aptos" w:hAnsi="Aptos"/>
                <w:sz w:val="16"/>
                <w:szCs w:val="16"/>
              </w:rPr>
            </w:pPr>
            <w:r w:rsidRPr="00D518FF">
              <w:rPr>
                <w:rFonts w:ascii="Aptos" w:hAnsi="Aptos"/>
                <w:sz w:val="16"/>
                <w:szCs w:val="16"/>
              </w:rPr>
              <w:t>619</w:t>
            </w:r>
          </w:p>
        </w:tc>
        <w:tc>
          <w:tcPr>
            <w:tcW w:w="1008" w:type="dxa"/>
          </w:tcPr>
          <w:p w14:paraId="04AB312D" w14:textId="77777777" w:rsidR="006B5A09" w:rsidRPr="00D518FF" w:rsidRDefault="006B5A09" w:rsidP="006B5A09">
            <w:pPr>
              <w:rPr>
                <w:rFonts w:ascii="Aptos" w:hAnsi="Aptos"/>
                <w:sz w:val="16"/>
                <w:szCs w:val="16"/>
              </w:rPr>
            </w:pPr>
          </w:p>
        </w:tc>
        <w:tc>
          <w:tcPr>
            <w:tcW w:w="950" w:type="dxa"/>
          </w:tcPr>
          <w:p w14:paraId="368A3921" w14:textId="14D0CA51" w:rsidR="006B5A09" w:rsidRPr="00D518FF" w:rsidRDefault="006B5A09" w:rsidP="006B5A09">
            <w:pPr>
              <w:rPr>
                <w:rFonts w:ascii="Aptos" w:hAnsi="Aptos"/>
                <w:sz w:val="16"/>
                <w:szCs w:val="16"/>
              </w:rPr>
            </w:pPr>
            <w:r w:rsidRPr="00D518FF">
              <w:rPr>
                <w:rFonts w:ascii="Aptos" w:hAnsi="Aptos"/>
                <w:sz w:val="16"/>
                <w:szCs w:val="16"/>
              </w:rPr>
              <w:t xml:space="preserve">WMD </w:t>
            </w:r>
            <w:r w:rsidR="00FE2A6E">
              <w:rPr>
                <w:rFonts w:ascii="Aptos" w:hAnsi="Aptos"/>
                <w:sz w:val="16"/>
                <w:szCs w:val="16"/>
              </w:rPr>
              <w:t xml:space="preserve">= </w:t>
            </w:r>
            <w:r w:rsidRPr="00D518FF">
              <w:rPr>
                <w:rFonts w:ascii="Aptos" w:hAnsi="Aptos"/>
                <w:sz w:val="16"/>
                <w:szCs w:val="16"/>
              </w:rPr>
              <w:t>−11.21; 95% CI −18.99, −3.43; P = 0 005</w:t>
            </w:r>
          </w:p>
        </w:tc>
        <w:tc>
          <w:tcPr>
            <w:tcW w:w="1003" w:type="dxa"/>
          </w:tcPr>
          <w:p w14:paraId="6FBE8026" w14:textId="6C2CDAB1" w:rsidR="006B5A09" w:rsidRPr="00D518FF" w:rsidRDefault="006B5A09" w:rsidP="006B5A09">
            <w:pPr>
              <w:rPr>
                <w:rFonts w:ascii="Aptos" w:hAnsi="Aptos"/>
                <w:sz w:val="16"/>
                <w:szCs w:val="16"/>
              </w:rPr>
            </w:pPr>
            <w:r>
              <w:rPr>
                <w:rFonts w:ascii="Aptos" w:hAnsi="Aptos"/>
                <w:sz w:val="16"/>
                <w:szCs w:val="16"/>
              </w:rPr>
              <w:t>I² =</w:t>
            </w:r>
            <w:r w:rsidRPr="00D518FF">
              <w:rPr>
                <w:rFonts w:ascii="Aptos" w:hAnsi="Aptos"/>
                <w:sz w:val="16"/>
                <w:szCs w:val="16"/>
              </w:rPr>
              <w:t xml:space="preserve"> 85% </w:t>
            </w:r>
          </w:p>
        </w:tc>
        <w:tc>
          <w:tcPr>
            <w:tcW w:w="993" w:type="dxa"/>
          </w:tcPr>
          <w:p w14:paraId="7C892F56" w14:textId="2BDDC38B" w:rsidR="006B5A09" w:rsidRDefault="006B5A09" w:rsidP="006B5A09">
            <w:pPr>
              <w:rPr>
                <w:rFonts w:ascii="Aptos" w:hAnsi="Aptos"/>
                <w:sz w:val="16"/>
                <w:szCs w:val="16"/>
              </w:rPr>
            </w:pPr>
            <w:r>
              <w:rPr>
                <w:rFonts w:ascii="Aptos" w:hAnsi="Aptos"/>
                <w:sz w:val="16"/>
                <w:szCs w:val="16"/>
              </w:rPr>
              <w:t>NA</w:t>
            </w:r>
          </w:p>
        </w:tc>
        <w:tc>
          <w:tcPr>
            <w:tcW w:w="1134" w:type="dxa"/>
          </w:tcPr>
          <w:p w14:paraId="19367E63" w14:textId="33AFDB9F" w:rsidR="006B5A09" w:rsidRPr="00D518FF" w:rsidRDefault="006B5A09" w:rsidP="006B5A09">
            <w:pPr>
              <w:rPr>
                <w:rFonts w:ascii="Aptos" w:hAnsi="Aptos"/>
                <w:sz w:val="16"/>
                <w:szCs w:val="16"/>
              </w:rPr>
            </w:pPr>
            <w:r>
              <w:rPr>
                <w:rFonts w:ascii="Aptos" w:hAnsi="Aptos"/>
                <w:sz w:val="16"/>
                <w:szCs w:val="16"/>
              </w:rPr>
              <w:t>High risk</w:t>
            </w:r>
          </w:p>
        </w:tc>
      </w:tr>
      <w:tr w:rsidR="00877CDE" w:rsidRPr="00D518FF" w14:paraId="2DEA973E" w14:textId="77777777" w:rsidTr="007F74AF">
        <w:trPr>
          <w:trHeight w:val="196"/>
        </w:trPr>
        <w:tc>
          <w:tcPr>
            <w:tcW w:w="971" w:type="dxa"/>
          </w:tcPr>
          <w:p w14:paraId="17D27F38" w14:textId="77777777" w:rsidR="00877CDE" w:rsidRPr="00D518FF" w:rsidRDefault="00877CDE" w:rsidP="00877CDE">
            <w:pPr>
              <w:rPr>
                <w:rFonts w:ascii="Aptos" w:hAnsi="Aptos"/>
                <w:sz w:val="16"/>
                <w:szCs w:val="16"/>
              </w:rPr>
            </w:pPr>
            <w:r w:rsidRPr="00D518FF">
              <w:rPr>
                <w:rFonts w:ascii="Aptos" w:hAnsi="Aptos"/>
                <w:sz w:val="16"/>
                <w:szCs w:val="16"/>
              </w:rPr>
              <w:t>Zhang 2018</w:t>
            </w:r>
          </w:p>
        </w:tc>
        <w:tc>
          <w:tcPr>
            <w:tcW w:w="875" w:type="dxa"/>
          </w:tcPr>
          <w:p w14:paraId="01674936" w14:textId="77777777" w:rsidR="00877CDE" w:rsidRPr="00D518FF" w:rsidRDefault="00877CDE" w:rsidP="00877CDE">
            <w:pPr>
              <w:rPr>
                <w:rFonts w:ascii="Aptos" w:hAnsi="Aptos"/>
                <w:sz w:val="16"/>
                <w:szCs w:val="16"/>
              </w:rPr>
            </w:pPr>
            <w:r w:rsidRPr="00D518FF">
              <w:rPr>
                <w:rFonts w:ascii="Aptos" w:hAnsi="Aptos"/>
                <w:sz w:val="16"/>
                <w:szCs w:val="16"/>
              </w:rPr>
              <w:t>1 - Hb1AC</w:t>
            </w:r>
          </w:p>
        </w:tc>
        <w:tc>
          <w:tcPr>
            <w:tcW w:w="855" w:type="dxa"/>
          </w:tcPr>
          <w:p w14:paraId="72704321" w14:textId="02D3B152" w:rsidR="00877CDE" w:rsidRPr="00D518FF" w:rsidRDefault="00877CDE" w:rsidP="00877CDE">
            <w:pPr>
              <w:rPr>
                <w:rFonts w:ascii="Aptos" w:hAnsi="Aptos"/>
                <w:sz w:val="16"/>
                <w:szCs w:val="16"/>
              </w:rPr>
            </w:pPr>
            <w:r w:rsidRPr="005A43DC">
              <w:rPr>
                <w:rFonts w:ascii="Aptos" w:hAnsi="Aptos"/>
                <w:sz w:val="16"/>
                <w:szCs w:val="16"/>
              </w:rPr>
              <w:t>With condition</w:t>
            </w:r>
          </w:p>
        </w:tc>
        <w:tc>
          <w:tcPr>
            <w:tcW w:w="1382" w:type="dxa"/>
          </w:tcPr>
          <w:p w14:paraId="57CC30C4" w14:textId="1ABDFEFD" w:rsidR="00877CDE" w:rsidRPr="00D518FF" w:rsidRDefault="00877CDE" w:rsidP="00877CDE">
            <w:pPr>
              <w:rPr>
                <w:rFonts w:ascii="Aptos" w:hAnsi="Aptos"/>
                <w:sz w:val="16"/>
                <w:szCs w:val="16"/>
              </w:rPr>
            </w:pPr>
            <w:r w:rsidRPr="00D518FF">
              <w:rPr>
                <w:rFonts w:ascii="Aptos" w:hAnsi="Aptos"/>
                <w:sz w:val="16"/>
                <w:szCs w:val="16"/>
              </w:rPr>
              <w:t>Patients with T2DM</w:t>
            </w:r>
          </w:p>
        </w:tc>
        <w:tc>
          <w:tcPr>
            <w:tcW w:w="1330" w:type="dxa"/>
          </w:tcPr>
          <w:p w14:paraId="4F77A419" w14:textId="4C3A317C" w:rsidR="00877CDE" w:rsidRPr="00D518FF" w:rsidRDefault="00877CDE" w:rsidP="00877CDE">
            <w:pPr>
              <w:rPr>
                <w:rFonts w:ascii="Aptos" w:hAnsi="Aptos"/>
                <w:sz w:val="16"/>
                <w:szCs w:val="16"/>
              </w:rPr>
            </w:pPr>
            <w:r w:rsidRPr="00D518FF">
              <w:rPr>
                <w:rFonts w:ascii="Aptos" w:hAnsi="Aptos"/>
                <w:sz w:val="16"/>
                <w:szCs w:val="16"/>
              </w:rPr>
              <w:t>•     Eligible supplement VS placebo/inactive control</w:t>
            </w:r>
            <w:r w:rsidRPr="00D518FF">
              <w:rPr>
                <w:rFonts w:ascii="Aptos" w:hAnsi="Aptos"/>
                <w:sz w:val="16"/>
                <w:szCs w:val="16"/>
              </w:rPr>
              <w:br/>
              <w:t>•     Eligible supplement + naturopathy co-intervention VS naturopathy co-intervention</w:t>
            </w:r>
            <w:r w:rsidRPr="00D518FF">
              <w:rPr>
                <w:rFonts w:ascii="Aptos" w:hAnsi="Aptos"/>
                <w:sz w:val="16"/>
                <w:szCs w:val="16"/>
              </w:rPr>
              <w:br/>
              <w:t xml:space="preserve">•     Eligible supplement + non-naturopathy co-intervention VS non-naturopathy co-intervention </w:t>
            </w:r>
          </w:p>
        </w:tc>
        <w:tc>
          <w:tcPr>
            <w:tcW w:w="1367" w:type="dxa"/>
          </w:tcPr>
          <w:p w14:paraId="3BDF2534" w14:textId="51A797D5" w:rsidR="00877CDE" w:rsidRPr="00D518FF" w:rsidRDefault="00877CDE" w:rsidP="00877CDE">
            <w:pPr>
              <w:rPr>
                <w:rFonts w:ascii="Aptos" w:hAnsi="Aptos"/>
                <w:sz w:val="16"/>
                <w:szCs w:val="16"/>
              </w:rPr>
            </w:pPr>
            <w:r w:rsidRPr="00D518FF">
              <w:rPr>
                <w:rFonts w:ascii="Aptos" w:hAnsi="Aptos"/>
                <w:sz w:val="16"/>
                <w:szCs w:val="16"/>
              </w:rPr>
              <w:t>Co</w:t>
            </w:r>
            <w:r>
              <w:rPr>
                <w:rFonts w:ascii="Aptos" w:hAnsi="Aptos"/>
                <w:sz w:val="16"/>
                <w:szCs w:val="16"/>
              </w:rPr>
              <w:t>Q</w:t>
            </w:r>
            <w:r w:rsidRPr="00D518FF">
              <w:rPr>
                <w:rFonts w:ascii="Aptos" w:hAnsi="Aptos"/>
                <w:sz w:val="16"/>
                <w:szCs w:val="16"/>
              </w:rPr>
              <w:t xml:space="preserve">10 </w:t>
            </w:r>
          </w:p>
        </w:tc>
        <w:tc>
          <w:tcPr>
            <w:tcW w:w="1014" w:type="dxa"/>
          </w:tcPr>
          <w:p w14:paraId="7AA318B9" w14:textId="77777777" w:rsidR="00877CDE" w:rsidRPr="00D518FF" w:rsidRDefault="00877CDE" w:rsidP="00877CDE">
            <w:pPr>
              <w:rPr>
                <w:rFonts w:ascii="Aptos" w:hAnsi="Aptos"/>
                <w:sz w:val="16"/>
                <w:szCs w:val="16"/>
              </w:rPr>
            </w:pPr>
            <w:r w:rsidRPr="00D518FF">
              <w:rPr>
                <w:rFonts w:ascii="Aptos" w:hAnsi="Aptos"/>
                <w:sz w:val="16"/>
                <w:szCs w:val="16"/>
              </w:rPr>
              <w:t>Control</w:t>
            </w:r>
          </w:p>
        </w:tc>
        <w:tc>
          <w:tcPr>
            <w:tcW w:w="774" w:type="dxa"/>
          </w:tcPr>
          <w:p w14:paraId="5DF8736E" w14:textId="77777777" w:rsidR="00877CDE" w:rsidRPr="00D518FF" w:rsidRDefault="00877CDE" w:rsidP="00877CDE">
            <w:pPr>
              <w:rPr>
                <w:rFonts w:ascii="Aptos" w:hAnsi="Aptos"/>
                <w:sz w:val="16"/>
                <w:szCs w:val="16"/>
              </w:rPr>
            </w:pPr>
            <w:r w:rsidRPr="00D518FF">
              <w:rPr>
                <w:rFonts w:ascii="Aptos" w:hAnsi="Aptos"/>
                <w:sz w:val="16"/>
                <w:szCs w:val="16"/>
              </w:rPr>
              <w:t>13</w:t>
            </w:r>
          </w:p>
        </w:tc>
        <w:tc>
          <w:tcPr>
            <w:tcW w:w="940" w:type="dxa"/>
          </w:tcPr>
          <w:p w14:paraId="1F713754" w14:textId="77777777" w:rsidR="00877CDE" w:rsidRPr="00D518FF" w:rsidRDefault="00877CDE" w:rsidP="00877CDE">
            <w:pPr>
              <w:rPr>
                <w:rFonts w:ascii="Aptos" w:hAnsi="Aptos"/>
                <w:sz w:val="16"/>
                <w:szCs w:val="16"/>
              </w:rPr>
            </w:pPr>
            <w:r w:rsidRPr="00D518FF">
              <w:rPr>
                <w:rFonts w:ascii="Aptos" w:hAnsi="Aptos"/>
                <w:sz w:val="16"/>
                <w:szCs w:val="16"/>
              </w:rPr>
              <w:t>765</w:t>
            </w:r>
          </w:p>
        </w:tc>
        <w:tc>
          <w:tcPr>
            <w:tcW w:w="1008" w:type="dxa"/>
          </w:tcPr>
          <w:p w14:paraId="5564485D" w14:textId="77777777" w:rsidR="00877CDE" w:rsidRPr="00D518FF" w:rsidRDefault="00877CDE" w:rsidP="00877CDE">
            <w:pPr>
              <w:rPr>
                <w:rFonts w:ascii="Aptos" w:hAnsi="Aptos"/>
                <w:sz w:val="16"/>
                <w:szCs w:val="16"/>
              </w:rPr>
            </w:pPr>
          </w:p>
        </w:tc>
        <w:tc>
          <w:tcPr>
            <w:tcW w:w="950" w:type="dxa"/>
          </w:tcPr>
          <w:p w14:paraId="0338F021" w14:textId="36FDE934" w:rsidR="00877CDE" w:rsidRPr="00D518FF" w:rsidRDefault="00877CDE" w:rsidP="00877CDE">
            <w:pPr>
              <w:rPr>
                <w:rFonts w:ascii="Aptos" w:hAnsi="Aptos"/>
                <w:sz w:val="16"/>
                <w:szCs w:val="16"/>
              </w:rPr>
            </w:pPr>
            <w:r w:rsidRPr="00D518FF">
              <w:rPr>
                <w:rFonts w:ascii="Aptos" w:hAnsi="Aptos"/>
                <w:sz w:val="16"/>
                <w:szCs w:val="16"/>
              </w:rPr>
              <w:t xml:space="preserve">WMD </w:t>
            </w:r>
            <w:r>
              <w:rPr>
                <w:rFonts w:ascii="Aptos" w:hAnsi="Aptos"/>
                <w:sz w:val="16"/>
                <w:szCs w:val="16"/>
              </w:rPr>
              <w:t xml:space="preserve">= </w:t>
            </w:r>
            <w:r w:rsidRPr="00D518FF">
              <w:rPr>
                <w:rFonts w:ascii="Aptos" w:hAnsi="Aptos"/>
                <w:sz w:val="16"/>
                <w:szCs w:val="16"/>
              </w:rPr>
              <w:t>−0.29; 95% CI −0.54, −0.03; P = 0 03</w:t>
            </w:r>
          </w:p>
        </w:tc>
        <w:tc>
          <w:tcPr>
            <w:tcW w:w="1003" w:type="dxa"/>
          </w:tcPr>
          <w:p w14:paraId="3A60DB62" w14:textId="467DD544" w:rsidR="00877CDE" w:rsidRPr="00D518FF" w:rsidRDefault="00877CDE" w:rsidP="00877CDE">
            <w:pPr>
              <w:rPr>
                <w:rFonts w:ascii="Aptos" w:hAnsi="Aptos"/>
                <w:sz w:val="16"/>
                <w:szCs w:val="16"/>
              </w:rPr>
            </w:pPr>
            <w:r>
              <w:rPr>
                <w:rFonts w:ascii="Aptos" w:hAnsi="Aptos"/>
                <w:sz w:val="16"/>
                <w:szCs w:val="16"/>
              </w:rPr>
              <w:t>I² =</w:t>
            </w:r>
            <w:r w:rsidRPr="00D518FF">
              <w:rPr>
                <w:rFonts w:ascii="Aptos" w:hAnsi="Aptos"/>
                <w:sz w:val="16"/>
                <w:szCs w:val="16"/>
              </w:rPr>
              <w:t xml:space="preserve"> 88%</w:t>
            </w:r>
          </w:p>
        </w:tc>
        <w:tc>
          <w:tcPr>
            <w:tcW w:w="993" w:type="dxa"/>
          </w:tcPr>
          <w:p w14:paraId="2D124001" w14:textId="239EA73E" w:rsidR="00877CDE" w:rsidRDefault="00877CDE" w:rsidP="00877CDE">
            <w:pPr>
              <w:rPr>
                <w:rFonts w:ascii="Aptos" w:hAnsi="Aptos"/>
                <w:sz w:val="16"/>
                <w:szCs w:val="16"/>
              </w:rPr>
            </w:pPr>
            <w:r>
              <w:rPr>
                <w:rFonts w:ascii="Aptos" w:hAnsi="Aptos"/>
                <w:sz w:val="16"/>
                <w:szCs w:val="16"/>
              </w:rPr>
              <w:t>NA</w:t>
            </w:r>
          </w:p>
        </w:tc>
        <w:tc>
          <w:tcPr>
            <w:tcW w:w="1134" w:type="dxa"/>
          </w:tcPr>
          <w:p w14:paraId="47F8C6AC" w14:textId="5F612696" w:rsidR="00877CDE" w:rsidRPr="00D518FF" w:rsidRDefault="00877CDE" w:rsidP="00877CDE">
            <w:pPr>
              <w:rPr>
                <w:rFonts w:ascii="Aptos" w:hAnsi="Aptos"/>
                <w:sz w:val="16"/>
                <w:szCs w:val="16"/>
              </w:rPr>
            </w:pPr>
            <w:r>
              <w:rPr>
                <w:rFonts w:ascii="Aptos" w:hAnsi="Aptos"/>
                <w:sz w:val="16"/>
                <w:szCs w:val="16"/>
              </w:rPr>
              <w:t>High risk</w:t>
            </w:r>
          </w:p>
        </w:tc>
      </w:tr>
      <w:tr w:rsidR="00877CDE" w:rsidRPr="00D518FF" w14:paraId="36D3CEE1" w14:textId="77777777" w:rsidTr="007F74AF">
        <w:trPr>
          <w:trHeight w:val="196"/>
        </w:trPr>
        <w:tc>
          <w:tcPr>
            <w:tcW w:w="971" w:type="dxa"/>
          </w:tcPr>
          <w:p w14:paraId="1BB8E870" w14:textId="77777777" w:rsidR="00877CDE" w:rsidRPr="00D518FF" w:rsidRDefault="00877CDE" w:rsidP="00877CDE">
            <w:pPr>
              <w:rPr>
                <w:rFonts w:ascii="Aptos" w:hAnsi="Aptos"/>
                <w:sz w:val="16"/>
                <w:szCs w:val="16"/>
              </w:rPr>
            </w:pPr>
            <w:r w:rsidRPr="00D518FF">
              <w:rPr>
                <w:rFonts w:ascii="Aptos" w:hAnsi="Aptos"/>
                <w:sz w:val="16"/>
                <w:szCs w:val="16"/>
              </w:rPr>
              <w:t>Zhang 2018</w:t>
            </w:r>
          </w:p>
        </w:tc>
        <w:tc>
          <w:tcPr>
            <w:tcW w:w="875" w:type="dxa"/>
          </w:tcPr>
          <w:p w14:paraId="1FB9CC08" w14:textId="77777777" w:rsidR="00877CDE" w:rsidRPr="00D518FF" w:rsidRDefault="00877CDE" w:rsidP="00877CDE">
            <w:pPr>
              <w:rPr>
                <w:rFonts w:ascii="Aptos" w:hAnsi="Aptos"/>
                <w:sz w:val="16"/>
                <w:szCs w:val="16"/>
              </w:rPr>
            </w:pPr>
            <w:r w:rsidRPr="00D518FF">
              <w:rPr>
                <w:rFonts w:ascii="Aptos" w:hAnsi="Aptos"/>
                <w:sz w:val="16"/>
                <w:szCs w:val="16"/>
              </w:rPr>
              <w:t>1 - HOMA-IR</w:t>
            </w:r>
          </w:p>
        </w:tc>
        <w:tc>
          <w:tcPr>
            <w:tcW w:w="855" w:type="dxa"/>
          </w:tcPr>
          <w:p w14:paraId="35D5235A" w14:textId="0E464373" w:rsidR="00877CDE" w:rsidRPr="00D518FF" w:rsidRDefault="00877CDE" w:rsidP="00877CDE">
            <w:pPr>
              <w:rPr>
                <w:rFonts w:ascii="Aptos" w:hAnsi="Aptos"/>
                <w:sz w:val="16"/>
                <w:szCs w:val="16"/>
              </w:rPr>
            </w:pPr>
            <w:r w:rsidRPr="005A43DC">
              <w:rPr>
                <w:rFonts w:ascii="Aptos" w:hAnsi="Aptos"/>
                <w:sz w:val="16"/>
                <w:szCs w:val="16"/>
              </w:rPr>
              <w:t>With condition</w:t>
            </w:r>
          </w:p>
        </w:tc>
        <w:tc>
          <w:tcPr>
            <w:tcW w:w="1382" w:type="dxa"/>
          </w:tcPr>
          <w:p w14:paraId="4CBA025F" w14:textId="191EA1D3" w:rsidR="00877CDE" w:rsidRPr="00D518FF" w:rsidRDefault="00877CDE" w:rsidP="00877CDE">
            <w:pPr>
              <w:rPr>
                <w:rFonts w:ascii="Aptos" w:hAnsi="Aptos"/>
                <w:sz w:val="16"/>
                <w:szCs w:val="16"/>
              </w:rPr>
            </w:pPr>
            <w:r w:rsidRPr="00D518FF">
              <w:rPr>
                <w:rFonts w:ascii="Aptos" w:hAnsi="Aptos"/>
                <w:sz w:val="16"/>
                <w:szCs w:val="16"/>
              </w:rPr>
              <w:t>Patients with T2DM</w:t>
            </w:r>
          </w:p>
        </w:tc>
        <w:tc>
          <w:tcPr>
            <w:tcW w:w="1330" w:type="dxa"/>
          </w:tcPr>
          <w:p w14:paraId="16F9C5B7" w14:textId="7CC01CAC" w:rsidR="00877CDE" w:rsidRPr="00D518FF" w:rsidRDefault="00877CDE" w:rsidP="00877CDE">
            <w:pPr>
              <w:rPr>
                <w:rFonts w:ascii="Aptos" w:hAnsi="Aptos"/>
                <w:sz w:val="16"/>
                <w:szCs w:val="16"/>
              </w:rPr>
            </w:pPr>
            <w:r w:rsidRPr="00D518FF">
              <w:rPr>
                <w:rFonts w:ascii="Aptos" w:hAnsi="Aptos"/>
                <w:sz w:val="16"/>
                <w:szCs w:val="16"/>
              </w:rPr>
              <w:t>•     Eligible supplement VS placebo/inactive control</w:t>
            </w:r>
            <w:r w:rsidRPr="00D518FF">
              <w:rPr>
                <w:rFonts w:ascii="Aptos" w:hAnsi="Aptos"/>
                <w:sz w:val="16"/>
                <w:szCs w:val="16"/>
              </w:rPr>
              <w:br/>
              <w:t>•     Eligible supplement + naturopathy co-intervention VS naturopathy co-intervention</w:t>
            </w:r>
            <w:r w:rsidRPr="00D518FF">
              <w:rPr>
                <w:rFonts w:ascii="Aptos" w:hAnsi="Aptos"/>
                <w:sz w:val="16"/>
                <w:szCs w:val="16"/>
              </w:rPr>
              <w:br/>
              <w:t xml:space="preserve">•     Eligible supplement + non-naturopathy co-intervention VS non-naturopathy co-intervention </w:t>
            </w:r>
          </w:p>
        </w:tc>
        <w:tc>
          <w:tcPr>
            <w:tcW w:w="1367" w:type="dxa"/>
          </w:tcPr>
          <w:p w14:paraId="0722B0BC" w14:textId="21C0DDD5" w:rsidR="00877CDE" w:rsidRPr="00D518FF" w:rsidRDefault="00877CDE" w:rsidP="00877CDE">
            <w:pPr>
              <w:rPr>
                <w:rFonts w:ascii="Aptos" w:hAnsi="Aptos"/>
                <w:sz w:val="16"/>
                <w:szCs w:val="16"/>
              </w:rPr>
            </w:pPr>
            <w:r w:rsidRPr="00D518FF">
              <w:rPr>
                <w:rFonts w:ascii="Aptos" w:hAnsi="Aptos"/>
                <w:sz w:val="16"/>
                <w:szCs w:val="16"/>
              </w:rPr>
              <w:t>Co</w:t>
            </w:r>
            <w:r>
              <w:rPr>
                <w:rFonts w:ascii="Aptos" w:hAnsi="Aptos"/>
                <w:sz w:val="16"/>
                <w:szCs w:val="16"/>
              </w:rPr>
              <w:t>Q</w:t>
            </w:r>
            <w:r w:rsidRPr="00D518FF">
              <w:rPr>
                <w:rFonts w:ascii="Aptos" w:hAnsi="Aptos"/>
                <w:sz w:val="16"/>
                <w:szCs w:val="16"/>
              </w:rPr>
              <w:t xml:space="preserve">10 </w:t>
            </w:r>
          </w:p>
        </w:tc>
        <w:tc>
          <w:tcPr>
            <w:tcW w:w="1014" w:type="dxa"/>
          </w:tcPr>
          <w:p w14:paraId="58E2D910" w14:textId="77777777" w:rsidR="00877CDE" w:rsidRPr="00D518FF" w:rsidRDefault="00877CDE" w:rsidP="00877CDE">
            <w:pPr>
              <w:rPr>
                <w:rFonts w:ascii="Aptos" w:hAnsi="Aptos"/>
                <w:sz w:val="16"/>
                <w:szCs w:val="16"/>
              </w:rPr>
            </w:pPr>
            <w:r w:rsidRPr="00D518FF">
              <w:rPr>
                <w:rFonts w:ascii="Aptos" w:hAnsi="Aptos"/>
                <w:sz w:val="16"/>
                <w:szCs w:val="16"/>
              </w:rPr>
              <w:t>Control</w:t>
            </w:r>
          </w:p>
        </w:tc>
        <w:tc>
          <w:tcPr>
            <w:tcW w:w="774" w:type="dxa"/>
          </w:tcPr>
          <w:p w14:paraId="11AE2091" w14:textId="77777777" w:rsidR="00877CDE" w:rsidRPr="00D518FF" w:rsidRDefault="00877CDE" w:rsidP="00877CDE">
            <w:pPr>
              <w:rPr>
                <w:rFonts w:ascii="Aptos" w:hAnsi="Aptos"/>
                <w:sz w:val="16"/>
                <w:szCs w:val="16"/>
              </w:rPr>
            </w:pPr>
            <w:r w:rsidRPr="00D518FF">
              <w:rPr>
                <w:rFonts w:ascii="Aptos" w:hAnsi="Aptos"/>
                <w:sz w:val="16"/>
                <w:szCs w:val="16"/>
              </w:rPr>
              <w:t>4</w:t>
            </w:r>
          </w:p>
        </w:tc>
        <w:tc>
          <w:tcPr>
            <w:tcW w:w="940" w:type="dxa"/>
          </w:tcPr>
          <w:p w14:paraId="602427C6" w14:textId="77777777" w:rsidR="00877CDE" w:rsidRPr="00D518FF" w:rsidRDefault="00877CDE" w:rsidP="00877CDE">
            <w:pPr>
              <w:rPr>
                <w:rFonts w:ascii="Aptos" w:hAnsi="Aptos"/>
                <w:sz w:val="16"/>
                <w:szCs w:val="16"/>
              </w:rPr>
            </w:pPr>
            <w:r w:rsidRPr="00D518FF">
              <w:rPr>
                <w:rFonts w:ascii="Aptos" w:hAnsi="Aptos"/>
                <w:sz w:val="16"/>
                <w:szCs w:val="16"/>
              </w:rPr>
              <w:t>228</w:t>
            </w:r>
          </w:p>
        </w:tc>
        <w:tc>
          <w:tcPr>
            <w:tcW w:w="1008" w:type="dxa"/>
          </w:tcPr>
          <w:p w14:paraId="6616D39C" w14:textId="77777777" w:rsidR="00877CDE" w:rsidRPr="00D518FF" w:rsidRDefault="00877CDE" w:rsidP="00877CDE">
            <w:pPr>
              <w:rPr>
                <w:rFonts w:ascii="Aptos" w:hAnsi="Aptos"/>
                <w:sz w:val="16"/>
                <w:szCs w:val="16"/>
              </w:rPr>
            </w:pPr>
          </w:p>
        </w:tc>
        <w:tc>
          <w:tcPr>
            <w:tcW w:w="950" w:type="dxa"/>
          </w:tcPr>
          <w:p w14:paraId="14C0EB1B" w14:textId="25F1ED54" w:rsidR="00877CDE" w:rsidRPr="00D518FF" w:rsidRDefault="00877CDE" w:rsidP="00877CDE">
            <w:pPr>
              <w:rPr>
                <w:rFonts w:ascii="Aptos" w:hAnsi="Aptos"/>
                <w:sz w:val="16"/>
                <w:szCs w:val="16"/>
              </w:rPr>
            </w:pPr>
            <w:r w:rsidRPr="00D518FF">
              <w:rPr>
                <w:rFonts w:ascii="Aptos" w:hAnsi="Aptos"/>
                <w:sz w:val="16"/>
                <w:szCs w:val="16"/>
              </w:rPr>
              <w:t xml:space="preserve">MD </w:t>
            </w:r>
            <w:r>
              <w:rPr>
                <w:rFonts w:ascii="Aptos" w:hAnsi="Aptos"/>
                <w:sz w:val="16"/>
                <w:szCs w:val="16"/>
              </w:rPr>
              <w:t xml:space="preserve">= </w:t>
            </w:r>
            <w:r w:rsidRPr="00D518FF">
              <w:rPr>
                <w:rFonts w:ascii="Aptos" w:hAnsi="Aptos"/>
                <w:sz w:val="16"/>
                <w:szCs w:val="16"/>
              </w:rPr>
              <w:t>−0.89; 95% CI −2.25, 0.48; P = 0 20</w:t>
            </w:r>
          </w:p>
        </w:tc>
        <w:tc>
          <w:tcPr>
            <w:tcW w:w="1003" w:type="dxa"/>
          </w:tcPr>
          <w:p w14:paraId="48081FB5" w14:textId="646B7641" w:rsidR="00877CDE" w:rsidRPr="00D518FF" w:rsidRDefault="00877CDE" w:rsidP="00877CDE">
            <w:pPr>
              <w:rPr>
                <w:rFonts w:ascii="Aptos" w:hAnsi="Aptos"/>
                <w:sz w:val="16"/>
                <w:szCs w:val="16"/>
              </w:rPr>
            </w:pPr>
            <w:r>
              <w:rPr>
                <w:rFonts w:ascii="Aptos" w:hAnsi="Aptos"/>
                <w:sz w:val="16"/>
                <w:szCs w:val="16"/>
              </w:rPr>
              <w:t>I² =</w:t>
            </w:r>
            <w:r w:rsidRPr="00D518FF">
              <w:rPr>
                <w:rFonts w:ascii="Aptos" w:hAnsi="Aptos"/>
                <w:sz w:val="16"/>
                <w:szCs w:val="16"/>
              </w:rPr>
              <w:t xml:space="preserve"> 92%</w:t>
            </w:r>
          </w:p>
        </w:tc>
        <w:tc>
          <w:tcPr>
            <w:tcW w:w="993" w:type="dxa"/>
          </w:tcPr>
          <w:p w14:paraId="65DFAF36" w14:textId="1882C028" w:rsidR="00877CDE" w:rsidRDefault="00877CDE" w:rsidP="00877CDE">
            <w:pPr>
              <w:rPr>
                <w:rFonts w:ascii="Aptos" w:hAnsi="Aptos"/>
                <w:sz w:val="16"/>
                <w:szCs w:val="16"/>
              </w:rPr>
            </w:pPr>
            <w:r>
              <w:rPr>
                <w:rFonts w:ascii="Aptos" w:hAnsi="Aptos"/>
                <w:sz w:val="16"/>
                <w:szCs w:val="16"/>
              </w:rPr>
              <w:t>NA</w:t>
            </w:r>
          </w:p>
        </w:tc>
        <w:tc>
          <w:tcPr>
            <w:tcW w:w="1134" w:type="dxa"/>
          </w:tcPr>
          <w:p w14:paraId="1741151E" w14:textId="44755F8E" w:rsidR="00877CDE" w:rsidRPr="00D518FF" w:rsidRDefault="00877CDE" w:rsidP="00877CDE">
            <w:pPr>
              <w:rPr>
                <w:rFonts w:ascii="Aptos" w:hAnsi="Aptos"/>
                <w:sz w:val="16"/>
                <w:szCs w:val="16"/>
              </w:rPr>
            </w:pPr>
            <w:r>
              <w:rPr>
                <w:rFonts w:ascii="Aptos" w:hAnsi="Aptos"/>
                <w:sz w:val="16"/>
                <w:szCs w:val="16"/>
              </w:rPr>
              <w:t>High risk</w:t>
            </w:r>
          </w:p>
        </w:tc>
      </w:tr>
    </w:tbl>
    <w:p w14:paraId="2F659964" w14:textId="3D460A19" w:rsidR="009E4D3F" w:rsidRDefault="00877CDE" w:rsidP="00AA72BD">
      <w:pPr>
        <w:pStyle w:val="Caption1"/>
        <w:spacing w:before="0" w:after="0"/>
        <w:rPr>
          <w:rFonts w:ascii="Aptos" w:hAnsi="Aptos"/>
          <w:b w:val="0"/>
          <w:bCs w:val="0"/>
          <w:sz w:val="16"/>
          <w:szCs w:val="16"/>
        </w:rPr>
      </w:pPr>
      <w:r>
        <w:rPr>
          <w:rFonts w:ascii="Aptos" w:hAnsi="Aptos"/>
          <w:b w:val="0"/>
          <w:bCs w:val="0"/>
          <w:sz w:val="16"/>
          <w:szCs w:val="16"/>
        </w:rPr>
        <w:lastRenderedPageBreak/>
        <w:t xml:space="preserve">Abbreviations: </w:t>
      </w:r>
      <w:r w:rsidR="00FE2A6E" w:rsidRPr="00FE2A6E">
        <w:rPr>
          <w:rFonts w:ascii="Aptos" w:hAnsi="Aptos"/>
          <w:b w:val="0"/>
          <w:bCs w:val="0"/>
          <w:sz w:val="16"/>
          <w:szCs w:val="16"/>
        </w:rPr>
        <w:t xml:space="preserve">ALA=alpha-linolenic acid, </w:t>
      </w:r>
      <w:r>
        <w:rPr>
          <w:rFonts w:ascii="Aptos" w:hAnsi="Aptos"/>
          <w:b w:val="0"/>
          <w:bCs w:val="0"/>
          <w:sz w:val="16"/>
          <w:szCs w:val="16"/>
        </w:rPr>
        <w:t xml:space="preserve">BMI=body mass index; </w:t>
      </w:r>
      <w:r w:rsidRPr="005220BE">
        <w:rPr>
          <w:rFonts w:ascii="Aptos" w:hAnsi="Aptos"/>
          <w:b w:val="0"/>
          <w:bCs w:val="0"/>
          <w:sz w:val="16"/>
          <w:szCs w:val="16"/>
        </w:rPr>
        <w:t>CoQ10=Coenzyme Q10, CI=Confidence interval</w:t>
      </w:r>
      <w:r>
        <w:rPr>
          <w:rFonts w:ascii="Aptos" w:hAnsi="Aptos"/>
          <w:b w:val="0"/>
          <w:bCs w:val="0"/>
          <w:sz w:val="16"/>
          <w:szCs w:val="16"/>
        </w:rPr>
        <w:t>; DBP=diastolic</w:t>
      </w:r>
      <w:r w:rsidRPr="00F530EC">
        <w:rPr>
          <w:rFonts w:ascii="Aptos" w:hAnsi="Aptos"/>
          <w:b w:val="0"/>
          <w:bCs w:val="0"/>
          <w:sz w:val="16"/>
          <w:szCs w:val="16"/>
        </w:rPr>
        <w:t xml:space="preserve"> blood pressure</w:t>
      </w:r>
      <w:r>
        <w:rPr>
          <w:rFonts w:ascii="Aptos" w:hAnsi="Aptos"/>
          <w:b w:val="0"/>
          <w:bCs w:val="0"/>
          <w:sz w:val="16"/>
          <w:szCs w:val="16"/>
        </w:rPr>
        <w:t>; FBG=</w:t>
      </w:r>
      <w:r w:rsidRPr="00690D5B">
        <w:rPr>
          <w:rFonts w:ascii="Aptos" w:hAnsi="Aptos"/>
          <w:b w:val="0"/>
          <w:bCs w:val="0"/>
          <w:sz w:val="16"/>
          <w:szCs w:val="16"/>
        </w:rPr>
        <w:t xml:space="preserve">fasting </w:t>
      </w:r>
      <w:r>
        <w:rPr>
          <w:rFonts w:ascii="Aptos" w:hAnsi="Aptos"/>
          <w:b w:val="0"/>
          <w:bCs w:val="0"/>
          <w:sz w:val="16"/>
          <w:szCs w:val="16"/>
        </w:rPr>
        <w:t>blood</w:t>
      </w:r>
      <w:r w:rsidRPr="00690D5B">
        <w:rPr>
          <w:rFonts w:ascii="Aptos" w:hAnsi="Aptos"/>
          <w:b w:val="0"/>
          <w:bCs w:val="0"/>
          <w:sz w:val="16"/>
          <w:szCs w:val="16"/>
        </w:rPr>
        <w:t xml:space="preserve"> glucose</w:t>
      </w:r>
      <w:r>
        <w:rPr>
          <w:rFonts w:ascii="Aptos" w:hAnsi="Aptos"/>
          <w:b w:val="0"/>
          <w:bCs w:val="0"/>
          <w:sz w:val="16"/>
          <w:szCs w:val="16"/>
        </w:rPr>
        <w:t>; FPG=</w:t>
      </w:r>
      <w:r w:rsidRPr="00690D5B">
        <w:rPr>
          <w:rFonts w:ascii="Aptos" w:hAnsi="Aptos"/>
          <w:b w:val="0"/>
          <w:bCs w:val="0"/>
          <w:sz w:val="16"/>
          <w:szCs w:val="16"/>
        </w:rPr>
        <w:t>fasting plasma glucose</w:t>
      </w:r>
      <w:r>
        <w:rPr>
          <w:rFonts w:ascii="Aptos" w:hAnsi="Aptos"/>
          <w:b w:val="0"/>
          <w:bCs w:val="0"/>
          <w:sz w:val="16"/>
          <w:szCs w:val="16"/>
        </w:rPr>
        <w:t xml:space="preserve">; </w:t>
      </w:r>
      <w:r w:rsidRPr="005220BE">
        <w:rPr>
          <w:rFonts w:ascii="Aptos" w:hAnsi="Aptos"/>
          <w:b w:val="0"/>
          <w:bCs w:val="0"/>
          <w:sz w:val="16"/>
          <w:szCs w:val="16"/>
        </w:rPr>
        <w:t>MD=Mean difference, NR=Not reported</w:t>
      </w:r>
      <w:r w:rsidR="00FE2A6E">
        <w:rPr>
          <w:rFonts w:ascii="Aptos" w:hAnsi="Aptos"/>
          <w:b w:val="0"/>
          <w:bCs w:val="0"/>
          <w:sz w:val="16"/>
          <w:szCs w:val="16"/>
        </w:rPr>
        <w:t>;</w:t>
      </w:r>
      <w:r w:rsidRPr="005220BE">
        <w:rPr>
          <w:rFonts w:ascii="Aptos" w:hAnsi="Aptos"/>
          <w:b w:val="0"/>
          <w:bCs w:val="0"/>
          <w:sz w:val="16"/>
          <w:szCs w:val="16"/>
        </w:rPr>
        <w:t xml:space="preserve"> T2DM=Type II Diabetes Mellitus; HOMA-ir</w:t>
      </w:r>
      <w:r w:rsidR="00FE2A6E">
        <w:rPr>
          <w:rFonts w:ascii="Aptos" w:hAnsi="Aptos"/>
          <w:b w:val="0"/>
          <w:bCs w:val="0"/>
          <w:sz w:val="16"/>
          <w:szCs w:val="16"/>
        </w:rPr>
        <w:t>=</w:t>
      </w:r>
      <w:r w:rsidR="00FE2A6E" w:rsidRPr="00FE2A6E">
        <w:rPr>
          <w:rFonts w:ascii="Aptos" w:hAnsi="Aptos"/>
          <w:b w:val="0"/>
          <w:bCs w:val="0"/>
          <w:sz w:val="16"/>
          <w:szCs w:val="16"/>
        </w:rPr>
        <w:t xml:space="preserve"> </w:t>
      </w:r>
      <w:r w:rsidR="00FE2A6E" w:rsidRPr="005220BE">
        <w:rPr>
          <w:rFonts w:ascii="Aptos" w:hAnsi="Aptos"/>
          <w:b w:val="0"/>
          <w:bCs w:val="0"/>
          <w:sz w:val="16"/>
          <w:szCs w:val="16"/>
        </w:rPr>
        <w:t>Homeostatic Model Assessment for Insulin Resistance</w:t>
      </w:r>
      <w:r w:rsidRPr="005220BE">
        <w:rPr>
          <w:rFonts w:ascii="Aptos" w:hAnsi="Aptos"/>
          <w:b w:val="0"/>
          <w:bCs w:val="0"/>
          <w:sz w:val="16"/>
          <w:szCs w:val="16"/>
        </w:rPr>
        <w:t>; Hb1AC=Hemoglobin A1C</w:t>
      </w:r>
      <w:r>
        <w:rPr>
          <w:rFonts w:ascii="Aptos" w:hAnsi="Aptos"/>
          <w:b w:val="0"/>
          <w:bCs w:val="0"/>
          <w:sz w:val="16"/>
          <w:szCs w:val="16"/>
        </w:rPr>
        <w:t>; NA=Not applicable; SBP=s</w:t>
      </w:r>
      <w:r w:rsidRPr="00F530EC">
        <w:rPr>
          <w:rFonts w:ascii="Aptos" w:hAnsi="Aptos"/>
          <w:b w:val="0"/>
          <w:bCs w:val="0"/>
          <w:sz w:val="16"/>
          <w:szCs w:val="16"/>
        </w:rPr>
        <w:t>ystolic blood pressure</w:t>
      </w:r>
      <w:r>
        <w:rPr>
          <w:rFonts w:ascii="Aptos" w:hAnsi="Aptos"/>
          <w:b w:val="0"/>
          <w:bCs w:val="0"/>
          <w:sz w:val="16"/>
          <w:szCs w:val="16"/>
        </w:rPr>
        <w:t>; WMD=weighted mean difference</w:t>
      </w:r>
    </w:p>
    <w:p w14:paraId="02826B7C" w14:textId="77777777" w:rsidR="00877CDE" w:rsidRPr="00D518FF" w:rsidRDefault="00877CDE" w:rsidP="00AA72BD">
      <w:pPr>
        <w:pStyle w:val="Caption1"/>
        <w:spacing w:before="0" w:after="0"/>
        <w:rPr>
          <w:rFonts w:ascii="Aptos" w:hAnsi="Aptos"/>
          <w:b w:val="0"/>
          <w:bCs w:val="0"/>
          <w:sz w:val="16"/>
          <w:szCs w:val="16"/>
        </w:rPr>
      </w:pPr>
    </w:p>
    <w:p w14:paraId="67BA6BD7" w14:textId="77777777" w:rsidR="009E4D3F" w:rsidRPr="00D518FF" w:rsidRDefault="009E4D3F" w:rsidP="00AA72BD">
      <w:pPr>
        <w:pStyle w:val="Caption1"/>
        <w:spacing w:before="0" w:after="0"/>
        <w:rPr>
          <w:rFonts w:ascii="Aptos" w:hAnsi="Aptos"/>
          <w:b w:val="0"/>
          <w:bCs w:val="0"/>
          <w:sz w:val="16"/>
          <w:szCs w:val="16"/>
        </w:rPr>
      </w:pPr>
      <w:r w:rsidRPr="00D518FF">
        <w:rPr>
          <w:rFonts w:ascii="Aptos" w:hAnsi="Aptos"/>
          <w:b w:val="0"/>
          <w:bCs w:val="0"/>
          <w:sz w:val="16"/>
          <w:szCs w:val="16"/>
        </w:rPr>
        <w:t>^Outcome domains identified as part of the Outcome Prioritisation Exercise:</w:t>
      </w:r>
    </w:p>
    <w:p w14:paraId="75C80120" w14:textId="77777777" w:rsidR="009E4D3F" w:rsidRPr="00D518FF" w:rsidRDefault="009E4D3F" w:rsidP="00A4650A">
      <w:pPr>
        <w:pStyle w:val="ListParagraph"/>
        <w:numPr>
          <w:ilvl w:val="0"/>
          <w:numId w:val="4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Glycemic control</w:t>
      </w:r>
    </w:p>
    <w:p w14:paraId="14E029A8"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Hba1c</w:t>
      </w:r>
    </w:p>
    <w:p w14:paraId="76AABD43"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Fasting glucose</w:t>
      </w:r>
    </w:p>
    <w:p w14:paraId="0F2BAC21"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Fasting insulin</w:t>
      </w:r>
    </w:p>
    <w:p w14:paraId="197719F9"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Homeostatic model assessment of insulin resistance</w:t>
      </w:r>
    </w:p>
    <w:p w14:paraId="092C30D7"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2 hour post-prandial blood sugar</w:t>
      </w:r>
    </w:p>
    <w:p w14:paraId="7F5A513D"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Hyperglycemia (frequency)</w:t>
      </w:r>
    </w:p>
    <w:p w14:paraId="46EB86A6"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Hypoglycemia (frequency)</w:t>
      </w:r>
    </w:p>
    <w:p w14:paraId="549960F3" w14:textId="77777777" w:rsidR="009E4D3F" w:rsidRPr="00D518FF" w:rsidRDefault="009E4D3F" w:rsidP="00A4650A">
      <w:pPr>
        <w:pStyle w:val="ListParagraph"/>
        <w:numPr>
          <w:ilvl w:val="0"/>
          <w:numId w:val="4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Blood pressure</w:t>
      </w:r>
    </w:p>
    <w:p w14:paraId="1B293188"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Systolic</w:t>
      </w:r>
    </w:p>
    <w:p w14:paraId="165DED6C"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Diastolic</w:t>
      </w:r>
    </w:p>
    <w:p w14:paraId="2C6A18DC" w14:textId="77777777" w:rsidR="009E4D3F" w:rsidRPr="00D518FF" w:rsidRDefault="009E4D3F" w:rsidP="00A4650A">
      <w:pPr>
        <w:pStyle w:val="ListParagraph"/>
        <w:numPr>
          <w:ilvl w:val="0"/>
          <w:numId w:val="4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Oxidative stress</w:t>
      </w:r>
    </w:p>
    <w:p w14:paraId="7D48747A"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 xml:space="preserve">Malonaldehyde </w:t>
      </w:r>
    </w:p>
    <w:p w14:paraId="5FA9743D"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Total antioxidant status/capacity</w:t>
      </w:r>
    </w:p>
    <w:p w14:paraId="02DD3509"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Free oxygen radical test</w:t>
      </w:r>
    </w:p>
    <w:p w14:paraId="7B484AD2"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Reative oxygen metabolites</w:t>
      </w:r>
    </w:p>
    <w:p w14:paraId="1F6B4F1B"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Biological antioxidant potential</w:t>
      </w:r>
    </w:p>
    <w:p w14:paraId="72C6901A"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Lipo-peroxidation products</w:t>
      </w:r>
    </w:p>
    <w:p w14:paraId="469338B8"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Catalase</w:t>
      </w:r>
    </w:p>
    <w:p w14:paraId="18F3CDAD" w14:textId="77777777" w:rsidR="009E4D3F" w:rsidRPr="00D518FF" w:rsidRDefault="009E4D3F" w:rsidP="003F5774">
      <w:pPr>
        <w:pStyle w:val="ListParagraph"/>
        <w:numPr>
          <w:ilvl w:val="0"/>
          <w:numId w:val="11"/>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Glutathione peroxidase</w:t>
      </w:r>
    </w:p>
    <w:p w14:paraId="5C262FBA" w14:textId="77777777" w:rsidR="009E4D3F" w:rsidRPr="00D518FF" w:rsidRDefault="009E4D3F" w:rsidP="00A4650A">
      <w:pPr>
        <w:pStyle w:val="ListParagraph"/>
        <w:numPr>
          <w:ilvl w:val="0"/>
          <w:numId w:val="4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Diabetes related symptoms</w:t>
      </w:r>
    </w:p>
    <w:p w14:paraId="4001D028" w14:textId="77777777" w:rsidR="009E4D3F" w:rsidRPr="00D518FF" w:rsidRDefault="009E4D3F" w:rsidP="00A4650A">
      <w:pPr>
        <w:pStyle w:val="ListParagraph"/>
        <w:numPr>
          <w:ilvl w:val="0"/>
          <w:numId w:val="4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Overall diabetes related complications</w:t>
      </w:r>
    </w:p>
    <w:p w14:paraId="209B635A" w14:textId="77777777" w:rsidR="009E4D3F" w:rsidRPr="00D518FF" w:rsidRDefault="009E4D3F" w:rsidP="00A4650A">
      <w:pPr>
        <w:pStyle w:val="ListParagraph"/>
        <w:numPr>
          <w:ilvl w:val="0"/>
          <w:numId w:val="4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Hrqol</w:t>
      </w:r>
    </w:p>
    <w:p w14:paraId="043F3EDA" w14:textId="77777777" w:rsidR="009E4D3F" w:rsidRPr="00D518FF" w:rsidRDefault="009E4D3F" w:rsidP="00A4650A">
      <w:pPr>
        <w:pStyle w:val="ListParagraph"/>
        <w:numPr>
          <w:ilvl w:val="0"/>
          <w:numId w:val="46"/>
        </w:numPr>
        <w:rPr>
          <w:rFonts w:ascii="Aptos" w:hAnsi="Aptos" w:cs="Arial"/>
          <w:color w:val="000000" w:themeColor="text1"/>
          <w:kern w:val="0"/>
          <w:sz w:val="16"/>
          <w:szCs w:val="16"/>
          <w14:ligatures w14:val="none"/>
        </w:rPr>
      </w:pPr>
      <w:r w:rsidRPr="00D518FF">
        <w:rPr>
          <w:rFonts w:ascii="Aptos" w:hAnsi="Aptos" w:cs="Arial"/>
          <w:color w:val="000000" w:themeColor="text1"/>
          <w:kern w:val="0"/>
          <w:sz w:val="16"/>
          <w:szCs w:val="16"/>
          <w14:ligatures w14:val="none"/>
        </w:rPr>
        <w:t>Incidence of type 2 diabetes mellitus</w:t>
      </w:r>
    </w:p>
    <w:p w14:paraId="095AEBCB" w14:textId="77777777" w:rsidR="009E4D3F" w:rsidRPr="00D518FF" w:rsidRDefault="009E4D3F" w:rsidP="00AA72BD">
      <w:pPr>
        <w:rPr>
          <w:rFonts w:ascii="Aptos" w:hAnsi="Aptos" w:cs="Arial"/>
          <w:color w:val="000000" w:themeColor="text1"/>
          <w:sz w:val="14"/>
          <w:szCs w:val="14"/>
        </w:rPr>
      </w:pPr>
    </w:p>
    <w:p w14:paraId="3F7C1CE7" w14:textId="4BEFB422" w:rsidR="00881574" w:rsidRPr="00D518FF" w:rsidRDefault="00881574" w:rsidP="00AA72BD">
      <w:pPr>
        <w:rPr>
          <w:rFonts w:ascii="Aptos" w:hAnsi="Aptos" w:cs="Arial"/>
          <w:color w:val="000000" w:themeColor="text1"/>
          <w:sz w:val="14"/>
          <w:szCs w:val="14"/>
        </w:rPr>
      </w:pPr>
    </w:p>
    <w:p w14:paraId="39ED0C83" w14:textId="75C09497" w:rsidR="00881574" w:rsidRPr="00B53559" w:rsidRDefault="00881574" w:rsidP="00AA72BD">
      <w:pPr>
        <w:pStyle w:val="Heading1"/>
        <w:spacing w:line="240" w:lineRule="auto"/>
        <w:rPr>
          <w:rStyle w:val="Heading1Char"/>
          <w:rFonts w:ascii="Aptos" w:hAnsi="Aptos"/>
          <w:b/>
          <w:bCs/>
          <w:color w:val="C00000"/>
          <w:szCs w:val="32"/>
        </w:rPr>
      </w:pPr>
      <w:bookmarkStart w:id="216" w:name="_Toc185254675"/>
      <w:r w:rsidRPr="00B53559">
        <w:rPr>
          <w:rStyle w:val="Heading1Char"/>
          <w:rFonts w:ascii="Aptos" w:hAnsi="Aptos"/>
          <w:b/>
          <w:bCs/>
          <w:color w:val="C00000"/>
          <w:szCs w:val="32"/>
        </w:rPr>
        <w:lastRenderedPageBreak/>
        <w:t>ROBIS assessments</w:t>
      </w:r>
      <w:bookmarkEnd w:id="216"/>
    </w:p>
    <w:p w14:paraId="3C212F16" w14:textId="70234B66" w:rsidR="00840828" w:rsidRPr="00AA694C" w:rsidRDefault="00840828" w:rsidP="00834CBC">
      <w:pPr>
        <w:pStyle w:val="Caption"/>
        <w:rPr>
          <w:rFonts w:ascii="Aptos" w:hAnsi="Aptos"/>
        </w:rPr>
      </w:pPr>
      <w:r w:rsidRPr="00840828">
        <w:rPr>
          <w:rFonts w:ascii="Aptos" w:hAnsi="Aptos" w:cs="Arial"/>
          <w:b w:val="0"/>
          <w:bCs w:val="0"/>
          <w:sz w:val="21"/>
          <w:szCs w:val="21"/>
        </w:rPr>
        <w:t>Th</w:t>
      </w:r>
      <w:r>
        <w:rPr>
          <w:rFonts w:ascii="Aptos" w:hAnsi="Aptos" w:cs="Arial"/>
          <w:b w:val="0"/>
          <w:bCs w:val="0"/>
          <w:sz w:val="21"/>
          <w:szCs w:val="21"/>
        </w:rPr>
        <w:t>is appendix provides the</w:t>
      </w:r>
      <w:r w:rsidRPr="00840828">
        <w:rPr>
          <w:rFonts w:ascii="Aptos" w:hAnsi="Aptos" w:cs="Arial"/>
          <w:b w:val="0"/>
          <w:bCs w:val="0"/>
          <w:sz w:val="21"/>
          <w:szCs w:val="21"/>
        </w:rPr>
        <w:t xml:space="preserve"> three questions described in ROBIS used to arrive at a final risk of bias judgement</w:t>
      </w:r>
      <w:r>
        <w:rPr>
          <w:rFonts w:ascii="Aptos" w:hAnsi="Aptos" w:cs="Arial"/>
          <w:b w:val="0"/>
          <w:bCs w:val="0"/>
          <w:sz w:val="21"/>
          <w:szCs w:val="21"/>
        </w:rPr>
        <w:t>, for each included review</w:t>
      </w:r>
      <w:r w:rsidRPr="00840828">
        <w:rPr>
          <w:rFonts w:ascii="Aptos" w:hAnsi="Aptos" w:cs="Arial"/>
          <w:b w:val="0"/>
          <w:bCs w:val="0"/>
          <w:sz w:val="21"/>
          <w:szCs w:val="21"/>
        </w:rPr>
        <w:t xml:space="preserve">. We did not provide narrative </w:t>
      </w:r>
      <w:r w:rsidRPr="00AA694C">
        <w:rPr>
          <w:rFonts w:ascii="Aptos" w:hAnsi="Aptos" w:cs="Arial"/>
          <w:b w:val="0"/>
          <w:bCs w:val="0"/>
          <w:sz w:val="21"/>
          <w:szCs w:val="21"/>
        </w:rPr>
        <w:t>domain or overall summary judgements for systematic reviews due to the volume</w:t>
      </w:r>
      <w:r w:rsidR="00740BA9" w:rsidRPr="00AA694C">
        <w:rPr>
          <w:rFonts w:ascii="Aptos" w:hAnsi="Aptos" w:cs="Arial"/>
          <w:b w:val="0"/>
          <w:bCs w:val="0"/>
          <w:sz w:val="21"/>
          <w:szCs w:val="21"/>
        </w:rPr>
        <w:t xml:space="preserve"> of included reviews</w:t>
      </w:r>
      <w:r w:rsidRPr="00AA694C">
        <w:rPr>
          <w:rFonts w:ascii="Aptos" w:hAnsi="Aptos" w:cs="Arial"/>
          <w:b w:val="0"/>
          <w:bCs w:val="0"/>
          <w:sz w:val="21"/>
          <w:szCs w:val="21"/>
        </w:rPr>
        <w:t>.</w:t>
      </w:r>
    </w:p>
    <w:p w14:paraId="5605C944" w14:textId="6804EFBE" w:rsidR="00881574" w:rsidRPr="00D518FF" w:rsidRDefault="00834CBC" w:rsidP="00834CBC">
      <w:pPr>
        <w:pStyle w:val="Caption"/>
        <w:rPr>
          <w:rFonts w:ascii="Aptos" w:hAnsi="Aptos"/>
        </w:rPr>
      </w:pPr>
      <w:bookmarkStart w:id="217" w:name="_Toc185254593"/>
      <w:r w:rsidRPr="00AA694C">
        <w:rPr>
          <w:rFonts w:ascii="Aptos" w:hAnsi="Aptos"/>
        </w:rPr>
        <w:t xml:space="preserve">Table </w:t>
      </w:r>
      <w:r w:rsidR="00DC4767" w:rsidRPr="00AA694C">
        <w:rPr>
          <w:rFonts w:ascii="Aptos" w:hAnsi="Aptos"/>
        </w:rPr>
        <w:fldChar w:fldCharType="begin" w:fldLock="1"/>
      </w:r>
      <w:r w:rsidR="00DC4767" w:rsidRPr="00AA694C">
        <w:rPr>
          <w:rFonts w:ascii="Aptos" w:hAnsi="Aptos"/>
        </w:rPr>
        <w:instrText xml:space="preserve"> STYLEREF 1 \s </w:instrText>
      </w:r>
      <w:r w:rsidR="00DC4767" w:rsidRPr="00AA694C">
        <w:rPr>
          <w:rFonts w:ascii="Aptos" w:hAnsi="Aptos"/>
        </w:rPr>
        <w:fldChar w:fldCharType="separate"/>
      </w:r>
      <w:r w:rsidR="00DC4767" w:rsidRPr="00AA694C">
        <w:rPr>
          <w:rFonts w:ascii="Aptos" w:hAnsi="Aptos"/>
        </w:rPr>
        <w:t>F</w:t>
      </w:r>
      <w:r w:rsidR="00DC4767" w:rsidRPr="00AA694C">
        <w:rPr>
          <w:rFonts w:ascii="Aptos" w:hAnsi="Aptos"/>
        </w:rPr>
        <w:fldChar w:fldCharType="end"/>
      </w:r>
      <w:r w:rsidR="00DC4767" w:rsidRPr="00AA694C">
        <w:rPr>
          <w:rFonts w:ascii="Aptos" w:hAnsi="Aptos"/>
        </w:rPr>
        <w:noBreakHyphen/>
      </w:r>
      <w:r w:rsidR="00DC4767" w:rsidRPr="00AA694C">
        <w:rPr>
          <w:rFonts w:ascii="Aptos" w:hAnsi="Aptos"/>
        </w:rPr>
        <w:fldChar w:fldCharType="begin"/>
      </w:r>
      <w:r w:rsidR="00DC4767" w:rsidRPr="00AA694C">
        <w:rPr>
          <w:rFonts w:ascii="Aptos" w:hAnsi="Aptos"/>
        </w:rPr>
        <w:instrText xml:space="preserve"> SEQ Table \* ARABIC \s 1 </w:instrText>
      </w:r>
      <w:r w:rsidR="00DC4767" w:rsidRPr="00AA694C">
        <w:rPr>
          <w:rFonts w:ascii="Aptos" w:hAnsi="Aptos"/>
        </w:rPr>
        <w:fldChar w:fldCharType="separate"/>
      </w:r>
      <w:r w:rsidR="00C426C6">
        <w:rPr>
          <w:rFonts w:ascii="Aptos" w:hAnsi="Aptos"/>
          <w:noProof/>
        </w:rPr>
        <w:t>1</w:t>
      </w:r>
      <w:r w:rsidR="00DC4767" w:rsidRPr="00AA694C">
        <w:rPr>
          <w:rFonts w:ascii="Aptos" w:hAnsi="Aptos"/>
        </w:rPr>
        <w:fldChar w:fldCharType="end"/>
      </w:r>
      <w:r w:rsidR="00881574" w:rsidRPr="00D518FF">
        <w:rPr>
          <w:rFonts w:ascii="Aptos" w:hAnsi="Aptos"/>
        </w:rPr>
        <w:t>. ROBIS assessment for included reviews – anxiety, magnesium</w:t>
      </w:r>
      <w:bookmarkEnd w:id="217"/>
    </w:p>
    <w:tbl>
      <w:tblPr>
        <w:tblW w:w="14294" w:type="dxa"/>
        <w:tblLook w:val="04A0" w:firstRow="1" w:lastRow="0" w:firstColumn="1" w:lastColumn="0" w:noHBand="0" w:noVBand="1"/>
      </w:tblPr>
      <w:tblGrid>
        <w:gridCol w:w="11740"/>
        <w:gridCol w:w="1277"/>
        <w:gridCol w:w="1277"/>
      </w:tblGrid>
      <w:tr w:rsidR="00250349" w:rsidRPr="00AA62BB" w14:paraId="7692A87F" w14:textId="77777777" w:rsidTr="00513011">
        <w:trPr>
          <w:trHeight w:val="285"/>
        </w:trPr>
        <w:tc>
          <w:tcPr>
            <w:tcW w:w="11740"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05B655C0" w14:textId="77777777" w:rsidR="00250349" w:rsidRPr="00AA62BB" w:rsidRDefault="00250349" w:rsidP="00781852">
            <w:pPr>
              <w:rPr>
                <w:rFonts w:ascii="Aptos" w:hAnsi="Aptos"/>
                <w:b/>
                <w:bCs/>
                <w:sz w:val="18"/>
                <w:szCs w:val="18"/>
              </w:rPr>
            </w:pPr>
            <w:r w:rsidRPr="00AA62BB">
              <w:rPr>
                <w:rFonts w:ascii="Aptos" w:hAnsi="Aptos"/>
                <w:b/>
                <w:bCs/>
                <w:sz w:val="18"/>
                <w:szCs w:val="18"/>
              </w:rPr>
              <w:t>Review ID</w:t>
            </w:r>
          </w:p>
        </w:tc>
        <w:tc>
          <w:tcPr>
            <w:tcW w:w="1277" w:type="dxa"/>
            <w:tcBorders>
              <w:top w:val="single" w:sz="4" w:space="0" w:color="auto"/>
              <w:left w:val="nil"/>
              <w:bottom w:val="single" w:sz="4" w:space="0" w:color="auto"/>
              <w:right w:val="single" w:sz="4" w:space="0" w:color="auto"/>
            </w:tcBorders>
            <w:shd w:val="clear" w:color="000000" w:fill="D9D9D9"/>
            <w:vAlign w:val="center"/>
            <w:hideMark/>
          </w:tcPr>
          <w:p w14:paraId="3F044B17" w14:textId="77777777" w:rsidR="00250349" w:rsidRPr="00AA62BB" w:rsidRDefault="00250349" w:rsidP="00513011">
            <w:pPr>
              <w:jc w:val="center"/>
              <w:rPr>
                <w:rFonts w:ascii="Aptos" w:hAnsi="Aptos"/>
                <w:b/>
                <w:bCs/>
                <w:sz w:val="18"/>
                <w:szCs w:val="18"/>
              </w:rPr>
            </w:pPr>
            <w:r w:rsidRPr="00AA62BB">
              <w:rPr>
                <w:rFonts w:ascii="Aptos" w:hAnsi="Aptos"/>
                <w:b/>
                <w:bCs/>
                <w:sz w:val="18"/>
                <w:szCs w:val="18"/>
              </w:rPr>
              <w:t>Baric 2018</w:t>
            </w:r>
          </w:p>
        </w:tc>
        <w:tc>
          <w:tcPr>
            <w:tcW w:w="1277" w:type="dxa"/>
            <w:tcBorders>
              <w:top w:val="single" w:sz="4" w:space="0" w:color="auto"/>
              <w:left w:val="nil"/>
              <w:bottom w:val="single" w:sz="4" w:space="0" w:color="auto"/>
              <w:right w:val="single" w:sz="4" w:space="0" w:color="auto"/>
            </w:tcBorders>
            <w:shd w:val="clear" w:color="000000" w:fill="D9D9D9"/>
            <w:vAlign w:val="center"/>
            <w:hideMark/>
          </w:tcPr>
          <w:p w14:paraId="22C18EDE" w14:textId="77777777" w:rsidR="00250349" w:rsidRPr="00AA62BB" w:rsidRDefault="00250349" w:rsidP="00513011">
            <w:pPr>
              <w:jc w:val="center"/>
              <w:rPr>
                <w:rFonts w:ascii="Aptos" w:hAnsi="Aptos"/>
                <w:b/>
                <w:bCs/>
                <w:sz w:val="18"/>
                <w:szCs w:val="18"/>
              </w:rPr>
            </w:pPr>
            <w:r w:rsidRPr="00AA62BB">
              <w:rPr>
                <w:rFonts w:ascii="Aptos" w:hAnsi="Aptos"/>
                <w:b/>
                <w:bCs/>
                <w:sz w:val="18"/>
                <w:szCs w:val="18"/>
              </w:rPr>
              <w:t>Tsai 2023</w:t>
            </w:r>
          </w:p>
        </w:tc>
      </w:tr>
      <w:tr w:rsidR="00250349" w:rsidRPr="00AA62BB" w14:paraId="565438A7"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D9D9D9"/>
            <w:noWrap/>
            <w:vAlign w:val="center"/>
            <w:hideMark/>
          </w:tcPr>
          <w:p w14:paraId="735705C5" w14:textId="77777777" w:rsidR="00250349" w:rsidRPr="00AA62BB" w:rsidRDefault="00250349" w:rsidP="00781852">
            <w:pPr>
              <w:rPr>
                <w:rFonts w:ascii="Aptos" w:hAnsi="Aptos"/>
                <w:sz w:val="18"/>
                <w:szCs w:val="18"/>
              </w:rPr>
            </w:pPr>
            <w:r w:rsidRPr="00AA62BB">
              <w:rPr>
                <w:rFonts w:ascii="Aptos" w:hAnsi="Aptos"/>
                <w:sz w:val="18"/>
                <w:szCs w:val="18"/>
              </w:rPr>
              <w:t>ROBIS DOMAINS</w:t>
            </w:r>
          </w:p>
        </w:tc>
        <w:tc>
          <w:tcPr>
            <w:tcW w:w="1277" w:type="dxa"/>
            <w:tcBorders>
              <w:top w:val="nil"/>
              <w:left w:val="nil"/>
              <w:bottom w:val="single" w:sz="4" w:space="0" w:color="auto"/>
              <w:right w:val="single" w:sz="4" w:space="0" w:color="auto"/>
            </w:tcBorders>
            <w:shd w:val="clear" w:color="000000" w:fill="D9D9D9"/>
            <w:noWrap/>
            <w:vAlign w:val="center"/>
            <w:hideMark/>
          </w:tcPr>
          <w:p w14:paraId="6C855D83" w14:textId="09B9C5F8" w:rsidR="00250349" w:rsidRPr="00AA62BB" w:rsidRDefault="00250349" w:rsidP="00513011">
            <w:pPr>
              <w:jc w:val="center"/>
              <w:rPr>
                <w:rFonts w:ascii="Aptos" w:hAnsi="Aptos"/>
                <w:sz w:val="18"/>
                <w:szCs w:val="18"/>
              </w:rPr>
            </w:pPr>
          </w:p>
        </w:tc>
        <w:tc>
          <w:tcPr>
            <w:tcW w:w="1277" w:type="dxa"/>
            <w:tcBorders>
              <w:top w:val="nil"/>
              <w:left w:val="single" w:sz="4" w:space="0" w:color="auto"/>
              <w:bottom w:val="single" w:sz="4" w:space="0" w:color="auto"/>
              <w:right w:val="single" w:sz="4" w:space="0" w:color="auto"/>
            </w:tcBorders>
            <w:shd w:val="clear" w:color="000000" w:fill="D9D9D9"/>
            <w:noWrap/>
            <w:vAlign w:val="center"/>
            <w:hideMark/>
          </w:tcPr>
          <w:p w14:paraId="536149AC" w14:textId="36EC7B29" w:rsidR="00250349" w:rsidRPr="00AA62BB" w:rsidRDefault="00250349" w:rsidP="00513011">
            <w:pPr>
              <w:jc w:val="center"/>
              <w:rPr>
                <w:rFonts w:ascii="Aptos" w:hAnsi="Aptos"/>
                <w:sz w:val="18"/>
                <w:szCs w:val="18"/>
              </w:rPr>
            </w:pPr>
          </w:p>
        </w:tc>
      </w:tr>
      <w:tr w:rsidR="00250349" w:rsidRPr="00AA62BB" w14:paraId="40071988"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D9D9D9"/>
            <w:noWrap/>
            <w:vAlign w:val="center"/>
            <w:hideMark/>
          </w:tcPr>
          <w:p w14:paraId="780E5174" w14:textId="77777777" w:rsidR="00250349" w:rsidRPr="00AA62BB" w:rsidRDefault="00250349" w:rsidP="00781852">
            <w:pPr>
              <w:rPr>
                <w:rFonts w:ascii="Aptos" w:hAnsi="Aptos"/>
                <w:sz w:val="18"/>
                <w:szCs w:val="18"/>
              </w:rPr>
            </w:pPr>
            <w:r w:rsidRPr="00AA62BB">
              <w:rPr>
                <w:rFonts w:ascii="Aptos" w:hAnsi="Aptos"/>
                <w:sz w:val="18"/>
                <w:szCs w:val="18"/>
              </w:rPr>
              <w:t>Answer code: Y=YES, PY=PROBABLY YES, PN=PROBABLY NO, N=NO, NI=NO INFORMATION</w:t>
            </w:r>
          </w:p>
        </w:tc>
        <w:tc>
          <w:tcPr>
            <w:tcW w:w="1277" w:type="dxa"/>
            <w:tcBorders>
              <w:top w:val="nil"/>
              <w:left w:val="nil"/>
              <w:bottom w:val="single" w:sz="4" w:space="0" w:color="auto"/>
              <w:right w:val="single" w:sz="4" w:space="0" w:color="auto"/>
            </w:tcBorders>
            <w:shd w:val="clear" w:color="000000" w:fill="D9D9D9"/>
            <w:noWrap/>
            <w:vAlign w:val="center"/>
            <w:hideMark/>
          </w:tcPr>
          <w:p w14:paraId="5857D9D5" w14:textId="293D92FC" w:rsidR="00250349" w:rsidRPr="00AA62BB" w:rsidRDefault="00250349" w:rsidP="00513011">
            <w:pPr>
              <w:jc w:val="center"/>
              <w:rPr>
                <w:rFonts w:ascii="Aptos" w:hAnsi="Aptos"/>
                <w:sz w:val="18"/>
                <w:szCs w:val="18"/>
              </w:rPr>
            </w:pPr>
          </w:p>
        </w:tc>
        <w:tc>
          <w:tcPr>
            <w:tcW w:w="1277" w:type="dxa"/>
            <w:tcBorders>
              <w:top w:val="nil"/>
              <w:left w:val="single" w:sz="4" w:space="0" w:color="auto"/>
              <w:bottom w:val="single" w:sz="4" w:space="0" w:color="auto"/>
              <w:right w:val="single" w:sz="4" w:space="0" w:color="auto"/>
            </w:tcBorders>
            <w:shd w:val="clear" w:color="000000" w:fill="D9D9D9"/>
            <w:noWrap/>
            <w:vAlign w:val="center"/>
            <w:hideMark/>
          </w:tcPr>
          <w:p w14:paraId="3D4CA29C" w14:textId="3A3CA524" w:rsidR="00250349" w:rsidRPr="00AA62BB" w:rsidRDefault="00250349" w:rsidP="00513011">
            <w:pPr>
              <w:jc w:val="center"/>
              <w:rPr>
                <w:rFonts w:ascii="Aptos" w:hAnsi="Aptos"/>
                <w:sz w:val="18"/>
                <w:szCs w:val="18"/>
              </w:rPr>
            </w:pPr>
          </w:p>
        </w:tc>
      </w:tr>
      <w:tr w:rsidR="00250349" w:rsidRPr="00AA62BB" w14:paraId="1555205F"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2F2F2"/>
            <w:vAlign w:val="center"/>
            <w:hideMark/>
          </w:tcPr>
          <w:p w14:paraId="6B6B4E98" w14:textId="77777777" w:rsidR="00250349" w:rsidRPr="00AA62BB" w:rsidRDefault="00250349" w:rsidP="00781852">
            <w:pPr>
              <w:rPr>
                <w:rFonts w:ascii="Aptos" w:hAnsi="Aptos"/>
                <w:sz w:val="18"/>
                <w:szCs w:val="18"/>
              </w:rPr>
            </w:pPr>
            <w:r w:rsidRPr="00AA62BB">
              <w:rPr>
                <w:rFonts w:ascii="Aptos" w:hAnsi="Aptos"/>
                <w:sz w:val="18"/>
                <w:szCs w:val="18"/>
              </w:rPr>
              <w:t>Domain 1: Study eligibility criteria</w:t>
            </w:r>
          </w:p>
        </w:tc>
        <w:tc>
          <w:tcPr>
            <w:tcW w:w="1277" w:type="dxa"/>
            <w:tcBorders>
              <w:top w:val="nil"/>
              <w:left w:val="nil"/>
              <w:bottom w:val="single" w:sz="4" w:space="0" w:color="auto"/>
              <w:right w:val="single" w:sz="4" w:space="0" w:color="auto"/>
            </w:tcBorders>
            <w:shd w:val="clear" w:color="000000" w:fill="F2F2F2"/>
            <w:vAlign w:val="center"/>
            <w:hideMark/>
          </w:tcPr>
          <w:p w14:paraId="0EB31568" w14:textId="43981684" w:rsidR="00250349" w:rsidRPr="00AA62BB" w:rsidRDefault="00250349" w:rsidP="00513011">
            <w:pPr>
              <w:jc w:val="center"/>
              <w:rPr>
                <w:rFonts w:ascii="Aptos" w:hAnsi="Aptos"/>
                <w:sz w:val="18"/>
                <w:szCs w:val="18"/>
              </w:rPr>
            </w:pPr>
          </w:p>
        </w:tc>
        <w:tc>
          <w:tcPr>
            <w:tcW w:w="1277" w:type="dxa"/>
            <w:tcBorders>
              <w:top w:val="nil"/>
              <w:left w:val="single" w:sz="4" w:space="0" w:color="auto"/>
              <w:bottom w:val="single" w:sz="4" w:space="0" w:color="auto"/>
              <w:right w:val="single" w:sz="4" w:space="0" w:color="auto"/>
            </w:tcBorders>
            <w:shd w:val="clear" w:color="000000" w:fill="F2F2F2"/>
            <w:vAlign w:val="center"/>
            <w:hideMark/>
          </w:tcPr>
          <w:p w14:paraId="0748F7BF" w14:textId="3CA4A7E3" w:rsidR="00250349" w:rsidRPr="00AA62BB" w:rsidRDefault="00250349" w:rsidP="00513011">
            <w:pPr>
              <w:jc w:val="center"/>
              <w:rPr>
                <w:rFonts w:ascii="Aptos" w:hAnsi="Aptos"/>
                <w:sz w:val="18"/>
                <w:szCs w:val="18"/>
              </w:rPr>
            </w:pPr>
          </w:p>
        </w:tc>
      </w:tr>
      <w:tr w:rsidR="00250349" w:rsidRPr="00AA62BB" w14:paraId="0AA85758"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7DC7A903" w14:textId="77777777" w:rsidR="00250349" w:rsidRPr="00AA62BB" w:rsidRDefault="00250349" w:rsidP="00781852">
            <w:pPr>
              <w:rPr>
                <w:rFonts w:ascii="Aptos" w:hAnsi="Aptos"/>
                <w:sz w:val="18"/>
                <w:szCs w:val="18"/>
              </w:rPr>
            </w:pPr>
            <w:r w:rsidRPr="00AA62BB">
              <w:rPr>
                <w:rFonts w:ascii="Aptos" w:hAnsi="Aptos"/>
                <w:sz w:val="18"/>
                <w:szCs w:val="18"/>
              </w:rPr>
              <w:t>Did the review adhere to pre</w:t>
            </w:r>
            <w:r w:rsidRPr="00AA62BB">
              <w:rPr>
                <w:rFonts w:ascii="Cambria Math" w:hAnsi="Cambria Math" w:cs="Cambria Math"/>
                <w:sz w:val="18"/>
                <w:szCs w:val="18"/>
              </w:rPr>
              <w:t>‐</w:t>
            </w:r>
            <w:r w:rsidRPr="00AA62BB">
              <w:rPr>
                <w:rFonts w:ascii="Aptos" w:hAnsi="Aptos"/>
                <w:sz w:val="18"/>
                <w:szCs w:val="18"/>
              </w:rPr>
              <w:t>defined objectives and eligibility criteria?</w:t>
            </w:r>
          </w:p>
        </w:tc>
        <w:tc>
          <w:tcPr>
            <w:tcW w:w="1277" w:type="dxa"/>
            <w:tcBorders>
              <w:top w:val="nil"/>
              <w:left w:val="nil"/>
              <w:bottom w:val="single" w:sz="4" w:space="0" w:color="auto"/>
              <w:right w:val="single" w:sz="4" w:space="0" w:color="auto"/>
            </w:tcBorders>
            <w:shd w:val="clear" w:color="000000" w:fill="FFFFFF"/>
            <w:vAlign w:val="center"/>
            <w:hideMark/>
          </w:tcPr>
          <w:p w14:paraId="6FABC362"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2B738B00"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395563B7"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772B845C" w14:textId="77777777" w:rsidR="00250349" w:rsidRPr="00AA62BB" w:rsidRDefault="00250349" w:rsidP="00781852">
            <w:pPr>
              <w:rPr>
                <w:rFonts w:ascii="Aptos" w:hAnsi="Aptos"/>
                <w:sz w:val="18"/>
                <w:szCs w:val="18"/>
              </w:rPr>
            </w:pPr>
            <w:r w:rsidRPr="00AA62BB">
              <w:rPr>
                <w:rFonts w:ascii="Aptos" w:hAnsi="Aptos"/>
                <w:sz w:val="18"/>
                <w:szCs w:val="18"/>
              </w:rPr>
              <w:t>Were the eligibility criteria appropriate for the review question?</w:t>
            </w:r>
          </w:p>
        </w:tc>
        <w:tc>
          <w:tcPr>
            <w:tcW w:w="1277" w:type="dxa"/>
            <w:tcBorders>
              <w:top w:val="nil"/>
              <w:left w:val="nil"/>
              <w:bottom w:val="single" w:sz="4" w:space="0" w:color="auto"/>
              <w:right w:val="single" w:sz="4" w:space="0" w:color="auto"/>
            </w:tcBorders>
            <w:shd w:val="clear" w:color="000000" w:fill="FFFFFF"/>
            <w:vAlign w:val="center"/>
            <w:hideMark/>
          </w:tcPr>
          <w:p w14:paraId="5B81C2DE"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1C1DABD2"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79C35A96"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1BDF47D0" w14:textId="77777777" w:rsidR="00250349" w:rsidRPr="00AA62BB" w:rsidRDefault="00250349" w:rsidP="00781852">
            <w:pPr>
              <w:rPr>
                <w:rFonts w:ascii="Aptos" w:hAnsi="Aptos"/>
                <w:sz w:val="18"/>
                <w:szCs w:val="18"/>
              </w:rPr>
            </w:pPr>
            <w:r w:rsidRPr="00AA62BB">
              <w:rPr>
                <w:rFonts w:ascii="Aptos" w:hAnsi="Aptos"/>
                <w:sz w:val="18"/>
                <w:szCs w:val="18"/>
              </w:rPr>
              <w:t>Were eligibility criteria unambiguous?</w:t>
            </w:r>
          </w:p>
        </w:tc>
        <w:tc>
          <w:tcPr>
            <w:tcW w:w="1277" w:type="dxa"/>
            <w:tcBorders>
              <w:top w:val="nil"/>
              <w:left w:val="nil"/>
              <w:bottom w:val="single" w:sz="4" w:space="0" w:color="auto"/>
              <w:right w:val="single" w:sz="4" w:space="0" w:color="auto"/>
            </w:tcBorders>
            <w:shd w:val="clear" w:color="000000" w:fill="FFFFFF"/>
            <w:vAlign w:val="center"/>
            <w:hideMark/>
          </w:tcPr>
          <w:p w14:paraId="5FD2B25B"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311124F3"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4D057E42"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5677244D" w14:textId="77777777" w:rsidR="00250349" w:rsidRPr="00AA62BB" w:rsidRDefault="00250349" w:rsidP="00781852">
            <w:pPr>
              <w:rPr>
                <w:rFonts w:ascii="Aptos" w:hAnsi="Aptos"/>
                <w:sz w:val="18"/>
                <w:szCs w:val="18"/>
              </w:rPr>
            </w:pPr>
            <w:r w:rsidRPr="00AA62BB">
              <w:rPr>
                <w:rFonts w:ascii="Aptos" w:hAnsi="Aptos"/>
                <w:sz w:val="18"/>
                <w:szCs w:val="18"/>
              </w:rPr>
              <w:t>Were all restrictions in eligibility criteria based on study characteristics appropriate (e.g. date, sample size, study quality, outcomes measured)?</w:t>
            </w:r>
          </w:p>
        </w:tc>
        <w:tc>
          <w:tcPr>
            <w:tcW w:w="1277" w:type="dxa"/>
            <w:tcBorders>
              <w:top w:val="nil"/>
              <w:left w:val="nil"/>
              <w:bottom w:val="single" w:sz="4" w:space="0" w:color="auto"/>
              <w:right w:val="single" w:sz="4" w:space="0" w:color="auto"/>
            </w:tcBorders>
            <w:shd w:val="clear" w:color="000000" w:fill="FFFFFF"/>
            <w:vAlign w:val="center"/>
            <w:hideMark/>
          </w:tcPr>
          <w:p w14:paraId="33B888E5"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49689ABF"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r>
      <w:tr w:rsidR="00250349" w:rsidRPr="00AA62BB" w14:paraId="37BADEC6"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66C980E4" w14:textId="77777777" w:rsidR="00250349" w:rsidRPr="00AA62BB" w:rsidRDefault="00250349" w:rsidP="00781852">
            <w:pPr>
              <w:rPr>
                <w:rFonts w:ascii="Aptos" w:hAnsi="Aptos"/>
                <w:sz w:val="18"/>
                <w:szCs w:val="18"/>
              </w:rPr>
            </w:pPr>
            <w:r w:rsidRPr="00AA62BB">
              <w:rPr>
                <w:rFonts w:ascii="Aptos" w:hAnsi="Aptos"/>
                <w:sz w:val="18"/>
                <w:szCs w:val="18"/>
              </w:rPr>
              <w:t>Were any restrictions in eligibility criteria based on sources of information appropriate (publication status or format, language, availability of data)?</w:t>
            </w:r>
          </w:p>
        </w:tc>
        <w:tc>
          <w:tcPr>
            <w:tcW w:w="1277" w:type="dxa"/>
            <w:tcBorders>
              <w:top w:val="nil"/>
              <w:left w:val="nil"/>
              <w:bottom w:val="single" w:sz="4" w:space="0" w:color="auto"/>
              <w:right w:val="single" w:sz="4" w:space="0" w:color="auto"/>
            </w:tcBorders>
            <w:shd w:val="clear" w:color="000000" w:fill="FFFFFF"/>
            <w:vAlign w:val="center"/>
            <w:hideMark/>
          </w:tcPr>
          <w:p w14:paraId="5B629FA4"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7193373C"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r>
      <w:tr w:rsidR="00250349" w:rsidRPr="00AA62BB" w14:paraId="6D8E74C0"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17013403" w14:textId="77777777" w:rsidR="00250349" w:rsidRPr="00AA62BB" w:rsidRDefault="00250349" w:rsidP="00781852">
            <w:pPr>
              <w:rPr>
                <w:rFonts w:ascii="Aptos" w:hAnsi="Aptos"/>
                <w:sz w:val="18"/>
                <w:szCs w:val="18"/>
              </w:rPr>
            </w:pPr>
            <w:r w:rsidRPr="00AA62BB">
              <w:rPr>
                <w:rFonts w:ascii="Aptos" w:hAnsi="Aptos"/>
                <w:sz w:val="18"/>
                <w:szCs w:val="18"/>
              </w:rPr>
              <w:t>Concerns regarding specification of study eligibility criteria LOW, HIGH, UNCLEAR</w:t>
            </w:r>
          </w:p>
        </w:tc>
        <w:tc>
          <w:tcPr>
            <w:tcW w:w="1277" w:type="dxa"/>
            <w:tcBorders>
              <w:top w:val="nil"/>
              <w:left w:val="nil"/>
              <w:bottom w:val="single" w:sz="4" w:space="0" w:color="auto"/>
              <w:right w:val="single" w:sz="4" w:space="0" w:color="auto"/>
            </w:tcBorders>
            <w:shd w:val="clear" w:color="000000" w:fill="E2EFDA"/>
            <w:vAlign w:val="center"/>
            <w:hideMark/>
          </w:tcPr>
          <w:p w14:paraId="24352804" w14:textId="77777777" w:rsidR="00250349" w:rsidRPr="00AA62BB" w:rsidRDefault="00250349" w:rsidP="00513011">
            <w:pPr>
              <w:jc w:val="center"/>
              <w:rPr>
                <w:rFonts w:ascii="Aptos" w:hAnsi="Aptos"/>
                <w:sz w:val="18"/>
                <w:szCs w:val="18"/>
              </w:rPr>
            </w:pPr>
            <w:r w:rsidRPr="00AA62BB">
              <w:rPr>
                <w:rFonts w:ascii="Aptos" w:hAnsi="Aptos"/>
                <w:sz w:val="18"/>
                <w:szCs w:val="18"/>
              </w:rPr>
              <w:t>Low</w:t>
            </w:r>
          </w:p>
        </w:tc>
        <w:tc>
          <w:tcPr>
            <w:tcW w:w="1277" w:type="dxa"/>
            <w:tcBorders>
              <w:top w:val="nil"/>
              <w:left w:val="single" w:sz="4" w:space="0" w:color="auto"/>
              <w:bottom w:val="single" w:sz="4" w:space="0" w:color="auto"/>
              <w:right w:val="single" w:sz="4" w:space="0" w:color="auto"/>
            </w:tcBorders>
            <w:shd w:val="clear" w:color="000000" w:fill="E2EFDA"/>
            <w:vAlign w:val="center"/>
            <w:hideMark/>
          </w:tcPr>
          <w:p w14:paraId="264CDB86" w14:textId="77777777" w:rsidR="00250349" w:rsidRPr="00AA62BB" w:rsidRDefault="00250349" w:rsidP="00513011">
            <w:pPr>
              <w:jc w:val="center"/>
              <w:rPr>
                <w:rFonts w:ascii="Aptos" w:hAnsi="Aptos"/>
                <w:sz w:val="18"/>
                <w:szCs w:val="18"/>
              </w:rPr>
            </w:pPr>
            <w:r w:rsidRPr="00AA62BB">
              <w:rPr>
                <w:rFonts w:ascii="Aptos" w:hAnsi="Aptos"/>
                <w:sz w:val="18"/>
                <w:szCs w:val="18"/>
              </w:rPr>
              <w:t>Low</w:t>
            </w:r>
          </w:p>
        </w:tc>
      </w:tr>
      <w:tr w:rsidR="00250349" w:rsidRPr="00AA62BB" w14:paraId="380D4700"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2F2F2"/>
            <w:vAlign w:val="center"/>
            <w:hideMark/>
          </w:tcPr>
          <w:p w14:paraId="0D21D81F" w14:textId="77777777" w:rsidR="00250349" w:rsidRPr="00AA62BB" w:rsidRDefault="00250349" w:rsidP="00781852">
            <w:pPr>
              <w:rPr>
                <w:rFonts w:ascii="Aptos" w:hAnsi="Aptos"/>
                <w:sz w:val="18"/>
                <w:szCs w:val="18"/>
              </w:rPr>
            </w:pPr>
            <w:r w:rsidRPr="00AA62BB">
              <w:rPr>
                <w:rFonts w:ascii="Aptos" w:hAnsi="Aptos"/>
                <w:sz w:val="18"/>
                <w:szCs w:val="18"/>
              </w:rPr>
              <w:t>Domain 2: Identification and selection of studies</w:t>
            </w:r>
          </w:p>
        </w:tc>
        <w:tc>
          <w:tcPr>
            <w:tcW w:w="1277" w:type="dxa"/>
            <w:tcBorders>
              <w:top w:val="nil"/>
              <w:left w:val="nil"/>
              <w:bottom w:val="single" w:sz="4" w:space="0" w:color="auto"/>
              <w:right w:val="single" w:sz="4" w:space="0" w:color="auto"/>
            </w:tcBorders>
            <w:shd w:val="clear" w:color="000000" w:fill="F2F2F2"/>
            <w:vAlign w:val="center"/>
            <w:hideMark/>
          </w:tcPr>
          <w:p w14:paraId="666CE62A" w14:textId="13C97274" w:rsidR="00250349" w:rsidRPr="00AA62BB" w:rsidRDefault="00250349" w:rsidP="00513011">
            <w:pPr>
              <w:jc w:val="center"/>
              <w:rPr>
                <w:rFonts w:ascii="Aptos" w:hAnsi="Aptos"/>
                <w:sz w:val="18"/>
                <w:szCs w:val="18"/>
              </w:rPr>
            </w:pPr>
          </w:p>
        </w:tc>
        <w:tc>
          <w:tcPr>
            <w:tcW w:w="1277" w:type="dxa"/>
            <w:tcBorders>
              <w:top w:val="nil"/>
              <w:left w:val="single" w:sz="4" w:space="0" w:color="auto"/>
              <w:bottom w:val="single" w:sz="4" w:space="0" w:color="auto"/>
              <w:right w:val="single" w:sz="4" w:space="0" w:color="auto"/>
            </w:tcBorders>
            <w:shd w:val="clear" w:color="000000" w:fill="F2F2F2"/>
            <w:vAlign w:val="center"/>
            <w:hideMark/>
          </w:tcPr>
          <w:p w14:paraId="7AC6CF57" w14:textId="32388E74" w:rsidR="00250349" w:rsidRPr="00AA62BB" w:rsidRDefault="00250349" w:rsidP="00513011">
            <w:pPr>
              <w:jc w:val="center"/>
              <w:rPr>
                <w:rFonts w:ascii="Aptos" w:hAnsi="Aptos"/>
                <w:sz w:val="18"/>
                <w:szCs w:val="18"/>
              </w:rPr>
            </w:pPr>
          </w:p>
        </w:tc>
      </w:tr>
      <w:tr w:rsidR="00250349" w:rsidRPr="00AA62BB" w14:paraId="28B8F715"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7069915B" w14:textId="77777777" w:rsidR="00250349" w:rsidRPr="00AA62BB" w:rsidRDefault="00250349" w:rsidP="00781852">
            <w:pPr>
              <w:rPr>
                <w:rFonts w:ascii="Aptos" w:hAnsi="Aptos"/>
                <w:sz w:val="18"/>
                <w:szCs w:val="18"/>
              </w:rPr>
            </w:pPr>
            <w:r w:rsidRPr="00AA62BB">
              <w:rPr>
                <w:rFonts w:ascii="Aptos" w:hAnsi="Aptos"/>
                <w:sz w:val="18"/>
                <w:szCs w:val="18"/>
              </w:rPr>
              <w:t>Did the search include an appropriate range of databases/electronic sources for published and unpublished reports?</w:t>
            </w:r>
          </w:p>
        </w:tc>
        <w:tc>
          <w:tcPr>
            <w:tcW w:w="1277" w:type="dxa"/>
            <w:tcBorders>
              <w:top w:val="nil"/>
              <w:left w:val="nil"/>
              <w:bottom w:val="single" w:sz="4" w:space="0" w:color="auto"/>
              <w:right w:val="single" w:sz="4" w:space="0" w:color="auto"/>
            </w:tcBorders>
            <w:shd w:val="clear" w:color="000000" w:fill="FFFFFF"/>
            <w:vAlign w:val="center"/>
            <w:hideMark/>
          </w:tcPr>
          <w:p w14:paraId="1CFA3F68"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475F291C"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4B0D6C09"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5AEBA749" w14:textId="77777777" w:rsidR="00250349" w:rsidRPr="00AA62BB" w:rsidRDefault="00250349" w:rsidP="00781852">
            <w:pPr>
              <w:rPr>
                <w:rFonts w:ascii="Aptos" w:hAnsi="Aptos"/>
                <w:sz w:val="18"/>
                <w:szCs w:val="18"/>
              </w:rPr>
            </w:pPr>
            <w:r w:rsidRPr="00AA62BB">
              <w:rPr>
                <w:rFonts w:ascii="Aptos" w:hAnsi="Aptos"/>
                <w:sz w:val="18"/>
                <w:szCs w:val="18"/>
              </w:rPr>
              <w:t>Were methods additional to database searching used to identify relevant reports?</w:t>
            </w:r>
          </w:p>
        </w:tc>
        <w:tc>
          <w:tcPr>
            <w:tcW w:w="1277" w:type="dxa"/>
            <w:tcBorders>
              <w:top w:val="nil"/>
              <w:left w:val="nil"/>
              <w:bottom w:val="single" w:sz="4" w:space="0" w:color="auto"/>
              <w:right w:val="single" w:sz="4" w:space="0" w:color="auto"/>
            </w:tcBorders>
            <w:shd w:val="clear" w:color="000000" w:fill="FFFFFF"/>
            <w:vAlign w:val="center"/>
            <w:hideMark/>
          </w:tcPr>
          <w:p w14:paraId="1D7D8060"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72B2A914"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72249502"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5CF67434" w14:textId="77777777" w:rsidR="00250349" w:rsidRPr="00AA62BB" w:rsidRDefault="00250349" w:rsidP="00781852">
            <w:pPr>
              <w:rPr>
                <w:rFonts w:ascii="Aptos" w:hAnsi="Aptos"/>
                <w:sz w:val="18"/>
                <w:szCs w:val="18"/>
              </w:rPr>
            </w:pPr>
            <w:r w:rsidRPr="00AA62BB">
              <w:rPr>
                <w:rFonts w:ascii="Aptos" w:hAnsi="Aptos"/>
                <w:sz w:val="18"/>
                <w:szCs w:val="18"/>
              </w:rPr>
              <w:t>Were the terms and structure of the search strategy likely to retrieve as many eligible studies as possible?</w:t>
            </w:r>
          </w:p>
        </w:tc>
        <w:tc>
          <w:tcPr>
            <w:tcW w:w="1277" w:type="dxa"/>
            <w:tcBorders>
              <w:top w:val="nil"/>
              <w:left w:val="nil"/>
              <w:bottom w:val="single" w:sz="4" w:space="0" w:color="auto"/>
              <w:right w:val="single" w:sz="4" w:space="0" w:color="auto"/>
            </w:tcBorders>
            <w:shd w:val="clear" w:color="000000" w:fill="FFFFFF"/>
            <w:vAlign w:val="center"/>
            <w:hideMark/>
          </w:tcPr>
          <w:p w14:paraId="75D4CE0C"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7FF1966B"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78CE7A6F"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00755D99" w14:textId="77777777" w:rsidR="00250349" w:rsidRPr="00AA62BB" w:rsidRDefault="00250349" w:rsidP="00781852">
            <w:pPr>
              <w:rPr>
                <w:rFonts w:ascii="Aptos" w:hAnsi="Aptos"/>
                <w:sz w:val="18"/>
                <w:szCs w:val="18"/>
              </w:rPr>
            </w:pPr>
            <w:r w:rsidRPr="00AA62BB">
              <w:rPr>
                <w:rFonts w:ascii="Aptos" w:hAnsi="Aptos"/>
                <w:sz w:val="18"/>
                <w:szCs w:val="18"/>
              </w:rPr>
              <w:t>Were restrictions based on date, publication format, or language appropriate?</w:t>
            </w:r>
          </w:p>
        </w:tc>
        <w:tc>
          <w:tcPr>
            <w:tcW w:w="1277" w:type="dxa"/>
            <w:tcBorders>
              <w:top w:val="nil"/>
              <w:left w:val="nil"/>
              <w:bottom w:val="single" w:sz="4" w:space="0" w:color="auto"/>
              <w:right w:val="single" w:sz="4" w:space="0" w:color="auto"/>
            </w:tcBorders>
            <w:shd w:val="clear" w:color="000000" w:fill="FFFFFF"/>
            <w:vAlign w:val="center"/>
            <w:hideMark/>
          </w:tcPr>
          <w:p w14:paraId="31947167" w14:textId="77777777" w:rsidR="00250349" w:rsidRPr="00AA62BB" w:rsidRDefault="00250349" w:rsidP="00513011">
            <w:pPr>
              <w:jc w:val="center"/>
              <w:rPr>
                <w:rFonts w:ascii="Aptos" w:hAnsi="Aptos"/>
                <w:sz w:val="18"/>
                <w:szCs w:val="18"/>
              </w:rPr>
            </w:pPr>
            <w:r w:rsidRPr="00AA62BB">
              <w:rPr>
                <w:rFonts w:ascii="Aptos" w:hAnsi="Aptos"/>
                <w:sz w:val="18"/>
                <w:szCs w:val="18"/>
              </w:rPr>
              <w:t>PN</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26CF4673" w14:textId="77777777" w:rsidR="00250349" w:rsidRPr="00AA62BB" w:rsidRDefault="00250349" w:rsidP="00513011">
            <w:pPr>
              <w:jc w:val="center"/>
              <w:rPr>
                <w:rFonts w:ascii="Aptos" w:hAnsi="Aptos"/>
                <w:sz w:val="18"/>
                <w:szCs w:val="18"/>
              </w:rPr>
            </w:pPr>
            <w:r w:rsidRPr="00AA62BB">
              <w:rPr>
                <w:rFonts w:ascii="Aptos" w:hAnsi="Aptos"/>
                <w:sz w:val="18"/>
                <w:szCs w:val="18"/>
              </w:rPr>
              <w:t>PN</w:t>
            </w:r>
          </w:p>
        </w:tc>
      </w:tr>
      <w:tr w:rsidR="00250349" w:rsidRPr="00AA62BB" w14:paraId="75CE7AEE"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243BF5EA" w14:textId="77777777" w:rsidR="00250349" w:rsidRPr="00AA62BB" w:rsidRDefault="00250349" w:rsidP="00781852">
            <w:pPr>
              <w:rPr>
                <w:rFonts w:ascii="Aptos" w:hAnsi="Aptos"/>
                <w:sz w:val="18"/>
                <w:szCs w:val="18"/>
              </w:rPr>
            </w:pPr>
            <w:r w:rsidRPr="00AA62BB">
              <w:rPr>
                <w:rFonts w:ascii="Aptos" w:hAnsi="Aptos"/>
                <w:sz w:val="18"/>
                <w:szCs w:val="18"/>
              </w:rPr>
              <w:t>Were efforts made to minimise error in selection of studies?</w:t>
            </w:r>
          </w:p>
        </w:tc>
        <w:tc>
          <w:tcPr>
            <w:tcW w:w="1277" w:type="dxa"/>
            <w:tcBorders>
              <w:top w:val="nil"/>
              <w:left w:val="nil"/>
              <w:bottom w:val="single" w:sz="4" w:space="0" w:color="auto"/>
              <w:right w:val="single" w:sz="4" w:space="0" w:color="auto"/>
            </w:tcBorders>
            <w:shd w:val="clear" w:color="000000" w:fill="FFFFFF"/>
            <w:vAlign w:val="center"/>
            <w:hideMark/>
          </w:tcPr>
          <w:p w14:paraId="2B55DE5D" w14:textId="77777777" w:rsidR="00250349" w:rsidRPr="00AA62BB" w:rsidRDefault="00250349" w:rsidP="00513011">
            <w:pPr>
              <w:jc w:val="center"/>
              <w:rPr>
                <w:rFonts w:ascii="Aptos" w:hAnsi="Aptos"/>
                <w:sz w:val="18"/>
                <w:szCs w:val="18"/>
              </w:rPr>
            </w:pPr>
            <w:r w:rsidRPr="00AA62BB">
              <w:rPr>
                <w:rFonts w:ascii="Aptos" w:hAnsi="Aptos"/>
                <w:sz w:val="18"/>
                <w:szCs w:val="18"/>
              </w:rPr>
              <w:t>NI</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18404CC9"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1FFD44A3"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0D4EFA58" w14:textId="77777777" w:rsidR="00250349" w:rsidRPr="00AA62BB" w:rsidRDefault="00250349" w:rsidP="00781852">
            <w:pPr>
              <w:rPr>
                <w:rFonts w:ascii="Aptos" w:hAnsi="Aptos"/>
                <w:sz w:val="18"/>
                <w:szCs w:val="18"/>
              </w:rPr>
            </w:pPr>
            <w:r w:rsidRPr="00AA62BB">
              <w:rPr>
                <w:rFonts w:ascii="Aptos" w:hAnsi="Aptos"/>
                <w:sz w:val="18"/>
                <w:szCs w:val="18"/>
              </w:rPr>
              <w:t>Concerns regarding methods used to identify and/or select studies: LOW, HIGH, UNCLEAR</w:t>
            </w:r>
          </w:p>
        </w:tc>
        <w:tc>
          <w:tcPr>
            <w:tcW w:w="1277" w:type="dxa"/>
            <w:tcBorders>
              <w:top w:val="nil"/>
              <w:left w:val="nil"/>
              <w:bottom w:val="single" w:sz="4" w:space="0" w:color="auto"/>
              <w:right w:val="single" w:sz="4" w:space="0" w:color="auto"/>
            </w:tcBorders>
            <w:shd w:val="clear" w:color="000000" w:fill="FFF2CC"/>
            <w:vAlign w:val="center"/>
            <w:hideMark/>
          </w:tcPr>
          <w:p w14:paraId="29E6BB71" w14:textId="77777777" w:rsidR="00250349" w:rsidRPr="00AA62BB" w:rsidRDefault="00250349" w:rsidP="00513011">
            <w:pPr>
              <w:jc w:val="center"/>
              <w:rPr>
                <w:rFonts w:ascii="Aptos" w:hAnsi="Aptos"/>
                <w:sz w:val="18"/>
                <w:szCs w:val="18"/>
              </w:rPr>
            </w:pPr>
            <w:r w:rsidRPr="00AA62BB">
              <w:rPr>
                <w:rFonts w:ascii="Aptos" w:hAnsi="Aptos"/>
                <w:sz w:val="18"/>
                <w:szCs w:val="18"/>
              </w:rPr>
              <w:t>Unclear</w:t>
            </w:r>
          </w:p>
        </w:tc>
        <w:tc>
          <w:tcPr>
            <w:tcW w:w="1277" w:type="dxa"/>
            <w:tcBorders>
              <w:top w:val="nil"/>
              <w:left w:val="single" w:sz="4" w:space="0" w:color="auto"/>
              <w:bottom w:val="single" w:sz="4" w:space="0" w:color="auto"/>
              <w:right w:val="single" w:sz="4" w:space="0" w:color="auto"/>
            </w:tcBorders>
            <w:shd w:val="clear" w:color="000000" w:fill="FFF2CC"/>
            <w:vAlign w:val="center"/>
            <w:hideMark/>
          </w:tcPr>
          <w:p w14:paraId="13B19DBE" w14:textId="77777777" w:rsidR="00250349" w:rsidRPr="00AA62BB" w:rsidRDefault="00250349" w:rsidP="00513011">
            <w:pPr>
              <w:jc w:val="center"/>
              <w:rPr>
                <w:rFonts w:ascii="Aptos" w:hAnsi="Aptos"/>
                <w:sz w:val="18"/>
                <w:szCs w:val="18"/>
              </w:rPr>
            </w:pPr>
            <w:r w:rsidRPr="00AA62BB">
              <w:rPr>
                <w:rFonts w:ascii="Aptos" w:hAnsi="Aptos"/>
                <w:sz w:val="18"/>
                <w:szCs w:val="18"/>
              </w:rPr>
              <w:t>Unclear</w:t>
            </w:r>
          </w:p>
        </w:tc>
      </w:tr>
      <w:tr w:rsidR="00250349" w:rsidRPr="00AA62BB" w14:paraId="497D6CBC"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2F2F2"/>
            <w:vAlign w:val="center"/>
            <w:hideMark/>
          </w:tcPr>
          <w:p w14:paraId="523EE70C" w14:textId="77777777" w:rsidR="00250349" w:rsidRPr="00AA62BB" w:rsidRDefault="00250349" w:rsidP="00781852">
            <w:pPr>
              <w:rPr>
                <w:rFonts w:ascii="Aptos" w:hAnsi="Aptos"/>
                <w:sz w:val="18"/>
                <w:szCs w:val="18"/>
              </w:rPr>
            </w:pPr>
            <w:r w:rsidRPr="00AA62BB">
              <w:rPr>
                <w:rFonts w:ascii="Aptos" w:hAnsi="Aptos"/>
                <w:sz w:val="18"/>
                <w:szCs w:val="18"/>
              </w:rPr>
              <w:t>Domain 3: Data collection and study appraisal</w:t>
            </w:r>
          </w:p>
        </w:tc>
        <w:tc>
          <w:tcPr>
            <w:tcW w:w="1277" w:type="dxa"/>
            <w:tcBorders>
              <w:top w:val="nil"/>
              <w:left w:val="nil"/>
              <w:bottom w:val="single" w:sz="4" w:space="0" w:color="auto"/>
              <w:right w:val="single" w:sz="4" w:space="0" w:color="auto"/>
            </w:tcBorders>
            <w:shd w:val="clear" w:color="000000" w:fill="F2F2F2"/>
            <w:vAlign w:val="center"/>
            <w:hideMark/>
          </w:tcPr>
          <w:p w14:paraId="52329C49" w14:textId="3EBDC877" w:rsidR="00250349" w:rsidRPr="00AA62BB" w:rsidRDefault="00250349" w:rsidP="00513011">
            <w:pPr>
              <w:jc w:val="center"/>
              <w:rPr>
                <w:rFonts w:ascii="Aptos" w:hAnsi="Aptos"/>
                <w:sz w:val="18"/>
                <w:szCs w:val="18"/>
              </w:rPr>
            </w:pPr>
          </w:p>
        </w:tc>
        <w:tc>
          <w:tcPr>
            <w:tcW w:w="1277" w:type="dxa"/>
            <w:tcBorders>
              <w:top w:val="nil"/>
              <w:left w:val="single" w:sz="4" w:space="0" w:color="auto"/>
              <w:bottom w:val="single" w:sz="4" w:space="0" w:color="auto"/>
              <w:right w:val="single" w:sz="4" w:space="0" w:color="auto"/>
            </w:tcBorders>
            <w:shd w:val="clear" w:color="000000" w:fill="F2F2F2"/>
            <w:vAlign w:val="center"/>
            <w:hideMark/>
          </w:tcPr>
          <w:p w14:paraId="7AA2900E" w14:textId="11C04C48" w:rsidR="00250349" w:rsidRPr="00AA62BB" w:rsidRDefault="00250349" w:rsidP="00513011">
            <w:pPr>
              <w:jc w:val="center"/>
              <w:rPr>
                <w:rFonts w:ascii="Aptos" w:hAnsi="Aptos"/>
                <w:sz w:val="18"/>
                <w:szCs w:val="18"/>
              </w:rPr>
            </w:pPr>
          </w:p>
        </w:tc>
      </w:tr>
      <w:tr w:rsidR="00250349" w:rsidRPr="00AA62BB" w14:paraId="07870D5E"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6BC147AE" w14:textId="77777777" w:rsidR="00250349" w:rsidRPr="00AA62BB" w:rsidRDefault="00250349" w:rsidP="00781852">
            <w:pPr>
              <w:rPr>
                <w:rFonts w:ascii="Aptos" w:hAnsi="Aptos"/>
                <w:sz w:val="18"/>
                <w:szCs w:val="18"/>
              </w:rPr>
            </w:pPr>
            <w:r w:rsidRPr="00AA62BB">
              <w:rPr>
                <w:rFonts w:ascii="Aptos" w:hAnsi="Aptos"/>
                <w:sz w:val="18"/>
                <w:szCs w:val="18"/>
              </w:rPr>
              <w:t>Were efforts made to minimise error in data collection?</w:t>
            </w:r>
          </w:p>
        </w:tc>
        <w:tc>
          <w:tcPr>
            <w:tcW w:w="1277" w:type="dxa"/>
            <w:tcBorders>
              <w:top w:val="nil"/>
              <w:left w:val="nil"/>
              <w:bottom w:val="single" w:sz="4" w:space="0" w:color="auto"/>
              <w:right w:val="single" w:sz="4" w:space="0" w:color="auto"/>
            </w:tcBorders>
            <w:shd w:val="clear" w:color="000000" w:fill="FFFFFF"/>
            <w:vAlign w:val="center"/>
            <w:hideMark/>
          </w:tcPr>
          <w:p w14:paraId="70E7C0D0"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05DCED44" w14:textId="77777777" w:rsidR="00250349" w:rsidRPr="00AA62BB" w:rsidRDefault="00250349" w:rsidP="00513011">
            <w:pPr>
              <w:jc w:val="center"/>
              <w:rPr>
                <w:rFonts w:ascii="Aptos" w:hAnsi="Aptos"/>
                <w:sz w:val="18"/>
                <w:szCs w:val="18"/>
              </w:rPr>
            </w:pPr>
            <w:r w:rsidRPr="00AA62BB">
              <w:rPr>
                <w:rFonts w:ascii="Aptos" w:hAnsi="Aptos"/>
                <w:sz w:val="18"/>
                <w:szCs w:val="18"/>
              </w:rPr>
              <w:t>NI</w:t>
            </w:r>
          </w:p>
        </w:tc>
      </w:tr>
      <w:tr w:rsidR="00250349" w:rsidRPr="00AA62BB" w14:paraId="39DC3AF5"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63188372" w14:textId="77777777" w:rsidR="00250349" w:rsidRPr="00AA62BB" w:rsidRDefault="00250349" w:rsidP="00781852">
            <w:pPr>
              <w:rPr>
                <w:rFonts w:ascii="Aptos" w:hAnsi="Aptos"/>
                <w:sz w:val="18"/>
                <w:szCs w:val="18"/>
              </w:rPr>
            </w:pPr>
            <w:r w:rsidRPr="00AA62BB">
              <w:rPr>
                <w:rFonts w:ascii="Aptos" w:hAnsi="Aptos"/>
                <w:sz w:val="18"/>
                <w:szCs w:val="18"/>
              </w:rPr>
              <w:t>Were sufficient study characteristics available for both review authors and readers to be able to interpret the results?</w:t>
            </w:r>
          </w:p>
        </w:tc>
        <w:tc>
          <w:tcPr>
            <w:tcW w:w="1277" w:type="dxa"/>
            <w:tcBorders>
              <w:top w:val="nil"/>
              <w:left w:val="nil"/>
              <w:bottom w:val="single" w:sz="4" w:space="0" w:color="auto"/>
              <w:right w:val="single" w:sz="4" w:space="0" w:color="auto"/>
            </w:tcBorders>
            <w:shd w:val="clear" w:color="000000" w:fill="FFFFFF"/>
            <w:vAlign w:val="center"/>
            <w:hideMark/>
          </w:tcPr>
          <w:p w14:paraId="3E77A460"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0EE9C94D"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34EEB2B0"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50CE9462" w14:textId="77777777" w:rsidR="00250349" w:rsidRPr="00AA62BB" w:rsidRDefault="00250349" w:rsidP="00781852">
            <w:pPr>
              <w:rPr>
                <w:rFonts w:ascii="Aptos" w:hAnsi="Aptos"/>
                <w:sz w:val="18"/>
                <w:szCs w:val="18"/>
              </w:rPr>
            </w:pPr>
            <w:r w:rsidRPr="00AA62BB">
              <w:rPr>
                <w:rFonts w:ascii="Aptos" w:hAnsi="Aptos"/>
                <w:sz w:val="18"/>
                <w:szCs w:val="18"/>
              </w:rPr>
              <w:t>Were all relevant study results collected for use in the synthesis?</w:t>
            </w:r>
          </w:p>
        </w:tc>
        <w:tc>
          <w:tcPr>
            <w:tcW w:w="1277" w:type="dxa"/>
            <w:tcBorders>
              <w:top w:val="nil"/>
              <w:left w:val="nil"/>
              <w:bottom w:val="single" w:sz="4" w:space="0" w:color="auto"/>
              <w:right w:val="single" w:sz="4" w:space="0" w:color="auto"/>
            </w:tcBorders>
            <w:shd w:val="clear" w:color="000000" w:fill="FFFFFF"/>
            <w:vAlign w:val="center"/>
            <w:hideMark/>
          </w:tcPr>
          <w:p w14:paraId="201F431A"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6A5E0B91"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2C52D2F8"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4449CAD3" w14:textId="77777777" w:rsidR="00250349" w:rsidRPr="00AA62BB" w:rsidRDefault="00250349" w:rsidP="00781852">
            <w:pPr>
              <w:rPr>
                <w:rFonts w:ascii="Aptos" w:hAnsi="Aptos"/>
                <w:sz w:val="18"/>
                <w:szCs w:val="18"/>
              </w:rPr>
            </w:pPr>
            <w:r w:rsidRPr="00AA62BB">
              <w:rPr>
                <w:rFonts w:ascii="Aptos" w:hAnsi="Aptos"/>
                <w:sz w:val="18"/>
                <w:szCs w:val="18"/>
              </w:rPr>
              <w:t>Was risk of bias (or methodological quality) formally assessed using appropriate criteria?</w:t>
            </w:r>
          </w:p>
        </w:tc>
        <w:tc>
          <w:tcPr>
            <w:tcW w:w="1277" w:type="dxa"/>
            <w:tcBorders>
              <w:top w:val="nil"/>
              <w:left w:val="nil"/>
              <w:bottom w:val="single" w:sz="4" w:space="0" w:color="auto"/>
              <w:right w:val="single" w:sz="4" w:space="0" w:color="auto"/>
            </w:tcBorders>
            <w:shd w:val="clear" w:color="000000" w:fill="FFFFFF"/>
            <w:vAlign w:val="center"/>
            <w:hideMark/>
          </w:tcPr>
          <w:p w14:paraId="5DF6E607"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63E39187"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606661D6"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00742F4B" w14:textId="77777777" w:rsidR="00250349" w:rsidRPr="00AA62BB" w:rsidRDefault="00250349" w:rsidP="00781852">
            <w:pPr>
              <w:rPr>
                <w:rFonts w:ascii="Aptos" w:hAnsi="Aptos"/>
                <w:sz w:val="18"/>
                <w:szCs w:val="18"/>
              </w:rPr>
            </w:pPr>
            <w:r w:rsidRPr="00AA62BB">
              <w:rPr>
                <w:rFonts w:ascii="Aptos" w:hAnsi="Aptos"/>
                <w:sz w:val="18"/>
                <w:szCs w:val="18"/>
              </w:rPr>
              <w:t>Were efforts made to minimise error in risk of bias assessment?</w:t>
            </w:r>
          </w:p>
        </w:tc>
        <w:tc>
          <w:tcPr>
            <w:tcW w:w="1277" w:type="dxa"/>
            <w:tcBorders>
              <w:top w:val="nil"/>
              <w:left w:val="nil"/>
              <w:bottom w:val="single" w:sz="4" w:space="0" w:color="auto"/>
              <w:right w:val="single" w:sz="4" w:space="0" w:color="auto"/>
            </w:tcBorders>
            <w:shd w:val="clear" w:color="000000" w:fill="FFFFFF"/>
            <w:vAlign w:val="center"/>
            <w:hideMark/>
          </w:tcPr>
          <w:p w14:paraId="0446F065"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3081033F" w14:textId="77777777" w:rsidR="00250349" w:rsidRPr="00AA62BB" w:rsidRDefault="00250349" w:rsidP="00513011">
            <w:pPr>
              <w:jc w:val="center"/>
              <w:rPr>
                <w:rFonts w:ascii="Aptos" w:hAnsi="Aptos"/>
                <w:sz w:val="18"/>
                <w:szCs w:val="18"/>
              </w:rPr>
            </w:pPr>
            <w:r w:rsidRPr="00AA62BB">
              <w:rPr>
                <w:rFonts w:ascii="Aptos" w:hAnsi="Aptos"/>
                <w:sz w:val="18"/>
                <w:szCs w:val="18"/>
              </w:rPr>
              <w:t>NI</w:t>
            </w:r>
          </w:p>
        </w:tc>
      </w:tr>
      <w:tr w:rsidR="00250349" w:rsidRPr="00AA62BB" w14:paraId="4A90658C"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52C43E0C" w14:textId="77777777" w:rsidR="00250349" w:rsidRPr="00AA62BB" w:rsidRDefault="00250349" w:rsidP="00781852">
            <w:pPr>
              <w:rPr>
                <w:rFonts w:ascii="Aptos" w:hAnsi="Aptos"/>
                <w:sz w:val="18"/>
                <w:szCs w:val="18"/>
              </w:rPr>
            </w:pPr>
            <w:r w:rsidRPr="00AA62BB">
              <w:rPr>
                <w:rFonts w:ascii="Aptos" w:hAnsi="Aptos"/>
                <w:sz w:val="18"/>
                <w:szCs w:val="18"/>
              </w:rPr>
              <w:t>Concerns regarding methods used to collect data and appraise studies: LOW, HIGH, UNCLEAR</w:t>
            </w:r>
          </w:p>
        </w:tc>
        <w:tc>
          <w:tcPr>
            <w:tcW w:w="1277" w:type="dxa"/>
            <w:tcBorders>
              <w:top w:val="nil"/>
              <w:left w:val="nil"/>
              <w:bottom w:val="single" w:sz="4" w:space="0" w:color="auto"/>
              <w:right w:val="single" w:sz="4" w:space="0" w:color="auto"/>
            </w:tcBorders>
            <w:shd w:val="clear" w:color="000000" w:fill="E2EFDA"/>
            <w:vAlign w:val="center"/>
            <w:hideMark/>
          </w:tcPr>
          <w:p w14:paraId="4D8D38C9" w14:textId="77777777" w:rsidR="00250349" w:rsidRPr="00AA62BB" w:rsidRDefault="00250349" w:rsidP="00513011">
            <w:pPr>
              <w:jc w:val="center"/>
              <w:rPr>
                <w:rFonts w:ascii="Aptos" w:hAnsi="Aptos"/>
                <w:sz w:val="18"/>
                <w:szCs w:val="18"/>
              </w:rPr>
            </w:pPr>
            <w:r w:rsidRPr="00AA62BB">
              <w:rPr>
                <w:rFonts w:ascii="Aptos" w:hAnsi="Aptos"/>
                <w:sz w:val="18"/>
                <w:szCs w:val="18"/>
              </w:rPr>
              <w:t>Low</w:t>
            </w:r>
          </w:p>
        </w:tc>
        <w:tc>
          <w:tcPr>
            <w:tcW w:w="1277" w:type="dxa"/>
            <w:tcBorders>
              <w:top w:val="nil"/>
              <w:left w:val="single" w:sz="4" w:space="0" w:color="auto"/>
              <w:bottom w:val="single" w:sz="4" w:space="0" w:color="auto"/>
              <w:right w:val="single" w:sz="4" w:space="0" w:color="auto"/>
            </w:tcBorders>
            <w:shd w:val="clear" w:color="000000" w:fill="E2EFDA"/>
            <w:vAlign w:val="center"/>
            <w:hideMark/>
          </w:tcPr>
          <w:p w14:paraId="3DC85C79" w14:textId="77777777" w:rsidR="00250349" w:rsidRPr="00AA62BB" w:rsidRDefault="00250349" w:rsidP="00513011">
            <w:pPr>
              <w:jc w:val="center"/>
              <w:rPr>
                <w:rFonts w:ascii="Aptos" w:hAnsi="Aptos"/>
                <w:sz w:val="18"/>
                <w:szCs w:val="18"/>
              </w:rPr>
            </w:pPr>
            <w:r w:rsidRPr="00AA62BB">
              <w:rPr>
                <w:rFonts w:ascii="Aptos" w:hAnsi="Aptos"/>
                <w:sz w:val="18"/>
                <w:szCs w:val="18"/>
              </w:rPr>
              <w:t>Low</w:t>
            </w:r>
          </w:p>
        </w:tc>
      </w:tr>
      <w:tr w:rsidR="00250349" w:rsidRPr="00AA62BB" w14:paraId="52A2E32D"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2F2F2"/>
            <w:vAlign w:val="center"/>
            <w:hideMark/>
          </w:tcPr>
          <w:p w14:paraId="209492AA" w14:textId="77777777" w:rsidR="00250349" w:rsidRPr="00AA62BB" w:rsidRDefault="00250349" w:rsidP="00781852">
            <w:pPr>
              <w:rPr>
                <w:rFonts w:ascii="Aptos" w:hAnsi="Aptos"/>
                <w:sz w:val="18"/>
                <w:szCs w:val="18"/>
              </w:rPr>
            </w:pPr>
            <w:r w:rsidRPr="00AA62BB">
              <w:rPr>
                <w:rFonts w:ascii="Aptos" w:hAnsi="Aptos"/>
                <w:sz w:val="18"/>
                <w:szCs w:val="18"/>
              </w:rPr>
              <w:t>Domain 4: Synthesis and findings</w:t>
            </w:r>
          </w:p>
        </w:tc>
        <w:tc>
          <w:tcPr>
            <w:tcW w:w="1277" w:type="dxa"/>
            <w:tcBorders>
              <w:top w:val="nil"/>
              <w:left w:val="nil"/>
              <w:bottom w:val="single" w:sz="4" w:space="0" w:color="auto"/>
              <w:right w:val="single" w:sz="4" w:space="0" w:color="auto"/>
            </w:tcBorders>
            <w:shd w:val="clear" w:color="000000" w:fill="F2F2F2"/>
            <w:vAlign w:val="center"/>
            <w:hideMark/>
          </w:tcPr>
          <w:p w14:paraId="7ECB3F53" w14:textId="193B31D6" w:rsidR="00250349" w:rsidRPr="00AA62BB" w:rsidRDefault="00250349" w:rsidP="00513011">
            <w:pPr>
              <w:jc w:val="center"/>
              <w:rPr>
                <w:rFonts w:ascii="Aptos" w:hAnsi="Aptos"/>
                <w:sz w:val="18"/>
                <w:szCs w:val="18"/>
              </w:rPr>
            </w:pPr>
          </w:p>
        </w:tc>
        <w:tc>
          <w:tcPr>
            <w:tcW w:w="1277" w:type="dxa"/>
            <w:tcBorders>
              <w:top w:val="nil"/>
              <w:left w:val="single" w:sz="4" w:space="0" w:color="auto"/>
              <w:bottom w:val="single" w:sz="4" w:space="0" w:color="auto"/>
              <w:right w:val="single" w:sz="4" w:space="0" w:color="auto"/>
            </w:tcBorders>
            <w:shd w:val="clear" w:color="000000" w:fill="F2F2F2"/>
            <w:vAlign w:val="center"/>
            <w:hideMark/>
          </w:tcPr>
          <w:p w14:paraId="56493C80" w14:textId="0EF3A3C1" w:rsidR="00250349" w:rsidRPr="00AA62BB" w:rsidRDefault="00250349" w:rsidP="00513011">
            <w:pPr>
              <w:jc w:val="center"/>
              <w:rPr>
                <w:rFonts w:ascii="Aptos" w:hAnsi="Aptos"/>
                <w:sz w:val="18"/>
                <w:szCs w:val="18"/>
              </w:rPr>
            </w:pPr>
          </w:p>
        </w:tc>
      </w:tr>
      <w:tr w:rsidR="00250349" w:rsidRPr="00AA62BB" w14:paraId="19793DCA"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4DF205AC" w14:textId="77777777" w:rsidR="00250349" w:rsidRPr="00AA62BB" w:rsidRDefault="00250349" w:rsidP="00781852">
            <w:pPr>
              <w:rPr>
                <w:rFonts w:ascii="Aptos" w:hAnsi="Aptos"/>
                <w:sz w:val="18"/>
                <w:szCs w:val="18"/>
              </w:rPr>
            </w:pPr>
            <w:r w:rsidRPr="00AA62BB">
              <w:rPr>
                <w:rFonts w:ascii="Aptos" w:hAnsi="Aptos"/>
                <w:sz w:val="18"/>
                <w:szCs w:val="18"/>
              </w:rPr>
              <w:lastRenderedPageBreak/>
              <w:t>Did the synthesis include all studies that it should?</w:t>
            </w:r>
          </w:p>
        </w:tc>
        <w:tc>
          <w:tcPr>
            <w:tcW w:w="1277" w:type="dxa"/>
            <w:tcBorders>
              <w:top w:val="nil"/>
              <w:left w:val="nil"/>
              <w:bottom w:val="single" w:sz="4" w:space="0" w:color="auto"/>
              <w:right w:val="single" w:sz="4" w:space="0" w:color="auto"/>
            </w:tcBorders>
            <w:shd w:val="clear" w:color="000000" w:fill="FFFFFF"/>
            <w:vAlign w:val="center"/>
            <w:hideMark/>
          </w:tcPr>
          <w:p w14:paraId="58D06688"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4DFA6172"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r>
      <w:tr w:rsidR="00250349" w:rsidRPr="00AA62BB" w14:paraId="7CB4731B"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5B442D06" w14:textId="77777777" w:rsidR="00250349" w:rsidRPr="00AA62BB" w:rsidRDefault="00250349" w:rsidP="00781852">
            <w:pPr>
              <w:rPr>
                <w:rFonts w:ascii="Aptos" w:hAnsi="Aptos"/>
                <w:sz w:val="18"/>
                <w:szCs w:val="18"/>
              </w:rPr>
            </w:pPr>
            <w:r w:rsidRPr="00AA62BB">
              <w:rPr>
                <w:rFonts w:ascii="Aptos" w:hAnsi="Aptos"/>
                <w:sz w:val="18"/>
                <w:szCs w:val="18"/>
              </w:rPr>
              <w:t>Were all pre</w:t>
            </w:r>
            <w:r w:rsidRPr="00AA62BB">
              <w:rPr>
                <w:rFonts w:ascii="Cambria Math" w:hAnsi="Cambria Math" w:cs="Cambria Math"/>
                <w:sz w:val="18"/>
                <w:szCs w:val="18"/>
              </w:rPr>
              <w:t>‐</w:t>
            </w:r>
            <w:r w:rsidRPr="00AA62BB">
              <w:rPr>
                <w:rFonts w:ascii="Aptos" w:hAnsi="Aptos"/>
                <w:sz w:val="18"/>
                <w:szCs w:val="18"/>
              </w:rPr>
              <w:t>defined analyses reported or departures explained?</w:t>
            </w:r>
          </w:p>
        </w:tc>
        <w:tc>
          <w:tcPr>
            <w:tcW w:w="1277" w:type="dxa"/>
            <w:tcBorders>
              <w:top w:val="nil"/>
              <w:left w:val="nil"/>
              <w:bottom w:val="single" w:sz="4" w:space="0" w:color="auto"/>
              <w:right w:val="single" w:sz="4" w:space="0" w:color="auto"/>
            </w:tcBorders>
            <w:shd w:val="clear" w:color="000000" w:fill="FFFFFF"/>
            <w:vAlign w:val="center"/>
            <w:hideMark/>
          </w:tcPr>
          <w:p w14:paraId="61801353" w14:textId="77777777" w:rsidR="00250349" w:rsidRPr="00AA62BB" w:rsidRDefault="00250349" w:rsidP="00513011">
            <w:pPr>
              <w:jc w:val="center"/>
              <w:rPr>
                <w:rFonts w:ascii="Aptos" w:hAnsi="Aptos"/>
                <w:sz w:val="18"/>
                <w:szCs w:val="18"/>
              </w:rPr>
            </w:pPr>
            <w:r w:rsidRPr="00AA62BB">
              <w:rPr>
                <w:rFonts w:ascii="Aptos" w:hAnsi="Aptos"/>
                <w:sz w:val="18"/>
                <w:szCs w:val="18"/>
              </w:rPr>
              <w:t>PY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09723052"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37197DFF"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31B0D14A" w14:textId="77777777" w:rsidR="00250349" w:rsidRPr="00AA62BB" w:rsidRDefault="00250349" w:rsidP="00781852">
            <w:pPr>
              <w:rPr>
                <w:rFonts w:ascii="Aptos" w:hAnsi="Aptos"/>
                <w:sz w:val="18"/>
                <w:szCs w:val="18"/>
              </w:rPr>
            </w:pPr>
            <w:r w:rsidRPr="00AA62BB">
              <w:rPr>
                <w:rFonts w:ascii="Aptos" w:hAnsi="Aptos"/>
                <w:sz w:val="18"/>
                <w:szCs w:val="18"/>
              </w:rPr>
              <w:t>Was the synthesis appropriate given the nature and similarity in the research questions, study designs and outcomes across included studies?</w:t>
            </w:r>
          </w:p>
        </w:tc>
        <w:tc>
          <w:tcPr>
            <w:tcW w:w="1277" w:type="dxa"/>
            <w:tcBorders>
              <w:top w:val="nil"/>
              <w:left w:val="nil"/>
              <w:bottom w:val="single" w:sz="4" w:space="0" w:color="auto"/>
              <w:right w:val="single" w:sz="4" w:space="0" w:color="auto"/>
            </w:tcBorders>
            <w:shd w:val="clear" w:color="000000" w:fill="FFFFFF"/>
            <w:vAlign w:val="center"/>
            <w:hideMark/>
          </w:tcPr>
          <w:p w14:paraId="6759CEBC"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7B5CEDBE"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3FF330A0"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68036FBC" w14:textId="77777777" w:rsidR="00250349" w:rsidRPr="00AA62BB" w:rsidRDefault="00250349" w:rsidP="00781852">
            <w:pPr>
              <w:rPr>
                <w:rFonts w:ascii="Aptos" w:hAnsi="Aptos"/>
                <w:sz w:val="18"/>
                <w:szCs w:val="18"/>
              </w:rPr>
            </w:pPr>
            <w:r w:rsidRPr="00AA62BB">
              <w:rPr>
                <w:rFonts w:ascii="Aptos" w:hAnsi="Aptos"/>
                <w:sz w:val="18"/>
                <w:szCs w:val="18"/>
              </w:rPr>
              <w:t>Was between</w:t>
            </w:r>
            <w:r w:rsidRPr="00AA62BB">
              <w:rPr>
                <w:rFonts w:ascii="Cambria Math" w:hAnsi="Cambria Math" w:cs="Cambria Math"/>
                <w:sz w:val="18"/>
                <w:szCs w:val="18"/>
              </w:rPr>
              <w:t>‐</w:t>
            </w:r>
            <w:r w:rsidRPr="00AA62BB">
              <w:rPr>
                <w:rFonts w:ascii="Aptos" w:hAnsi="Aptos"/>
                <w:sz w:val="18"/>
                <w:szCs w:val="18"/>
              </w:rPr>
              <w:t>study variation (heterogeneity) minimal or addressed in the synthesis?</w:t>
            </w:r>
          </w:p>
        </w:tc>
        <w:tc>
          <w:tcPr>
            <w:tcW w:w="1277" w:type="dxa"/>
            <w:tcBorders>
              <w:top w:val="nil"/>
              <w:left w:val="nil"/>
              <w:bottom w:val="single" w:sz="4" w:space="0" w:color="auto"/>
              <w:right w:val="single" w:sz="4" w:space="0" w:color="auto"/>
            </w:tcBorders>
            <w:shd w:val="clear" w:color="000000" w:fill="FFFFFF"/>
            <w:vAlign w:val="center"/>
            <w:hideMark/>
          </w:tcPr>
          <w:p w14:paraId="66E25FCD"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158239E1"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1DBFFA7D"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6F9D3354" w14:textId="77777777" w:rsidR="00250349" w:rsidRPr="00AA62BB" w:rsidRDefault="00250349" w:rsidP="00781852">
            <w:pPr>
              <w:rPr>
                <w:rFonts w:ascii="Aptos" w:hAnsi="Aptos"/>
                <w:sz w:val="18"/>
                <w:szCs w:val="18"/>
              </w:rPr>
            </w:pPr>
            <w:r w:rsidRPr="00AA62BB">
              <w:rPr>
                <w:rFonts w:ascii="Aptos" w:hAnsi="Aptos"/>
                <w:sz w:val="18"/>
                <w:szCs w:val="18"/>
              </w:rPr>
              <w:t>Were the findings robust, e.g. as demonstrated through funnel plot or sensitivity analyses?</w:t>
            </w:r>
          </w:p>
        </w:tc>
        <w:tc>
          <w:tcPr>
            <w:tcW w:w="1277" w:type="dxa"/>
            <w:tcBorders>
              <w:top w:val="nil"/>
              <w:left w:val="nil"/>
              <w:bottom w:val="single" w:sz="4" w:space="0" w:color="auto"/>
              <w:right w:val="single" w:sz="4" w:space="0" w:color="auto"/>
            </w:tcBorders>
            <w:shd w:val="clear" w:color="000000" w:fill="FFFFFF"/>
            <w:vAlign w:val="center"/>
            <w:hideMark/>
          </w:tcPr>
          <w:p w14:paraId="7CC7091C"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7AB57114"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06A52C50"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68F94860" w14:textId="77777777" w:rsidR="00250349" w:rsidRPr="00AA62BB" w:rsidRDefault="00250349" w:rsidP="00781852">
            <w:pPr>
              <w:rPr>
                <w:rFonts w:ascii="Aptos" w:hAnsi="Aptos"/>
                <w:sz w:val="18"/>
                <w:szCs w:val="18"/>
              </w:rPr>
            </w:pPr>
            <w:r w:rsidRPr="00AA62BB">
              <w:rPr>
                <w:rFonts w:ascii="Aptos" w:hAnsi="Aptos"/>
                <w:sz w:val="18"/>
                <w:szCs w:val="18"/>
              </w:rPr>
              <w:t>Were biases in primary studies minimal or addressed in the synthesis?</w:t>
            </w:r>
          </w:p>
        </w:tc>
        <w:tc>
          <w:tcPr>
            <w:tcW w:w="1277" w:type="dxa"/>
            <w:tcBorders>
              <w:top w:val="nil"/>
              <w:left w:val="nil"/>
              <w:bottom w:val="single" w:sz="4" w:space="0" w:color="auto"/>
              <w:right w:val="single" w:sz="4" w:space="0" w:color="auto"/>
            </w:tcBorders>
            <w:shd w:val="clear" w:color="000000" w:fill="FFFFFF"/>
            <w:vAlign w:val="center"/>
            <w:hideMark/>
          </w:tcPr>
          <w:p w14:paraId="3E5A8934"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324E732C"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00081957"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09A1BDED" w14:textId="77777777" w:rsidR="00250349" w:rsidRPr="00AA62BB" w:rsidRDefault="00250349" w:rsidP="00781852">
            <w:pPr>
              <w:rPr>
                <w:rFonts w:ascii="Aptos" w:hAnsi="Aptos"/>
                <w:sz w:val="18"/>
                <w:szCs w:val="18"/>
              </w:rPr>
            </w:pPr>
            <w:r w:rsidRPr="00AA62BB">
              <w:rPr>
                <w:rFonts w:ascii="Aptos" w:hAnsi="Aptos"/>
                <w:sz w:val="18"/>
                <w:szCs w:val="18"/>
              </w:rPr>
              <w:t>Concerns regarding the synthesis and finding: LOW, HIGH, UNCLEAR</w:t>
            </w:r>
          </w:p>
        </w:tc>
        <w:tc>
          <w:tcPr>
            <w:tcW w:w="1277" w:type="dxa"/>
            <w:tcBorders>
              <w:top w:val="nil"/>
              <w:left w:val="nil"/>
              <w:bottom w:val="single" w:sz="4" w:space="0" w:color="auto"/>
              <w:right w:val="single" w:sz="4" w:space="0" w:color="auto"/>
            </w:tcBorders>
            <w:shd w:val="clear" w:color="000000" w:fill="E2EFDA"/>
            <w:vAlign w:val="center"/>
            <w:hideMark/>
          </w:tcPr>
          <w:p w14:paraId="1CFFDDCE" w14:textId="77777777" w:rsidR="00250349" w:rsidRPr="00AA62BB" w:rsidRDefault="00250349" w:rsidP="00513011">
            <w:pPr>
              <w:jc w:val="center"/>
              <w:rPr>
                <w:rFonts w:ascii="Aptos" w:hAnsi="Aptos"/>
                <w:sz w:val="18"/>
                <w:szCs w:val="18"/>
              </w:rPr>
            </w:pPr>
            <w:r w:rsidRPr="00AA62BB">
              <w:rPr>
                <w:rFonts w:ascii="Aptos" w:hAnsi="Aptos"/>
                <w:sz w:val="18"/>
                <w:szCs w:val="18"/>
              </w:rPr>
              <w:t>Low</w:t>
            </w:r>
          </w:p>
        </w:tc>
        <w:tc>
          <w:tcPr>
            <w:tcW w:w="1277" w:type="dxa"/>
            <w:tcBorders>
              <w:top w:val="nil"/>
              <w:left w:val="single" w:sz="4" w:space="0" w:color="auto"/>
              <w:bottom w:val="single" w:sz="4" w:space="0" w:color="auto"/>
              <w:right w:val="single" w:sz="4" w:space="0" w:color="auto"/>
            </w:tcBorders>
            <w:shd w:val="clear" w:color="000000" w:fill="E2EFDA"/>
            <w:vAlign w:val="center"/>
            <w:hideMark/>
          </w:tcPr>
          <w:p w14:paraId="1EECDDDD" w14:textId="77777777" w:rsidR="00250349" w:rsidRPr="00AA62BB" w:rsidRDefault="00250349" w:rsidP="00513011">
            <w:pPr>
              <w:jc w:val="center"/>
              <w:rPr>
                <w:rFonts w:ascii="Aptos" w:hAnsi="Aptos"/>
                <w:sz w:val="18"/>
                <w:szCs w:val="18"/>
              </w:rPr>
            </w:pPr>
            <w:r w:rsidRPr="00AA62BB">
              <w:rPr>
                <w:rFonts w:ascii="Aptos" w:hAnsi="Aptos"/>
                <w:sz w:val="18"/>
                <w:szCs w:val="18"/>
              </w:rPr>
              <w:t>Low</w:t>
            </w:r>
          </w:p>
        </w:tc>
      </w:tr>
      <w:tr w:rsidR="00250349" w:rsidRPr="00AA62BB" w14:paraId="6FB1C96C"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D9D9D9"/>
            <w:vAlign w:val="center"/>
            <w:hideMark/>
          </w:tcPr>
          <w:p w14:paraId="51C0DEF8" w14:textId="77777777" w:rsidR="00250349" w:rsidRPr="00AA62BB" w:rsidRDefault="00250349" w:rsidP="00781852">
            <w:pPr>
              <w:rPr>
                <w:rFonts w:ascii="Aptos" w:hAnsi="Aptos"/>
                <w:sz w:val="18"/>
                <w:szCs w:val="18"/>
              </w:rPr>
            </w:pPr>
            <w:r w:rsidRPr="00AA62BB">
              <w:rPr>
                <w:rFonts w:ascii="Aptos" w:hAnsi="Aptos"/>
                <w:sz w:val="18"/>
                <w:szCs w:val="18"/>
              </w:rPr>
              <w:t>Risk of bias in the review</w:t>
            </w:r>
          </w:p>
        </w:tc>
        <w:tc>
          <w:tcPr>
            <w:tcW w:w="1277" w:type="dxa"/>
            <w:tcBorders>
              <w:top w:val="nil"/>
              <w:left w:val="nil"/>
              <w:bottom w:val="single" w:sz="4" w:space="0" w:color="auto"/>
              <w:right w:val="single" w:sz="4" w:space="0" w:color="auto"/>
            </w:tcBorders>
            <w:shd w:val="clear" w:color="000000" w:fill="D9D9D9"/>
            <w:vAlign w:val="center"/>
            <w:hideMark/>
          </w:tcPr>
          <w:p w14:paraId="6F36AB0E" w14:textId="33DDE1C1" w:rsidR="00250349" w:rsidRPr="00AA62BB" w:rsidRDefault="00250349" w:rsidP="00513011">
            <w:pPr>
              <w:jc w:val="center"/>
              <w:rPr>
                <w:rFonts w:ascii="Aptos" w:hAnsi="Aptos"/>
                <w:sz w:val="18"/>
                <w:szCs w:val="18"/>
              </w:rPr>
            </w:pPr>
          </w:p>
        </w:tc>
        <w:tc>
          <w:tcPr>
            <w:tcW w:w="1277" w:type="dxa"/>
            <w:tcBorders>
              <w:top w:val="nil"/>
              <w:left w:val="single" w:sz="4" w:space="0" w:color="auto"/>
              <w:bottom w:val="single" w:sz="4" w:space="0" w:color="auto"/>
              <w:right w:val="single" w:sz="4" w:space="0" w:color="auto"/>
            </w:tcBorders>
            <w:shd w:val="clear" w:color="000000" w:fill="D9D9D9"/>
            <w:vAlign w:val="center"/>
            <w:hideMark/>
          </w:tcPr>
          <w:p w14:paraId="1F4D3332" w14:textId="622A7D42" w:rsidR="00250349" w:rsidRPr="00AA62BB" w:rsidRDefault="00250349" w:rsidP="00513011">
            <w:pPr>
              <w:jc w:val="center"/>
              <w:rPr>
                <w:rFonts w:ascii="Aptos" w:hAnsi="Aptos"/>
                <w:sz w:val="18"/>
                <w:szCs w:val="18"/>
              </w:rPr>
            </w:pPr>
          </w:p>
        </w:tc>
      </w:tr>
      <w:tr w:rsidR="00250349" w:rsidRPr="00AA62BB" w14:paraId="64F27B3E"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12892049" w14:textId="77777777" w:rsidR="00250349" w:rsidRPr="00AA62BB" w:rsidRDefault="00250349" w:rsidP="00781852">
            <w:pPr>
              <w:rPr>
                <w:rFonts w:ascii="Aptos" w:hAnsi="Aptos"/>
                <w:sz w:val="18"/>
                <w:szCs w:val="18"/>
              </w:rPr>
            </w:pPr>
            <w:r w:rsidRPr="00AA62BB">
              <w:rPr>
                <w:rFonts w:ascii="Aptos" w:hAnsi="Aptos"/>
                <w:sz w:val="18"/>
                <w:szCs w:val="18"/>
              </w:rPr>
              <w:t>Did the interpretation of findings address all of the concerns identified in Domains 1</w:t>
            </w:r>
            <w:r w:rsidRPr="00AA62BB">
              <w:rPr>
                <w:rFonts w:ascii="Cambria Math" w:hAnsi="Cambria Math" w:cs="Cambria Math"/>
                <w:sz w:val="18"/>
                <w:szCs w:val="18"/>
              </w:rPr>
              <w:t>‐</w:t>
            </w:r>
            <w:r w:rsidRPr="00AA62BB">
              <w:rPr>
                <w:rFonts w:ascii="Aptos" w:hAnsi="Aptos"/>
                <w:sz w:val="18"/>
                <w:szCs w:val="18"/>
              </w:rPr>
              <w:t>4?</w:t>
            </w:r>
          </w:p>
        </w:tc>
        <w:tc>
          <w:tcPr>
            <w:tcW w:w="1277" w:type="dxa"/>
            <w:tcBorders>
              <w:top w:val="nil"/>
              <w:left w:val="nil"/>
              <w:bottom w:val="single" w:sz="4" w:space="0" w:color="auto"/>
              <w:right w:val="single" w:sz="4" w:space="0" w:color="auto"/>
            </w:tcBorders>
            <w:shd w:val="clear" w:color="000000" w:fill="FFFFFF"/>
            <w:vAlign w:val="center"/>
            <w:hideMark/>
          </w:tcPr>
          <w:p w14:paraId="31A84126"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1ED8243A"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7EE75646"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456EDFE0" w14:textId="77777777" w:rsidR="00250349" w:rsidRPr="00AA62BB" w:rsidRDefault="00250349" w:rsidP="00781852">
            <w:pPr>
              <w:rPr>
                <w:rFonts w:ascii="Aptos" w:hAnsi="Aptos"/>
                <w:sz w:val="18"/>
                <w:szCs w:val="18"/>
              </w:rPr>
            </w:pPr>
            <w:r w:rsidRPr="00AA62BB">
              <w:rPr>
                <w:rFonts w:ascii="Aptos" w:hAnsi="Aptos"/>
                <w:sz w:val="18"/>
                <w:szCs w:val="18"/>
              </w:rPr>
              <w:t>Was the relevance of identified studies to the review's research question appropriately considered?</w:t>
            </w:r>
          </w:p>
        </w:tc>
        <w:tc>
          <w:tcPr>
            <w:tcW w:w="1277" w:type="dxa"/>
            <w:tcBorders>
              <w:top w:val="nil"/>
              <w:left w:val="nil"/>
              <w:bottom w:val="single" w:sz="4" w:space="0" w:color="auto"/>
              <w:right w:val="single" w:sz="4" w:space="0" w:color="auto"/>
            </w:tcBorders>
            <w:shd w:val="clear" w:color="000000" w:fill="FFFFFF"/>
            <w:vAlign w:val="center"/>
            <w:hideMark/>
          </w:tcPr>
          <w:p w14:paraId="498F72DC"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1F363DA3"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49FB0531"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0BE5C740" w14:textId="77777777" w:rsidR="00250349" w:rsidRPr="00AA62BB" w:rsidRDefault="00250349" w:rsidP="00781852">
            <w:pPr>
              <w:rPr>
                <w:rFonts w:ascii="Aptos" w:hAnsi="Aptos"/>
                <w:sz w:val="18"/>
                <w:szCs w:val="18"/>
              </w:rPr>
            </w:pPr>
            <w:r w:rsidRPr="00AA62BB">
              <w:rPr>
                <w:rFonts w:ascii="Aptos" w:hAnsi="Aptos"/>
                <w:sz w:val="18"/>
                <w:szCs w:val="18"/>
              </w:rPr>
              <w:t>Did the reviewers avoid emphasizing results on the basis of their statistical significance?</w:t>
            </w:r>
          </w:p>
        </w:tc>
        <w:tc>
          <w:tcPr>
            <w:tcW w:w="1277" w:type="dxa"/>
            <w:tcBorders>
              <w:top w:val="nil"/>
              <w:left w:val="nil"/>
              <w:bottom w:val="single" w:sz="4" w:space="0" w:color="auto"/>
              <w:right w:val="single" w:sz="4" w:space="0" w:color="auto"/>
            </w:tcBorders>
            <w:shd w:val="clear" w:color="000000" w:fill="FFFFFF"/>
            <w:vAlign w:val="center"/>
            <w:hideMark/>
          </w:tcPr>
          <w:p w14:paraId="0919937B"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c>
          <w:tcPr>
            <w:tcW w:w="1277" w:type="dxa"/>
            <w:tcBorders>
              <w:top w:val="nil"/>
              <w:left w:val="single" w:sz="4" w:space="0" w:color="auto"/>
              <w:bottom w:val="single" w:sz="4" w:space="0" w:color="auto"/>
              <w:right w:val="single" w:sz="4" w:space="0" w:color="auto"/>
            </w:tcBorders>
            <w:shd w:val="clear" w:color="000000" w:fill="FFFFFF"/>
            <w:vAlign w:val="center"/>
            <w:hideMark/>
          </w:tcPr>
          <w:p w14:paraId="353B961F" w14:textId="77777777" w:rsidR="00250349" w:rsidRPr="00AA62BB" w:rsidRDefault="00250349" w:rsidP="00513011">
            <w:pPr>
              <w:jc w:val="center"/>
              <w:rPr>
                <w:rFonts w:ascii="Aptos" w:hAnsi="Aptos"/>
                <w:sz w:val="18"/>
                <w:szCs w:val="18"/>
              </w:rPr>
            </w:pPr>
            <w:r w:rsidRPr="00AA62BB">
              <w:rPr>
                <w:rFonts w:ascii="Aptos" w:hAnsi="Aptos"/>
                <w:sz w:val="18"/>
                <w:szCs w:val="18"/>
              </w:rPr>
              <w:t>Y</w:t>
            </w:r>
          </w:p>
        </w:tc>
      </w:tr>
      <w:tr w:rsidR="00250349" w:rsidRPr="00AA62BB" w14:paraId="6E2D42C6" w14:textId="77777777" w:rsidTr="00513011">
        <w:trPr>
          <w:trHeight w:val="285"/>
        </w:trPr>
        <w:tc>
          <w:tcPr>
            <w:tcW w:w="11740" w:type="dxa"/>
            <w:tcBorders>
              <w:top w:val="nil"/>
              <w:left w:val="single" w:sz="4" w:space="0" w:color="auto"/>
              <w:bottom w:val="single" w:sz="4" w:space="0" w:color="auto"/>
              <w:right w:val="single" w:sz="4" w:space="0" w:color="auto"/>
            </w:tcBorders>
            <w:shd w:val="clear" w:color="000000" w:fill="FFFFFF"/>
            <w:vAlign w:val="center"/>
            <w:hideMark/>
          </w:tcPr>
          <w:p w14:paraId="3E031227" w14:textId="77777777" w:rsidR="00250349" w:rsidRPr="00AA62BB" w:rsidRDefault="00250349" w:rsidP="00781852">
            <w:pPr>
              <w:rPr>
                <w:rFonts w:ascii="Aptos" w:hAnsi="Aptos"/>
                <w:sz w:val="18"/>
                <w:szCs w:val="18"/>
              </w:rPr>
            </w:pPr>
            <w:r w:rsidRPr="00AA62BB">
              <w:rPr>
                <w:rFonts w:ascii="Aptos" w:hAnsi="Aptos"/>
                <w:sz w:val="18"/>
                <w:szCs w:val="18"/>
              </w:rPr>
              <w:t>Overall risk of bias</w:t>
            </w:r>
          </w:p>
        </w:tc>
        <w:tc>
          <w:tcPr>
            <w:tcW w:w="1277" w:type="dxa"/>
            <w:tcBorders>
              <w:top w:val="nil"/>
              <w:left w:val="nil"/>
              <w:bottom w:val="single" w:sz="4" w:space="0" w:color="auto"/>
              <w:right w:val="single" w:sz="4" w:space="0" w:color="auto"/>
            </w:tcBorders>
            <w:shd w:val="clear" w:color="000000" w:fill="E2EFDA"/>
            <w:vAlign w:val="center"/>
            <w:hideMark/>
          </w:tcPr>
          <w:p w14:paraId="16DC247B" w14:textId="77777777" w:rsidR="00250349" w:rsidRPr="00AA62BB" w:rsidRDefault="00250349" w:rsidP="00513011">
            <w:pPr>
              <w:jc w:val="center"/>
              <w:rPr>
                <w:rFonts w:ascii="Aptos" w:hAnsi="Aptos"/>
                <w:sz w:val="18"/>
                <w:szCs w:val="18"/>
              </w:rPr>
            </w:pPr>
            <w:r w:rsidRPr="00AA62BB">
              <w:rPr>
                <w:rFonts w:ascii="Aptos" w:hAnsi="Aptos"/>
                <w:sz w:val="18"/>
                <w:szCs w:val="18"/>
              </w:rPr>
              <w:t>Low risk</w:t>
            </w:r>
          </w:p>
        </w:tc>
        <w:tc>
          <w:tcPr>
            <w:tcW w:w="1277" w:type="dxa"/>
            <w:tcBorders>
              <w:top w:val="nil"/>
              <w:left w:val="single" w:sz="4" w:space="0" w:color="auto"/>
              <w:bottom w:val="single" w:sz="4" w:space="0" w:color="auto"/>
              <w:right w:val="single" w:sz="4" w:space="0" w:color="auto"/>
            </w:tcBorders>
            <w:shd w:val="clear" w:color="000000" w:fill="E2EFDA"/>
            <w:vAlign w:val="center"/>
            <w:hideMark/>
          </w:tcPr>
          <w:p w14:paraId="16705302" w14:textId="77777777" w:rsidR="00250349" w:rsidRPr="00AA62BB" w:rsidRDefault="00250349" w:rsidP="00513011">
            <w:pPr>
              <w:jc w:val="center"/>
              <w:rPr>
                <w:rFonts w:ascii="Aptos" w:hAnsi="Aptos"/>
                <w:sz w:val="18"/>
                <w:szCs w:val="18"/>
              </w:rPr>
            </w:pPr>
            <w:r w:rsidRPr="00AA62BB">
              <w:rPr>
                <w:rFonts w:ascii="Aptos" w:hAnsi="Aptos"/>
                <w:sz w:val="18"/>
                <w:szCs w:val="18"/>
              </w:rPr>
              <w:t>Low risk</w:t>
            </w:r>
          </w:p>
        </w:tc>
      </w:tr>
    </w:tbl>
    <w:p w14:paraId="1822F1D3" w14:textId="38BF8AFC" w:rsidR="00881574" w:rsidRPr="00D518FF" w:rsidRDefault="00881574" w:rsidP="00AA72BD">
      <w:pPr>
        <w:rPr>
          <w:rFonts w:ascii="Aptos" w:hAnsi="Aptos" w:cs="Arial"/>
          <w:b/>
          <w:bCs/>
          <w:color w:val="000000" w:themeColor="text1"/>
          <w:sz w:val="20"/>
          <w:szCs w:val="20"/>
        </w:rPr>
      </w:pPr>
    </w:p>
    <w:p w14:paraId="0FA3F1B7" w14:textId="1D7C71ED" w:rsidR="00881574" w:rsidRPr="00D518FF" w:rsidRDefault="00834CBC" w:rsidP="00834CBC">
      <w:pPr>
        <w:pStyle w:val="Caption"/>
        <w:rPr>
          <w:rFonts w:ascii="Aptos" w:hAnsi="Aptos"/>
        </w:rPr>
      </w:pPr>
      <w:bookmarkStart w:id="218" w:name="_Toc185254594"/>
      <w:r w:rsidRPr="00AA694C">
        <w:rPr>
          <w:rFonts w:ascii="Aptos" w:hAnsi="Aptos"/>
        </w:rPr>
        <w:t xml:space="preserve">Table </w:t>
      </w:r>
      <w:r w:rsidR="00DC4767" w:rsidRPr="00AA694C">
        <w:rPr>
          <w:rFonts w:ascii="Aptos" w:hAnsi="Aptos"/>
        </w:rPr>
        <w:fldChar w:fldCharType="begin" w:fldLock="1"/>
      </w:r>
      <w:r w:rsidR="00DC4767" w:rsidRPr="00AA694C">
        <w:rPr>
          <w:rFonts w:ascii="Aptos" w:hAnsi="Aptos"/>
        </w:rPr>
        <w:instrText xml:space="preserve"> STYLEREF 1 \s </w:instrText>
      </w:r>
      <w:r w:rsidR="00DC4767" w:rsidRPr="00AA694C">
        <w:rPr>
          <w:rFonts w:ascii="Aptos" w:hAnsi="Aptos"/>
        </w:rPr>
        <w:fldChar w:fldCharType="separate"/>
      </w:r>
      <w:r w:rsidR="00DC4767" w:rsidRPr="00AA694C">
        <w:rPr>
          <w:rFonts w:ascii="Aptos" w:hAnsi="Aptos"/>
        </w:rPr>
        <w:t>F</w:t>
      </w:r>
      <w:r w:rsidR="00DC4767" w:rsidRPr="00AA694C">
        <w:rPr>
          <w:rFonts w:ascii="Aptos" w:hAnsi="Aptos"/>
        </w:rPr>
        <w:fldChar w:fldCharType="end"/>
      </w:r>
      <w:r w:rsidR="00DC4767" w:rsidRPr="00AA694C">
        <w:rPr>
          <w:rFonts w:ascii="Aptos" w:hAnsi="Aptos"/>
        </w:rPr>
        <w:noBreakHyphen/>
      </w:r>
      <w:r w:rsidR="00DC4767" w:rsidRPr="00AA694C">
        <w:rPr>
          <w:rFonts w:ascii="Aptos" w:hAnsi="Aptos"/>
        </w:rPr>
        <w:fldChar w:fldCharType="begin"/>
      </w:r>
      <w:r w:rsidR="00DC4767" w:rsidRPr="00AA694C">
        <w:rPr>
          <w:rFonts w:ascii="Aptos" w:hAnsi="Aptos"/>
        </w:rPr>
        <w:instrText xml:space="preserve"> SEQ Table \* ARABIC \s 1 </w:instrText>
      </w:r>
      <w:r w:rsidR="00DC4767" w:rsidRPr="00AA694C">
        <w:rPr>
          <w:rFonts w:ascii="Aptos" w:hAnsi="Aptos"/>
        </w:rPr>
        <w:fldChar w:fldCharType="separate"/>
      </w:r>
      <w:r w:rsidR="00C426C6">
        <w:rPr>
          <w:rFonts w:ascii="Aptos" w:hAnsi="Aptos"/>
          <w:noProof/>
        </w:rPr>
        <w:t>2</w:t>
      </w:r>
      <w:r w:rsidR="00DC4767" w:rsidRPr="00AA694C">
        <w:rPr>
          <w:rFonts w:ascii="Aptos" w:hAnsi="Aptos"/>
        </w:rPr>
        <w:fldChar w:fldCharType="end"/>
      </w:r>
      <w:r w:rsidR="00881574" w:rsidRPr="00D518FF">
        <w:rPr>
          <w:rFonts w:ascii="Aptos" w:hAnsi="Aptos"/>
        </w:rPr>
        <w:t>. ROBIS assessment for included reviews – irritable bowe</w:t>
      </w:r>
      <w:r w:rsidR="00781852">
        <w:rPr>
          <w:rFonts w:ascii="Aptos" w:hAnsi="Aptos"/>
        </w:rPr>
        <w:t>l</w:t>
      </w:r>
      <w:r w:rsidR="00881574" w:rsidRPr="00D518FF">
        <w:rPr>
          <w:rFonts w:ascii="Aptos" w:hAnsi="Aptos"/>
        </w:rPr>
        <w:t xml:space="preserve"> syndrome, probiotics</w:t>
      </w:r>
      <w:bookmarkEnd w:id="218"/>
    </w:p>
    <w:tbl>
      <w:tblPr>
        <w:tblW w:w="5000" w:type="pct"/>
        <w:tblCellMar>
          <w:left w:w="57" w:type="dxa"/>
          <w:right w:w="57" w:type="dxa"/>
        </w:tblCellMar>
        <w:tblLook w:val="04A0" w:firstRow="1" w:lastRow="0" w:firstColumn="1" w:lastColumn="0" w:noHBand="0" w:noVBand="1"/>
      </w:tblPr>
      <w:tblGrid>
        <w:gridCol w:w="5379"/>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gridCol w:w="286"/>
      </w:tblGrid>
      <w:tr w:rsidR="00BF0EB3" w:rsidRPr="00AA62BB" w14:paraId="1666686E" w14:textId="3805D1FA" w:rsidTr="00513011">
        <w:trPr>
          <w:cantSplit/>
          <w:trHeight w:val="2312"/>
        </w:trPr>
        <w:tc>
          <w:tcPr>
            <w:tcW w:w="144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6EEA166" w14:textId="77777777" w:rsidR="00676458" w:rsidRPr="00AA62BB" w:rsidRDefault="00676458" w:rsidP="00676458">
            <w:pPr>
              <w:rPr>
                <w:rFonts w:ascii="Aptos" w:hAnsi="Aptos"/>
                <w:b/>
                <w:bCs/>
                <w:sz w:val="18"/>
                <w:szCs w:val="18"/>
              </w:rPr>
            </w:pPr>
            <w:r w:rsidRPr="00AA62BB">
              <w:rPr>
                <w:rFonts w:ascii="Aptos" w:hAnsi="Aptos"/>
                <w:b/>
                <w:bCs/>
                <w:sz w:val="18"/>
                <w:szCs w:val="18"/>
              </w:rPr>
              <w:t>Review ID</w:t>
            </w:r>
          </w:p>
        </w:tc>
        <w:tc>
          <w:tcPr>
            <w:tcW w:w="560"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1BB2B780"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Abboud 2020</w:t>
            </w:r>
          </w:p>
        </w:tc>
        <w:tc>
          <w:tcPr>
            <w:tcW w:w="101"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32365D20"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Asha 2020</w:t>
            </w:r>
          </w:p>
        </w:tc>
        <w:tc>
          <w:tcPr>
            <w:tcW w:w="101"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6A9F743B"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Connell 2018</w:t>
            </w:r>
          </w:p>
        </w:tc>
        <w:tc>
          <w:tcPr>
            <w:tcW w:w="101"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023AF2F3"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Corbitt 2018</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2A86FCE4"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Ding 2019</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7A07B8B"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Fatahi 2022</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02B03D45"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Ford 2014</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AA74A33"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Horvath 2011</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ED63E80"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Hoveyda 2009</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C288247"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Huertas-Ceballos 2009</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591AA619"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Hungin 2018</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6E62F1C8"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Konstantis 2023</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64E28AA7"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Korterink 2014</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61EE1264"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Le Morvan 2021</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05446B7C"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Li 2020</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2CDC2FC4"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Liang 2019</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6214321"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McFarland 2008</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5190310"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McFarland 2021</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7B972785"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Moayyedi 2010</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137B3D9"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Nikfar 2008</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60375CB3"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Niu 2020</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6CB634F8"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Ortiz-Lucas 2013</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99E8FC2"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Pratt 2020</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09A7A616"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Ritchie 2012</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029ED5CA"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Shang 2022</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16DDE69E"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Sun 2020</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4019E89F"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Wang 2022</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77C0AFB9"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Wen 2020</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5CB4CB7F"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Xu 2021</w:t>
            </w:r>
          </w:p>
        </w:tc>
        <w:tc>
          <w:tcPr>
            <w:tcW w:w="100"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hideMark/>
          </w:tcPr>
          <w:p w14:paraId="6C35AF03" w14:textId="77777777"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Yuan 2017</w:t>
            </w:r>
          </w:p>
        </w:tc>
        <w:tc>
          <w:tcPr>
            <w:tcW w:w="99" w:type="pct"/>
            <w:tcBorders>
              <w:top w:val="single" w:sz="4" w:space="0" w:color="auto"/>
              <w:left w:val="single" w:sz="4" w:space="0" w:color="auto"/>
              <w:bottom w:val="single" w:sz="4" w:space="0" w:color="auto"/>
              <w:right w:val="single" w:sz="4" w:space="0" w:color="auto"/>
            </w:tcBorders>
            <w:shd w:val="clear" w:color="000000" w:fill="D9D9D9"/>
            <w:textDirection w:val="btLr"/>
            <w:vAlign w:val="center"/>
          </w:tcPr>
          <w:p w14:paraId="5255362A" w14:textId="2059B76A" w:rsidR="00676458" w:rsidRPr="00AA62BB" w:rsidRDefault="00676458" w:rsidP="00513011">
            <w:pPr>
              <w:ind w:left="113" w:right="113"/>
              <w:jc w:val="center"/>
              <w:rPr>
                <w:rFonts w:ascii="Aptos" w:hAnsi="Aptos"/>
                <w:b/>
                <w:bCs/>
                <w:sz w:val="18"/>
                <w:szCs w:val="18"/>
              </w:rPr>
            </w:pPr>
            <w:r w:rsidRPr="00AA62BB">
              <w:rPr>
                <w:rFonts w:ascii="Aptos" w:hAnsi="Aptos"/>
                <w:b/>
                <w:bCs/>
                <w:sz w:val="18"/>
                <w:szCs w:val="18"/>
              </w:rPr>
              <w:t>Zhang 2016</w:t>
            </w:r>
          </w:p>
        </w:tc>
      </w:tr>
      <w:tr w:rsidR="00BF0EB3" w:rsidRPr="00AA62BB" w14:paraId="63D00067" w14:textId="7E7F239F" w:rsidTr="00513011">
        <w:trPr>
          <w:trHeight w:val="320"/>
        </w:trPr>
        <w:tc>
          <w:tcPr>
            <w:tcW w:w="1441" w:type="pct"/>
            <w:tcBorders>
              <w:top w:val="nil"/>
              <w:left w:val="single" w:sz="4" w:space="0" w:color="auto"/>
              <w:bottom w:val="single" w:sz="4" w:space="0" w:color="auto"/>
              <w:right w:val="single" w:sz="4" w:space="0" w:color="auto"/>
            </w:tcBorders>
            <w:shd w:val="clear" w:color="000000" w:fill="D9D9D9"/>
            <w:noWrap/>
            <w:vAlign w:val="center"/>
            <w:hideMark/>
          </w:tcPr>
          <w:p w14:paraId="71C10C7D" w14:textId="77777777" w:rsidR="00676458" w:rsidRPr="00AA62BB" w:rsidRDefault="00676458" w:rsidP="00676458">
            <w:pPr>
              <w:rPr>
                <w:rFonts w:ascii="Aptos" w:hAnsi="Aptos"/>
                <w:sz w:val="18"/>
                <w:szCs w:val="18"/>
              </w:rPr>
            </w:pPr>
            <w:r w:rsidRPr="00AA62BB">
              <w:rPr>
                <w:rFonts w:ascii="Aptos" w:hAnsi="Aptos"/>
                <w:sz w:val="18"/>
                <w:szCs w:val="18"/>
              </w:rPr>
              <w:t>ROBIS DOMAINS</w:t>
            </w:r>
          </w:p>
        </w:tc>
        <w:tc>
          <w:tcPr>
            <w:tcW w:w="560" w:type="pct"/>
            <w:tcBorders>
              <w:top w:val="nil"/>
              <w:left w:val="nil"/>
              <w:bottom w:val="single" w:sz="4" w:space="0" w:color="auto"/>
              <w:right w:val="single" w:sz="4" w:space="0" w:color="auto"/>
            </w:tcBorders>
            <w:shd w:val="clear" w:color="000000" w:fill="D9D9D9"/>
            <w:vAlign w:val="center"/>
          </w:tcPr>
          <w:p w14:paraId="16091106" w14:textId="18F7E79E"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vAlign w:val="center"/>
          </w:tcPr>
          <w:p w14:paraId="74DEBF29" w14:textId="4E7927C7"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vAlign w:val="center"/>
          </w:tcPr>
          <w:p w14:paraId="205879A3" w14:textId="5750B694"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vAlign w:val="center"/>
          </w:tcPr>
          <w:p w14:paraId="7D3F31B6" w14:textId="003A4AB5"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tcPr>
          <w:p w14:paraId="7C63089A" w14:textId="59F7530F"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7E4DF4F3" w14:textId="63E4C21A"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0FBB1BF8" w14:textId="2F3D7601"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07AE0EA4" w14:textId="584D0AFD"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tcPr>
          <w:p w14:paraId="3B746A64" w14:textId="19EA9B1B"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tcPr>
          <w:p w14:paraId="7C225CBC" w14:textId="5C99F8CC"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tcPr>
          <w:p w14:paraId="4D4C9367" w14:textId="1E9887AF"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0DBFC10B" w14:textId="5135F8D9"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tcPr>
          <w:p w14:paraId="105D88AF" w14:textId="62EDA09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6F515233" w14:textId="0B6CAB20"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1DCB6A50" w14:textId="44C44F3D"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1FBA353D" w14:textId="3A20A1B7"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45992526" w14:textId="10E8C486"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1F33014B" w14:textId="4CC7F064"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02C54F99" w14:textId="2D5E108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0C077F66" w14:textId="0CAC1F73"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5A75B241" w14:textId="423F388C"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06E5E16D" w14:textId="0E692E6D"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45BD4ADE" w14:textId="7426BDB9"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084B2778" w14:textId="0D494FE8"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1A6BFCAE" w14:textId="508B27C2"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3786E3D0" w14:textId="05812B53"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0F9EFE5A" w14:textId="4767CD9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7C96D8B9" w14:textId="7446194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5D3C8FC5" w14:textId="40449E52"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5E5595FA" w14:textId="237A8E6D"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6E8683C5" w14:textId="2FB6AEE2" w:rsidR="00676458" w:rsidRPr="00AA62BB" w:rsidRDefault="00676458" w:rsidP="00513011">
            <w:pPr>
              <w:jc w:val="center"/>
              <w:rPr>
                <w:rFonts w:ascii="Aptos" w:hAnsi="Aptos"/>
                <w:sz w:val="18"/>
                <w:szCs w:val="18"/>
              </w:rPr>
            </w:pPr>
          </w:p>
        </w:tc>
      </w:tr>
      <w:tr w:rsidR="00BF0EB3" w:rsidRPr="00AA62BB" w14:paraId="7735BB15" w14:textId="6A9F20B8" w:rsidTr="00513011">
        <w:trPr>
          <w:trHeight w:val="320"/>
        </w:trPr>
        <w:tc>
          <w:tcPr>
            <w:tcW w:w="1441" w:type="pct"/>
            <w:tcBorders>
              <w:top w:val="nil"/>
              <w:left w:val="single" w:sz="4" w:space="0" w:color="auto"/>
              <w:bottom w:val="single" w:sz="4" w:space="0" w:color="auto"/>
              <w:right w:val="single" w:sz="4" w:space="0" w:color="auto"/>
            </w:tcBorders>
            <w:shd w:val="clear" w:color="000000" w:fill="D9D9D9"/>
            <w:noWrap/>
            <w:vAlign w:val="center"/>
            <w:hideMark/>
          </w:tcPr>
          <w:p w14:paraId="3DAC6595" w14:textId="77777777" w:rsidR="00676458" w:rsidRPr="00AA62BB" w:rsidRDefault="00676458" w:rsidP="00676458">
            <w:pPr>
              <w:rPr>
                <w:rFonts w:ascii="Aptos" w:hAnsi="Aptos"/>
                <w:sz w:val="18"/>
                <w:szCs w:val="18"/>
              </w:rPr>
            </w:pPr>
            <w:r w:rsidRPr="00AA62BB">
              <w:rPr>
                <w:rFonts w:ascii="Aptos" w:hAnsi="Aptos"/>
                <w:sz w:val="18"/>
                <w:szCs w:val="18"/>
              </w:rPr>
              <w:t>Answer code: Y=YES, PY=PROBABLY YES, PN=PROBABLY NO, N=NO, NI=NO INFORMATION</w:t>
            </w:r>
          </w:p>
        </w:tc>
        <w:tc>
          <w:tcPr>
            <w:tcW w:w="560" w:type="pct"/>
            <w:tcBorders>
              <w:top w:val="nil"/>
              <w:left w:val="nil"/>
              <w:bottom w:val="single" w:sz="4" w:space="0" w:color="auto"/>
              <w:right w:val="single" w:sz="4" w:space="0" w:color="auto"/>
            </w:tcBorders>
            <w:shd w:val="clear" w:color="000000" w:fill="D9D9D9"/>
            <w:noWrap/>
            <w:vAlign w:val="center"/>
            <w:hideMark/>
          </w:tcPr>
          <w:p w14:paraId="19C1C9C4" w14:textId="0E5FF24A"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noWrap/>
            <w:vAlign w:val="center"/>
            <w:hideMark/>
          </w:tcPr>
          <w:p w14:paraId="3A66265E" w14:textId="11DEC0BA"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noWrap/>
            <w:vAlign w:val="center"/>
            <w:hideMark/>
          </w:tcPr>
          <w:p w14:paraId="7BDAA688" w14:textId="299449C2"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noWrap/>
            <w:vAlign w:val="center"/>
            <w:hideMark/>
          </w:tcPr>
          <w:p w14:paraId="0E33AD10" w14:textId="38DE5512"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6F8309D0" w14:textId="447252DB"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111C69F3" w14:textId="70E161B0"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0A194CA6" w14:textId="116D9DBE"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59400CFA" w14:textId="35493ECB"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093EAC23" w14:textId="55FAB122"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445E81F9" w14:textId="0D6A58D2"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78ACFD54" w14:textId="43DE203E"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1F7F717C" w14:textId="3B87CDF4"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77316029" w14:textId="63F4E4E7"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3C42F4FD" w14:textId="44FE54E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6FBD5D8E" w14:textId="6C0BD35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4EBB1402" w14:textId="1CB8B8DC"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79FB817E" w14:textId="75987F33"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40A3A6C6" w14:textId="7654B8F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6141D843" w14:textId="2B48DC1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7D5814FC" w14:textId="252FF150"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6418EFAB" w14:textId="3B49622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0186CFC1" w14:textId="09484991"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53620730" w14:textId="353B04C3"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7E613E30" w14:textId="34327273"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38651A60" w14:textId="0E5D75C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51DBA4E4" w14:textId="327D1303"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noWrap/>
            <w:vAlign w:val="center"/>
            <w:hideMark/>
          </w:tcPr>
          <w:p w14:paraId="4126951A" w14:textId="034F364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39ADEF62" w14:textId="10E11F20"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0E27BEBC" w14:textId="2773DB5B"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noWrap/>
            <w:vAlign w:val="center"/>
            <w:hideMark/>
          </w:tcPr>
          <w:p w14:paraId="3FD9F723" w14:textId="22B2FC8A"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75B71A04" w14:textId="478F02BD" w:rsidR="00676458" w:rsidRPr="00AA62BB" w:rsidRDefault="00676458" w:rsidP="00513011">
            <w:pPr>
              <w:jc w:val="center"/>
              <w:rPr>
                <w:rFonts w:ascii="Aptos" w:hAnsi="Aptos"/>
                <w:sz w:val="18"/>
                <w:szCs w:val="18"/>
              </w:rPr>
            </w:pPr>
          </w:p>
        </w:tc>
      </w:tr>
      <w:tr w:rsidR="00BF0EB3" w:rsidRPr="00AA62BB" w14:paraId="6AE475AC" w14:textId="17F5F71D" w:rsidTr="00513011">
        <w:trPr>
          <w:trHeight w:val="320"/>
        </w:trPr>
        <w:tc>
          <w:tcPr>
            <w:tcW w:w="1441" w:type="pct"/>
            <w:tcBorders>
              <w:top w:val="nil"/>
              <w:left w:val="single" w:sz="4" w:space="0" w:color="auto"/>
              <w:bottom w:val="single" w:sz="4" w:space="0" w:color="auto"/>
              <w:right w:val="single" w:sz="4" w:space="0" w:color="auto"/>
            </w:tcBorders>
            <w:shd w:val="clear" w:color="000000" w:fill="F2F2F2"/>
            <w:vAlign w:val="center"/>
            <w:hideMark/>
          </w:tcPr>
          <w:p w14:paraId="635708FE" w14:textId="77777777" w:rsidR="00676458" w:rsidRPr="00AA62BB" w:rsidRDefault="00676458" w:rsidP="00676458">
            <w:pPr>
              <w:rPr>
                <w:rFonts w:ascii="Aptos" w:hAnsi="Aptos"/>
                <w:sz w:val="18"/>
                <w:szCs w:val="18"/>
              </w:rPr>
            </w:pPr>
            <w:r w:rsidRPr="00AA62BB">
              <w:rPr>
                <w:rFonts w:ascii="Aptos" w:hAnsi="Aptos"/>
                <w:sz w:val="18"/>
                <w:szCs w:val="18"/>
              </w:rPr>
              <w:t>Domain 1: Study eligibility criteria</w:t>
            </w:r>
          </w:p>
        </w:tc>
        <w:tc>
          <w:tcPr>
            <w:tcW w:w="560" w:type="pct"/>
            <w:tcBorders>
              <w:top w:val="nil"/>
              <w:left w:val="nil"/>
              <w:bottom w:val="single" w:sz="4" w:space="0" w:color="auto"/>
              <w:right w:val="single" w:sz="4" w:space="0" w:color="auto"/>
            </w:tcBorders>
            <w:shd w:val="clear" w:color="000000" w:fill="F2F2F2"/>
            <w:vAlign w:val="center"/>
            <w:hideMark/>
          </w:tcPr>
          <w:p w14:paraId="1D00D590" w14:textId="5468E6DF"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440DAE42" w14:textId="576DED86"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5BE2F59D" w14:textId="2F3E18D4"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2CF5677F" w14:textId="7C4B4D1C"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5D903659" w14:textId="6FDA320A"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081CB8E" w14:textId="20BEA80A"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E6AA430" w14:textId="4D414B98"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4C9DB6DD" w14:textId="5CFDD664"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597D1EDA" w14:textId="1116A1CF"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30157C45" w14:textId="2C4A2FC2"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34D2C32" w14:textId="3516E9BD"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2A55ECC" w14:textId="4B11BD58"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1D32696A" w14:textId="0299AFF7"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202CEEB" w14:textId="5D0045C9"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0C8DBD3" w14:textId="6E820C8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4A5E7F3" w14:textId="0E28A0F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BC014E5" w14:textId="47B3130B"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62EE50D5" w14:textId="3BEE7080"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6B9FEBB2" w14:textId="455EC0BB"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E09650B" w14:textId="5F14A4CB"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141A2BFD" w14:textId="3602D7F0"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3161D941" w14:textId="2622E403"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732AAE6" w14:textId="2392080E"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1511E193" w14:textId="344BC712"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3C637AD7" w14:textId="5A20CA0A"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0C7C8A01" w14:textId="36F3CCEE"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BCC8363" w14:textId="4209A47F"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06936E2D" w14:textId="06F87468"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68E590B8" w14:textId="04966C36"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174CB59" w14:textId="19C2107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tcPr>
          <w:p w14:paraId="5215D240" w14:textId="44FE453A" w:rsidR="00676458" w:rsidRPr="00AA62BB" w:rsidRDefault="00676458" w:rsidP="00513011">
            <w:pPr>
              <w:jc w:val="center"/>
              <w:rPr>
                <w:rFonts w:ascii="Aptos" w:hAnsi="Aptos"/>
                <w:sz w:val="18"/>
                <w:szCs w:val="18"/>
              </w:rPr>
            </w:pPr>
          </w:p>
        </w:tc>
      </w:tr>
      <w:tr w:rsidR="00BF0EB3" w:rsidRPr="00AA62BB" w14:paraId="292DC717" w14:textId="0E447514"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59832884" w14:textId="77777777" w:rsidR="00676458" w:rsidRPr="00AA62BB" w:rsidRDefault="00676458" w:rsidP="00676458">
            <w:pPr>
              <w:rPr>
                <w:rFonts w:ascii="Aptos" w:hAnsi="Aptos"/>
                <w:sz w:val="18"/>
                <w:szCs w:val="18"/>
              </w:rPr>
            </w:pPr>
            <w:r w:rsidRPr="00AA62BB">
              <w:rPr>
                <w:rFonts w:ascii="Aptos" w:hAnsi="Aptos"/>
                <w:sz w:val="18"/>
                <w:szCs w:val="18"/>
              </w:rPr>
              <w:t>Did the review adhere to pre</w:t>
            </w:r>
            <w:r w:rsidRPr="00AA62BB">
              <w:rPr>
                <w:rFonts w:ascii="Cambria Math" w:hAnsi="Cambria Math" w:cs="Cambria Math"/>
                <w:sz w:val="18"/>
                <w:szCs w:val="18"/>
              </w:rPr>
              <w:t>‐</w:t>
            </w:r>
            <w:r w:rsidRPr="00AA62BB">
              <w:rPr>
                <w:rFonts w:ascii="Aptos" w:hAnsi="Aptos"/>
                <w:sz w:val="18"/>
                <w:szCs w:val="18"/>
              </w:rPr>
              <w:t>defined objectives and eligibility criteria?</w:t>
            </w:r>
          </w:p>
        </w:tc>
        <w:tc>
          <w:tcPr>
            <w:tcW w:w="560" w:type="pct"/>
            <w:tcBorders>
              <w:top w:val="nil"/>
              <w:left w:val="nil"/>
              <w:bottom w:val="single" w:sz="4" w:space="0" w:color="auto"/>
              <w:right w:val="single" w:sz="4" w:space="0" w:color="auto"/>
            </w:tcBorders>
            <w:shd w:val="clear" w:color="000000" w:fill="FFFFFF"/>
            <w:vAlign w:val="center"/>
            <w:hideMark/>
          </w:tcPr>
          <w:p w14:paraId="17B6327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43BB936B"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E133795"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247FC17"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E9EB13B"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9020B16"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E701EF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18975A4"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172EC06"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0D554A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31E8164"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45680B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5945165"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6037A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E755B3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73A0E45"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9426879"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3AECA0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388D00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4706F6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7C0BA19"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DC741C2"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DBF3A9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F02F15F"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D71855F"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BB6BC5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51F4753"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B4059CB"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DF387A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10A7D5B"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734C2E7E" w14:textId="3EAEDB82" w:rsidR="00676458" w:rsidRPr="00AA62BB" w:rsidRDefault="00676458" w:rsidP="00513011">
            <w:pPr>
              <w:jc w:val="center"/>
              <w:rPr>
                <w:rFonts w:ascii="Aptos" w:hAnsi="Aptos"/>
                <w:sz w:val="18"/>
                <w:szCs w:val="18"/>
              </w:rPr>
            </w:pPr>
            <w:r w:rsidRPr="00AA62BB">
              <w:rPr>
                <w:rFonts w:ascii="Aptos" w:hAnsi="Aptos"/>
                <w:sz w:val="18"/>
                <w:szCs w:val="18"/>
              </w:rPr>
              <w:t>PY</w:t>
            </w:r>
          </w:p>
        </w:tc>
      </w:tr>
      <w:tr w:rsidR="00BF0EB3" w:rsidRPr="00AA62BB" w14:paraId="21173BC8" w14:textId="45D2C01E"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5C3B8908" w14:textId="77777777" w:rsidR="00676458" w:rsidRPr="00AA62BB" w:rsidRDefault="00676458" w:rsidP="00676458">
            <w:pPr>
              <w:rPr>
                <w:rFonts w:ascii="Aptos" w:hAnsi="Aptos"/>
                <w:sz w:val="18"/>
                <w:szCs w:val="18"/>
              </w:rPr>
            </w:pPr>
            <w:r w:rsidRPr="00AA62BB">
              <w:rPr>
                <w:rFonts w:ascii="Aptos" w:hAnsi="Aptos"/>
                <w:sz w:val="18"/>
                <w:szCs w:val="18"/>
              </w:rPr>
              <w:t>Were the eligibility criteria appropriate for the review question?</w:t>
            </w:r>
          </w:p>
        </w:tc>
        <w:tc>
          <w:tcPr>
            <w:tcW w:w="560" w:type="pct"/>
            <w:tcBorders>
              <w:top w:val="nil"/>
              <w:left w:val="nil"/>
              <w:bottom w:val="single" w:sz="4" w:space="0" w:color="auto"/>
              <w:right w:val="single" w:sz="4" w:space="0" w:color="auto"/>
            </w:tcBorders>
            <w:shd w:val="clear" w:color="000000" w:fill="FFFFFF"/>
            <w:vAlign w:val="center"/>
            <w:hideMark/>
          </w:tcPr>
          <w:p w14:paraId="7304E34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D8FFFC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855094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150DBC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60C40F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F258EF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EE9580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65CE2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4600E2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40CFA9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0F7353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6C0A90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821B15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F9DFBC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AD0483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36E96A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495910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8EA958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A768AB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19AF70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C969B4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B8C16E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7E277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943D08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E76129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33DFB8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45CB60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3A6D45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9543BA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C368D7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41211AFC" w14:textId="5527EAA9"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5012C7E0" w14:textId="19DEC561"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135D2A7F" w14:textId="77777777" w:rsidR="00676458" w:rsidRPr="00AA62BB" w:rsidRDefault="00676458" w:rsidP="00676458">
            <w:pPr>
              <w:rPr>
                <w:rFonts w:ascii="Aptos" w:hAnsi="Aptos"/>
                <w:sz w:val="18"/>
                <w:szCs w:val="18"/>
              </w:rPr>
            </w:pPr>
            <w:r w:rsidRPr="00AA62BB">
              <w:rPr>
                <w:rFonts w:ascii="Aptos" w:hAnsi="Aptos"/>
                <w:sz w:val="18"/>
                <w:szCs w:val="18"/>
              </w:rPr>
              <w:t>Were eligibility criteria unambiguous?</w:t>
            </w:r>
          </w:p>
        </w:tc>
        <w:tc>
          <w:tcPr>
            <w:tcW w:w="560" w:type="pct"/>
            <w:tcBorders>
              <w:top w:val="nil"/>
              <w:left w:val="nil"/>
              <w:bottom w:val="single" w:sz="4" w:space="0" w:color="auto"/>
              <w:right w:val="single" w:sz="4" w:space="0" w:color="auto"/>
            </w:tcBorders>
            <w:shd w:val="clear" w:color="000000" w:fill="FFFFFF"/>
            <w:vAlign w:val="center"/>
            <w:hideMark/>
          </w:tcPr>
          <w:p w14:paraId="7833FE82"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DB7C02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D538CD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94E9A2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77D7F2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484981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DCCAEA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00FC4A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7F7B83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562303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2E1154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FFA60D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3630C3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9D7DB6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909580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682312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BA4524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9F52E9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09CEB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CE38E0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2BAF34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FCD94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ABC8F5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C6A3BF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178CFD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D10597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2540C0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D63804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D91D04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A31551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1246C912" w14:textId="77622677"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6EF84CB7" w14:textId="579FCB9A"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7B8AAD5F" w14:textId="77777777" w:rsidR="00676458" w:rsidRPr="00AA62BB" w:rsidRDefault="00676458" w:rsidP="00676458">
            <w:pPr>
              <w:rPr>
                <w:rFonts w:ascii="Aptos" w:hAnsi="Aptos"/>
                <w:sz w:val="18"/>
                <w:szCs w:val="18"/>
              </w:rPr>
            </w:pPr>
            <w:r w:rsidRPr="00AA62BB">
              <w:rPr>
                <w:rFonts w:ascii="Aptos" w:hAnsi="Aptos"/>
                <w:sz w:val="18"/>
                <w:szCs w:val="18"/>
              </w:rPr>
              <w:lastRenderedPageBreak/>
              <w:t>Were all restrictions in eligibility criteria based on study characteristics appropriate (e.g. date, sample size, study quality, outcomes measured)?</w:t>
            </w:r>
          </w:p>
        </w:tc>
        <w:tc>
          <w:tcPr>
            <w:tcW w:w="560" w:type="pct"/>
            <w:tcBorders>
              <w:top w:val="nil"/>
              <w:left w:val="nil"/>
              <w:bottom w:val="single" w:sz="4" w:space="0" w:color="auto"/>
              <w:right w:val="single" w:sz="4" w:space="0" w:color="auto"/>
            </w:tcBorders>
            <w:shd w:val="clear" w:color="000000" w:fill="FFFFFF"/>
            <w:vAlign w:val="center"/>
            <w:hideMark/>
          </w:tcPr>
          <w:p w14:paraId="1229FCE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FD869F5"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C65CAB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481FED0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BD632F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36DF1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BD263F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256B57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37B35A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8C6D2D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E9437C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72CE92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0F9031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BF84A3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F4511E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7CC9B8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F77E80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60E42A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C1F7A7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388CF1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70979C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C18CFE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0DD13C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10BDC9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E2AF33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DD9D60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0F91FB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D90B57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28C4F1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95BF78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2852B939" w14:textId="0B6A919A"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41CF4758" w14:textId="2FEEA530"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46A3F07B" w14:textId="77777777" w:rsidR="00676458" w:rsidRPr="00AA62BB" w:rsidRDefault="00676458" w:rsidP="00676458">
            <w:pPr>
              <w:rPr>
                <w:rFonts w:ascii="Aptos" w:hAnsi="Aptos"/>
                <w:sz w:val="18"/>
                <w:szCs w:val="18"/>
              </w:rPr>
            </w:pPr>
            <w:r w:rsidRPr="00AA62BB">
              <w:rPr>
                <w:rFonts w:ascii="Aptos" w:hAnsi="Aptos"/>
                <w:sz w:val="18"/>
                <w:szCs w:val="18"/>
              </w:rPr>
              <w:t>Were any restrictions in eligibility criteria based on sources of information appropriate (publication status or format, language, availability of data)?</w:t>
            </w:r>
          </w:p>
        </w:tc>
        <w:tc>
          <w:tcPr>
            <w:tcW w:w="560" w:type="pct"/>
            <w:tcBorders>
              <w:top w:val="nil"/>
              <w:left w:val="nil"/>
              <w:bottom w:val="single" w:sz="4" w:space="0" w:color="auto"/>
              <w:right w:val="single" w:sz="4" w:space="0" w:color="auto"/>
            </w:tcBorders>
            <w:shd w:val="clear" w:color="000000" w:fill="FFFFFF"/>
            <w:vAlign w:val="center"/>
            <w:hideMark/>
          </w:tcPr>
          <w:p w14:paraId="1A4D7D0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9C1F698"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11DED8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442E1262"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684183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4A29F7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DCBB69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CD07C9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547AAA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969C82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A30DFC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004C98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2B5094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631C79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EC249F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E9D44D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267462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EFAE94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AD55CC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41FB79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71B452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BB751B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C8F129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8BA2F0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F53549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7FEBD2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F96328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AB7BF6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FB63E4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BC2D48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7143E50C" w14:textId="126089DB"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4B16B811" w14:textId="6DB48220" w:rsidTr="00513011">
        <w:trPr>
          <w:cantSplit/>
          <w:trHeight w:val="1134"/>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47F0D841" w14:textId="77777777" w:rsidR="00676458" w:rsidRPr="00AA62BB" w:rsidRDefault="00676458" w:rsidP="00676458">
            <w:pPr>
              <w:rPr>
                <w:rFonts w:ascii="Aptos" w:hAnsi="Aptos"/>
                <w:sz w:val="18"/>
                <w:szCs w:val="18"/>
              </w:rPr>
            </w:pPr>
            <w:r w:rsidRPr="00AA62BB">
              <w:rPr>
                <w:rFonts w:ascii="Aptos" w:hAnsi="Aptos"/>
                <w:sz w:val="18"/>
                <w:szCs w:val="18"/>
              </w:rPr>
              <w:t>Concerns regarding specification of study eligibility criteria LOW, HIGH, UNCLEAR</w:t>
            </w:r>
          </w:p>
        </w:tc>
        <w:tc>
          <w:tcPr>
            <w:tcW w:w="560" w:type="pct"/>
            <w:tcBorders>
              <w:top w:val="nil"/>
              <w:left w:val="nil"/>
              <w:bottom w:val="single" w:sz="4" w:space="0" w:color="auto"/>
              <w:right w:val="single" w:sz="4" w:space="0" w:color="auto"/>
            </w:tcBorders>
            <w:shd w:val="clear" w:color="000000" w:fill="E2EFDA"/>
            <w:textDirection w:val="btLr"/>
            <w:vAlign w:val="center"/>
            <w:hideMark/>
          </w:tcPr>
          <w:p w14:paraId="7DA514E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1"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41207D5F"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101"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1676850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1"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5BDAE78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7F16C3A"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3D1D7C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44F6D3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10C9A3C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29CBBF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1E304A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D36A7C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4CE613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1C746D7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998836A"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AF645C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4E0066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162D48A"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780AFA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EDEE39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52A9FF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08ACDFD"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153073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721B78D"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BCF2C5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41EAA7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C5987F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9E971A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C1D39D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FBF5C3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774565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tcPr>
          <w:p w14:paraId="40F10946" w14:textId="1C953FEC"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r>
      <w:tr w:rsidR="00BF0EB3" w:rsidRPr="00AA62BB" w14:paraId="05464405" w14:textId="2B28CBF6" w:rsidTr="00513011">
        <w:trPr>
          <w:trHeight w:val="320"/>
        </w:trPr>
        <w:tc>
          <w:tcPr>
            <w:tcW w:w="1441" w:type="pct"/>
            <w:tcBorders>
              <w:top w:val="nil"/>
              <w:left w:val="single" w:sz="4" w:space="0" w:color="auto"/>
              <w:bottom w:val="single" w:sz="4" w:space="0" w:color="auto"/>
              <w:right w:val="single" w:sz="4" w:space="0" w:color="auto"/>
            </w:tcBorders>
            <w:shd w:val="clear" w:color="000000" w:fill="F2F2F2"/>
            <w:vAlign w:val="center"/>
            <w:hideMark/>
          </w:tcPr>
          <w:p w14:paraId="41A046B5" w14:textId="77777777" w:rsidR="00676458" w:rsidRPr="00AA62BB" w:rsidRDefault="00676458" w:rsidP="00676458">
            <w:pPr>
              <w:rPr>
                <w:rFonts w:ascii="Aptos" w:hAnsi="Aptos"/>
                <w:sz w:val="18"/>
                <w:szCs w:val="18"/>
              </w:rPr>
            </w:pPr>
            <w:r w:rsidRPr="00AA62BB">
              <w:rPr>
                <w:rFonts w:ascii="Aptos" w:hAnsi="Aptos"/>
                <w:sz w:val="18"/>
                <w:szCs w:val="18"/>
              </w:rPr>
              <w:t>Domain 2: Identification and selection of studies</w:t>
            </w:r>
          </w:p>
        </w:tc>
        <w:tc>
          <w:tcPr>
            <w:tcW w:w="560" w:type="pct"/>
            <w:tcBorders>
              <w:top w:val="nil"/>
              <w:left w:val="nil"/>
              <w:bottom w:val="single" w:sz="4" w:space="0" w:color="auto"/>
              <w:right w:val="single" w:sz="4" w:space="0" w:color="auto"/>
            </w:tcBorders>
            <w:shd w:val="clear" w:color="000000" w:fill="F2F2F2"/>
            <w:vAlign w:val="center"/>
            <w:hideMark/>
          </w:tcPr>
          <w:p w14:paraId="3CC56220" w14:textId="69B28B0C"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7B522D54" w14:textId="018D486B"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1AA1E934" w14:textId="241FEA6B"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507C22C4" w14:textId="7770D18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54E9FDB" w14:textId="3E23186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7457688D" w14:textId="636BD5F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5852DAD0" w14:textId="3AFB9D6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2EF3A3C7" w14:textId="61D22EE4"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53DEDB30" w14:textId="575DBCB0"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78BAEBC" w14:textId="421CA04D"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34BB2429" w14:textId="5F3E872F"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A6705C6" w14:textId="7CD4EE69"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D553E58" w14:textId="0FCB3845"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A457F66" w14:textId="023A67CB"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17354632" w14:textId="15AC771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71D2B358" w14:textId="14627F5D"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B37263D" w14:textId="21BCC584"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DC2C1F5" w14:textId="61F20B4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397BF00" w14:textId="1DA88B93"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74693C6D" w14:textId="65FF50E1"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2AFBCB9E" w14:textId="0ECEB6B6"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7BF0CF99" w14:textId="2B4417F8"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54EFC057" w14:textId="6E58533E"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C20FEFE" w14:textId="4D7E5CAC"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1D3B4B69" w14:textId="03B60296"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5D752932" w14:textId="788DEEA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729A094B" w14:textId="7808BB4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74CA1BF4" w14:textId="020496F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65FE89B3" w14:textId="051F457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13F5B9A0" w14:textId="1BB7A1C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tcPr>
          <w:p w14:paraId="57255FF4" w14:textId="6EC5E95C" w:rsidR="00676458" w:rsidRPr="00AA62BB" w:rsidRDefault="00676458" w:rsidP="00513011">
            <w:pPr>
              <w:jc w:val="center"/>
              <w:rPr>
                <w:rFonts w:ascii="Aptos" w:hAnsi="Aptos"/>
                <w:sz w:val="18"/>
                <w:szCs w:val="18"/>
              </w:rPr>
            </w:pPr>
          </w:p>
        </w:tc>
      </w:tr>
      <w:tr w:rsidR="00BF0EB3" w:rsidRPr="00AA62BB" w14:paraId="05975125" w14:textId="6467E669"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73AC1981" w14:textId="77777777" w:rsidR="00676458" w:rsidRPr="00AA62BB" w:rsidRDefault="00676458" w:rsidP="00676458">
            <w:pPr>
              <w:rPr>
                <w:rFonts w:ascii="Aptos" w:hAnsi="Aptos"/>
                <w:sz w:val="18"/>
                <w:szCs w:val="18"/>
              </w:rPr>
            </w:pPr>
            <w:r w:rsidRPr="00AA62BB">
              <w:rPr>
                <w:rFonts w:ascii="Aptos" w:hAnsi="Aptos"/>
                <w:sz w:val="18"/>
                <w:szCs w:val="18"/>
              </w:rPr>
              <w:t>Did the search include an appropriate range of databases/electronic sources for published and unpublished reports?</w:t>
            </w:r>
          </w:p>
        </w:tc>
        <w:tc>
          <w:tcPr>
            <w:tcW w:w="560" w:type="pct"/>
            <w:tcBorders>
              <w:top w:val="nil"/>
              <w:left w:val="nil"/>
              <w:bottom w:val="single" w:sz="4" w:space="0" w:color="auto"/>
              <w:right w:val="single" w:sz="4" w:space="0" w:color="auto"/>
            </w:tcBorders>
            <w:shd w:val="clear" w:color="000000" w:fill="FFFFFF"/>
            <w:vAlign w:val="center"/>
            <w:hideMark/>
          </w:tcPr>
          <w:p w14:paraId="2C5B51B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465AA9E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F33F2C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6F4C40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71152A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E9CB22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C6B41B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60014D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C2BA07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0B7EFE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B7ABEA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EF077F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A37F9A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071663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96B310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045E79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4D1545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D9E071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283DE7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246F0E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C7632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9424AE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172A07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115C3E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224C6C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3915DB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154484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4E7C5A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E5216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9C923D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00FF4661" w14:textId="41497BB3"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6E46F6DE" w14:textId="11CDA80F"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19109D16" w14:textId="77777777" w:rsidR="00676458" w:rsidRPr="00AA62BB" w:rsidRDefault="00676458" w:rsidP="00676458">
            <w:pPr>
              <w:rPr>
                <w:rFonts w:ascii="Aptos" w:hAnsi="Aptos"/>
                <w:sz w:val="18"/>
                <w:szCs w:val="18"/>
              </w:rPr>
            </w:pPr>
            <w:r w:rsidRPr="00AA62BB">
              <w:rPr>
                <w:rFonts w:ascii="Aptos" w:hAnsi="Aptos"/>
                <w:sz w:val="18"/>
                <w:szCs w:val="18"/>
              </w:rPr>
              <w:t>Were methods additional to database searching used to identify relevant reports?</w:t>
            </w:r>
          </w:p>
        </w:tc>
        <w:tc>
          <w:tcPr>
            <w:tcW w:w="560" w:type="pct"/>
            <w:tcBorders>
              <w:top w:val="nil"/>
              <w:left w:val="nil"/>
              <w:bottom w:val="single" w:sz="4" w:space="0" w:color="auto"/>
              <w:right w:val="single" w:sz="4" w:space="0" w:color="auto"/>
            </w:tcBorders>
            <w:shd w:val="clear" w:color="000000" w:fill="FFFFFF"/>
            <w:vAlign w:val="center"/>
            <w:hideMark/>
          </w:tcPr>
          <w:p w14:paraId="2D6701A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3B7210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37B270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695A37E"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5ADF216"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D2D239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7BC0DE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BAEA84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67B080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8EF088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525CCD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62F889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8976C0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417653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091C1D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2C577E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95678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AB18FF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8EDD6F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BEAA69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91A61F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16CF3B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9335D0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68E64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6F94C4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8DDBB7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73875D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56E6E1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1EE521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9952F5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19B50604" w14:textId="3B1B6A67"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1865CEA3" w14:textId="1034A83E"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33798BD9" w14:textId="77777777" w:rsidR="00676458" w:rsidRPr="00AA62BB" w:rsidRDefault="00676458" w:rsidP="00676458">
            <w:pPr>
              <w:rPr>
                <w:rFonts w:ascii="Aptos" w:hAnsi="Aptos"/>
                <w:sz w:val="18"/>
                <w:szCs w:val="18"/>
              </w:rPr>
            </w:pPr>
            <w:r w:rsidRPr="00AA62BB">
              <w:rPr>
                <w:rFonts w:ascii="Aptos" w:hAnsi="Aptos"/>
                <w:sz w:val="18"/>
                <w:szCs w:val="18"/>
              </w:rPr>
              <w:t>Were the terms and structure of the search strategy likely to retrieve as many eligible studies as possible?</w:t>
            </w:r>
          </w:p>
        </w:tc>
        <w:tc>
          <w:tcPr>
            <w:tcW w:w="560" w:type="pct"/>
            <w:tcBorders>
              <w:top w:val="nil"/>
              <w:left w:val="nil"/>
              <w:bottom w:val="single" w:sz="4" w:space="0" w:color="auto"/>
              <w:right w:val="single" w:sz="4" w:space="0" w:color="auto"/>
            </w:tcBorders>
            <w:shd w:val="clear" w:color="000000" w:fill="FFFFFF"/>
            <w:vAlign w:val="center"/>
            <w:hideMark/>
          </w:tcPr>
          <w:p w14:paraId="58F6DE92"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1C55F9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BF18B9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C85B264"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019948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064A01E"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F5F6FE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57C132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3F8475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6D6A67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3BCB118"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8E2B05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B941CDF"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C248F5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19C183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C5A738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50F4263"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5728DDB"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6B8E5C0"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4ACA0F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83AF49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5E7B8F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106A0EF"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7720CC9"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6D991E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5EFBAE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1483D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5338844"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39E356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75DD5E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4F2707CC" w14:textId="25CDCC3C" w:rsidR="00676458" w:rsidRPr="00AA62BB" w:rsidRDefault="00676458" w:rsidP="00513011">
            <w:pPr>
              <w:jc w:val="center"/>
              <w:rPr>
                <w:rFonts w:ascii="Aptos" w:hAnsi="Aptos"/>
                <w:sz w:val="18"/>
                <w:szCs w:val="18"/>
              </w:rPr>
            </w:pPr>
            <w:r w:rsidRPr="00AA62BB">
              <w:rPr>
                <w:rFonts w:ascii="Aptos" w:hAnsi="Aptos"/>
                <w:sz w:val="18"/>
                <w:szCs w:val="18"/>
              </w:rPr>
              <w:t>PY</w:t>
            </w:r>
          </w:p>
        </w:tc>
      </w:tr>
      <w:tr w:rsidR="00BF0EB3" w:rsidRPr="00AA62BB" w14:paraId="20F2ECEF" w14:textId="1FC7DE78"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14B4FB57" w14:textId="77777777" w:rsidR="00676458" w:rsidRPr="00AA62BB" w:rsidRDefault="00676458" w:rsidP="00676458">
            <w:pPr>
              <w:rPr>
                <w:rFonts w:ascii="Aptos" w:hAnsi="Aptos"/>
                <w:sz w:val="18"/>
                <w:szCs w:val="18"/>
              </w:rPr>
            </w:pPr>
            <w:r w:rsidRPr="00AA62BB">
              <w:rPr>
                <w:rFonts w:ascii="Aptos" w:hAnsi="Aptos"/>
                <w:sz w:val="18"/>
                <w:szCs w:val="18"/>
              </w:rPr>
              <w:t>Were restrictions based on date, publication format, or language appropriate?</w:t>
            </w:r>
          </w:p>
        </w:tc>
        <w:tc>
          <w:tcPr>
            <w:tcW w:w="560" w:type="pct"/>
            <w:tcBorders>
              <w:top w:val="nil"/>
              <w:left w:val="nil"/>
              <w:bottom w:val="single" w:sz="4" w:space="0" w:color="auto"/>
              <w:right w:val="single" w:sz="4" w:space="0" w:color="auto"/>
            </w:tcBorders>
            <w:shd w:val="clear" w:color="000000" w:fill="FFFFFF"/>
            <w:vAlign w:val="center"/>
            <w:hideMark/>
          </w:tcPr>
          <w:p w14:paraId="7E1AEDF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A279011"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ACEC1B5"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8E9F4F3" w14:textId="77777777" w:rsidR="00676458" w:rsidRPr="00AA62BB" w:rsidRDefault="00676458" w:rsidP="00513011">
            <w:pPr>
              <w:jc w:val="center"/>
              <w:rPr>
                <w:rFonts w:ascii="Aptos" w:hAnsi="Aptos"/>
                <w:sz w:val="18"/>
                <w:szCs w:val="18"/>
              </w:rPr>
            </w:pPr>
            <w:r w:rsidRPr="00AA62BB">
              <w:rPr>
                <w:rFonts w:ascii="Aptos" w:hAnsi="Aptos"/>
                <w:sz w:val="18"/>
                <w:szCs w:val="18"/>
              </w:rPr>
              <w:t>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266F0F6"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236C94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AD5C18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2119F0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90EB42C"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422D3B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72154F2"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4C4A19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6787B0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71536A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3DD8BF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54F5586"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F90EAD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58F23C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F5CA7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77F4F0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088BE80"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A86FAA5"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D492EA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1342C6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D10ABFE"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22B3D7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A38FCF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36F5EE9"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84FBA74"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A28AFE0"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51AE658E" w14:textId="6320D2F7" w:rsidR="00676458" w:rsidRPr="00AA62BB" w:rsidRDefault="00676458" w:rsidP="00513011">
            <w:pPr>
              <w:jc w:val="center"/>
              <w:rPr>
                <w:rFonts w:ascii="Aptos" w:hAnsi="Aptos"/>
                <w:sz w:val="18"/>
                <w:szCs w:val="18"/>
              </w:rPr>
            </w:pPr>
            <w:r w:rsidRPr="00AA62BB">
              <w:rPr>
                <w:rFonts w:ascii="Aptos" w:hAnsi="Aptos"/>
                <w:sz w:val="18"/>
                <w:szCs w:val="18"/>
              </w:rPr>
              <w:t>NI</w:t>
            </w:r>
          </w:p>
        </w:tc>
      </w:tr>
      <w:tr w:rsidR="00BF0EB3" w:rsidRPr="00AA62BB" w14:paraId="03B02FC2" w14:textId="6C75E18F"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22784CBD" w14:textId="77777777" w:rsidR="00676458" w:rsidRPr="00AA62BB" w:rsidRDefault="00676458" w:rsidP="00676458">
            <w:pPr>
              <w:rPr>
                <w:rFonts w:ascii="Aptos" w:hAnsi="Aptos"/>
                <w:sz w:val="18"/>
                <w:szCs w:val="18"/>
              </w:rPr>
            </w:pPr>
            <w:r w:rsidRPr="00AA62BB">
              <w:rPr>
                <w:rFonts w:ascii="Aptos" w:hAnsi="Aptos"/>
                <w:sz w:val="18"/>
                <w:szCs w:val="18"/>
              </w:rPr>
              <w:t>Were efforts made to minimise error in selection of studies?</w:t>
            </w:r>
          </w:p>
        </w:tc>
        <w:tc>
          <w:tcPr>
            <w:tcW w:w="560" w:type="pct"/>
            <w:tcBorders>
              <w:top w:val="nil"/>
              <w:left w:val="nil"/>
              <w:bottom w:val="single" w:sz="4" w:space="0" w:color="auto"/>
              <w:right w:val="single" w:sz="4" w:space="0" w:color="auto"/>
            </w:tcBorders>
            <w:shd w:val="clear" w:color="000000" w:fill="FFFFFF"/>
            <w:vAlign w:val="center"/>
            <w:hideMark/>
          </w:tcPr>
          <w:p w14:paraId="7C24C62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9D38C2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3B5A6D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ACE4FAF"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7D3D4A7"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491C99B"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7F02F5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6ADC95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412255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73025F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D2C817E"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F708AA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B84E8C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4E2597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A8F98F4"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1EB973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615EDC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24EE2D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761819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E8280E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EB9240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64E36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B239A8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C276D30"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6EA4CE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7D225C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225F10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DBD8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349386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C8AB99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015B1594" w14:textId="7D4A3E45" w:rsidR="00676458" w:rsidRPr="00AA62BB" w:rsidRDefault="00676458" w:rsidP="00513011">
            <w:pPr>
              <w:jc w:val="center"/>
              <w:rPr>
                <w:rFonts w:ascii="Aptos" w:hAnsi="Aptos"/>
                <w:sz w:val="18"/>
                <w:szCs w:val="18"/>
              </w:rPr>
            </w:pPr>
            <w:r w:rsidRPr="00AA62BB">
              <w:rPr>
                <w:rFonts w:ascii="Aptos" w:hAnsi="Aptos"/>
                <w:sz w:val="18"/>
                <w:szCs w:val="18"/>
              </w:rPr>
              <w:t>NI</w:t>
            </w:r>
          </w:p>
        </w:tc>
      </w:tr>
      <w:tr w:rsidR="00BF0EB3" w:rsidRPr="00AA62BB" w14:paraId="24EFC728" w14:textId="343CC65C" w:rsidTr="00513011">
        <w:trPr>
          <w:cantSplit/>
          <w:trHeight w:val="1134"/>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1924D4E9" w14:textId="77777777" w:rsidR="00676458" w:rsidRPr="00AA62BB" w:rsidRDefault="00676458" w:rsidP="00676458">
            <w:pPr>
              <w:rPr>
                <w:rFonts w:ascii="Aptos" w:hAnsi="Aptos"/>
                <w:sz w:val="18"/>
                <w:szCs w:val="18"/>
              </w:rPr>
            </w:pPr>
            <w:r w:rsidRPr="00AA62BB">
              <w:rPr>
                <w:rFonts w:ascii="Aptos" w:hAnsi="Aptos"/>
                <w:sz w:val="18"/>
                <w:szCs w:val="18"/>
              </w:rPr>
              <w:t>Concerns regarding methods used to identify and/or select studies: LOW, HIGH, UNCLEAR</w:t>
            </w:r>
          </w:p>
        </w:tc>
        <w:tc>
          <w:tcPr>
            <w:tcW w:w="560" w:type="pct"/>
            <w:tcBorders>
              <w:top w:val="nil"/>
              <w:left w:val="nil"/>
              <w:bottom w:val="single" w:sz="4" w:space="0" w:color="auto"/>
              <w:right w:val="single" w:sz="4" w:space="0" w:color="auto"/>
            </w:tcBorders>
            <w:shd w:val="clear" w:color="000000" w:fill="E2EFDA"/>
            <w:textDirection w:val="btLr"/>
            <w:vAlign w:val="center"/>
            <w:hideMark/>
          </w:tcPr>
          <w:p w14:paraId="3508A14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1"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2720B25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1"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2C672D6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1"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0D462BF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5811E1F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115EFB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19ACB9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30C022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1EBB281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CFD9FA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78E1DE8E"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C23E7D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881AA5F"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171F01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0B14FD6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3F48FCE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E1A212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B76125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BAA1FD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E8DFE9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5E6BAE9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23ABD2A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9663FA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6D89E48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289A95AD"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16F313E"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60BBF8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145F6B0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3FE38F9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7EDC2666" w14:textId="3B2544B5"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tcPr>
          <w:p w14:paraId="1A927C9F" w14:textId="2443D68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r>
      <w:tr w:rsidR="00BF0EB3" w:rsidRPr="00AA62BB" w14:paraId="043CFD0D" w14:textId="6E1F1A0C" w:rsidTr="00513011">
        <w:trPr>
          <w:trHeight w:val="320"/>
        </w:trPr>
        <w:tc>
          <w:tcPr>
            <w:tcW w:w="1441" w:type="pct"/>
            <w:tcBorders>
              <w:top w:val="nil"/>
              <w:left w:val="single" w:sz="4" w:space="0" w:color="auto"/>
              <w:bottom w:val="single" w:sz="4" w:space="0" w:color="auto"/>
              <w:right w:val="single" w:sz="4" w:space="0" w:color="auto"/>
            </w:tcBorders>
            <w:shd w:val="clear" w:color="000000" w:fill="F2F2F2"/>
            <w:vAlign w:val="center"/>
            <w:hideMark/>
          </w:tcPr>
          <w:p w14:paraId="1DB8057A" w14:textId="77777777" w:rsidR="00676458" w:rsidRPr="00AA62BB" w:rsidRDefault="00676458" w:rsidP="00676458">
            <w:pPr>
              <w:rPr>
                <w:rFonts w:ascii="Aptos" w:hAnsi="Aptos"/>
                <w:sz w:val="18"/>
                <w:szCs w:val="18"/>
              </w:rPr>
            </w:pPr>
            <w:r w:rsidRPr="00AA62BB">
              <w:rPr>
                <w:rFonts w:ascii="Aptos" w:hAnsi="Aptos"/>
                <w:sz w:val="18"/>
                <w:szCs w:val="18"/>
              </w:rPr>
              <w:t>Domain 3: Data collection and study appraisal</w:t>
            </w:r>
          </w:p>
        </w:tc>
        <w:tc>
          <w:tcPr>
            <w:tcW w:w="560" w:type="pct"/>
            <w:tcBorders>
              <w:top w:val="nil"/>
              <w:left w:val="nil"/>
              <w:bottom w:val="single" w:sz="4" w:space="0" w:color="auto"/>
              <w:right w:val="single" w:sz="4" w:space="0" w:color="auto"/>
            </w:tcBorders>
            <w:shd w:val="clear" w:color="000000" w:fill="F2F2F2"/>
            <w:vAlign w:val="center"/>
            <w:hideMark/>
          </w:tcPr>
          <w:p w14:paraId="37B6D8C9" w14:textId="39966F13"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7CA76B16" w14:textId="5B300118"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3DC4238D" w14:textId="5BA6E3B6"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2894BC1B" w14:textId="2C7AAFD5"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6D011027" w14:textId="79B85BBD"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5CD598C9" w14:textId="30A447F0"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9533129" w14:textId="296899C8"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C75FD2D" w14:textId="2CE04E19"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57E50B6" w14:textId="3420D0A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79EB13C8" w14:textId="69F159A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A62CC4D" w14:textId="6B094457"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4B448E59" w14:textId="5D8FB44A"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015C726" w14:textId="6D04704B"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7E85B5F9" w14:textId="5E54DF49"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6AA301FF" w14:textId="7906DEE3"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0A908D19" w14:textId="17A1B5D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6681BC6A" w14:textId="31C98086"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1A262186" w14:textId="1A546DD9"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3E0E48D" w14:textId="3406D727"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70F53177" w14:textId="0578CB4A"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4C68DC0A" w14:textId="061B7A60"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1BFBB3C3" w14:textId="673279F5"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E58571D" w14:textId="167D97FA"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5E24DE2C" w14:textId="6B3C21D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1B08723D" w14:textId="7CEB350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34A4520F" w14:textId="665D69F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7FD5AB31" w14:textId="28B6F349"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78949E0" w14:textId="0DA00719"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36339CD3" w14:textId="4F3CF9D0"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1FA0B4C5" w14:textId="71486F16"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tcPr>
          <w:p w14:paraId="3A3720BE" w14:textId="02DA869F" w:rsidR="00676458" w:rsidRPr="00AA62BB" w:rsidRDefault="00676458" w:rsidP="00513011">
            <w:pPr>
              <w:jc w:val="center"/>
              <w:rPr>
                <w:rFonts w:ascii="Aptos" w:hAnsi="Aptos"/>
                <w:sz w:val="18"/>
                <w:szCs w:val="18"/>
              </w:rPr>
            </w:pPr>
          </w:p>
        </w:tc>
      </w:tr>
      <w:tr w:rsidR="00BF0EB3" w:rsidRPr="00AA62BB" w14:paraId="07A4D142" w14:textId="4073AD9A"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32C48E73" w14:textId="77777777" w:rsidR="00676458" w:rsidRPr="00AA62BB" w:rsidRDefault="00676458" w:rsidP="00676458">
            <w:pPr>
              <w:rPr>
                <w:rFonts w:ascii="Aptos" w:hAnsi="Aptos"/>
                <w:sz w:val="18"/>
                <w:szCs w:val="18"/>
              </w:rPr>
            </w:pPr>
            <w:r w:rsidRPr="00AA62BB">
              <w:rPr>
                <w:rFonts w:ascii="Aptos" w:hAnsi="Aptos"/>
                <w:sz w:val="18"/>
                <w:szCs w:val="18"/>
              </w:rPr>
              <w:t>Were efforts made to minimise error in data collection?</w:t>
            </w:r>
          </w:p>
        </w:tc>
        <w:tc>
          <w:tcPr>
            <w:tcW w:w="560" w:type="pct"/>
            <w:tcBorders>
              <w:top w:val="nil"/>
              <w:left w:val="nil"/>
              <w:bottom w:val="single" w:sz="4" w:space="0" w:color="auto"/>
              <w:right w:val="single" w:sz="4" w:space="0" w:color="auto"/>
            </w:tcBorders>
            <w:shd w:val="clear" w:color="000000" w:fill="FFFFFF"/>
            <w:vAlign w:val="center"/>
            <w:hideMark/>
          </w:tcPr>
          <w:p w14:paraId="3999AA7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72E8002"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DF1BD9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E0252A5"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A295E28"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00DF2A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223E85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EF98BD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6760CB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9D1E9D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504F3D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A0C2A7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FC523F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902932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2D4FF4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05185F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28DC373"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39007B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785CC5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F421DF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3FD7EC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B029EB0"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58B7B9"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56F95EA"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9B1CCB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FC24CA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6CD0E8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9E60BF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69D45F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56FAE5E"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30D7CD9B" w14:textId="1435DEC3"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3B32AA0B" w14:textId="4D7CA7FA"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58FC85A6" w14:textId="77777777" w:rsidR="00676458" w:rsidRPr="00AA62BB" w:rsidRDefault="00676458" w:rsidP="00676458">
            <w:pPr>
              <w:rPr>
                <w:rFonts w:ascii="Aptos" w:hAnsi="Aptos"/>
                <w:sz w:val="18"/>
                <w:szCs w:val="18"/>
              </w:rPr>
            </w:pPr>
            <w:r w:rsidRPr="00AA62BB">
              <w:rPr>
                <w:rFonts w:ascii="Aptos" w:hAnsi="Aptos"/>
                <w:sz w:val="18"/>
                <w:szCs w:val="18"/>
              </w:rPr>
              <w:t>Were sufficient study characteristics available for both review authors and readers to be able to interpret the results?</w:t>
            </w:r>
          </w:p>
        </w:tc>
        <w:tc>
          <w:tcPr>
            <w:tcW w:w="560" w:type="pct"/>
            <w:tcBorders>
              <w:top w:val="nil"/>
              <w:left w:val="nil"/>
              <w:bottom w:val="single" w:sz="4" w:space="0" w:color="auto"/>
              <w:right w:val="single" w:sz="4" w:space="0" w:color="auto"/>
            </w:tcBorders>
            <w:shd w:val="clear" w:color="000000" w:fill="FFFFFF"/>
            <w:vAlign w:val="center"/>
            <w:hideMark/>
          </w:tcPr>
          <w:p w14:paraId="6AA025B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CD4CE3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AF7751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254934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1A3F2E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9AA3A0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281A5B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9C8A8E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2054A8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008693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DB8625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5A10F2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ECF0E7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86A565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27E945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D0E379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578194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B6E050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6C356F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C02898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F8AB7D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2878A0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5E6834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707112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DD3864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F211CB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D0B47A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705D2F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5133B7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6674F4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42450673" w14:textId="71AFAD96"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4F99A977" w14:textId="395A4B2D"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21B24A01" w14:textId="77777777" w:rsidR="00676458" w:rsidRPr="00AA62BB" w:rsidRDefault="00676458" w:rsidP="00676458">
            <w:pPr>
              <w:rPr>
                <w:rFonts w:ascii="Aptos" w:hAnsi="Aptos"/>
                <w:sz w:val="18"/>
                <w:szCs w:val="18"/>
              </w:rPr>
            </w:pPr>
            <w:r w:rsidRPr="00AA62BB">
              <w:rPr>
                <w:rFonts w:ascii="Aptos" w:hAnsi="Aptos"/>
                <w:sz w:val="18"/>
                <w:szCs w:val="18"/>
              </w:rPr>
              <w:t>Were all relevant study results collected for use in the synthesis?</w:t>
            </w:r>
          </w:p>
        </w:tc>
        <w:tc>
          <w:tcPr>
            <w:tcW w:w="560" w:type="pct"/>
            <w:tcBorders>
              <w:top w:val="nil"/>
              <w:left w:val="nil"/>
              <w:bottom w:val="single" w:sz="4" w:space="0" w:color="auto"/>
              <w:right w:val="single" w:sz="4" w:space="0" w:color="auto"/>
            </w:tcBorders>
            <w:shd w:val="clear" w:color="000000" w:fill="FFFFFF"/>
            <w:vAlign w:val="center"/>
            <w:hideMark/>
          </w:tcPr>
          <w:p w14:paraId="4FCDD25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260A51F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4F7DAE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394DBA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0BA8CE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FBD26F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68D3E9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88A79D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371BD2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D73091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12FA0F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B3F5B7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8A459A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410B79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05FAD7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18E7C0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238210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E58149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41B834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02911B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CC3244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C8BDCE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5D84FE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49EC7F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E98EBC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E62873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D812E0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32C4B9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FD11CB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8A2206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5802C7AD" w14:textId="7BA35005"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5B743FE6" w14:textId="38341591"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55071A23" w14:textId="77777777" w:rsidR="00676458" w:rsidRPr="00AA62BB" w:rsidRDefault="00676458" w:rsidP="00676458">
            <w:pPr>
              <w:rPr>
                <w:rFonts w:ascii="Aptos" w:hAnsi="Aptos"/>
                <w:sz w:val="18"/>
                <w:szCs w:val="18"/>
              </w:rPr>
            </w:pPr>
            <w:r w:rsidRPr="00AA62BB">
              <w:rPr>
                <w:rFonts w:ascii="Aptos" w:hAnsi="Aptos"/>
                <w:sz w:val="18"/>
                <w:szCs w:val="18"/>
              </w:rPr>
              <w:t>Was risk of bias (or methodological quality) formally assessed using appropriate criteria?</w:t>
            </w:r>
          </w:p>
        </w:tc>
        <w:tc>
          <w:tcPr>
            <w:tcW w:w="560" w:type="pct"/>
            <w:tcBorders>
              <w:top w:val="nil"/>
              <w:left w:val="nil"/>
              <w:bottom w:val="single" w:sz="4" w:space="0" w:color="auto"/>
              <w:right w:val="single" w:sz="4" w:space="0" w:color="auto"/>
            </w:tcBorders>
            <w:shd w:val="clear" w:color="000000" w:fill="FFFFFF"/>
            <w:vAlign w:val="center"/>
            <w:hideMark/>
          </w:tcPr>
          <w:p w14:paraId="0C829DB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9EA1A2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4FA105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853144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63DED1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0BD6A8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DAC17A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B5263D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2CD2F9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4A83AD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4E6AC7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07320F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BC414A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C59D0C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CAAD79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11D239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5EAC44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A79882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369134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84A384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F5080F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F42F4B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18548C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8A13E0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2723FD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DD4A58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D6E737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04BA45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C4D372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9CA3A7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412C2781" w14:textId="4341CBAC"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0E26D2CF" w14:textId="08E6D144"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15C450DF" w14:textId="77777777" w:rsidR="00676458" w:rsidRPr="00AA62BB" w:rsidRDefault="00676458" w:rsidP="00676458">
            <w:pPr>
              <w:rPr>
                <w:rFonts w:ascii="Aptos" w:hAnsi="Aptos"/>
                <w:sz w:val="18"/>
                <w:szCs w:val="18"/>
              </w:rPr>
            </w:pPr>
            <w:r w:rsidRPr="00AA62BB">
              <w:rPr>
                <w:rFonts w:ascii="Aptos" w:hAnsi="Aptos"/>
                <w:sz w:val="18"/>
                <w:szCs w:val="18"/>
              </w:rPr>
              <w:t>Were efforts made to minimise error in risk of bias assessment?</w:t>
            </w:r>
          </w:p>
        </w:tc>
        <w:tc>
          <w:tcPr>
            <w:tcW w:w="560" w:type="pct"/>
            <w:tcBorders>
              <w:top w:val="nil"/>
              <w:left w:val="nil"/>
              <w:bottom w:val="single" w:sz="4" w:space="0" w:color="auto"/>
              <w:right w:val="single" w:sz="4" w:space="0" w:color="auto"/>
            </w:tcBorders>
            <w:shd w:val="clear" w:color="000000" w:fill="FFFFFF"/>
            <w:vAlign w:val="center"/>
            <w:hideMark/>
          </w:tcPr>
          <w:p w14:paraId="275F273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8706FA1"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C77369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477685F"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3EBF2F5"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DD470C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9F8537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16266B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70BA57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4D7B36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20A42D8"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EB33CC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D304044"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F1E4899"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7D3CB8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333F1D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AD2230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A97379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63C402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9559FCF"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7117E3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1E07832"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ACB27E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26DEF73"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496C63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4B8C6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BDAB1E3"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D171ED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0524335"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83F66EF"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19F6C977" w14:textId="4E2F6910" w:rsidR="00676458" w:rsidRPr="00AA62BB" w:rsidRDefault="00676458" w:rsidP="00513011">
            <w:pPr>
              <w:jc w:val="center"/>
              <w:rPr>
                <w:rFonts w:ascii="Aptos" w:hAnsi="Aptos"/>
                <w:sz w:val="18"/>
                <w:szCs w:val="18"/>
              </w:rPr>
            </w:pPr>
            <w:r w:rsidRPr="00AA62BB">
              <w:rPr>
                <w:rFonts w:ascii="Aptos" w:hAnsi="Aptos"/>
                <w:sz w:val="18"/>
                <w:szCs w:val="18"/>
              </w:rPr>
              <w:t>Y</w:t>
            </w:r>
          </w:p>
        </w:tc>
      </w:tr>
      <w:tr w:rsidR="00E9401D" w:rsidRPr="00AA62BB" w14:paraId="2A79E10A" w14:textId="68A0FC9D" w:rsidTr="002014A2">
        <w:trPr>
          <w:cantSplit/>
          <w:trHeight w:val="1134"/>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02720800" w14:textId="77777777" w:rsidR="00676458" w:rsidRPr="00AA62BB" w:rsidRDefault="00676458" w:rsidP="00676458">
            <w:pPr>
              <w:rPr>
                <w:rFonts w:ascii="Aptos" w:hAnsi="Aptos"/>
                <w:sz w:val="18"/>
                <w:szCs w:val="18"/>
              </w:rPr>
            </w:pPr>
            <w:r w:rsidRPr="00AA62BB">
              <w:rPr>
                <w:rFonts w:ascii="Aptos" w:hAnsi="Aptos"/>
                <w:sz w:val="18"/>
                <w:szCs w:val="18"/>
              </w:rPr>
              <w:lastRenderedPageBreak/>
              <w:t>Concerns regarding methods used to collect data and appraise studies: LOW, HIGH, UNCLEAR</w:t>
            </w:r>
          </w:p>
        </w:tc>
        <w:tc>
          <w:tcPr>
            <w:tcW w:w="560" w:type="pct"/>
            <w:tcBorders>
              <w:top w:val="nil"/>
              <w:left w:val="nil"/>
              <w:bottom w:val="single" w:sz="4" w:space="0" w:color="auto"/>
              <w:right w:val="single" w:sz="4" w:space="0" w:color="auto"/>
            </w:tcBorders>
            <w:shd w:val="clear" w:color="000000" w:fill="E2EFDA"/>
            <w:textDirection w:val="btLr"/>
            <w:vAlign w:val="center"/>
            <w:hideMark/>
          </w:tcPr>
          <w:p w14:paraId="6BA98F5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1"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62ECBDF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1"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F3FC64E"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1"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3CA76C9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7DFC9C1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EFC042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5382D0E"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652C02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FA2FCB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AC5390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5B292E2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5DBCCD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C4DD23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00870CE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805FFB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92FB92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6DE7F1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10BE1CC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862B11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311D88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5E6213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1184B31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753B52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5B06129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10B576C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E61937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577659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303CCC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5D268C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049C523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auto" w:fill="E2EFD9" w:themeFill="accent6" w:themeFillTint="33"/>
            <w:textDirection w:val="btLr"/>
            <w:vAlign w:val="center"/>
          </w:tcPr>
          <w:p w14:paraId="0307F040" w14:textId="0BDE7404"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r>
      <w:tr w:rsidR="00BF0EB3" w:rsidRPr="00AA62BB" w14:paraId="5A847D1C" w14:textId="676E0C1A" w:rsidTr="00513011">
        <w:trPr>
          <w:trHeight w:val="320"/>
        </w:trPr>
        <w:tc>
          <w:tcPr>
            <w:tcW w:w="1441" w:type="pct"/>
            <w:tcBorders>
              <w:top w:val="nil"/>
              <w:left w:val="single" w:sz="4" w:space="0" w:color="auto"/>
              <w:bottom w:val="single" w:sz="4" w:space="0" w:color="auto"/>
              <w:right w:val="single" w:sz="4" w:space="0" w:color="auto"/>
            </w:tcBorders>
            <w:shd w:val="clear" w:color="000000" w:fill="F2F2F2"/>
            <w:vAlign w:val="center"/>
            <w:hideMark/>
          </w:tcPr>
          <w:p w14:paraId="20BB0158" w14:textId="77777777" w:rsidR="00676458" w:rsidRPr="00AA62BB" w:rsidRDefault="00676458" w:rsidP="00676458">
            <w:pPr>
              <w:rPr>
                <w:rFonts w:ascii="Aptos" w:hAnsi="Aptos"/>
                <w:sz w:val="18"/>
                <w:szCs w:val="18"/>
              </w:rPr>
            </w:pPr>
            <w:r w:rsidRPr="00AA62BB">
              <w:rPr>
                <w:rFonts w:ascii="Aptos" w:hAnsi="Aptos"/>
                <w:sz w:val="18"/>
                <w:szCs w:val="18"/>
              </w:rPr>
              <w:t>Domain 4: Synthesis and findings</w:t>
            </w:r>
          </w:p>
        </w:tc>
        <w:tc>
          <w:tcPr>
            <w:tcW w:w="560" w:type="pct"/>
            <w:tcBorders>
              <w:top w:val="nil"/>
              <w:left w:val="nil"/>
              <w:bottom w:val="single" w:sz="4" w:space="0" w:color="auto"/>
              <w:right w:val="single" w:sz="4" w:space="0" w:color="auto"/>
            </w:tcBorders>
            <w:shd w:val="clear" w:color="000000" w:fill="F2F2F2"/>
            <w:vAlign w:val="center"/>
            <w:hideMark/>
          </w:tcPr>
          <w:p w14:paraId="412F5619" w14:textId="146B3D55"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5006E1B6" w14:textId="711CA8DD"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330DDAC9" w14:textId="738725F6"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F2F2F2"/>
            <w:vAlign w:val="center"/>
            <w:hideMark/>
          </w:tcPr>
          <w:p w14:paraId="358F186D" w14:textId="22C83BFD"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4DA8EB68" w14:textId="76B228DB"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645BDE81" w14:textId="2BD6527F"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373E004" w14:textId="58278C0E"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01A3E7B2" w14:textId="0034DE9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07FC51BD" w14:textId="074BF0BF"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75D86A5E" w14:textId="075F711C"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0A759206" w14:textId="7382F6FB"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5B6FA142" w14:textId="0249F87F"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648A39D7" w14:textId="6ACECF90"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25D9D748" w14:textId="1AFDC6B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3124A765" w14:textId="14BC5CFB"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6636970B" w14:textId="1947B325"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574D7A87" w14:textId="6EB0617D"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52627EB5" w14:textId="7F98EA73"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7A3D4A6" w14:textId="28672927"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4F8B6E7E" w14:textId="18A27BE3"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24A6487B" w14:textId="2C77683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5A3B297E" w14:textId="7BE5DB05"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477EC035" w14:textId="3C10553D"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7F46DAE7" w14:textId="59A2D9C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7025C9DA" w14:textId="57889DB9"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97609A3" w14:textId="2F17AF87"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hideMark/>
          </w:tcPr>
          <w:p w14:paraId="67875D00" w14:textId="3AB5A868"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75AB04FF" w14:textId="660A79D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34B2F222" w14:textId="3AF21C8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F2F2F2"/>
            <w:vAlign w:val="center"/>
            <w:hideMark/>
          </w:tcPr>
          <w:p w14:paraId="257E37AC" w14:textId="753E446E"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F2F2F2"/>
            <w:vAlign w:val="center"/>
          </w:tcPr>
          <w:p w14:paraId="03D3257B" w14:textId="70D42FC9" w:rsidR="00676458" w:rsidRPr="00AA62BB" w:rsidRDefault="00676458" w:rsidP="00513011">
            <w:pPr>
              <w:jc w:val="center"/>
              <w:rPr>
                <w:rFonts w:ascii="Aptos" w:hAnsi="Aptos"/>
                <w:sz w:val="18"/>
                <w:szCs w:val="18"/>
              </w:rPr>
            </w:pPr>
          </w:p>
        </w:tc>
      </w:tr>
      <w:tr w:rsidR="00BF0EB3" w:rsidRPr="00AA62BB" w14:paraId="21E7E911" w14:textId="0053679B"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27C07C81" w14:textId="77777777" w:rsidR="00676458" w:rsidRPr="00AA62BB" w:rsidRDefault="00676458" w:rsidP="00676458">
            <w:pPr>
              <w:rPr>
                <w:rFonts w:ascii="Aptos" w:hAnsi="Aptos"/>
                <w:sz w:val="18"/>
                <w:szCs w:val="18"/>
              </w:rPr>
            </w:pPr>
            <w:r w:rsidRPr="00AA62BB">
              <w:rPr>
                <w:rFonts w:ascii="Aptos" w:hAnsi="Aptos"/>
                <w:sz w:val="18"/>
                <w:szCs w:val="18"/>
              </w:rPr>
              <w:t>Did the synthesis include all studies that it should?</w:t>
            </w:r>
          </w:p>
        </w:tc>
        <w:tc>
          <w:tcPr>
            <w:tcW w:w="560" w:type="pct"/>
            <w:tcBorders>
              <w:top w:val="nil"/>
              <w:left w:val="nil"/>
              <w:bottom w:val="single" w:sz="4" w:space="0" w:color="auto"/>
              <w:right w:val="single" w:sz="4" w:space="0" w:color="auto"/>
            </w:tcBorders>
            <w:shd w:val="clear" w:color="000000" w:fill="FFFFFF"/>
            <w:vAlign w:val="center"/>
            <w:hideMark/>
          </w:tcPr>
          <w:p w14:paraId="1E7538D5"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212004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7A230EF"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43C2C0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3729F6E"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F5AF4F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F753FF6"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2CE1EAE"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87BE6AE"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44D8983"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DA13A6F"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D4B97F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081241FE"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3F7A5D9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5465BCD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5E0AE437"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62E1F6D5"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11C735F4"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226D8CB0"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2242FE63"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6C820675"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247337D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7197DFC3"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6AA03313"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5183BF7E"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7242CEC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hideMark/>
          </w:tcPr>
          <w:p w14:paraId="2AD8059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2E69BDD9"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367B38D4"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nil"/>
              <w:bottom w:val="single" w:sz="4" w:space="0" w:color="auto"/>
              <w:right w:val="single" w:sz="4" w:space="0" w:color="auto"/>
            </w:tcBorders>
            <w:shd w:val="clear" w:color="000000" w:fill="FFFFFF"/>
            <w:vAlign w:val="center"/>
            <w:hideMark/>
          </w:tcPr>
          <w:p w14:paraId="1E72BDD0"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nil"/>
              <w:bottom w:val="single" w:sz="4" w:space="0" w:color="auto"/>
              <w:right w:val="single" w:sz="4" w:space="0" w:color="auto"/>
            </w:tcBorders>
            <w:shd w:val="clear" w:color="000000" w:fill="FFFFFF"/>
            <w:vAlign w:val="center"/>
          </w:tcPr>
          <w:p w14:paraId="1ABA5E7B" w14:textId="01BCAA96" w:rsidR="00676458" w:rsidRPr="00AA62BB" w:rsidRDefault="00676458" w:rsidP="00513011">
            <w:pPr>
              <w:jc w:val="center"/>
              <w:rPr>
                <w:rFonts w:ascii="Aptos" w:hAnsi="Aptos"/>
                <w:sz w:val="18"/>
                <w:szCs w:val="18"/>
              </w:rPr>
            </w:pPr>
            <w:r w:rsidRPr="00AA62BB">
              <w:rPr>
                <w:rFonts w:ascii="Aptos" w:hAnsi="Aptos"/>
                <w:sz w:val="18"/>
                <w:szCs w:val="18"/>
              </w:rPr>
              <w:t>PY</w:t>
            </w:r>
          </w:p>
        </w:tc>
      </w:tr>
      <w:tr w:rsidR="00BF0EB3" w:rsidRPr="00AA62BB" w14:paraId="2F74798F" w14:textId="07A8B62F"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58E507F1" w14:textId="77777777" w:rsidR="00676458" w:rsidRPr="00AA62BB" w:rsidRDefault="00676458" w:rsidP="00676458">
            <w:pPr>
              <w:rPr>
                <w:rFonts w:ascii="Aptos" w:hAnsi="Aptos"/>
                <w:sz w:val="18"/>
                <w:szCs w:val="18"/>
              </w:rPr>
            </w:pPr>
            <w:r w:rsidRPr="00AA62BB">
              <w:rPr>
                <w:rFonts w:ascii="Aptos" w:hAnsi="Aptos"/>
                <w:sz w:val="18"/>
                <w:szCs w:val="18"/>
              </w:rPr>
              <w:t>Were all pre</w:t>
            </w:r>
            <w:r w:rsidRPr="00AA62BB">
              <w:rPr>
                <w:rFonts w:ascii="Cambria Math" w:hAnsi="Cambria Math" w:cs="Cambria Math"/>
                <w:sz w:val="18"/>
                <w:szCs w:val="18"/>
              </w:rPr>
              <w:t>‐</w:t>
            </w:r>
            <w:r w:rsidRPr="00AA62BB">
              <w:rPr>
                <w:rFonts w:ascii="Aptos" w:hAnsi="Aptos"/>
                <w:sz w:val="18"/>
                <w:szCs w:val="18"/>
              </w:rPr>
              <w:t>defined analyses reported or departures explained?</w:t>
            </w:r>
          </w:p>
        </w:tc>
        <w:tc>
          <w:tcPr>
            <w:tcW w:w="560" w:type="pct"/>
            <w:tcBorders>
              <w:top w:val="nil"/>
              <w:left w:val="nil"/>
              <w:bottom w:val="single" w:sz="4" w:space="0" w:color="auto"/>
              <w:right w:val="single" w:sz="4" w:space="0" w:color="auto"/>
            </w:tcBorders>
            <w:shd w:val="clear" w:color="000000" w:fill="FFFFFF"/>
            <w:vAlign w:val="center"/>
            <w:hideMark/>
          </w:tcPr>
          <w:p w14:paraId="656E8F6D"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5D81317F"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4054BA5D"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D7E6AD7"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5D5608B"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5E5954E"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39D9EE2"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6775622"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B305A3A"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9023C7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5D64918"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8BEE97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F0F92F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384BBB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621E34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D18CA1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B0D05F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DAB482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FC9F9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654F42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8B2905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35649D3"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646F25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6E8986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427A0C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1F855C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FDE8F8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48505E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902019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37FBF4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6E61E4B7" w14:textId="3DE8E46E"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29CB68CF" w14:textId="3E1CB854"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226836F2" w14:textId="77777777" w:rsidR="00676458" w:rsidRPr="00AA62BB" w:rsidRDefault="00676458" w:rsidP="00676458">
            <w:pPr>
              <w:rPr>
                <w:rFonts w:ascii="Aptos" w:hAnsi="Aptos"/>
                <w:sz w:val="18"/>
                <w:szCs w:val="18"/>
              </w:rPr>
            </w:pPr>
            <w:r w:rsidRPr="00AA62BB">
              <w:rPr>
                <w:rFonts w:ascii="Aptos" w:hAnsi="Aptos"/>
                <w:sz w:val="18"/>
                <w:szCs w:val="18"/>
              </w:rPr>
              <w:t>Was the synthesis appropriate given the nature and similarity in the research questions, study designs and outcomes across included studies?</w:t>
            </w:r>
          </w:p>
        </w:tc>
        <w:tc>
          <w:tcPr>
            <w:tcW w:w="560" w:type="pct"/>
            <w:tcBorders>
              <w:top w:val="nil"/>
              <w:left w:val="nil"/>
              <w:bottom w:val="single" w:sz="4" w:space="0" w:color="auto"/>
              <w:right w:val="single" w:sz="4" w:space="0" w:color="auto"/>
            </w:tcBorders>
            <w:shd w:val="clear" w:color="000000" w:fill="FFFFFF"/>
            <w:vAlign w:val="center"/>
            <w:hideMark/>
          </w:tcPr>
          <w:p w14:paraId="1310AD2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1CF260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2F1CBB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12196D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0A4484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976D63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F0593C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F6D09A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5188A9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9896F7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884F87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03C28A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EF1209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37CB72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28AE24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518985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B98F88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683325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22F825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8D68AD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2878E6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807C93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5010DF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EAFA91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E1765A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7404B0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E3A355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05BC5A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2F8A2A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C276F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6ED835EC" w14:textId="2A9022B0"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4E6DA963" w14:textId="730D87E0"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7B809C65" w14:textId="77777777" w:rsidR="00676458" w:rsidRPr="00AA62BB" w:rsidRDefault="00676458" w:rsidP="00676458">
            <w:pPr>
              <w:rPr>
                <w:rFonts w:ascii="Aptos" w:hAnsi="Aptos"/>
                <w:sz w:val="18"/>
                <w:szCs w:val="18"/>
              </w:rPr>
            </w:pPr>
            <w:r w:rsidRPr="00AA62BB">
              <w:rPr>
                <w:rFonts w:ascii="Aptos" w:hAnsi="Aptos"/>
                <w:sz w:val="18"/>
                <w:szCs w:val="18"/>
              </w:rPr>
              <w:t>Was between</w:t>
            </w:r>
            <w:r w:rsidRPr="00AA62BB">
              <w:rPr>
                <w:rFonts w:ascii="Cambria Math" w:hAnsi="Cambria Math" w:cs="Cambria Math"/>
                <w:sz w:val="18"/>
                <w:szCs w:val="18"/>
              </w:rPr>
              <w:t>‐</w:t>
            </w:r>
            <w:r w:rsidRPr="00AA62BB">
              <w:rPr>
                <w:rFonts w:ascii="Aptos" w:hAnsi="Aptos"/>
                <w:sz w:val="18"/>
                <w:szCs w:val="18"/>
              </w:rPr>
              <w:t>study variation (heterogeneity) minimal or addressed in the synthesis?</w:t>
            </w:r>
          </w:p>
        </w:tc>
        <w:tc>
          <w:tcPr>
            <w:tcW w:w="560" w:type="pct"/>
            <w:tcBorders>
              <w:top w:val="nil"/>
              <w:left w:val="nil"/>
              <w:bottom w:val="single" w:sz="4" w:space="0" w:color="auto"/>
              <w:right w:val="single" w:sz="4" w:space="0" w:color="auto"/>
            </w:tcBorders>
            <w:shd w:val="clear" w:color="000000" w:fill="FFFFFF"/>
            <w:vAlign w:val="center"/>
            <w:hideMark/>
          </w:tcPr>
          <w:p w14:paraId="0FFCCEAC"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091594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319D20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09A3D76"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834D48D"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DCAE24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B580C2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A20690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86AED1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9157ABE"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812B57F"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0C9A75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324DAFE"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7F212D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CC8E6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235BE3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2CE971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A877B7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A99495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60283B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A3FC0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301BD00"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F49ACC"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438FDB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DFE74B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36105BC" w14:textId="77777777" w:rsidR="00676458" w:rsidRPr="00AA62BB" w:rsidRDefault="00676458" w:rsidP="00513011">
            <w:pPr>
              <w:jc w:val="center"/>
              <w:rPr>
                <w:rFonts w:ascii="Aptos" w:hAnsi="Aptos"/>
                <w:sz w:val="18"/>
                <w:szCs w:val="18"/>
              </w:rPr>
            </w:pPr>
            <w:r w:rsidRPr="00AA62BB">
              <w:rPr>
                <w:rFonts w:ascii="Aptos" w:hAnsi="Aptos"/>
                <w:sz w:val="18"/>
                <w:szCs w:val="18"/>
              </w:rPr>
              <w:t>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C82B30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5B136F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5DF0A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30268E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6922813A" w14:textId="768F726E"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3640D369" w14:textId="385B907B"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600823CA" w14:textId="77777777" w:rsidR="00676458" w:rsidRPr="00AA62BB" w:rsidRDefault="00676458" w:rsidP="00676458">
            <w:pPr>
              <w:rPr>
                <w:rFonts w:ascii="Aptos" w:hAnsi="Aptos"/>
                <w:sz w:val="18"/>
                <w:szCs w:val="18"/>
              </w:rPr>
            </w:pPr>
            <w:r w:rsidRPr="00AA62BB">
              <w:rPr>
                <w:rFonts w:ascii="Aptos" w:hAnsi="Aptos"/>
                <w:sz w:val="18"/>
                <w:szCs w:val="18"/>
              </w:rPr>
              <w:t>Were the findings robust, e.g. as demonstrated through funnel plot or sensitivity analyses?</w:t>
            </w:r>
          </w:p>
        </w:tc>
        <w:tc>
          <w:tcPr>
            <w:tcW w:w="560" w:type="pct"/>
            <w:tcBorders>
              <w:top w:val="nil"/>
              <w:left w:val="nil"/>
              <w:bottom w:val="single" w:sz="4" w:space="0" w:color="auto"/>
              <w:right w:val="single" w:sz="4" w:space="0" w:color="auto"/>
            </w:tcBorders>
            <w:shd w:val="clear" w:color="000000" w:fill="FFFFFF"/>
            <w:vAlign w:val="center"/>
            <w:hideMark/>
          </w:tcPr>
          <w:p w14:paraId="3351DAA5"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63DB2BF" w14:textId="77777777" w:rsidR="00676458" w:rsidRPr="00AA62BB" w:rsidRDefault="00676458" w:rsidP="00513011">
            <w:pPr>
              <w:jc w:val="center"/>
              <w:rPr>
                <w:rFonts w:ascii="Aptos" w:hAnsi="Aptos"/>
                <w:sz w:val="18"/>
                <w:szCs w:val="18"/>
              </w:rPr>
            </w:pPr>
            <w:r w:rsidRPr="00AA62BB">
              <w:rPr>
                <w:rFonts w:ascii="Aptos" w:hAnsi="Aptos"/>
                <w:sz w:val="18"/>
                <w:szCs w:val="18"/>
              </w:rPr>
              <w:t>N</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67FF3C2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45B46EAD"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606C501"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C08F4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2448CE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F7C8C58" w14:textId="77777777" w:rsidR="00676458" w:rsidRPr="00AA62BB" w:rsidRDefault="00676458" w:rsidP="00513011">
            <w:pPr>
              <w:jc w:val="center"/>
              <w:rPr>
                <w:rFonts w:ascii="Aptos" w:hAnsi="Aptos"/>
                <w:sz w:val="18"/>
                <w:szCs w:val="18"/>
              </w:rPr>
            </w:pPr>
            <w:r w:rsidRPr="00AA62BB">
              <w:rPr>
                <w:rFonts w:ascii="Aptos" w:hAnsi="Aptos"/>
                <w:sz w:val="18"/>
                <w:szCs w:val="18"/>
              </w:rPr>
              <w:t>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820E68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139C695"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083F24E" w14:textId="77777777" w:rsidR="00676458" w:rsidRPr="00AA62BB" w:rsidRDefault="00676458" w:rsidP="00513011">
            <w:pPr>
              <w:jc w:val="center"/>
              <w:rPr>
                <w:rFonts w:ascii="Aptos" w:hAnsi="Aptos"/>
                <w:sz w:val="18"/>
                <w:szCs w:val="18"/>
              </w:rPr>
            </w:pPr>
            <w:r w:rsidRPr="00AA62BB">
              <w:rPr>
                <w:rFonts w:ascii="Aptos" w:hAnsi="Aptos"/>
                <w:sz w:val="18"/>
                <w:szCs w:val="18"/>
              </w:rPr>
              <w:t>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0F392A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B4E9F62" w14:textId="77777777" w:rsidR="00676458" w:rsidRPr="00AA62BB" w:rsidRDefault="00676458" w:rsidP="00513011">
            <w:pPr>
              <w:jc w:val="center"/>
              <w:rPr>
                <w:rFonts w:ascii="Aptos" w:hAnsi="Aptos"/>
                <w:sz w:val="18"/>
                <w:szCs w:val="18"/>
              </w:rPr>
            </w:pPr>
            <w:r w:rsidRPr="00AA62BB">
              <w:rPr>
                <w:rFonts w:ascii="Aptos" w:hAnsi="Aptos"/>
                <w:sz w:val="18"/>
                <w:szCs w:val="18"/>
              </w:rPr>
              <w:t>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24556B5"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91C2B0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8AAA99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639ED9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75C6F82"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02E83CE"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919DC2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8BA5C3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683A481" w14:textId="77777777" w:rsidR="00676458" w:rsidRPr="00AA62BB" w:rsidRDefault="00676458" w:rsidP="00513011">
            <w:pPr>
              <w:jc w:val="center"/>
              <w:rPr>
                <w:rFonts w:ascii="Aptos" w:hAnsi="Aptos"/>
                <w:sz w:val="18"/>
                <w:szCs w:val="18"/>
              </w:rPr>
            </w:pPr>
            <w:r w:rsidRPr="00AA62BB">
              <w:rPr>
                <w:rFonts w:ascii="Aptos" w:hAnsi="Aptos"/>
                <w:sz w:val="18"/>
                <w:szCs w:val="18"/>
              </w:rPr>
              <w:t>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2B82C1F"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5150BE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24377E7"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2A9B366" w14:textId="77777777" w:rsidR="00676458" w:rsidRPr="00AA62BB" w:rsidRDefault="00676458" w:rsidP="00513011">
            <w:pPr>
              <w:jc w:val="center"/>
              <w:rPr>
                <w:rFonts w:ascii="Aptos" w:hAnsi="Aptos"/>
                <w:sz w:val="18"/>
                <w:szCs w:val="18"/>
              </w:rPr>
            </w:pPr>
            <w:r w:rsidRPr="00AA62BB">
              <w:rPr>
                <w:rFonts w:ascii="Aptos" w:hAnsi="Aptos"/>
                <w:sz w:val="18"/>
                <w:szCs w:val="18"/>
              </w:rPr>
              <w:t>PN</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8AB0F00"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8CA1DD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88159B8" w14:textId="77777777" w:rsidR="00676458" w:rsidRPr="00AA62BB" w:rsidRDefault="00676458" w:rsidP="00513011">
            <w:pPr>
              <w:jc w:val="center"/>
              <w:rPr>
                <w:rFonts w:ascii="Aptos" w:hAnsi="Aptos"/>
                <w:sz w:val="18"/>
                <w:szCs w:val="18"/>
              </w:rPr>
            </w:pPr>
            <w:r w:rsidRPr="00AA62BB">
              <w:rPr>
                <w:rFonts w:ascii="Aptos" w:hAnsi="Aptos"/>
                <w:sz w:val="18"/>
                <w:szCs w:val="18"/>
              </w:rPr>
              <w:t>NI</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73A00C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2BC29DEB" w14:textId="7825E483"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4086A230" w14:textId="240B74D2" w:rsidTr="00513011">
        <w:trPr>
          <w:trHeight w:val="3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6FFB3351" w14:textId="77777777" w:rsidR="00676458" w:rsidRPr="00AA62BB" w:rsidRDefault="00676458" w:rsidP="00676458">
            <w:pPr>
              <w:rPr>
                <w:rFonts w:ascii="Aptos" w:hAnsi="Aptos"/>
                <w:sz w:val="18"/>
                <w:szCs w:val="18"/>
              </w:rPr>
            </w:pPr>
            <w:r w:rsidRPr="00AA62BB">
              <w:rPr>
                <w:rFonts w:ascii="Aptos" w:hAnsi="Aptos"/>
                <w:sz w:val="18"/>
                <w:szCs w:val="18"/>
              </w:rPr>
              <w:t>Were biases in primary studies minimal or addressed in the synthesis?</w:t>
            </w:r>
          </w:p>
        </w:tc>
        <w:tc>
          <w:tcPr>
            <w:tcW w:w="560" w:type="pct"/>
            <w:tcBorders>
              <w:top w:val="nil"/>
              <w:left w:val="nil"/>
              <w:bottom w:val="single" w:sz="4" w:space="0" w:color="auto"/>
              <w:right w:val="single" w:sz="4" w:space="0" w:color="auto"/>
            </w:tcBorders>
            <w:shd w:val="clear" w:color="000000" w:fill="FFFFFF"/>
            <w:vAlign w:val="center"/>
            <w:hideMark/>
          </w:tcPr>
          <w:p w14:paraId="12EC91E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8A61EE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7FCC2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6B45FB8"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0C91394" w14:textId="77777777" w:rsidR="00676458" w:rsidRPr="00AA62BB" w:rsidRDefault="00676458" w:rsidP="00513011">
            <w:pPr>
              <w:jc w:val="center"/>
              <w:rPr>
                <w:rFonts w:ascii="Aptos" w:hAnsi="Aptos"/>
                <w:sz w:val="18"/>
                <w:szCs w:val="18"/>
              </w:rPr>
            </w:pPr>
            <w:r w:rsidRPr="00AA62BB">
              <w:rPr>
                <w:rFonts w:ascii="Aptos" w:hAnsi="Aptos"/>
                <w:sz w:val="18"/>
                <w:szCs w:val="18"/>
              </w:rPr>
              <w:t>PY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D00C04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0DE11E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ADA2B8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EC4D77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08B195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3581D6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66C1F5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CFAB47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8EA99C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B1AC2A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CAB876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B76F78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E02BFD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A86BE7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C1ECF9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EC0735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080B53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998A9C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E5AE58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AC539B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FE4074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8B8878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1F096A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FE194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662F8B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668D50A9" w14:textId="60BC6DD9"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2F2753D1" w14:textId="5360ACDC" w:rsidTr="00513011">
        <w:trPr>
          <w:cantSplit/>
          <w:trHeight w:val="1134"/>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0808E98D" w14:textId="77777777" w:rsidR="00676458" w:rsidRPr="00AA62BB" w:rsidRDefault="00676458" w:rsidP="00676458">
            <w:pPr>
              <w:rPr>
                <w:rFonts w:ascii="Aptos" w:hAnsi="Aptos"/>
                <w:sz w:val="18"/>
                <w:szCs w:val="18"/>
              </w:rPr>
            </w:pPr>
            <w:r w:rsidRPr="00AA62BB">
              <w:rPr>
                <w:rFonts w:ascii="Aptos" w:hAnsi="Aptos"/>
                <w:sz w:val="18"/>
                <w:szCs w:val="18"/>
              </w:rPr>
              <w:t>Concerns regarding the synthesis and finding: LOW, HIGH, UNCLEAR</w:t>
            </w:r>
          </w:p>
        </w:tc>
        <w:tc>
          <w:tcPr>
            <w:tcW w:w="560" w:type="pct"/>
            <w:tcBorders>
              <w:top w:val="nil"/>
              <w:left w:val="nil"/>
              <w:bottom w:val="single" w:sz="4" w:space="0" w:color="auto"/>
              <w:right w:val="single" w:sz="4" w:space="0" w:color="auto"/>
            </w:tcBorders>
            <w:shd w:val="clear" w:color="000000" w:fill="E2EFDA"/>
            <w:textDirection w:val="btLr"/>
            <w:vAlign w:val="center"/>
            <w:hideMark/>
          </w:tcPr>
          <w:p w14:paraId="58F47F1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1"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36BC906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1"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AFC098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1"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320702B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51FF416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87CE4F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A6965D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7CD5F77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7828B4F"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262726B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4704621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E32F32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53A6015E"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228F5ED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13578CD"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2B683A7F"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898F4E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7EF70DF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66DEA4D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B2A0C1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A254DB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38C22D2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99"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16DD836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5C0D16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69330D5"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3DFFF76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14F00B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F25327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780B6F5E"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791D3627"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tcPr>
          <w:p w14:paraId="3ED46224" w14:textId="37CF0C34"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r>
      <w:tr w:rsidR="00BF0EB3" w:rsidRPr="00AA62BB" w14:paraId="36CAE71A" w14:textId="29E14FA3" w:rsidTr="00513011">
        <w:trPr>
          <w:trHeight w:val="320"/>
        </w:trPr>
        <w:tc>
          <w:tcPr>
            <w:tcW w:w="1441" w:type="pct"/>
            <w:tcBorders>
              <w:top w:val="nil"/>
              <w:left w:val="single" w:sz="4" w:space="0" w:color="auto"/>
              <w:bottom w:val="single" w:sz="4" w:space="0" w:color="auto"/>
              <w:right w:val="single" w:sz="4" w:space="0" w:color="auto"/>
            </w:tcBorders>
            <w:shd w:val="clear" w:color="000000" w:fill="D9D9D9"/>
            <w:vAlign w:val="center"/>
            <w:hideMark/>
          </w:tcPr>
          <w:p w14:paraId="12C738FE" w14:textId="77777777" w:rsidR="00676458" w:rsidRPr="00AA62BB" w:rsidRDefault="00676458" w:rsidP="00676458">
            <w:pPr>
              <w:rPr>
                <w:rFonts w:ascii="Aptos" w:hAnsi="Aptos"/>
                <w:sz w:val="18"/>
                <w:szCs w:val="18"/>
              </w:rPr>
            </w:pPr>
            <w:r w:rsidRPr="00AA62BB">
              <w:rPr>
                <w:rFonts w:ascii="Aptos" w:hAnsi="Aptos"/>
                <w:sz w:val="18"/>
                <w:szCs w:val="18"/>
              </w:rPr>
              <w:t>Risk of bias in the review</w:t>
            </w:r>
          </w:p>
        </w:tc>
        <w:tc>
          <w:tcPr>
            <w:tcW w:w="560" w:type="pct"/>
            <w:tcBorders>
              <w:top w:val="nil"/>
              <w:left w:val="nil"/>
              <w:bottom w:val="single" w:sz="4" w:space="0" w:color="auto"/>
              <w:right w:val="single" w:sz="4" w:space="0" w:color="auto"/>
            </w:tcBorders>
            <w:shd w:val="clear" w:color="000000" w:fill="D9D9D9"/>
            <w:vAlign w:val="center"/>
            <w:hideMark/>
          </w:tcPr>
          <w:p w14:paraId="7FE2275C" w14:textId="173A2D94"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vAlign w:val="center"/>
            <w:hideMark/>
          </w:tcPr>
          <w:p w14:paraId="220CF261" w14:textId="2DF34E79"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vAlign w:val="center"/>
            <w:hideMark/>
          </w:tcPr>
          <w:p w14:paraId="65BB33C0" w14:textId="6A164B46" w:rsidR="00676458" w:rsidRPr="00AA62BB" w:rsidRDefault="00676458" w:rsidP="00513011">
            <w:pPr>
              <w:jc w:val="center"/>
              <w:rPr>
                <w:rFonts w:ascii="Aptos" w:hAnsi="Aptos"/>
                <w:sz w:val="18"/>
                <w:szCs w:val="18"/>
              </w:rPr>
            </w:pPr>
          </w:p>
        </w:tc>
        <w:tc>
          <w:tcPr>
            <w:tcW w:w="101" w:type="pct"/>
            <w:tcBorders>
              <w:top w:val="nil"/>
              <w:left w:val="single" w:sz="4" w:space="0" w:color="auto"/>
              <w:bottom w:val="single" w:sz="4" w:space="0" w:color="auto"/>
              <w:right w:val="single" w:sz="4" w:space="0" w:color="auto"/>
            </w:tcBorders>
            <w:shd w:val="clear" w:color="000000" w:fill="D9D9D9"/>
            <w:vAlign w:val="center"/>
            <w:hideMark/>
          </w:tcPr>
          <w:p w14:paraId="59BD35A6" w14:textId="7452BC08"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4AC00688" w14:textId="2504658F"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43C77875" w14:textId="34B8F2F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5664ED4E" w14:textId="364CF925"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43BC1AFE" w14:textId="41FEC20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22645C1D" w14:textId="656577BA"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7F2E9634" w14:textId="00AF12D6"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394548A5" w14:textId="57723D4F"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3200B03E" w14:textId="54A6E7ED"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5F760D3E" w14:textId="221C4771"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4EE6F1BE" w14:textId="31ED7372"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0CD4E749" w14:textId="7D72BB7F"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5EB98627" w14:textId="358FE43C"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0E5C6D93" w14:textId="6C33974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0AE446FE" w14:textId="123E811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728446A7" w14:textId="02EA2499"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6557C431" w14:textId="6B8AB6A1"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0DD64E4B" w14:textId="438D2F68"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46290654" w14:textId="1A608F5C"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14879021" w14:textId="05688974"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33CE1C01" w14:textId="166DD021"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18E8D195" w14:textId="0DD6432E"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0B14A392" w14:textId="6FDBF03C"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hideMark/>
          </w:tcPr>
          <w:p w14:paraId="23562E18" w14:textId="639C144C"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109F5386" w14:textId="75C39407"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6D4CEBBC" w14:textId="6B12CA60" w:rsidR="00676458" w:rsidRPr="00AA62BB" w:rsidRDefault="00676458" w:rsidP="00513011">
            <w:pPr>
              <w:jc w:val="center"/>
              <w:rPr>
                <w:rFonts w:ascii="Aptos" w:hAnsi="Aptos"/>
                <w:sz w:val="18"/>
                <w:szCs w:val="18"/>
              </w:rPr>
            </w:pPr>
          </w:p>
        </w:tc>
        <w:tc>
          <w:tcPr>
            <w:tcW w:w="100" w:type="pct"/>
            <w:tcBorders>
              <w:top w:val="nil"/>
              <w:left w:val="single" w:sz="4" w:space="0" w:color="auto"/>
              <w:bottom w:val="single" w:sz="4" w:space="0" w:color="auto"/>
              <w:right w:val="single" w:sz="4" w:space="0" w:color="auto"/>
            </w:tcBorders>
            <w:shd w:val="clear" w:color="000000" w:fill="D9D9D9"/>
            <w:vAlign w:val="center"/>
            <w:hideMark/>
          </w:tcPr>
          <w:p w14:paraId="05F37A14" w14:textId="4AEAAC0D" w:rsidR="00676458" w:rsidRPr="00AA62BB" w:rsidRDefault="00676458" w:rsidP="00513011">
            <w:pPr>
              <w:jc w:val="center"/>
              <w:rPr>
                <w:rFonts w:ascii="Aptos" w:hAnsi="Aptos"/>
                <w:sz w:val="18"/>
                <w:szCs w:val="18"/>
              </w:rPr>
            </w:pPr>
          </w:p>
        </w:tc>
        <w:tc>
          <w:tcPr>
            <w:tcW w:w="99" w:type="pct"/>
            <w:tcBorders>
              <w:top w:val="nil"/>
              <w:left w:val="single" w:sz="4" w:space="0" w:color="auto"/>
              <w:bottom w:val="single" w:sz="4" w:space="0" w:color="auto"/>
              <w:right w:val="single" w:sz="4" w:space="0" w:color="auto"/>
            </w:tcBorders>
            <w:shd w:val="clear" w:color="000000" w:fill="D9D9D9"/>
            <w:vAlign w:val="center"/>
          </w:tcPr>
          <w:p w14:paraId="43B8F422" w14:textId="27D74D36" w:rsidR="00676458" w:rsidRPr="00AA62BB" w:rsidRDefault="00676458" w:rsidP="00513011">
            <w:pPr>
              <w:jc w:val="center"/>
              <w:rPr>
                <w:rFonts w:ascii="Aptos" w:hAnsi="Aptos"/>
                <w:sz w:val="18"/>
                <w:szCs w:val="18"/>
              </w:rPr>
            </w:pPr>
          </w:p>
        </w:tc>
      </w:tr>
      <w:tr w:rsidR="00BF0EB3" w:rsidRPr="00AA62BB" w14:paraId="624E75E8" w14:textId="69224DDA"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2110A92A" w14:textId="77777777" w:rsidR="00676458" w:rsidRPr="00AA62BB" w:rsidRDefault="00676458" w:rsidP="00676458">
            <w:pPr>
              <w:rPr>
                <w:rFonts w:ascii="Aptos" w:hAnsi="Aptos"/>
                <w:sz w:val="18"/>
                <w:szCs w:val="18"/>
              </w:rPr>
            </w:pPr>
            <w:r w:rsidRPr="00AA62BB">
              <w:rPr>
                <w:rFonts w:ascii="Aptos" w:hAnsi="Aptos"/>
                <w:sz w:val="18"/>
                <w:szCs w:val="18"/>
              </w:rPr>
              <w:t>Did the interpretation of findings address all of the concerns identified in Domains 1</w:t>
            </w:r>
            <w:r w:rsidRPr="00AA62BB">
              <w:rPr>
                <w:rFonts w:ascii="Cambria Math" w:hAnsi="Cambria Math" w:cs="Cambria Math"/>
                <w:sz w:val="18"/>
                <w:szCs w:val="18"/>
              </w:rPr>
              <w:t>‐</w:t>
            </w:r>
            <w:r w:rsidRPr="00AA62BB">
              <w:rPr>
                <w:rFonts w:ascii="Aptos" w:hAnsi="Aptos"/>
                <w:sz w:val="18"/>
                <w:szCs w:val="18"/>
              </w:rPr>
              <w:t>4?</w:t>
            </w:r>
          </w:p>
        </w:tc>
        <w:tc>
          <w:tcPr>
            <w:tcW w:w="560" w:type="pct"/>
            <w:tcBorders>
              <w:top w:val="nil"/>
              <w:left w:val="nil"/>
              <w:bottom w:val="single" w:sz="4" w:space="0" w:color="auto"/>
              <w:right w:val="single" w:sz="4" w:space="0" w:color="auto"/>
            </w:tcBorders>
            <w:shd w:val="clear" w:color="000000" w:fill="FFFFFF"/>
            <w:vAlign w:val="center"/>
            <w:hideMark/>
          </w:tcPr>
          <w:p w14:paraId="1736662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CF8F0D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153BE3F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5A614C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F774AF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E84B70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46F8A8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75ED73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C7236B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4A8C72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9EC9BA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51D0F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6E45D7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1E2C53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3B5D70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20628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14854C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EEA197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5DF874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25B1FE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83B261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F49C78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28FC79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34CFE8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A84B9B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F7CEF4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461692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4EBA3B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4E04F3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63C1E76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64119FFA" w14:textId="20E054F7"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64ADE51F" w14:textId="1870A5A2"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770E2303" w14:textId="77777777" w:rsidR="00676458" w:rsidRPr="00AA62BB" w:rsidRDefault="00676458" w:rsidP="00676458">
            <w:pPr>
              <w:rPr>
                <w:rFonts w:ascii="Aptos" w:hAnsi="Aptos"/>
                <w:sz w:val="18"/>
                <w:szCs w:val="18"/>
              </w:rPr>
            </w:pPr>
            <w:r w:rsidRPr="00AA62BB">
              <w:rPr>
                <w:rFonts w:ascii="Aptos" w:hAnsi="Aptos"/>
                <w:sz w:val="18"/>
                <w:szCs w:val="18"/>
              </w:rPr>
              <w:t>Was the relevance of identified studies to the review's research question appropriately considered?</w:t>
            </w:r>
          </w:p>
        </w:tc>
        <w:tc>
          <w:tcPr>
            <w:tcW w:w="560" w:type="pct"/>
            <w:tcBorders>
              <w:top w:val="nil"/>
              <w:left w:val="nil"/>
              <w:bottom w:val="single" w:sz="4" w:space="0" w:color="auto"/>
              <w:right w:val="single" w:sz="4" w:space="0" w:color="auto"/>
            </w:tcBorders>
            <w:shd w:val="clear" w:color="000000" w:fill="FFFFFF"/>
            <w:vAlign w:val="center"/>
            <w:hideMark/>
          </w:tcPr>
          <w:p w14:paraId="7462333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653618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7D159D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356FCF2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D6A69A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664E44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795FD6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9D451F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1593FD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7F3873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496BD2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5E2F37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EA2A03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FE8B66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DAB044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4D1119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39C548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F6378E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6217EF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C8EE14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D2D2D6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18A4AC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B7432D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1BCB35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8BCDC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0E008E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DBBE9F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182878B"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FF9FFC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9FA2C6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348EED34" w14:textId="59284984"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7F2C6520" w14:textId="3D81494F" w:rsidTr="00513011">
        <w:trPr>
          <w:trHeight w:val="520"/>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7E3BB3FE" w14:textId="77777777" w:rsidR="00676458" w:rsidRPr="00AA62BB" w:rsidRDefault="00676458" w:rsidP="00676458">
            <w:pPr>
              <w:rPr>
                <w:rFonts w:ascii="Aptos" w:hAnsi="Aptos"/>
                <w:sz w:val="18"/>
                <w:szCs w:val="18"/>
              </w:rPr>
            </w:pPr>
            <w:r w:rsidRPr="00AA62BB">
              <w:rPr>
                <w:rFonts w:ascii="Aptos" w:hAnsi="Aptos"/>
                <w:sz w:val="18"/>
                <w:szCs w:val="18"/>
              </w:rPr>
              <w:t>Did the reviewers avoid emphasizing results on the basis of their statistical significance?</w:t>
            </w:r>
          </w:p>
        </w:tc>
        <w:tc>
          <w:tcPr>
            <w:tcW w:w="560" w:type="pct"/>
            <w:tcBorders>
              <w:top w:val="nil"/>
              <w:left w:val="nil"/>
              <w:bottom w:val="single" w:sz="4" w:space="0" w:color="auto"/>
              <w:right w:val="single" w:sz="4" w:space="0" w:color="auto"/>
            </w:tcBorders>
            <w:shd w:val="clear" w:color="000000" w:fill="FFFFFF"/>
            <w:vAlign w:val="center"/>
            <w:hideMark/>
          </w:tcPr>
          <w:p w14:paraId="5375206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4F68859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77DA46A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1" w:type="pct"/>
            <w:tcBorders>
              <w:top w:val="nil"/>
              <w:left w:val="single" w:sz="4" w:space="0" w:color="auto"/>
              <w:bottom w:val="single" w:sz="4" w:space="0" w:color="auto"/>
              <w:right w:val="single" w:sz="4" w:space="0" w:color="auto"/>
            </w:tcBorders>
            <w:shd w:val="clear" w:color="000000" w:fill="FFFFFF"/>
            <w:vAlign w:val="center"/>
            <w:hideMark/>
          </w:tcPr>
          <w:p w14:paraId="0BD5491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062AC4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47842B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04A32F6F"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7FB7217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2F8B8AB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755D9C4"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38FDFA9"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1843DB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940A830"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20812C4E"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68D714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4B3F421A"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54D7B7B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2AF99E8"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55B03C7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4A6D478C"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11A8AD22"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0FCE099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92047A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69E92551"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0060B1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3A2329E6"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hideMark/>
          </w:tcPr>
          <w:p w14:paraId="30587337"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E6BA013"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75DF1A45"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100" w:type="pct"/>
            <w:tcBorders>
              <w:top w:val="nil"/>
              <w:left w:val="single" w:sz="4" w:space="0" w:color="auto"/>
              <w:bottom w:val="single" w:sz="4" w:space="0" w:color="auto"/>
              <w:right w:val="single" w:sz="4" w:space="0" w:color="auto"/>
            </w:tcBorders>
            <w:shd w:val="clear" w:color="000000" w:fill="FFFFFF"/>
            <w:vAlign w:val="center"/>
            <w:hideMark/>
          </w:tcPr>
          <w:p w14:paraId="10973C4D" w14:textId="77777777" w:rsidR="00676458" w:rsidRPr="00AA62BB" w:rsidRDefault="00676458" w:rsidP="00513011">
            <w:pPr>
              <w:jc w:val="center"/>
              <w:rPr>
                <w:rFonts w:ascii="Aptos" w:hAnsi="Aptos"/>
                <w:sz w:val="18"/>
                <w:szCs w:val="18"/>
              </w:rPr>
            </w:pPr>
            <w:r w:rsidRPr="00AA62BB">
              <w:rPr>
                <w:rFonts w:ascii="Aptos" w:hAnsi="Aptos"/>
                <w:sz w:val="18"/>
                <w:szCs w:val="18"/>
              </w:rPr>
              <w:t>Y</w:t>
            </w:r>
          </w:p>
        </w:tc>
        <w:tc>
          <w:tcPr>
            <w:tcW w:w="99" w:type="pct"/>
            <w:tcBorders>
              <w:top w:val="nil"/>
              <w:left w:val="single" w:sz="4" w:space="0" w:color="auto"/>
              <w:bottom w:val="single" w:sz="4" w:space="0" w:color="auto"/>
              <w:right w:val="single" w:sz="4" w:space="0" w:color="auto"/>
            </w:tcBorders>
            <w:shd w:val="clear" w:color="000000" w:fill="FFFFFF"/>
            <w:vAlign w:val="center"/>
          </w:tcPr>
          <w:p w14:paraId="23E64281" w14:textId="79993939" w:rsidR="00676458" w:rsidRPr="00AA62BB" w:rsidRDefault="00676458" w:rsidP="00513011">
            <w:pPr>
              <w:jc w:val="center"/>
              <w:rPr>
                <w:rFonts w:ascii="Aptos" w:hAnsi="Aptos"/>
                <w:sz w:val="18"/>
                <w:szCs w:val="18"/>
              </w:rPr>
            </w:pPr>
            <w:r w:rsidRPr="00AA62BB">
              <w:rPr>
                <w:rFonts w:ascii="Aptos" w:hAnsi="Aptos"/>
                <w:sz w:val="18"/>
                <w:szCs w:val="18"/>
              </w:rPr>
              <w:t>Y</w:t>
            </w:r>
          </w:p>
        </w:tc>
      </w:tr>
      <w:tr w:rsidR="00BF0EB3" w:rsidRPr="00AA62BB" w14:paraId="11402E35" w14:textId="36D04A60" w:rsidTr="00513011">
        <w:trPr>
          <w:cantSplit/>
          <w:trHeight w:val="1134"/>
        </w:trPr>
        <w:tc>
          <w:tcPr>
            <w:tcW w:w="1441" w:type="pct"/>
            <w:tcBorders>
              <w:top w:val="nil"/>
              <w:left w:val="single" w:sz="4" w:space="0" w:color="auto"/>
              <w:bottom w:val="single" w:sz="4" w:space="0" w:color="auto"/>
              <w:right w:val="single" w:sz="4" w:space="0" w:color="auto"/>
            </w:tcBorders>
            <w:shd w:val="clear" w:color="000000" w:fill="FFFFFF"/>
            <w:vAlign w:val="center"/>
            <w:hideMark/>
          </w:tcPr>
          <w:p w14:paraId="653079E7" w14:textId="77777777" w:rsidR="00676458" w:rsidRPr="00AA62BB" w:rsidRDefault="00676458" w:rsidP="00676458">
            <w:pPr>
              <w:rPr>
                <w:rFonts w:ascii="Aptos" w:hAnsi="Aptos"/>
                <w:sz w:val="18"/>
                <w:szCs w:val="18"/>
              </w:rPr>
            </w:pPr>
            <w:r w:rsidRPr="00AA62BB">
              <w:rPr>
                <w:rFonts w:ascii="Aptos" w:hAnsi="Aptos"/>
                <w:sz w:val="18"/>
                <w:szCs w:val="18"/>
              </w:rPr>
              <w:t>Overall risk of bias</w:t>
            </w:r>
          </w:p>
        </w:tc>
        <w:tc>
          <w:tcPr>
            <w:tcW w:w="560" w:type="pct"/>
            <w:tcBorders>
              <w:top w:val="nil"/>
              <w:left w:val="nil"/>
              <w:bottom w:val="single" w:sz="4" w:space="0" w:color="auto"/>
              <w:right w:val="single" w:sz="4" w:space="0" w:color="auto"/>
            </w:tcBorders>
            <w:shd w:val="clear" w:color="000000" w:fill="E2EFDA"/>
            <w:textDirection w:val="btLr"/>
            <w:vAlign w:val="center"/>
            <w:hideMark/>
          </w:tcPr>
          <w:p w14:paraId="0FC187B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1"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0E80F198"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101"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3C113D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1"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2122B46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4B6F03E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CF632E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C0C7ECD"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1A8BE18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 risk</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0357947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 risk</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51E686D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13CF02FA"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07B1FEC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5286BBA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15D8EBF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3DE0A8A9"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EB33DFF"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D5E615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58C90A4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339BAD71"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67739BB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1345117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62B423E0"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99"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7A9B9852"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3D44D9E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 risk</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77487546"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0" w:type="pct"/>
            <w:tcBorders>
              <w:top w:val="nil"/>
              <w:left w:val="single" w:sz="4" w:space="0" w:color="auto"/>
              <w:bottom w:val="single" w:sz="4" w:space="0" w:color="auto"/>
              <w:right w:val="single" w:sz="4" w:space="0" w:color="auto"/>
            </w:tcBorders>
            <w:shd w:val="clear" w:color="000000" w:fill="FCE4D6"/>
            <w:textDirection w:val="btLr"/>
            <w:vAlign w:val="center"/>
            <w:hideMark/>
          </w:tcPr>
          <w:p w14:paraId="5EFC4FFB"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High risk</w:t>
            </w:r>
          </w:p>
        </w:tc>
        <w:tc>
          <w:tcPr>
            <w:tcW w:w="99"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484B7964"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0" w:type="pct"/>
            <w:tcBorders>
              <w:top w:val="nil"/>
              <w:left w:val="single" w:sz="4" w:space="0" w:color="auto"/>
              <w:bottom w:val="single" w:sz="4" w:space="0" w:color="auto"/>
              <w:right w:val="single" w:sz="4" w:space="0" w:color="auto"/>
            </w:tcBorders>
            <w:shd w:val="clear" w:color="000000" w:fill="E2EFDA"/>
            <w:textDirection w:val="btLr"/>
            <w:vAlign w:val="center"/>
            <w:hideMark/>
          </w:tcPr>
          <w:p w14:paraId="58B0609C"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Low risk</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54A7DE13"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 risk</w:t>
            </w:r>
          </w:p>
        </w:tc>
        <w:tc>
          <w:tcPr>
            <w:tcW w:w="100" w:type="pct"/>
            <w:tcBorders>
              <w:top w:val="nil"/>
              <w:left w:val="single" w:sz="4" w:space="0" w:color="auto"/>
              <w:bottom w:val="single" w:sz="4" w:space="0" w:color="auto"/>
              <w:right w:val="single" w:sz="4" w:space="0" w:color="auto"/>
            </w:tcBorders>
            <w:shd w:val="clear" w:color="000000" w:fill="FFF2CC"/>
            <w:textDirection w:val="btLr"/>
            <w:vAlign w:val="center"/>
            <w:hideMark/>
          </w:tcPr>
          <w:p w14:paraId="4F83110F" w14:textId="77777777"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 risk</w:t>
            </w:r>
          </w:p>
        </w:tc>
        <w:tc>
          <w:tcPr>
            <w:tcW w:w="99" w:type="pct"/>
            <w:tcBorders>
              <w:top w:val="nil"/>
              <w:left w:val="single" w:sz="4" w:space="0" w:color="auto"/>
              <w:bottom w:val="single" w:sz="4" w:space="0" w:color="auto"/>
              <w:right w:val="single" w:sz="4" w:space="0" w:color="auto"/>
            </w:tcBorders>
            <w:shd w:val="clear" w:color="000000" w:fill="FFF2CC"/>
            <w:textDirection w:val="btLr"/>
            <w:vAlign w:val="center"/>
          </w:tcPr>
          <w:p w14:paraId="6FC21532" w14:textId="06352B9C" w:rsidR="00676458" w:rsidRPr="00AA62BB" w:rsidRDefault="00676458" w:rsidP="00513011">
            <w:pPr>
              <w:ind w:left="113" w:right="113"/>
              <w:jc w:val="center"/>
              <w:rPr>
                <w:rFonts w:ascii="Aptos" w:hAnsi="Aptos"/>
                <w:sz w:val="18"/>
                <w:szCs w:val="18"/>
              </w:rPr>
            </w:pPr>
            <w:r w:rsidRPr="00AA62BB">
              <w:rPr>
                <w:rFonts w:ascii="Aptos" w:hAnsi="Aptos"/>
                <w:sz w:val="18"/>
                <w:szCs w:val="18"/>
              </w:rPr>
              <w:t>Unclear risk</w:t>
            </w:r>
          </w:p>
        </w:tc>
      </w:tr>
    </w:tbl>
    <w:p w14:paraId="66396CDC" w14:textId="77777777" w:rsidR="00781852" w:rsidRDefault="00781852" w:rsidP="00781852"/>
    <w:p w14:paraId="0A2BB8C1" w14:textId="1D749AD1" w:rsidR="00881574" w:rsidRPr="00D518FF" w:rsidRDefault="00834CBC" w:rsidP="00834CBC">
      <w:pPr>
        <w:pStyle w:val="Caption"/>
        <w:rPr>
          <w:rFonts w:ascii="Aptos" w:hAnsi="Aptos"/>
          <w:sz w:val="14"/>
          <w:szCs w:val="14"/>
        </w:rPr>
      </w:pPr>
      <w:bookmarkStart w:id="219" w:name="_Toc185254595"/>
      <w:r w:rsidRPr="00AA694C">
        <w:rPr>
          <w:rFonts w:ascii="Aptos" w:hAnsi="Aptos"/>
        </w:rPr>
        <w:lastRenderedPageBreak/>
        <w:t xml:space="preserve">Table </w:t>
      </w:r>
      <w:r w:rsidR="00DC4767" w:rsidRPr="00AA694C">
        <w:rPr>
          <w:rFonts w:ascii="Aptos" w:hAnsi="Aptos"/>
        </w:rPr>
        <w:fldChar w:fldCharType="begin" w:fldLock="1"/>
      </w:r>
      <w:r w:rsidR="00DC4767" w:rsidRPr="00AA694C">
        <w:rPr>
          <w:rFonts w:ascii="Aptos" w:hAnsi="Aptos"/>
        </w:rPr>
        <w:instrText xml:space="preserve"> STYLEREF 1 \s </w:instrText>
      </w:r>
      <w:r w:rsidR="00DC4767" w:rsidRPr="00AA694C">
        <w:rPr>
          <w:rFonts w:ascii="Aptos" w:hAnsi="Aptos"/>
        </w:rPr>
        <w:fldChar w:fldCharType="separate"/>
      </w:r>
      <w:r w:rsidR="00DC4767" w:rsidRPr="00AA694C">
        <w:rPr>
          <w:rFonts w:ascii="Aptos" w:hAnsi="Aptos"/>
        </w:rPr>
        <w:t>F</w:t>
      </w:r>
      <w:r w:rsidR="00DC4767" w:rsidRPr="00AA694C">
        <w:rPr>
          <w:rFonts w:ascii="Aptos" w:hAnsi="Aptos"/>
        </w:rPr>
        <w:fldChar w:fldCharType="end"/>
      </w:r>
      <w:r w:rsidR="00DC4767" w:rsidRPr="00AA694C">
        <w:rPr>
          <w:rFonts w:ascii="Aptos" w:hAnsi="Aptos"/>
        </w:rPr>
        <w:noBreakHyphen/>
      </w:r>
      <w:r w:rsidR="00DC4767" w:rsidRPr="00AA694C">
        <w:rPr>
          <w:rFonts w:ascii="Aptos" w:hAnsi="Aptos"/>
        </w:rPr>
        <w:fldChar w:fldCharType="begin"/>
      </w:r>
      <w:r w:rsidR="00DC4767" w:rsidRPr="00AA694C">
        <w:rPr>
          <w:rFonts w:ascii="Aptos" w:hAnsi="Aptos"/>
        </w:rPr>
        <w:instrText xml:space="preserve"> SEQ Table \* ARABIC \s 1 </w:instrText>
      </w:r>
      <w:r w:rsidR="00DC4767" w:rsidRPr="00AA694C">
        <w:rPr>
          <w:rFonts w:ascii="Aptos" w:hAnsi="Aptos"/>
        </w:rPr>
        <w:fldChar w:fldCharType="separate"/>
      </w:r>
      <w:r w:rsidR="00C426C6">
        <w:rPr>
          <w:rFonts w:ascii="Aptos" w:hAnsi="Aptos"/>
          <w:noProof/>
        </w:rPr>
        <w:t>3</w:t>
      </w:r>
      <w:r w:rsidR="00DC4767" w:rsidRPr="00AA694C">
        <w:rPr>
          <w:rFonts w:ascii="Aptos" w:hAnsi="Aptos"/>
        </w:rPr>
        <w:fldChar w:fldCharType="end"/>
      </w:r>
      <w:r w:rsidR="00881574" w:rsidRPr="00D518FF">
        <w:rPr>
          <w:rFonts w:ascii="Aptos" w:hAnsi="Aptos"/>
        </w:rPr>
        <w:t>. Results of included reviews by outcome domain – insomnia/sleeping disorders, magnesium</w:t>
      </w:r>
      <w:bookmarkEnd w:id="219"/>
    </w:p>
    <w:tbl>
      <w:tblPr>
        <w:tblW w:w="4991" w:type="pct"/>
        <w:tblLook w:val="04A0" w:firstRow="1" w:lastRow="0" w:firstColumn="1" w:lastColumn="0" w:noHBand="0" w:noVBand="1"/>
      </w:tblPr>
      <w:tblGrid>
        <w:gridCol w:w="9889"/>
        <w:gridCol w:w="1083"/>
        <w:gridCol w:w="1083"/>
        <w:gridCol w:w="1083"/>
        <w:gridCol w:w="1081"/>
      </w:tblGrid>
      <w:tr w:rsidR="003B7F1C" w:rsidRPr="005078E9" w14:paraId="7D538694" w14:textId="77777777" w:rsidTr="00513011">
        <w:trPr>
          <w:trHeight w:val="94"/>
        </w:trPr>
        <w:tc>
          <w:tcPr>
            <w:tcW w:w="3477"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63B3E45A" w14:textId="77777777" w:rsidR="003B7F1C" w:rsidRPr="005078E9" w:rsidRDefault="003B7F1C" w:rsidP="003B7F1C">
            <w:pPr>
              <w:rPr>
                <w:rFonts w:ascii="Aptos" w:hAnsi="Aptos"/>
                <w:sz w:val="18"/>
                <w:szCs w:val="18"/>
              </w:rPr>
            </w:pPr>
            <w:r w:rsidRPr="005078E9">
              <w:rPr>
                <w:rFonts w:ascii="Aptos" w:hAnsi="Aptos"/>
                <w:sz w:val="18"/>
                <w:szCs w:val="18"/>
              </w:rPr>
              <w:t>Review ID</w:t>
            </w:r>
          </w:p>
        </w:tc>
        <w:tc>
          <w:tcPr>
            <w:tcW w:w="381" w:type="pct"/>
            <w:tcBorders>
              <w:top w:val="single" w:sz="4" w:space="0" w:color="auto"/>
              <w:left w:val="nil"/>
              <w:bottom w:val="single" w:sz="4" w:space="0" w:color="auto"/>
              <w:right w:val="single" w:sz="4" w:space="0" w:color="auto"/>
            </w:tcBorders>
            <w:shd w:val="clear" w:color="000000" w:fill="D9D9D9"/>
            <w:vAlign w:val="center"/>
            <w:hideMark/>
          </w:tcPr>
          <w:p w14:paraId="074C4EA7" w14:textId="77777777" w:rsidR="003B7F1C" w:rsidRPr="005078E9" w:rsidRDefault="003B7F1C" w:rsidP="00513011">
            <w:pPr>
              <w:jc w:val="center"/>
              <w:rPr>
                <w:rFonts w:ascii="Aptos" w:hAnsi="Aptos"/>
                <w:b/>
                <w:bCs/>
                <w:sz w:val="18"/>
                <w:szCs w:val="18"/>
              </w:rPr>
            </w:pPr>
            <w:r w:rsidRPr="005078E9">
              <w:rPr>
                <w:rFonts w:ascii="Aptos" w:hAnsi="Aptos"/>
                <w:b/>
                <w:bCs/>
                <w:sz w:val="18"/>
                <w:szCs w:val="18"/>
              </w:rPr>
              <w:t>Chan 2021</w:t>
            </w:r>
          </w:p>
        </w:tc>
        <w:tc>
          <w:tcPr>
            <w:tcW w:w="381" w:type="pct"/>
            <w:tcBorders>
              <w:top w:val="single" w:sz="4" w:space="0" w:color="auto"/>
              <w:left w:val="nil"/>
              <w:bottom w:val="single" w:sz="4" w:space="0" w:color="auto"/>
              <w:right w:val="single" w:sz="4" w:space="0" w:color="auto"/>
            </w:tcBorders>
            <w:shd w:val="clear" w:color="000000" w:fill="D9D9D9"/>
            <w:vAlign w:val="center"/>
            <w:hideMark/>
          </w:tcPr>
          <w:p w14:paraId="55D376BD" w14:textId="77777777" w:rsidR="003B7F1C" w:rsidRPr="005078E9" w:rsidRDefault="003B7F1C" w:rsidP="00513011">
            <w:pPr>
              <w:jc w:val="center"/>
              <w:rPr>
                <w:rFonts w:ascii="Aptos" w:hAnsi="Aptos"/>
                <w:b/>
                <w:bCs/>
                <w:sz w:val="18"/>
                <w:szCs w:val="18"/>
              </w:rPr>
            </w:pPr>
            <w:r w:rsidRPr="005078E9">
              <w:rPr>
                <w:rFonts w:ascii="Aptos" w:hAnsi="Aptos"/>
                <w:b/>
                <w:bCs/>
                <w:sz w:val="18"/>
                <w:szCs w:val="18"/>
              </w:rPr>
              <w:t>Mah 2021</w:t>
            </w:r>
          </w:p>
        </w:tc>
        <w:tc>
          <w:tcPr>
            <w:tcW w:w="381" w:type="pct"/>
            <w:tcBorders>
              <w:top w:val="single" w:sz="4" w:space="0" w:color="auto"/>
              <w:left w:val="nil"/>
              <w:bottom w:val="single" w:sz="4" w:space="0" w:color="auto"/>
              <w:right w:val="single" w:sz="4" w:space="0" w:color="auto"/>
            </w:tcBorders>
            <w:shd w:val="clear" w:color="000000" w:fill="D9D9D9"/>
            <w:vAlign w:val="center"/>
            <w:hideMark/>
          </w:tcPr>
          <w:p w14:paraId="2315A767" w14:textId="77777777" w:rsidR="003B7F1C" w:rsidRPr="005078E9" w:rsidRDefault="003B7F1C" w:rsidP="00513011">
            <w:pPr>
              <w:jc w:val="center"/>
              <w:rPr>
                <w:rFonts w:ascii="Aptos" w:hAnsi="Aptos"/>
                <w:b/>
                <w:bCs/>
                <w:sz w:val="18"/>
                <w:szCs w:val="18"/>
              </w:rPr>
            </w:pPr>
            <w:r w:rsidRPr="005078E9">
              <w:rPr>
                <w:rFonts w:ascii="Aptos" w:hAnsi="Aptos"/>
                <w:b/>
                <w:bCs/>
                <w:sz w:val="18"/>
                <w:szCs w:val="18"/>
              </w:rPr>
              <w:t>Samara 2021</w:t>
            </w:r>
          </w:p>
        </w:tc>
        <w:tc>
          <w:tcPr>
            <w:tcW w:w="381" w:type="pct"/>
            <w:tcBorders>
              <w:top w:val="single" w:sz="4" w:space="0" w:color="auto"/>
              <w:left w:val="nil"/>
              <w:bottom w:val="single" w:sz="4" w:space="0" w:color="auto"/>
              <w:right w:val="single" w:sz="4" w:space="0" w:color="auto"/>
            </w:tcBorders>
            <w:shd w:val="clear" w:color="000000" w:fill="D9D9D9"/>
            <w:vAlign w:val="center"/>
            <w:hideMark/>
          </w:tcPr>
          <w:p w14:paraId="47114A13" w14:textId="77777777" w:rsidR="003B7F1C" w:rsidRPr="005078E9" w:rsidRDefault="003B7F1C" w:rsidP="00513011">
            <w:pPr>
              <w:jc w:val="center"/>
              <w:rPr>
                <w:rFonts w:ascii="Aptos" w:hAnsi="Aptos"/>
                <w:b/>
                <w:bCs/>
                <w:sz w:val="18"/>
                <w:szCs w:val="18"/>
              </w:rPr>
            </w:pPr>
            <w:r w:rsidRPr="005078E9">
              <w:rPr>
                <w:rFonts w:ascii="Aptos" w:hAnsi="Aptos"/>
                <w:b/>
                <w:bCs/>
                <w:sz w:val="18"/>
                <w:szCs w:val="18"/>
              </w:rPr>
              <w:t>Zhan 2023</w:t>
            </w:r>
          </w:p>
        </w:tc>
      </w:tr>
      <w:tr w:rsidR="003B7F1C" w:rsidRPr="005078E9" w14:paraId="12B27C86"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D9D9D9"/>
            <w:noWrap/>
            <w:vAlign w:val="center"/>
            <w:hideMark/>
          </w:tcPr>
          <w:p w14:paraId="085EC724" w14:textId="77777777" w:rsidR="003B7F1C" w:rsidRPr="005078E9" w:rsidRDefault="003B7F1C" w:rsidP="003B7F1C">
            <w:pPr>
              <w:rPr>
                <w:rFonts w:ascii="Aptos" w:hAnsi="Aptos"/>
                <w:sz w:val="18"/>
                <w:szCs w:val="18"/>
              </w:rPr>
            </w:pPr>
            <w:r w:rsidRPr="005078E9">
              <w:rPr>
                <w:rFonts w:ascii="Aptos" w:hAnsi="Aptos"/>
                <w:sz w:val="18"/>
                <w:szCs w:val="18"/>
              </w:rPr>
              <w:t>ROBIS DOMAINS</w:t>
            </w:r>
          </w:p>
        </w:tc>
        <w:tc>
          <w:tcPr>
            <w:tcW w:w="381" w:type="pct"/>
            <w:tcBorders>
              <w:top w:val="nil"/>
              <w:left w:val="nil"/>
              <w:bottom w:val="single" w:sz="4" w:space="0" w:color="auto"/>
              <w:right w:val="single" w:sz="4" w:space="0" w:color="auto"/>
            </w:tcBorders>
            <w:shd w:val="clear" w:color="000000" w:fill="D9D9D9"/>
            <w:noWrap/>
            <w:vAlign w:val="center"/>
          </w:tcPr>
          <w:p w14:paraId="370A6ECB" w14:textId="1A3267F8"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noWrap/>
            <w:vAlign w:val="center"/>
          </w:tcPr>
          <w:p w14:paraId="62B098F7" w14:textId="6FC95798"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noWrap/>
            <w:vAlign w:val="center"/>
          </w:tcPr>
          <w:p w14:paraId="28DBE8FB" w14:textId="61720F7F"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noWrap/>
            <w:vAlign w:val="center"/>
          </w:tcPr>
          <w:p w14:paraId="7BA8B847" w14:textId="266DE835" w:rsidR="003B7F1C" w:rsidRPr="005078E9" w:rsidRDefault="003B7F1C" w:rsidP="00513011">
            <w:pPr>
              <w:jc w:val="center"/>
              <w:rPr>
                <w:rFonts w:ascii="Aptos" w:hAnsi="Aptos"/>
                <w:sz w:val="18"/>
                <w:szCs w:val="18"/>
              </w:rPr>
            </w:pPr>
          </w:p>
        </w:tc>
      </w:tr>
      <w:tr w:rsidR="003B7F1C" w:rsidRPr="005078E9" w14:paraId="5E1BEAFA"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D9D9D9"/>
            <w:noWrap/>
            <w:vAlign w:val="center"/>
            <w:hideMark/>
          </w:tcPr>
          <w:p w14:paraId="645FD667" w14:textId="77777777" w:rsidR="003B7F1C" w:rsidRPr="005078E9" w:rsidRDefault="003B7F1C" w:rsidP="003B7F1C">
            <w:pPr>
              <w:rPr>
                <w:rFonts w:ascii="Aptos" w:hAnsi="Aptos"/>
                <w:sz w:val="18"/>
                <w:szCs w:val="18"/>
              </w:rPr>
            </w:pPr>
            <w:r w:rsidRPr="005078E9">
              <w:rPr>
                <w:rFonts w:ascii="Aptos" w:hAnsi="Aptos"/>
                <w:sz w:val="18"/>
                <w:szCs w:val="18"/>
              </w:rPr>
              <w:t>Answer code: Y=YES, PY=PROBABLY YES, PN=PROBABLY NO, N=NO, NI=NO INFORMATION</w:t>
            </w:r>
          </w:p>
        </w:tc>
        <w:tc>
          <w:tcPr>
            <w:tcW w:w="381" w:type="pct"/>
            <w:tcBorders>
              <w:top w:val="nil"/>
              <w:left w:val="nil"/>
              <w:bottom w:val="single" w:sz="4" w:space="0" w:color="auto"/>
              <w:right w:val="single" w:sz="4" w:space="0" w:color="auto"/>
            </w:tcBorders>
            <w:shd w:val="clear" w:color="000000" w:fill="D9D9D9"/>
            <w:noWrap/>
            <w:vAlign w:val="center"/>
            <w:hideMark/>
          </w:tcPr>
          <w:p w14:paraId="4BB11053" w14:textId="3B45D93E"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noWrap/>
            <w:vAlign w:val="center"/>
            <w:hideMark/>
          </w:tcPr>
          <w:p w14:paraId="49B50677" w14:textId="01ABE3B6"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noWrap/>
            <w:vAlign w:val="center"/>
            <w:hideMark/>
          </w:tcPr>
          <w:p w14:paraId="010C953C" w14:textId="3A4B7BD5"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noWrap/>
            <w:vAlign w:val="center"/>
            <w:hideMark/>
          </w:tcPr>
          <w:p w14:paraId="701B3061" w14:textId="7CDA757E" w:rsidR="003B7F1C" w:rsidRPr="005078E9" w:rsidRDefault="003B7F1C" w:rsidP="00513011">
            <w:pPr>
              <w:jc w:val="center"/>
              <w:rPr>
                <w:rFonts w:ascii="Aptos" w:hAnsi="Aptos"/>
                <w:sz w:val="18"/>
                <w:szCs w:val="18"/>
              </w:rPr>
            </w:pPr>
          </w:p>
        </w:tc>
      </w:tr>
      <w:tr w:rsidR="003B7F1C" w:rsidRPr="005078E9" w14:paraId="2ACAF10B"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2F2F2"/>
            <w:vAlign w:val="center"/>
            <w:hideMark/>
          </w:tcPr>
          <w:p w14:paraId="70126EAE" w14:textId="77777777" w:rsidR="003B7F1C" w:rsidRPr="005078E9" w:rsidRDefault="003B7F1C" w:rsidP="003B7F1C">
            <w:pPr>
              <w:rPr>
                <w:rFonts w:ascii="Aptos" w:hAnsi="Aptos"/>
                <w:sz w:val="18"/>
                <w:szCs w:val="18"/>
              </w:rPr>
            </w:pPr>
            <w:r w:rsidRPr="005078E9">
              <w:rPr>
                <w:rFonts w:ascii="Aptos" w:hAnsi="Aptos"/>
                <w:sz w:val="18"/>
                <w:szCs w:val="18"/>
              </w:rPr>
              <w:t>Domain 1: Study eligibility criteria</w:t>
            </w:r>
          </w:p>
        </w:tc>
        <w:tc>
          <w:tcPr>
            <w:tcW w:w="381" w:type="pct"/>
            <w:tcBorders>
              <w:top w:val="nil"/>
              <w:left w:val="nil"/>
              <w:bottom w:val="single" w:sz="4" w:space="0" w:color="auto"/>
              <w:right w:val="single" w:sz="4" w:space="0" w:color="auto"/>
            </w:tcBorders>
            <w:shd w:val="clear" w:color="000000" w:fill="F2F2F2"/>
            <w:vAlign w:val="center"/>
            <w:hideMark/>
          </w:tcPr>
          <w:p w14:paraId="0E2CFEB4" w14:textId="63DA4ED1"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35E50CBD" w14:textId="490EA548"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704A5678" w14:textId="51E79093"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4159BD96" w14:textId="3BA233F0" w:rsidR="003B7F1C" w:rsidRPr="005078E9" w:rsidRDefault="003B7F1C" w:rsidP="00513011">
            <w:pPr>
              <w:jc w:val="center"/>
              <w:rPr>
                <w:rFonts w:ascii="Aptos" w:hAnsi="Aptos"/>
                <w:sz w:val="18"/>
                <w:szCs w:val="18"/>
              </w:rPr>
            </w:pPr>
          </w:p>
        </w:tc>
      </w:tr>
      <w:tr w:rsidR="003B7F1C" w:rsidRPr="005078E9" w14:paraId="76DF5894"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468E0CC3" w14:textId="77777777" w:rsidR="003B7F1C" w:rsidRPr="005078E9" w:rsidRDefault="003B7F1C" w:rsidP="003B7F1C">
            <w:pPr>
              <w:rPr>
                <w:rFonts w:ascii="Aptos" w:hAnsi="Aptos"/>
                <w:sz w:val="18"/>
                <w:szCs w:val="18"/>
              </w:rPr>
            </w:pPr>
            <w:r w:rsidRPr="005078E9">
              <w:rPr>
                <w:rFonts w:ascii="Aptos" w:hAnsi="Aptos"/>
                <w:sz w:val="18"/>
                <w:szCs w:val="18"/>
              </w:rPr>
              <w:t>Did the review adhere to pre</w:t>
            </w:r>
            <w:r w:rsidRPr="005078E9">
              <w:rPr>
                <w:rFonts w:ascii="Cambria Math" w:hAnsi="Cambria Math" w:cs="Cambria Math"/>
                <w:sz w:val="18"/>
                <w:szCs w:val="18"/>
              </w:rPr>
              <w:t>‐</w:t>
            </w:r>
            <w:r w:rsidRPr="005078E9">
              <w:rPr>
                <w:rFonts w:ascii="Aptos" w:hAnsi="Aptos"/>
                <w:sz w:val="18"/>
                <w:szCs w:val="18"/>
              </w:rPr>
              <w:t>defined objectives and eligibility criteria?</w:t>
            </w:r>
          </w:p>
        </w:tc>
        <w:tc>
          <w:tcPr>
            <w:tcW w:w="381" w:type="pct"/>
            <w:tcBorders>
              <w:top w:val="nil"/>
              <w:left w:val="nil"/>
              <w:bottom w:val="single" w:sz="4" w:space="0" w:color="auto"/>
              <w:right w:val="single" w:sz="4" w:space="0" w:color="auto"/>
            </w:tcBorders>
            <w:shd w:val="clear" w:color="000000" w:fill="FFFFFF"/>
            <w:vAlign w:val="center"/>
            <w:hideMark/>
          </w:tcPr>
          <w:p w14:paraId="528C5F8B"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A105B9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75B9C16" w14:textId="77777777" w:rsidR="003B7F1C" w:rsidRPr="005078E9" w:rsidRDefault="003B7F1C" w:rsidP="00513011">
            <w:pPr>
              <w:jc w:val="center"/>
              <w:rPr>
                <w:rFonts w:ascii="Aptos" w:hAnsi="Aptos"/>
                <w:sz w:val="18"/>
                <w:szCs w:val="18"/>
              </w:rPr>
            </w:pPr>
            <w:r w:rsidRPr="005078E9">
              <w:rPr>
                <w:rFonts w:ascii="Aptos" w:hAnsi="Aptos"/>
                <w:sz w:val="18"/>
                <w:szCs w:val="18"/>
              </w:rPr>
              <w:t>PY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2C9E83D"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04B658BC"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71561F99" w14:textId="77777777" w:rsidR="003B7F1C" w:rsidRPr="005078E9" w:rsidRDefault="003B7F1C" w:rsidP="003B7F1C">
            <w:pPr>
              <w:rPr>
                <w:rFonts w:ascii="Aptos" w:hAnsi="Aptos"/>
                <w:sz w:val="18"/>
                <w:szCs w:val="18"/>
              </w:rPr>
            </w:pPr>
            <w:r w:rsidRPr="005078E9">
              <w:rPr>
                <w:rFonts w:ascii="Aptos" w:hAnsi="Aptos"/>
                <w:sz w:val="18"/>
                <w:szCs w:val="18"/>
              </w:rPr>
              <w:t>Were the eligibility criteria appropriate for the review question?</w:t>
            </w:r>
          </w:p>
        </w:tc>
        <w:tc>
          <w:tcPr>
            <w:tcW w:w="381" w:type="pct"/>
            <w:tcBorders>
              <w:top w:val="nil"/>
              <w:left w:val="nil"/>
              <w:bottom w:val="single" w:sz="4" w:space="0" w:color="auto"/>
              <w:right w:val="single" w:sz="4" w:space="0" w:color="auto"/>
            </w:tcBorders>
            <w:shd w:val="clear" w:color="000000" w:fill="FFFFFF"/>
            <w:vAlign w:val="center"/>
            <w:hideMark/>
          </w:tcPr>
          <w:p w14:paraId="100717C3"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D99F815"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DE754C1"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BEAAB31"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51CB5819"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6276E748" w14:textId="77777777" w:rsidR="003B7F1C" w:rsidRPr="005078E9" w:rsidRDefault="003B7F1C" w:rsidP="003B7F1C">
            <w:pPr>
              <w:rPr>
                <w:rFonts w:ascii="Aptos" w:hAnsi="Aptos"/>
                <w:sz w:val="18"/>
                <w:szCs w:val="18"/>
              </w:rPr>
            </w:pPr>
            <w:r w:rsidRPr="005078E9">
              <w:rPr>
                <w:rFonts w:ascii="Aptos" w:hAnsi="Aptos"/>
                <w:sz w:val="18"/>
                <w:szCs w:val="18"/>
              </w:rPr>
              <w:t>Were eligibility criteria unambiguous?</w:t>
            </w:r>
          </w:p>
        </w:tc>
        <w:tc>
          <w:tcPr>
            <w:tcW w:w="381" w:type="pct"/>
            <w:tcBorders>
              <w:top w:val="nil"/>
              <w:left w:val="nil"/>
              <w:bottom w:val="single" w:sz="4" w:space="0" w:color="auto"/>
              <w:right w:val="single" w:sz="4" w:space="0" w:color="auto"/>
            </w:tcBorders>
            <w:shd w:val="clear" w:color="000000" w:fill="FFFFFF"/>
            <w:vAlign w:val="center"/>
            <w:hideMark/>
          </w:tcPr>
          <w:p w14:paraId="06939DD6" w14:textId="77777777" w:rsidR="003B7F1C" w:rsidRPr="005078E9" w:rsidRDefault="003B7F1C" w:rsidP="00513011">
            <w:pPr>
              <w:jc w:val="center"/>
              <w:rPr>
                <w:rFonts w:ascii="Aptos" w:hAnsi="Aptos"/>
                <w:sz w:val="18"/>
                <w:szCs w:val="18"/>
              </w:rPr>
            </w:pPr>
            <w:r w:rsidRPr="005078E9">
              <w:rPr>
                <w:rFonts w:ascii="Aptos" w:hAnsi="Aptos"/>
                <w:sz w:val="18"/>
                <w:szCs w:val="18"/>
              </w:rPr>
              <w:t>PY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5F8FC70"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51B38F1"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4F2CDBA"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46CA73A7" w14:textId="77777777" w:rsidTr="00513011">
        <w:trPr>
          <w:trHeight w:val="500"/>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00FF96C5" w14:textId="77777777" w:rsidR="003B7F1C" w:rsidRPr="005078E9" w:rsidRDefault="003B7F1C" w:rsidP="003B7F1C">
            <w:pPr>
              <w:rPr>
                <w:rFonts w:ascii="Aptos" w:hAnsi="Aptos"/>
                <w:sz w:val="18"/>
                <w:szCs w:val="18"/>
              </w:rPr>
            </w:pPr>
            <w:r w:rsidRPr="005078E9">
              <w:rPr>
                <w:rFonts w:ascii="Aptos" w:hAnsi="Aptos"/>
                <w:sz w:val="18"/>
                <w:szCs w:val="18"/>
              </w:rPr>
              <w:t>Were all restrictions in eligibility criteria based on study characteristics appropriate (e.g. date, sample size, study quality, outcomes measured)?</w:t>
            </w:r>
          </w:p>
        </w:tc>
        <w:tc>
          <w:tcPr>
            <w:tcW w:w="381" w:type="pct"/>
            <w:tcBorders>
              <w:top w:val="nil"/>
              <w:left w:val="nil"/>
              <w:bottom w:val="single" w:sz="4" w:space="0" w:color="auto"/>
              <w:right w:val="single" w:sz="4" w:space="0" w:color="auto"/>
            </w:tcBorders>
            <w:shd w:val="clear" w:color="000000" w:fill="FFFFFF"/>
            <w:vAlign w:val="center"/>
            <w:hideMark/>
          </w:tcPr>
          <w:p w14:paraId="6847B551"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827EB7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5C081B76"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38A2C18"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796288D3" w14:textId="77777777" w:rsidTr="00513011">
        <w:trPr>
          <w:trHeight w:val="500"/>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5FC3ACD3" w14:textId="77777777" w:rsidR="003B7F1C" w:rsidRPr="005078E9" w:rsidRDefault="003B7F1C" w:rsidP="003B7F1C">
            <w:pPr>
              <w:rPr>
                <w:rFonts w:ascii="Aptos" w:hAnsi="Aptos"/>
                <w:sz w:val="18"/>
                <w:szCs w:val="18"/>
              </w:rPr>
            </w:pPr>
            <w:r w:rsidRPr="005078E9">
              <w:rPr>
                <w:rFonts w:ascii="Aptos" w:hAnsi="Aptos"/>
                <w:sz w:val="18"/>
                <w:szCs w:val="18"/>
              </w:rPr>
              <w:t>Were any restrictions in eligibility criteria based on sources of information appropriate (publication status or format, language, availability of data)?</w:t>
            </w:r>
          </w:p>
        </w:tc>
        <w:tc>
          <w:tcPr>
            <w:tcW w:w="381" w:type="pct"/>
            <w:tcBorders>
              <w:top w:val="nil"/>
              <w:left w:val="nil"/>
              <w:bottom w:val="single" w:sz="4" w:space="0" w:color="auto"/>
              <w:right w:val="single" w:sz="4" w:space="0" w:color="auto"/>
            </w:tcBorders>
            <w:shd w:val="clear" w:color="000000" w:fill="FFFFFF"/>
            <w:vAlign w:val="center"/>
            <w:hideMark/>
          </w:tcPr>
          <w:p w14:paraId="70CA0EB7"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22D4F8A"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53A0EB7"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A06FE9B"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59C33255"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542804E8" w14:textId="77777777" w:rsidR="003B7F1C" w:rsidRPr="005078E9" w:rsidRDefault="003B7F1C" w:rsidP="003B7F1C">
            <w:pPr>
              <w:rPr>
                <w:rFonts w:ascii="Aptos" w:hAnsi="Aptos"/>
                <w:sz w:val="18"/>
                <w:szCs w:val="18"/>
              </w:rPr>
            </w:pPr>
            <w:r w:rsidRPr="005078E9">
              <w:rPr>
                <w:rFonts w:ascii="Aptos" w:hAnsi="Aptos"/>
                <w:sz w:val="18"/>
                <w:szCs w:val="18"/>
              </w:rPr>
              <w:t>Concerns regarding specification of study eligibility criteria LOW, HIGH, UNCLEAR</w:t>
            </w:r>
          </w:p>
        </w:tc>
        <w:tc>
          <w:tcPr>
            <w:tcW w:w="381" w:type="pct"/>
            <w:tcBorders>
              <w:top w:val="nil"/>
              <w:left w:val="nil"/>
              <w:bottom w:val="single" w:sz="4" w:space="0" w:color="auto"/>
              <w:right w:val="single" w:sz="4" w:space="0" w:color="auto"/>
            </w:tcBorders>
            <w:shd w:val="clear" w:color="000000" w:fill="E2EFDA"/>
            <w:vAlign w:val="center"/>
            <w:hideMark/>
          </w:tcPr>
          <w:p w14:paraId="1E5114AC"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c>
          <w:tcPr>
            <w:tcW w:w="381" w:type="pct"/>
            <w:tcBorders>
              <w:top w:val="nil"/>
              <w:left w:val="single" w:sz="4" w:space="0" w:color="auto"/>
              <w:bottom w:val="single" w:sz="4" w:space="0" w:color="auto"/>
              <w:right w:val="single" w:sz="4" w:space="0" w:color="auto"/>
            </w:tcBorders>
            <w:shd w:val="clear" w:color="000000" w:fill="E2EFDA"/>
            <w:vAlign w:val="center"/>
            <w:hideMark/>
          </w:tcPr>
          <w:p w14:paraId="4357BA7F"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c>
          <w:tcPr>
            <w:tcW w:w="381" w:type="pct"/>
            <w:tcBorders>
              <w:top w:val="nil"/>
              <w:left w:val="single" w:sz="4" w:space="0" w:color="auto"/>
              <w:bottom w:val="single" w:sz="4" w:space="0" w:color="auto"/>
              <w:right w:val="single" w:sz="4" w:space="0" w:color="auto"/>
            </w:tcBorders>
            <w:shd w:val="clear" w:color="000000" w:fill="E2EFDA"/>
            <w:vAlign w:val="center"/>
            <w:hideMark/>
          </w:tcPr>
          <w:p w14:paraId="1B8B2D8E"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c>
          <w:tcPr>
            <w:tcW w:w="381" w:type="pct"/>
            <w:tcBorders>
              <w:top w:val="nil"/>
              <w:left w:val="single" w:sz="4" w:space="0" w:color="auto"/>
              <w:bottom w:val="single" w:sz="4" w:space="0" w:color="auto"/>
              <w:right w:val="single" w:sz="4" w:space="0" w:color="auto"/>
            </w:tcBorders>
            <w:shd w:val="clear" w:color="000000" w:fill="E2EFDA"/>
            <w:vAlign w:val="center"/>
            <w:hideMark/>
          </w:tcPr>
          <w:p w14:paraId="77538285"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r>
      <w:tr w:rsidR="003B7F1C" w:rsidRPr="005078E9" w14:paraId="7A68B7E5"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2F2F2"/>
            <w:vAlign w:val="center"/>
            <w:hideMark/>
          </w:tcPr>
          <w:p w14:paraId="306ED70C" w14:textId="77777777" w:rsidR="003B7F1C" w:rsidRPr="005078E9" w:rsidRDefault="003B7F1C" w:rsidP="003B7F1C">
            <w:pPr>
              <w:rPr>
                <w:rFonts w:ascii="Aptos" w:hAnsi="Aptos"/>
                <w:sz w:val="18"/>
                <w:szCs w:val="18"/>
              </w:rPr>
            </w:pPr>
            <w:r w:rsidRPr="005078E9">
              <w:rPr>
                <w:rFonts w:ascii="Aptos" w:hAnsi="Aptos"/>
                <w:sz w:val="18"/>
                <w:szCs w:val="18"/>
              </w:rPr>
              <w:t>Domain 2: Identification and selection of studies</w:t>
            </w:r>
          </w:p>
        </w:tc>
        <w:tc>
          <w:tcPr>
            <w:tcW w:w="381" w:type="pct"/>
            <w:tcBorders>
              <w:top w:val="nil"/>
              <w:left w:val="nil"/>
              <w:bottom w:val="single" w:sz="4" w:space="0" w:color="auto"/>
              <w:right w:val="single" w:sz="4" w:space="0" w:color="auto"/>
            </w:tcBorders>
            <w:shd w:val="clear" w:color="000000" w:fill="F2F2F2"/>
            <w:vAlign w:val="center"/>
            <w:hideMark/>
          </w:tcPr>
          <w:p w14:paraId="273CBDFA" w14:textId="58AF648A"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1D641B9F" w14:textId="5BB0E09E"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05856179" w14:textId="2BA5E91D"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34BE0F96" w14:textId="16ECBD9A" w:rsidR="003B7F1C" w:rsidRPr="005078E9" w:rsidRDefault="003B7F1C" w:rsidP="00513011">
            <w:pPr>
              <w:jc w:val="center"/>
              <w:rPr>
                <w:rFonts w:ascii="Aptos" w:hAnsi="Aptos"/>
                <w:sz w:val="18"/>
                <w:szCs w:val="18"/>
              </w:rPr>
            </w:pPr>
          </w:p>
        </w:tc>
      </w:tr>
      <w:tr w:rsidR="003B7F1C" w:rsidRPr="005078E9" w14:paraId="3A711824" w14:textId="77777777" w:rsidTr="00513011">
        <w:trPr>
          <w:trHeight w:val="116"/>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1E63B432" w14:textId="77777777" w:rsidR="003B7F1C" w:rsidRPr="005078E9" w:rsidRDefault="003B7F1C" w:rsidP="003B7F1C">
            <w:pPr>
              <w:rPr>
                <w:rFonts w:ascii="Aptos" w:hAnsi="Aptos"/>
                <w:sz w:val="18"/>
                <w:szCs w:val="18"/>
              </w:rPr>
            </w:pPr>
            <w:r w:rsidRPr="005078E9">
              <w:rPr>
                <w:rFonts w:ascii="Aptos" w:hAnsi="Aptos"/>
                <w:sz w:val="18"/>
                <w:szCs w:val="18"/>
              </w:rPr>
              <w:t>Did the search include an appropriate range of databases/electronic sources for published and unpublished reports?</w:t>
            </w:r>
          </w:p>
        </w:tc>
        <w:tc>
          <w:tcPr>
            <w:tcW w:w="381" w:type="pct"/>
            <w:tcBorders>
              <w:top w:val="nil"/>
              <w:left w:val="nil"/>
              <w:bottom w:val="single" w:sz="4" w:space="0" w:color="auto"/>
              <w:right w:val="single" w:sz="4" w:space="0" w:color="auto"/>
            </w:tcBorders>
            <w:shd w:val="clear" w:color="000000" w:fill="FFFFFF"/>
            <w:vAlign w:val="center"/>
            <w:hideMark/>
          </w:tcPr>
          <w:p w14:paraId="72049A22"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FC4F01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279EFBB"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EEECE67"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5DB60103"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1FB7E4F0" w14:textId="77777777" w:rsidR="003B7F1C" w:rsidRPr="005078E9" w:rsidRDefault="003B7F1C" w:rsidP="003B7F1C">
            <w:pPr>
              <w:rPr>
                <w:rFonts w:ascii="Aptos" w:hAnsi="Aptos"/>
                <w:sz w:val="18"/>
                <w:szCs w:val="18"/>
              </w:rPr>
            </w:pPr>
            <w:r w:rsidRPr="005078E9">
              <w:rPr>
                <w:rFonts w:ascii="Aptos" w:hAnsi="Aptos"/>
                <w:sz w:val="18"/>
                <w:szCs w:val="18"/>
              </w:rPr>
              <w:t>Were methods additional to database searching used to identify relevant reports?</w:t>
            </w:r>
          </w:p>
        </w:tc>
        <w:tc>
          <w:tcPr>
            <w:tcW w:w="381" w:type="pct"/>
            <w:tcBorders>
              <w:top w:val="nil"/>
              <w:left w:val="nil"/>
              <w:bottom w:val="single" w:sz="4" w:space="0" w:color="auto"/>
              <w:right w:val="single" w:sz="4" w:space="0" w:color="auto"/>
            </w:tcBorders>
            <w:shd w:val="clear" w:color="000000" w:fill="FFFFFF"/>
            <w:vAlign w:val="center"/>
            <w:hideMark/>
          </w:tcPr>
          <w:p w14:paraId="6CD6861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1DD2759A"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124B0C7"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CF4FDB5"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6BF64794" w14:textId="77777777" w:rsidTr="00513011">
        <w:trPr>
          <w:trHeight w:val="116"/>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2A51BE76" w14:textId="77777777" w:rsidR="003B7F1C" w:rsidRPr="005078E9" w:rsidRDefault="003B7F1C" w:rsidP="003B7F1C">
            <w:pPr>
              <w:rPr>
                <w:rFonts w:ascii="Aptos" w:hAnsi="Aptos"/>
                <w:sz w:val="18"/>
                <w:szCs w:val="18"/>
              </w:rPr>
            </w:pPr>
            <w:r w:rsidRPr="005078E9">
              <w:rPr>
                <w:rFonts w:ascii="Aptos" w:hAnsi="Aptos"/>
                <w:sz w:val="18"/>
                <w:szCs w:val="18"/>
              </w:rPr>
              <w:t>Were the terms and structure of the search strategy likely to retrieve as many eligible studies as possible?</w:t>
            </w:r>
          </w:p>
        </w:tc>
        <w:tc>
          <w:tcPr>
            <w:tcW w:w="381" w:type="pct"/>
            <w:tcBorders>
              <w:top w:val="nil"/>
              <w:left w:val="nil"/>
              <w:bottom w:val="single" w:sz="4" w:space="0" w:color="auto"/>
              <w:right w:val="single" w:sz="4" w:space="0" w:color="auto"/>
            </w:tcBorders>
            <w:shd w:val="clear" w:color="000000" w:fill="FFFFFF"/>
            <w:vAlign w:val="center"/>
            <w:hideMark/>
          </w:tcPr>
          <w:p w14:paraId="1D047DB3"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55F54CF"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EF8AAB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1DAA4EF"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2586BEC1"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6224E20A" w14:textId="77777777" w:rsidR="003B7F1C" w:rsidRPr="005078E9" w:rsidRDefault="003B7F1C" w:rsidP="003B7F1C">
            <w:pPr>
              <w:rPr>
                <w:rFonts w:ascii="Aptos" w:hAnsi="Aptos"/>
                <w:sz w:val="18"/>
                <w:szCs w:val="18"/>
              </w:rPr>
            </w:pPr>
            <w:r w:rsidRPr="005078E9">
              <w:rPr>
                <w:rFonts w:ascii="Aptos" w:hAnsi="Aptos"/>
                <w:sz w:val="18"/>
                <w:szCs w:val="18"/>
              </w:rPr>
              <w:t>Were restrictions based on date, publication format, or language appropriate?</w:t>
            </w:r>
          </w:p>
        </w:tc>
        <w:tc>
          <w:tcPr>
            <w:tcW w:w="381" w:type="pct"/>
            <w:tcBorders>
              <w:top w:val="nil"/>
              <w:left w:val="nil"/>
              <w:bottom w:val="single" w:sz="4" w:space="0" w:color="auto"/>
              <w:right w:val="single" w:sz="4" w:space="0" w:color="auto"/>
            </w:tcBorders>
            <w:shd w:val="clear" w:color="000000" w:fill="FFFFFF"/>
            <w:vAlign w:val="center"/>
            <w:hideMark/>
          </w:tcPr>
          <w:p w14:paraId="3C007B6A" w14:textId="77777777" w:rsidR="003B7F1C" w:rsidRPr="005078E9" w:rsidRDefault="003B7F1C" w:rsidP="00513011">
            <w:pPr>
              <w:jc w:val="center"/>
              <w:rPr>
                <w:rFonts w:ascii="Aptos" w:hAnsi="Aptos"/>
                <w:sz w:val="18"/>
                <w:szCs w:val="18"/>
              </w:rPr>
            </w:pPr>
            <w:r w:rsidRPr="005078E9">
              <w:rPr>
                <w:rFonts w:ascii="Aptos" w:hAnsi="Aptos"/>
                <w:sz w:val="18"/>
                <w:szCs w:val="18"/>
              </w:rPr>
              <w:t>PN</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4DE6449" w14:textId="77777777" w:rsidR="003B7F1C" w:rsidRPr="005078E9" w:rsidRDefault="003B7F1C" w:rsidP="00513011">
            <w:pPr>
              <w:jc w:val="center"/>
              <w:rPr>
                <w:rFonts w:ascii="Aptos" w:hAnsi="Aptos"/>
                <w:sz w:val="18"/>
                <w:szCs w:val="18"/>
              </w:rPr>
            </w:pPr>
            <w:r w:rsidRPr="005078E9">
              <w:rPr>
                <w:rFonts w:ascii="Aptos" w:hAnsi="Aptos"/>
                <w:sz w:val="18"/>
                <w:szCs w:val="18"/>
              </w:rPr>
              <w:t>PN</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D64508C"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7B7E987" w14:textId="77777777" w:rsidR="003B7F1C" w:rsidRPr="005078E9" w:rsidRDefault="003B7F1C" w:rsidP="00513011">
            <w:pPr>
              <w:jc w:val="center"/>
              <w:rPr>
                <w:rFonts w:ascii="Aptos" w:hAnsi="Aptos"/>
                <w:sz w:val="18"/>
                <w:szCs w:val="18"/>
              </w:rPr>
            </w:pPr>
            <w:r w:rsidRPr="005078E9">
              <w:rPr>
                <w:rFonts w:ascii="Aptos" w:hAnsi="Aptos"/>
                <w:sz w:val="18"/>
                <w:szCs w:val="18"/>
              </w:rPr>
              <w:t>PN</w:t>
            </w:r>
          </w:p>
        </w:tc>
      </w:tr>
      <w:tr w:rsidR="003B7F1C" w:rsidRPr="005078E9" w14:paraId="524A32EE"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3D50BC5E" w14:textId="77777777" w:rsidR="003B7F1C" w:rsidRPr="005078E9" w:rsidRDefault="003B7F1C" w:rsidP="003B7F1C">
            <w:pPr>
              <w:rPr>
                <w:rFonts w:ascii="Aptos" w:hAnsi="Aptos"/>
                <w:sz w:val="18"/>
                <w:szCs w:val="18"/>
              </w:rPr>
            </w:pPr>
            <w:r w:rsidRPr="005078E9">
              <w:rPr>
                <w:rFonts w:ascii="Aptos" w:hAnsi="Aptos"/>
                <w:sz w:val="18"/>
                <w:szCs w:val="18"/>
              </w:rPr>
              <w:t>Were efforts made to minimise error in selection of studies?</w:t>
            </w:r>
          </w:p>
        </w:tc>
        <w:tc>
          <w:tcPr>
            <w:tcW w:w="381" w:type="pct"/>
            <w:tcBorders>
              <w:top w:val="nil"/>
              <w:left w:val="nil"/>
              <w:bottom w:val="single" w:sz="4" w:space="0" w:color="auto"/>
              <w:right w:val="single" w:sz="4" w:space="0" w:color="auto"/>
            </w:tcBorders>
            <w:shd w:val="clear" w:color="000000" w:fill="FFFFFF"/>
            <w:vAlign w:val="center"/>
            <w:hideMark/>
          </w:tcPr>
          <w:p w14:paraId="5D573C36"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432AD32"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7B1995B"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1C4B46A"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14060E0A" w14:textId="77777777" w:rsidTr="00513011">
        <w:trPr>
          <w:trHeight w:val="116"/>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0390A7EF" w14:textId="77777777" w:rsidR="003B7F1C" w:rsidRPr="005078E9" w:rsidRDefault="003B7F1C" w:rsidP="003B7F1C">
            <w:pPr>
              <w:rPr>
                <w:rFonts w:ascii="Aptos" w:hAnsi="Aptos"/>
                <w:sz w:val="18"/>
                <w:szCs w:val="18"/>
              </w:rPr>
            </w:pPr>
            <w:r w:rsidRPr="005078E9">
              <w:rPr>
                <w:rFonts w:ascii="Aptos" w:hAnsi="Aptos"/>
                <w:sz w:val="18"/>
                <w:szCs w:val="18"/>
              </w:rPr>
              <w:t>Concerns regarding methods used to identify and/or select studies: LOW, HIGH, UNCLEAR</w:t>
            </w:r>
          </w:p>
        </w:tc>
        <w:tc>
          <w:tcPr>
            <w:tcW w:w="381" w:type="pct"/>
            <w:tcBorders>
              <w:top w:val="nil"/>
              <w:left w:val="nil"/>
              <w:bottom w:val="single" w:sz="4" w:space="0" w:color="auto"/>
              <w:right w:val="single" w:sz="4" w:space="0" w:color="auto"/>
            </w:tcBorders>
            <w:shd w:val="clear" w:color="000000" w:fill="FFF2CC"/>
            <w:vAlign w:val="center"/>
            <w:hideMark/>
          </w:tcPr>
          <w:p w14:paraId="5F873CA3" w14:textId="77777777" w:rsidR="003B7F1C" w:rsidRPr="005078E9" w:rsidRDefault="003B7F1C" w:rsidP="00513011">
            <w:pPr>
              <w:jc w:val="center"/>
              <w:rPr>
                <w:rFonts w:ascii="Aptos" w:hAnsi="Aptos"/>
                <w:sz w:val="18"/>
                <w:szCs w:val="18"/>
              </w:rPr>
            </w:pPr>
            <w:r w:rsidRPr="005078E9">
              <w:rPr>
                <w:rFonts w:ascii="Aptos" w:hAnsi="Aptos"/>
                <w:sz w:val="18"/>
                <w:szCs w:val="18"/>
              </w:rPr>
              <w:t>Unclear</w:t>
            </w:r>
          </w:p>
        </w:tc>
        <w:tc>
          <w:tcPr>
            <w:tcW w:w="381" w:type="pct"/>
            <w:tcBorders>
              <w:top w:val="nil"/>
              <w:left w:val="single" w:sz="4" w:space="0" w:color="auto"/>
              <w:bottom w:val="single" w:sz="4" w:space="0" w:color="auto"/>
              <w:right w:val="single" w:sz="4" w:space="0" w:color="auto"/>
            </w:tcBorders>
            <w:shd w:val="clear" w:color="000000" w:fill="FFF2CC"/>
            <w:vAlign w:val="center"/>
            <w:hideMark/>
          </w:tcPr>
          <w:p w14:paraId="1D4D29DF" w14:textId="77777777" w:rsidR="003B7F1C" w:rsidRPr="005078E9" w:rsidRDefault="003B7F1C" w:rsidP="00513011">
            <w:pPr>
              <w:jc w:val="center"/>
              <w:rPr>
                <w:rFonts w:ascii="Aptos" w:hAnsi="Aptos"/>
                <w:sz w:val="18"/>
                <w:szCs w:val="18"/>
              </w:rPr>
            </w:pPr>
            <w:r w:rsidRPr="005078E9">
              <w:rPr>
                <w:rFonts w:ascii="Aptos" w:hAnsi="Aptos"/>
                <w:sz w:val="18"/>
                <w:szCs w:val="18"/>
              </w:rPr>
              <w:t>Unclear</w:t>
            </w:r>
          </w:p>
        </w:tc>
        <w:tc>
          <w:tcPr>
            <w:tcW w:w="381" w:type="pct"/>
            <w:tcBorders>
              <w:top w:val="nil"/>
              <w:left w:val="single" w:sz="4" w:space="0" w:color="auto"/>
              <w:bottom w:val="single" w:sz="4" w:space="0" w:color="auto"/>
              <w:right w:val="single" w:sz="4" w:space="0" w:color="auto"/>
            </w:tcBorders>
            <w:shd w:val="clear" w:color="000000" w:fill="E2EFDA"/>
            <w:vAlign w:val="center"/>
            <w:hideMark/>
          </w:tcPr>
          <w:p w14:paraId="65AFA73E"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c>
          <w:tcPr>
            <w:tcW w:w="381" w:type="pct"/>
            <w:tcBorders>
              <w:top w:val="nil"/>
              <w:left w:val="single" w:sz="4" w:space="0" w:color="auto"/>
              <w:bottom w:val="single" w:sz="4" w:space="0" w:color="auto"/>
              <w:right w:val="single" w:sz="4" w:space="0" w:color="auto"/>
            </w:tcBorders>
            <w:shd w:val="clear" w:color="000000" w:fill="FFF2CC"/>
            <w:vAlign w:val="center"/>
            <w:hideMark/>
          </w:tcPr>
          <w:p w14:paraId="59E3D242" w14:textId="77777777" w:rsidR="003B7F1C" w:rsidRPr="005078E9" w:rsidRDefault="003B7F1C" w:rsidP="00513011">
            <w:pPr>
              <w:jc w:val="center"/>
              <w:rPr>
                <w:rFonts w:ascii="Aptos" w:hAnsi="Aptos"/>
                <w:sz w:val="18"/>
                <w:szCs w:val="18"/>
              </w:rPr>
            </w:pPr>
            <w:r w:rsidRPr="005078E9">
              <w:rPr>
                <w:rFonts w:ascii="Aptos" w:hAnsi="Aptos"/>
                <w:sz w:val="18"/>
                <w:szCs w:val="18"/>
              </w:rPr>
              <w:t>Unclear</w:t>
            </w:r>
          </w:p>
        </w:tc>
      </w:tr>
      <w:tr w:rsidR="003B7F1C" w:rsidRPr="005078E9" w14:paraId="65B2892F"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2F2F2"/>
            <w:vAlign w:val="center"/>
            <w:hideMark/>
          </w:tcPr>
          <w:p w14:paraId="475543DD" w14:textId="77777777" w:rsidR="003B7F1C" w:rsidRPr="005078E9" w:rsidRDefault="003B7F1C" w:rsidP="003B7F1C">
            <w:pPr>
              <w:rPr>
                <w:rFonts w:ascii="Aptos" w:hAnsi="Aptos"/>
                <w:sz w:val="18"/>
                <w:szCs w:val="18"/>
              </w:rPr>
            </w:pPr>
            <w:r w:rsidRPr="005078E9">
              <w:rPr>
                <w:rFonts w:ascii="Aptos" w:hAnsi="Aptos"/>
                <w:sz w:val="18"/>
                <w:szCs w:val="18"/>
              </w:rPr>
              <w:t>Domain 3: Data collection and study appraisal</w:t>
            </w:r>
          </w:p>
        </w:tc>
        <w:tc>
          <w:tcPr>
            <w:tcW w:w="381" w:type="pct"/>
            <w:tcBorders>
              <w:top w:val="nil"/>
              <w:left w:val="nil"/>
              <w:bottom w:val="single" w:sz="4" w:space="0" w:color="auto"/>
              <w:right w:val="single" w:sz="4" w:space="0" w:color="auto"/>
            </w:tcBorders>
            <w:shd w:val="clear" w:color="000000" w:fill="F2F2F2"/>
            <w:vAlign w:val="center"/>
            <w:hideMark/>
          </w:tcPr>
          <w:p w14:paraId="2D1951E6" w14:textId="13327C0A"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072B9AF5" w14:textId="12CD3CDD"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0A12E87B" w14:textId="66A4AAB9"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09358817" w14:textId="56365D23" w:rsidR="003B7F1C" w:rsidRPr="005078E9" w:rsidRDefault="003B7F1C" w:rsidP="00513011">
            <w:pPr>
              <w:jc w:val="center"/>
              <w:rPr>
                <w:rFonts w:ascii="Aptos" w:hAnsi="Aptos"/>
                <w:sz w:val="18"/>
                <w:szCs w:val="18"/>
              </w:rPr>
            </w:pPr>
          </w:p>
        </w:tc>
      </w:tr>
      <w:tr w:rsidR="003B7F1C" w:rsidRPr="005078E9" w14:paraId="296E10B5"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0D45BE13" w14:textId="77777777" w:rsidR="003B7F1C" w:rsidRPr="005078E9" w:rsidRDefault="003B7F1C" w:rsidP="003B7F1C">
            <w:pPr>
              <w:rPr>
                <w:rFonts w:ascii="Aptos" w:hAnsi="Aptos"/>
                <w:sz w:val="18"/>
                <w:szCs w:val="18"/>
              </w:rPr>
            </w:pPr>
            <w:r w:rsidRPr="005078E9">
              <w:rPr>
                <w:rFonts w:ascii="Aptos" w:hAnsi="Aptos"/>
                <w:sz w:val="18"/>
                <w:szCs w:val="18"/>
              </w:rPr>
              <w:t>Were efforts made to minimise error in data collection?</w:t>
            </w:r>
          </w:p>
        </w:tc>
        <w:tc>
          <w:tcPr>
            <w:tcW w:w="381" w:type="pct"/>
            <w:tcBorders>
              <w:top w:val="nil"/>
              <w:left w:val="nil"/>
              <w:bottom w:val="single" w:sz="4" w:space="0" w:color="auto"/>
              <w:right w:val="single" w:sz="4" w:space="0" w:color="auto"/>
            </w:tcBorders>
            <w:shd w:val="clear" w:color="000000" w:fill="FFFFFF"/>
            <w:vAlign w:val="center"/>
            <w:hideMark/>
          </w:tcPr>
          <w:p w14:paraId="479984E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056A3B8"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A226879"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0B63723"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0C88971B" w14:textId="77777777" w:rsidTr="00513011">
        <w:trPr>
          <w:trHeight w:val="116"/>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7E83C52B" w14:textId="77777777" w:rsidR="003B7F1C" w:rsidRPr="005078E9" w:rsidRDefault="003B7F1C" w:rsidP="003B7F1C">
            <w:pPr>
              <w:rPr>
                <w:rFonts w:ascii="Aptos" w:hAnsi="Aptos"/>
                <w:sz w:val="18"/>
                <w:szCs w:val="18"/>
              </w:rPr>
            </w:pPr>
            <w:r w:rsidRPr="005078E9">
              <w:rPr>
                <w:rFonts w:ascii="Aptos" w:hAnsi="Aptos"/>
                <w:sz w:val="18"/>
                <w:szCs w:val="18"/>
              </w:rPr>
              <w:t>Were sufficient study characteristics available for both review authors and readers to be able to interpret the results?</w:t>
            </w:r>
          </w:p>
        </w:tc>
        <w:tc>
          <w:tcPr>
            <w:tcW w:w="381" w:type="pct"/>
            <w:tcBorders>
              <w:top w:val="nil"/>
              <w:left w:val="nil"/>
              <w:bottom w:val="single" w:sz="4" w:space="0" w:color="auto"/>
              <w:right w:val="single" w:sz="4" w:space="0" w:color="auto"/>
            </w:tcBorders>
            <w:shd w:val="clear" w:color="000000" w:fill="FFFFFF"/>
            <w:vAlign w:val="center"/>
            <w:hideMark/>
          </w:tcPr>
          <w:p w14:paraId="20300586"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9F34F7A"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6741B72"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5BF0752"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49FE745E"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6F1990C4" w14:textId="77777777" w:rsidR="003B7F1C" w:rsidRPr="005078E9" w:rsidRDefault="003B7F1C" w:rsidP="003B7F1C">
            <w:pPr>
              <w:rPr>
                <w:rFonts w:ascii="Aptos" w:hAnsi="Aptos"/>
                <w:sz w:val="18"/>
                <w:szCs w:val="18"/>
              </w:rPr>
            </w:pPr>
            <w:r w:rsidRPr="005078E9">
              <w:rPr>
                <w:rFonts w:ascii="Aptos" w:hAnsi="Aptos"/>
                <w:sz w:val="18"/>
                <w:szCs w:val="18"/>
              </w:rPr>
              <w:t>Were all relevant study results collected for use in the synthesis?</w:t>
            </w:r>
          </w:p>
        </w:tc>
        <w:tc>
          <w:tcPr>
            <w:tcW w:w="381" w:type="pct"/>
            <w:tcBorders>
              <w:top w:val="nil"/>
              <w:left w:val="nil"/>
              <w:bottom w:val="single" w:sz="4" w:space="0" w:color="auto"/>
              <w:right w:val="single" w:sz="4" w:space="0" w:color="auto"/>
            </w:tcBorders>
            <w:shd w:val="clear" w:color="000000" w:fill="FFFFFF"/>
            <w:vAlign w:val="center"/>
            <w:hideMark/>
          </w:tcPr>
          <w:p w14:paraId="42D3A49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5885D2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48C85C0"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D0C3FF5"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1BD5FF62" w14:textId="77777777" w:rsidTr="00513011">
        <w:trPr>
          <w:trHeight w:val="327"/>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41C3163C" w14:textId="77777777" w:rsidR="003B7F1C" w:rsidRPr="005078E9" w:rsidRDefault="003B7F1C" w:rsidP="003B7F1C">
            <w:pPr>
              <w:rPr>
                <w:rFonts w:ascii="Aptos" w:hAnsi="Aptos"/>
                <w:sz w:val="18"/>
                <w:szCs w:val="18"/>
              </w:rPr>
            </w:pPr>
            <w:r w:rsidRPr="005078E9">
              <w:rPr>
                <w:rFonts w:ascii="Aptos" w:hAnsi="Aptos"/>
                <w:sz w:val="18"/>
                <w:szCs w:val="18"/>
              </w:rPr>
              <w:t>Was risk of bias (or methodological quality) formally assessed using appropriate criteria?</w:t>
            </w:r>
          </w:p>
        </w:tc>
        <w:tc>
          <w:tcPr>
            <w:tcW w:w="381" w:type="pct"/>
            <w:tcBorders>
              <w:top w:val="nil"/>
              <w:left w:val="nil"/>
              <w:bottom w:val="single" w:sz="4" w:space="0" w:color="auto"/>
              <w:right w:val="single" w:sz="4" w:space="0" w:color="auto"/>
            </w:tcBorders>
            <w:shd w:val="clear" w:color="000000" w:fill="FFFFFF"/>
            <w:vAlign w:val="center"/>
            <w:hideMark/>
          </w:tcPr>
          <w:p w14:paraId="7438DEB3"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F12ADB3"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EDB8350"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812FF39"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40D5647E"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7BB305A0" w14:textId="77777777" w:rsidR="003B7F1C" w:rsidRPr="005078E9" w:rsidRDefault="003B7F1C" w:rsidP="003B7F1C">
            <w:pPr>
              <w:rPr>
                <w:rFonts w:ascii="Aptos" w:hAnsi="Aptos"/>
                <w:sz w:val="18"/>
                <w:szCs w:val="18"/>
              </w:rPr>
            </w:pPr>
            <w:r w:rsidRPr="005078E9">
              <w:rPr>
                <w:rFonts w:ascii="Aptos" w:hAnsi="Aptos"/>
                <w:sz w:val="18"/>
                <w:szCs w:val="18"/>
              </w:rPr>
              <w:t>Were efforts made to minimise error in risk of bias assessment?</w:t>
            </w:r>
          </w:p>
        </w:tc>
        <w:tc>
          <w:tcPr>
            <w:tcW w:w="381" w:type="pct"/>
            <w:tcBorders>
              <w:top w:val="nil"/>
              <w:left w:val="nil"/>
              <w:bottom w:val="single" w:sz="4" w:space="0" w:color="auto"/>
              <w:right w:val="single" w:sz="4" w:space="0" w:color="auto"/>
            </w:tcBorders>
            <w:shd w:val="clear" w:color="000000" w:fill="FFFFFF"/>
            <w:vAlign w:val="center"/>
            <w:hideMark/>
          </w:tcPr>
          <w:p w14:paraId="1DEBBFB7" w14:textId="77777777" w:rsidR="003B7F1C" w:rsidRPr="005078E9" w:rsidRDefault="003B7F1C" w:rsidP="00513011">
            <w:pPr>
              <w:jc w:val="center"/>
              <w:rPr>
                <w:rFonts w:ascii="Aptos" w:hAnsi="Aptos"/>
                <w:sz w:val="18"/>
                <w:szCs w:val="18"/>
              </w:rPr>
            </w:pPr>
            <w:r w:rsidRPr="005078E9">
              <w:rPr>
                <w:rFonts w:ascii="Aptos" w:hAnsi="Aptos"/>
                <w:sz w:val="18"/>
                <w:szCs w:val="18"/>
              </w:rPr>
              <w:t>NI</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C1E18C5" w14:textId="77777777" w:rsidR="003B7F1C" w:rsidRPr="005078E9" w:rsidRDefault="003B7F1C" w:rsidP="00513011">
            <w:pPr>
              <w:jc w:val="center"/>
              <w:rPr>
                <w:rFonts w:ascii="Aptos" w:hAnsi="Aptos"/>
                <w:sz w:val="18"/>
                <w:szCs w:val="18"/>
              </w:rPr>
            </w:pPr>
            <w:r w:rsidRPr="005078E9">
              <w:rPr>
                <w:rFonts w:ascii="Aptos" w:hAnsi="Aptos"/>
                <w:sz w:val="18"/>
                <w:szCs w:val="18"/>
              </w:rPr>
              <w:t>PY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5DC1B428" w14:textId="77777777" w:rsidR="003B7F1C" w:rsidRPr="005078E9" w:rsidRDefault="003B7F1C" w:rsidP="00513011">
            <w:pPr>
              <w:jc w:val="center"/>
              <w:rPr>
                <w:rFonts w:ascii="Aptos" w:hAnsi="Aptos"/>
                <w:sz w:val="18"/>
                <w:szCs w:val="18"/>
              </w:rPr>
            </w:pPr>
            <w:r w:rsidRPr="005078E9">
              <w:rPr>
                <w:rFonts w:ascii="Aptos" w:hAnsi="Aptos"/>
                <w:sz w:val="18"/>
                <w:szCs w:val="18"/>
              </w:rPr>
              <w:t>NI</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8683566"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62B64EAA" w14:textId="77777777" w:rsidTr="00513011">
        <w:trPr>
          <w:trHeight w:val="116"/>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557D18D4" w14:textId="77777777" w:rsidR="003B7F1C" w:rsidRPr="005078E9" w:rsidRDefault="003B7F1C" w:rsidP="003B7F1C">
            <w:pPr>
              <w:rPr>
                <w:rFonts w:ascii="Aptos" w:hAnsi="Aptos"/>
                <w:sz w:val="18"/>
                <w:szCs w:val="18"/>
              </w:rPr>
            </w:pPr>
            <w:r w:rsidRPr="005078E9">
              <w:rPr>
                <w:rFonts w:ascii="Aptos" w:hAnsi="Aptos"/>
                <w:sz w:val="18"/>
                <w:szCs w:val="18"/>
              </w:rPr>
              <w:t>Concerns regarding methods used to collect data and appraise studies: LOW, HIGH, UNCLEAR</w:t>
            </w:r>
          </w:p>
        </w:tc>
        <w:tc>
          <w:tcPr>
            <w:tcW w:w="381" w:type="pct"/>
            <w:tcBorders>
              <w:top w:val="nil"/>
              <w:left w:val="nil"/>
              <w:bottom w:val="single" w:sz="4" w:space="0" w:color="auto"/>
              <w:right w:val="single" w:sz="4" w:space="0" w:color="auto"/>
            </w:tcBorders>
            <w:shd w:val="clear" w:color="000000" w:fill="E2EFDA"/>
            <w:vAlign w:val="center"/>
            <w:hideMark/>
          </w:tcPr>
          <w:p w14:paraId="3B2E5BCD"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c>
          <w:tcPr>
            <w:tcW w:w="381" w:type="pct"/>
            <w:tcBorders>
              <w:top w:val="nil"/>
              <w:left w:val="single" w:sz="4" w:space="0" w:color="auto"/>
              <w:bottom w:val="single" w:sz="4" w:space="0" w:color="auto"/>
              <w:right w:val="single" w:sz="4" w:space="0" w:color="auto"/>
            </w:tcBorders>
            <w:shd w:val="clear" w:color="000000" w:fill="E2EFDA"/>
            <w:vAlign w:val="center"/>
            <w:hideMark/>
          </w:tcPr>
          <w:p w14:paraId="05E2BA9C"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c>
          <w:tcPr>
            <w:tcW w:w="381" w:type="pct"/>
            <w:tcBorders>
              <w:top w:val="nil"/>
              <w:left w:val="single" w:sz="4" w:space="0" w:color="auto"/>
              <w:bottom w:val="single" w:sz="4" w:space="0" w:color="auto"/>
              <w:right w:val="single" w:sz="4" w:space="0" w:color="auto"/>
            </w:tcBorders>
            <w:shd w:val="clear" w:color="000000" w:fill="E2EFDA"/>
            <w:vAlign w:val="center"/>
            <w:hideMark/>
          </w:tcPr>
          <w:p w14:paraId="1C75BAB8"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c>
          <w:tcPr>
            <w:tcW w:w="381" w:type="pct"/>
            <w:tcBorders>
              <w:top w:val="nil"/>
              <w:left w:val="single" w:sz="4" w:space="0" w:color="auto"/>
              <w:bottom w:val="single" w:sz="4" w:space="0" w:color="auto"/>
              <w:right w:val="single" w:sz="4" w:space="0" w:color="auto"/>
            </w:tcBorders>
            <w:shd w:val="clear" w:color="000000" w:fill="E2EFDA"/>
            <w:vAlign w:val="center"/>
            <w:hideMark/>
          </w:tcPr>
          <w:p w14:paraId="7C584E07" w14:textId="77777777" w:rsidR="003B7F1C" w:rsidRPr="005078E9" w:rsidRDefault="003B7F1C" w:rsidP="00513011">
            <w:pPr>
              <w:jc w:val="center"/>
              <w:rPr>
                <w:rFonts w:ascii="Aptos" w:hAnsi="Aptos"/>
                <w:sz w:val="18"/>
                <w:szCs w:val="18"/>
              </w:rPr>
            </w:pPr>
            <w:r w:rsidRPr="005078E9">
              <w:rPr>
                <w:rFonts w:ascii="Aptos" w:hAnsi="Aptos"/>
                <w:sz w:val="18"/>
                <w:szCs w:val="18"/>
              </w:rPr>
              <w:t>Low</w:t>
            </w:r>
          </w:p>
        </w:tc>
      </w:tr>
      <w:tr w:rsidR="003B7F1C" w:rsidRPr="005078E9" w14:paraId="56EC0D3B"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2F2F2"/>
            <w:vAlign w:val="center"/>
            <w:hideMark/>
          </w:tcPr>
          <w:p w14:paraId="06F4ADCC" w14:textId="77777777" w:rsidR="003B7F1C" w:rsidRPr="005078E9" w:rsidRDefault="003B7F1C" w:rsidP="003B7F1C">
            <w:pPr>
              <w:rPr>
                <w:rFonts w:ascii="Aptos" w:hAnsi="Aptos"/>
                <w:sz w:val="18"/>
                <w:szCs w:val="18"/>
              </w:rPr>
            </w:pPr>
            <w:r w:rsidRPr="005078E9">
              <w:rPr>
                <w:rFonts w:ascii="Aptos" w:hAnsi="Aptos"/>
                <w:sz w:val="18"/>
                <w:szCs w:val="18"/>
              </w:rPr>
              <w:t>Domain 4: Synthesis and findings</w:t>
            </w:r>
          </w:p>
        </w:tc>
        <w:tc>
          <w:tcPr>
            <w:tcW w:w="381" w:type="pct"/>
            <w:tcBorders>
              <w:top w:val="nil"/>
              <w:left w:val="nil"/>
              <w:bottom w:val="single" w:sz="4" w:space="0" w:color="auto"/>
              <w:right w:val="single" w:sz="4" w:space="0" w:color="auto"/>
            </w:tcBorders>
            <w:shd w:val="clear" w:color="000000" w:fill="F2F2F2"/>
            <w:vAlign w:val="center"/>
            <w:hideMark/>
          </w:tcPr>
          <w:p w14:paraId="73BC1D02" w14:textId="7E9FF10F"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4B409F05" w14:textId="58EFDB7C"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5E0C604D" w14:textId="04C41AD0"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F2F2F2"/>
            <w:vAlign w:val="center"/>
            <w:hideMark/>
          </w:tcPr>
          <w:p w14:paraId="2BE6F905" w14:textId="72454D37" w:rsidR="003B7F1C" w:rsidRPr="005078E9" w:rsidRDefault="003B7F1C" w:rsidP="00513011">
            <w:pPr>
              <w:jc w:val="center"/>
              <w:rPr>
                <w:rFonts w:ascii="Aptos" w:hAnsi="Aptos"/>
                <w:sz w:val="18"/>
                <w:szCs w:val="18"/>
              </w:rPr>
            </w:pPr>
          </w:p>
        </w:tc>
      </w:tr>
      <w:tr w:rsidR="003B7F1C" w:rsidRPr="005078E9" w14:paraId="178FC9C5"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38C47729" w14:textId="77777777" w:rsidR="003B7F1C" w:rsidRPr="005078E9" w:rsidRDefault="003B7F1C" w:rsidP="003B7F1C">
            <w:pPr>
              <w:rPr>
                <w:rFonts w:ascii="Aptos" w:hAnsi="Aptos"/>
                <w:sz w:val="18"/>
                <w:szCs w:val="18"/>
              </w:rPr>
            </w:pPr>
            <w:r w:rsidRPr="005078E9">
              <w:rPr>
                <w:rFonts w:ascii="Aptos" w:hAnsi="Aptos"/>
                <w:sz w:val="18"/>
                <w:szCs w:val="18"/>
              </w:rPr>
              <w:t>Did the synthesis include all studies that it should?</w:t>
            </w:r>
          </w:p>
        </w:tc>
        <w:tc>
          <w:tcPr>
            <w:tcW w:w="381" w:type="pct"/>
            <w:tcBorders>
              <w:top w:val="nil"/>
              <w:left w:val="nil"/>
              <w:bottom w:val="single" w:sz="4" w:space="0" w:color="auto"/>
              <w:right w:val="single" w:sz="4" w:space="0" w:color="auto"/>
            </w:tcBorders>
            <w:shd w:val="clear" w:color="000000" w:fill="FFFFFF"/>
            <w:vAlign w:val="center"/>
            <w:hideMark/>
          </w:tcPr>
          <w:p w14:paraId="641C3ADB" w14:textId="77777777" w:rsidR="003B7F1C" w:rsidRPr="005078E9" w:rsidRDefault="003B7F1C" w:rsidP="00513011">
            <w:pPr>
              <w:jc w:val="center"/>
              <w:rPr>
                <w:rFonts w:ascii="Aptos" w:hAnsi="Aptos"/>
                <w:sz w:val="18"/>
                <w:szCs w:val="18"/>
              </w:rPr>
            </w:pPr>
            <w:r w:rsidRPr="005078E9">
              <w:rPr>
                <w:rFonts w:ascii="Aptos" w:hAnsi="Aptos"/>
                <w:sz w:val="18"/>
                <w:szCs w:val="18"/>
              </w:rPr>
              <w:t>PY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C01E1D7" w14:textId="77777777" w:rsidR="003B7F1C" w:rsidRPr="005078E9" w:rsidRDefault="003B7F1C" w:rsidP="00513011">
            <w:pPr>
              <w:jc w:val="center"/>
              <w:rPr>
                <w:rFonts w:ascii="Aptos" w:hAnsi="Aptos"/>
                <w:sz w:val="18"/>
                <w:szCs w:val="18"/>
              </w:rPr>
            </w:pPr>
            <w:r w:rsidRPr="005078E9">
              <w:rPr>
                <w:rFonts w:ascii="Aptos" w:hAnsi="Aptos"/>
                <w:sz w:val="18"/>
                <w:szCs w:val="18"/>
              </w:rPr>
              <w:t>PY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F86B3CB" w14:textId="77777777" w:rsidR="003B7F1C" w:rsidRPr="005078E9" w:rsidRDefault="003B7F1C" w:rsidP="00513011">
            <w:pPr>
              <w:jc w:val="center"/>
              <w:rPr>
                <w:rFonts w:ascii="Aptos" w:hAnsi="Aptos"/>
                <w:sz w:val="18"/>
                <w:szCs w:val="18"/>
              </w:rPr>
            </w:pPr>
            <w:r w:rsidRPr="005078E9">
              <w:rPr>
                <w:rFonts w:ascii="Aptos" w:hAnsi="Aptos"/>
                <w:sz w:val="18"/>
                <w:szCs w:val="18"/>
              </w:rPr>
              <w:t>PY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54A9F7AF" w14:textId="77777777" w:rsidR="003B7F1C" w:rsidRPr="005078E9" w:rsidRDefault="003B7F1C" w:rsidP="00513011">
            <w:pPr>
              <w:jc w:val="center"/>
              <w:rPr>
                <w:rFonts w:ascii="Aptos" w:hAnsi="Aptos"/>
                <w:sz w:val="18"/>
                <w:szCs w:val="18"/>
              </w:rPr>
            </w:pPr>
            <w:r w:rsidRPr="005078E9">
              <w:rPr>
                <w:rFonts w:ascii="Aptos" w:hAnsi="Aptos"/>
                <w:sz w:val="18"/>
                <w:szCs w:val="18"/>
              </w:rPr>
              <w:t>PY</w:t>
            </w:r>
          </w:p>
        </w:tc>
      </w:tr>
      <w:tr w:rsidR="003B7F1C" w:rsidRPr="005078E9" w14:paraId="7D5CA51A"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023C5234" w14:textId="77777777" w:rsidR="003B7F1C" w:rsidRPr="005078E9" w:rsidRDefault="003B7F1C" w:rsidP="003B7F1C">
            <w:pPr>
              <w:rPr>
                <w:rFonts w:ascii="Aptos" w:hAnsi="Aptos"/>
                <w:sz w:val="18"/>
                <w:szCs w:val="18"/>
              </w:rPr>
            </w:pPr>
            <w:r w:rsidRPr="005078E9">
              <w:rPr>
                <w:rFonts w:ascii="Aptos" w:hAnsi="Aptos"/>
                <w:sz w:val="18"/>
                <w:szCs w:val="18"/>
              </w:rPr>
              <w:t>Were all pre</w:t>
            </w:r>
            <w:r w:rsidRPr="005078E9">
              <w:rPr>
                <w:rFonts w:ascii="Cambria Math" w:hAnsi="Cambria Math" w:cs="Cambria Math"/>
                <w:sz w:val="18"/>
                <w:szCs w:val="18"/>
              </w:rPr>
              <w:t>‐</w:t>
            </w:r>
            <w:r w:rsidRPr="005078E9">
              <w:rPr>
                <w:rFonts w:ascii="Aptos" w:hAnsi="Aptos"/>
                <w:sz w:val="18"/>
                <w:szCs w:val="18"/>
              </w:rPr>
              <w:t>defined analyses reported or departures explained?</w:t>
            </w:r>
          </w:p>
        </w:tc>
        <w:tc>
          <w:tcPr>
            <w:tcW w:w="381" w:type="pct"/>
            <w:tcBorders>
              <w:top w:val="nil"/>
              <w:left w:val="nil"/>
              <w:bottom w:val="single" w:sz="4" w:space="0" w:color="auto"/>
              <w:right w:val="single" w:sz="4" w:space="0" w:color="auto"/>
            </w:tcBorders>
            <w:shd w:val="clear" w:color="000000" w:fill="FFFFFF"/>
            <w:vAlign w:val="center"/>
            <w:hideMark/>
          </w:tcPr>
          <w:p w14:paraId="5F2A3AE1"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1014675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510C37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AE1A3FB"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60587DF4" w14:textId="77777777" w:rsidTr="00513011">
        <w:trPr>
          <w:trHeight w:val="500"/>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6636DD3D" w14:textId="77777777" w:rsidR="003B7F1C" w:rsidRPr="005078E9" w:rsidRDefault="003B7F1C" w:rsidP="003B7F1C">
            <w:pPr>
              <w:rPr>
                <w:rFonts w:ascii="Aptos" w:hAnsi="Aptos"/>
                <w:sz w:val="18"/>
                <w:szCs w:val="18"/>
              </w:rPr>
            </w:pPr>
            <w:r w:rsidRPr="005078E9">
              <w:rPr>
                <w:rFonts w:ascii="Aptos" w:hAnsi="Aptos"/>
                <w:sz w:val="18"/>
                <w:szCs w:val="18"/>
              </w:rPr>
              <w:lastRenderedPageBreak/>
              <w:t>Was the synthesis appropriate given the nature and similarity in the research questions, study designs and outcomes across included studies?</w:t>
            </w:r>
          </w:p>
        </w:tc>
        <w:tc>
          <w:tcPr>
            <w:tcW w:w="381" w:type="pct"/>
            <w:tcBorders>
              <w:top w:val="nil"/>
              <w:left w:val="nil"/>
              <w:bottom w:val="single" w:sz="4" w:space="0" w:color="auto"/>
              <w:right w:val="single" w:sz="4" w:space="0" w:color="auto"/>
            </w:tcBorders>
            <w:shd w:val="clear" w:color="000000" w:fill="FFFFFF"/>
            <w:vAlign w:val="center"/>
            <w:hideMark/>
          </w:tcPr>
          <w:p w14:paraId="61D264AB"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0451893"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385E6BD2"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5A253469"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0514D9EC"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3DE4E35D" w14:textId="77777777" w:rsidR="003B7F1C" w:rsidRPr="005078E9" w:rsidRDefault="003B7F1C" w:rsidP="003B7F1C">
            <w:pPr>
              <w:rPr>
                <w:rFonts w:ascii="Aptos" w:hAnsi="Aptos"/>
                <w:sz w:val="18"/>
                <w:szCs w:val="18"/>
              </w:rPr>
            </w:pPr>
            <w:r w:rsidRPr="005078E9">
              <w:rPr>
                <w:rFonts w:ascii="Aptos" w:hAnsi="Aptos"/>
                <w:sz w:val="18"/>
                <w:szCs w:val="18"/>
              </w:rPr>
              <w:t>Was between</w:t>
            </w:r>
            <w:r w:rsidRPr="005078E9">
              <w:rPr>
                <w:rFonts w:ascii="Cambria Math" w:hAnsi="Cambria Math" w:cs="Cambria Math"/>
                <w:sz w:val="18"/>
                <w:szCs w:val="18"/>
              </w:rPr>
              <w:t>‐</w:t>
            </w:r>
            <w:r w:rsidRPr="005078E9">
              <w:rPr>
                <w:rFonts w:ascii="Aptos" w:hAnsi="Aptos"/>
                <w:sz w:val="18"/>
                <w:szCs w:val="18"/>
              </w:rPr>
              <w:t>study variation (heterogeneity) minimal or addressed in the synthesis?</w:t>
            </w:r>
          </w:p>
        </w:tc>
        <w:tc>
          <w:tcPr>
            <w:tcW w:w="381" w:type="pct"/>
            <w:tcBorders>
              <w:top w:val="nil"/>
              <w:left w:val="nil"/>
              <w:bottom w:val="single" w:sz="4" w:space="0" w:color="auto"/>
              <w:right w:val="single" w:sz="4" w:space="0" w:color="auto"/>
            </w:tcBorders>
            <w:shd w:val="clear" w:color="000000" w:fill="FFFFFF"/>
            <w:vAlign w:val="center"/>
            <w:hideMark/>
          </w:tcPr>
          <w:p w14:paraId="10F34BF1"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1E70DFF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2CB7A0B"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473AF32"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262FD989" w14:textId="77777777" w:rsidTr="00513011">
        <w:trPr>
          <w:trHeight w:val="116"/>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0BF8F486" w14:textId="77777777" w:rsidR="003B7F1C" w:rsidRPr="005078E9" w:rsidRDefault="003B7F1C" w:rsidP="003B7F1C">
            <w:pPr>
              <w:rPr>
                <w:rFonts w:ascii="Aptos" w:hAnsi="Aptos"/>
                <w:sz w:val="18"/>
                <w:szCs w:val="18"/>
              </w:rPr>
            </w:pPr>
            <w:r w:rsidRPr="005078E9">
              <w:rPr>
                <w:rFonts w:ascii="Aptos" w:hAnsi="Aptos"/>
                <w:sz w:val="18"/>
                <w:szCs w:val="18"/>
              </w:rPr>
              <w:t>Were the findings robust, e.g. as demonstrated through funnel plot or sensitivity analyses?</w:t>
            </w:r>
          </w:p>
        </w:tc>
        <w:tc>
          <w:tcPr>
            <w:tcW w:w="381" w:type="pct"/>
            <w:tcBorders>
              <w:top w:val="nil"/>
              <w:left w:val="nil"/>
              <w:bottom w:val="single" w:sz="4" w:space="0" w:color="auto"/>
              <w:right w:val="single" w:sz="4" w:space="0" w:color="auto"/>
            </w:tcBorders>
            <w:shd w:val="clear" w:color="000000" w:fill="FFFFFF"/>
            <w:vAlign w:val="center"/>
            <w:hideMark/>
          </w:tcPr>
          <w:p w14:paraId="68C97E96"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4255C162" w14:textId="77777777" w:rsidR="003B7F1C" w:rsidRPr="005078E9" w:rsidRDefault="003B7F1C" w:rsidP="00513011">
            <w:pPr>
              <w:jc w:val="center"/>
              <w:rPr>
                <w:rFonts w:ascii="Aptos" w:hAnsi="Aptos"/>
                <w:sz w:val="18"/>
                <w:szCs w:val="18"/>
              </w:rPr>
            </w:pPr>
            <w:r w:rsidRPr="005078E9">
              <w:rPr>
                <w:rFonts w:ascii="Aptos" w:hAnsi="Aptos"/>
                <w:sz w:val="18"/>
                <w:szCs w:val="18"/>
              </w:rPr>
              <w:t>NI</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ED8A820" w14:textId="77777777" w:rsidR="003B7F1C" w:rsidRPr="005078E9" w:rsidRDefault="003B7F1C" w:rsidP="00513011">
            <w:pPr>
              <w:jc w:val="center"/>
              <w:rPr>
                <w:rFonts w:ascii="Aptos" w:hAnsi="Aptos"/>
                <w:sz w:val="18"/>
                <w:szCs w:val="18"/>
              </w:rPr>
            </w:pPr>
            <w:r w:rsidRPr="005078E9">
              <w:rPr>
                <w:rFonts w:ascii="Aptos" w:hAnsi="Aptos"/>
                <w:sz w:val="18"/>
                <w:szCs w:val="18"/>
              </w:rPr>
              <w:t>NI</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61A9E18" w14:textId="77777777" w:rsidR="003B7F1C" w:rsidRPr="005078E9" w:rsidRDefault="003B7F1C" w:rsidP="00513011">
            <w:pPr>
              <w:jc w:val="center"/>
              <w:rPr>
                <w:rFonts w:ascii="Aptos" w:hAnsi="Aptos"/>
                <w:sz w:val="18"/>
                <w:szCs w:val="18"/>
              </w:rPr>
            </w:pPr>
            <w:r w:rsidRPr="005078E9">
              <w:rPr>
                <w:rFonts w:ascii="Aptos" w:hAnsi="Aptos"/>
                <w:sz w:val="18"/>
                <w:szCs w:val="18"/>
              </w:rPr>
              <w:t>PN</w:t>
            </w:r>
          </w:p>
        </w:tc>
      </w:tr>
      <w:tr w:rsidR="003B7F1C" w:rsidRPr="005078E9" w14:paraId="1EA13C8E"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14B915F1" w14:textId="77777777" w:rsidR="003B7F1C" w:rsidRPr="005078E9" w:rsidRDefault="003B7F1C" w:rsidP="003B7F1C">
            <w:pPr>
              <w:rPr>
                <w:rFonts w:ascii="Aptos" w:hAnsi="Aptos"/>
                <w:sz w:val="18"/>
                <w:szCs w:val="18"/>
              </w:rPr>
            </w:pPr>
            <w:r w:rsidRPr="005078E9">
              <w:rPr>
                <w:rFonts w:ascii="Aptos" w:hAnsi="Aptos"/>
                <w:sz w:val="18"/>
                <w:szCs w:val="18"/>
              </w:rPr>
              <w:t>Were biases in primary studies minimal or addressed in the synthesis?</w:t>
            </w:r>
          </w:p>
        </w:tc>
        <w:tc>
          <w:tcPr>
            <w:tcW w:w="381" w:type="pct"/>
            <w:tcBorders>
              <w:top w:val="nil"/>
              <w:left w:val="nil"/>
              <w:bottom w:val="single" w:sz="4" w:space="0" w:color="auto"/>
              <w:right w:val="single" w:sz="4" w:space="0" w:color="auto"/>
            </w:tcBorders>
            <w:shd w:val="clear" w:color="000000" w:fill="FFFFFF"/>
            <w:vAlign w:val="center"/>
            <w:hideMark/>
          </w:tcPr>
          <w:p w14:paraId="1B8B88BB" w14:textId="77777777" w:rsidR="003B7F1C" w:rsidRPr="005078E9" w:rsidRDefault="003B7F1C" w:rsidP="00513011">
            <w:pPr>
              <w:jc w:val="center"/>
              <w:rPr>
                <w:rFonts w:ascii="Aptos" w:hAnsi="Aptos"/>
                <w:sz w:val="18"/>
                <w:szCs w:val="18"/>
              </w:rPr>
            </w:pPr>
            <w:r w:rsidRPr="005078E9">
              <w:rPr>
                <w:rFonts w:ascii="Aptos" w:hAnsi="Aptos"/>
                <w:sz w:val="18"/>
                <w:szCs w:val="18"/>
              </w:rPr>
              <w:t>N</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510943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CCC2037"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84949C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32C62F05"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2A9CC976" w14:textId="77777777" w:rsidR="003B7F1C" w:rsidRPr="005078E9" w:rsidRDefault="003B7F1C" w:rsidP="003B7F1C">
            <w:pPr>
              <w:rPr>
                <w:rFonts w:ascii="Aptos" w:hAnsi="Aptos"/>
                <w:sz w:val="18"/>
                <w:szCs w:val="18"/>
              </w:rPr>
            </w:pPr>
            <w:r w:rsidRPr="005078E9">
              <w:rPr>
                <w:rFonts w:ascii="Aptos" w:hAnsi="Aptos"/>
                <w:sz w:val="18"/>
                <w:szCs w:val="18"/>
              </w:rPr>
              <w:t>Concerns regarding the synthesis and finding: LOW, HIGH, UNCLEAR</w:t>
            </w:r>
          </w:p>
        </w:tc>
        <w:tc>
          <w:tcPr>
            <w:tcW w:w="381" w:type="pct"/>
            <w:tcBorders>
              <w:top w:val="nil"/>
              <w:left w:val="nil"/>
              <w:bottom w:val="single" w:sz="4" w:space="0" w:color="auto"/>
              <w:right w:val="single" w:sz="4" w:space="0" w:color="auto"/>
            </w:tcBorders>
            <w:shd w:val="clear" w:color="000000" w:fill="FCE4D6"/>
            <w:vAlign w:val="center"/>
            <w:hideMark/>
          </w:tcPr>
          <w:p w14:paraId="5BE97E58" w14:textId="77777777" w:rsidR="003B7F1C" w:rsidRPr="005078E9" w:rsidRDefault="003B7F1C" w:rsidP="00513011">
            <w:pPr>
              <w:jc w:val="center"/>
              <w:rPr>
                <w:rFonts w:ascii="Aptos" w:hAnsi="Aptos"/>
                <w:sz w:val="18"/>
                <w:szCs w:val="18"/>
              </w:rPr>
            </w:pPr>
            <w:r w:rsidRPr="005078E9">
              <w:rPr>
                <w:rFonts w:ascii="Aptos" w:hAnsi="Aptos"/>
                <w:sz w:val="18"/>
                <w:szCs w:val="18"/>
              </w:rPr>
              <w:t>High</w:t>
            </w:r>
          </w:p>
        </w:tc>
        <w:tc>
          <w:tcPr>
            <w:tcW w:w="381" w:type="pct"/>
            <w:tcBorders>
              <w:top w:val="nil"/>
              <w:left w:val="single" w:sz="4" w:space="0" w:color="auto"/>
              <w:bottom w:val="single" w:sz="4" w:space="0" w:color="auto"/>
              <w:right w:val="single" w:sz="4" w:space="0" w:color="auto"/>
            </w:tcBorders>
            <w:shd w:val="clear" w:color="000000" w:fill="FFF2CC"/>
            <w:vAlign w:val="center"/>
            <w:hideMark/>
          </w:tcPr>
          <w:p w14:paraId="627BA566" w14:textId="77777777" w:rsidR="003B7F1C" w:rsidRPr="005078E9" w:rsidRDefault="003B7F1C" w:rsidP="00513011">
            <w:pPr>
              <w:jc w:val="center"/>
              <w:rPr>
                <w:rFonts w:ascii="Aptos" w:hAnsi="Aptos"/>
                <w:sz w:val="18"/>
                <w:szCs w:val="18"/>
              </w:rPr>
            </w:pPr>
            <w:r w:rsidRPr="005078E9">
              <w:rPr>
                <w:rFonts w:ascii="Aptos" w:hAnsi="Aptos"/>
                <w:sz w:val="18"/>
                <w:szCs w:val="18"/>
              </w:rPr>
              <w:t>Unclear</w:t>
            </w:r>
          </w:p>
        </w:tc>
        <w:tc>
          <w:tcPr>
            <w:tcW w:w="381" w:type="pct"/>
            <w:tcBorders>
              <w:top w:val="nil"/>
              <w:left w:val="single" w:sz="4" w:space="0" w:color="auto"/>
              <w:bottom w:val="single" w:sz="4" w:space="0" w:color="auto"/>
              <w:right w:val="single" w:sz="4" w:space="0" w:color="auto"/>
            </w:tcBorders>
            <w:shd w:val="clear" w:color="000000" w:fill="FFF2CC"/>
            <w:vAlign w:val="center"/>
            <w:hideMark/>
          </w:tcPr>
          <w:p w14:paraId="5C585BD2" w14:textId="77777777" w:rsidR="003B7F1C" w:rsidRPr="005078E9" w:rsidRDefault="003B7F1C" w:rsidP="00513011">
            <w:pPr>
              <w:jc w:val="center"/>
              <w:rPr>
                <w:rFonts w:ascii="Aptos" w:hAnsi="Aptos"/>
                <w:sz w:val="18"/>
                <w:szCs w:val="18"/>
              </w:rPr>
            </w:pPr>
            <w:r w:rsidRPr="005078E9">
              <w:rPr>
                <w:rFonts w:ascii="Aptos" w:hAnsi="Aptos"/>
                <w:sz w:val="18"/>
                <w:szCs w:val="18"/>
              </w:rPr>
              <w:t>Unclear</w:t>
            </w:r>
          </w:p>
        </w:tc>
        <w:tc>
          <w:tcPr>
            <w:tcW w:w="381" w:type="pct"/>
            <w:tcBorders>
              <w:top w:val="nil"/>
              <w:left w:val="single" w:sz="4" w:space="0" w:color="auto"/>
              <w:bottom w:val="single" w:sz="4" w:space="0" w:color="auto"/>
              <w:right w:val="single" w:sz="4" w:space="0" w:color="auto"/>
            </w:tcBorders>
            <w:shd w:val="clear" w:color="000000" w:fill="FCE4D6"/>
            <w:vAlign w:val="center"/>
            <w:hideMark/>
          </w:tcPr>
          <w:p w14:paraId="34300F42" w14:textId="77777777" w:rsidR="003B7F1C" w:rsidRPr="005078E9" w:rsidRDefault="003B7F1C" w:rsidP="00513011">
            <w:pPr>
              <w:jc w:val="center"/>
              <w:rPr>
                <w:rFonts w:ascii="Aptos" w:hAnsi="Aptos"/>
                <w:sz w:val="18"/>
                <w:szCs w:val="18"/>
              </w:rPr>
            </w:pPr>
            <w:r w:rsidRPr="005078E9">
              <w:rPr>
                <w:rFonts w:ascii="Aptos" w:hAnsi="Aptos"/>
                <w:sz w:val="18"/>
                <w:szCs w:val="18"/>
              </w:rPr>
              <w:t>High</w:t>
            </w:r>
          </w:p>
        </w:tc>
      </w:tr>
      <w:tr w:rsidR="003B7F1C" w:rsidRPr="005078E9" w14:paraId="0314D77A"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D9D9D9"/>
            <w:vAlign w:val="center"/>
            <w:hideMark/>
          </w:tcPr>
          <w:p w14:paraId="780696B3" w14:textId="77777777" w:rsidR="003B7F1C" w:rsidRPr="005078E9" w:rsidRDefault="003B7F1C" w:rsidP="003B7F1C">
            <w:pPr>
              <w:rPr>
                <w:rFonts w:ascii="Aptos" w:hAnsi="Aptos"/>
                <w:sz w:val="18"/>
                <w:szCs w:val="18"/>
              </w:rPr>
            </w:pPr>
            <w:r w:rsidRPr="005078E9">
              <w:rPr>
                <w:rFonts w:ascii="Aptos" w:hAnsi="Aptos"/>
                <w:sz w:val="18"/>
                <w:szCs w:val="18"/>
              </w:rPr>
              <w:t>Risk of bias in the review</w:t>
            </w:r>
          </w:p>
        </w:tc>
        <w:tc>
          <w:tcPr>
            <w:tcW w:w="381" w:type="pct"/>
            <w:tcBorders>
              <w:top w:val="nil"/>
              <w:left w:val="nil"/>
              <w:bottom w:val="single" w:sz="4" w:space="0" w:color="auto"/>
              <w:right w:val="single" w:sz="4" w:space="0" w:color="auto"/>
            </w:tcBorders>
            <w:shd w:val="clear" w:color="000000" w:fill="D9D9D9"/>
            <w:vAlign w:val="center"/>
            <w:hideMark/>
          </w:tcPr>
          <w:p w14:paraId="2FD04099" w14:textId="67B024E6"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vAlign w:val="center"/>
            <w:hideMark/>
          </w:tcPr>
          <w:p w14:paraId="4D54EF57" w14:textId="6B847760"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vAlign w:val="center"/>
            <w:hideMark/>
          </w:tcPr>
          <w:p w14:paraId="0AC6E928" w14:textId="53E48653" w:rsidR="003B7F1C" w:rsidRPr="005078E9" w:rsidRDefault="003B7F1C" w:rsidP="00513011">
            <w:pPr>
              <w:jc w:val="center"/>
              <w:rPr>
                <w:rFonts w:ascii="Aptos" w:hAnsi="Aptos"/>
                <w:sz w:val="18"/>
                <w:szCs w:val="18"/>
              </w:rPr>
            </w:pPr>
          </w:p>
        </w:tc>
        <w:tc>
          <w:tcPr>
            <w:tcW w:w="381" w:type="pct"/>
            <w:tcBorders>
              <w:top w:val="nil"/>
              <w:left w:val="single" w:sz="4" w:space="0" w:color="auto"/>
              <w:bottom w:val="single" w:sz="4" w:space="0" w:color="auto"/>
              <w:right w:val="single" w:sz="4" w:space="0" w:color="auto"/>
            </w:tcBorders>
            <w:shd w:val="clear" w:color="000000" w:fill="D9D9D9"/>
            <w:vAlign w:val="center"/>
            <w:hideMark/>
          </w:tcPr>
          <w:p w14:paraId="5D39879F" w14:textId="0101FFF0" w:rsidR="003B7F1C" w:rsidRPr="005078E9" w:rsidRDefault="003B7F1C" w:rsidP="00513011">
            <w:pPr>
              <w:jc w:val="center"/>
              <w:rPr>
                <w:rFonts w:ascii="Aptos" w:hAnsi="Aptos"/>
                <w:sz w:val="18"/>
                <w:szCs w:val="18"/>
              </w:rPr>
            </w:pPr>
          </w:p>
        </w:tc>
      </w:tr>
      <w:tr w:rsidR="003B7F1C" w:rsidRPr="005078E9" w14:paraId="7BE1BB5C" w14:textId="77777777" w:rsidTr="00513011">
        <w:trPr>
          <w:trHeight w:val="308"/>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519B0856" w14:textId="77777777" w:rsidR="003B7F1C" w:rsidRPr="005078E9" w:rsidRDefault="003B7F1C" w:rsidP="003B7F1C">
            <w:pPr>
              <w:rPr>
                <w:rFonts w:ascii="Aptos" w:hAnsi="Aptos"/>
                <w:sz w:val="18"/>
                <w:szCs w:val="18"/>
              </w:rPr>
            </w:pPr>
            <w:r w:rsidRPr="005078E9">
              <w:rPr>
                <w:rFonts w:ascii="Aptos" w:hAnsi="Aptos"/>
                <w:sz w:val="18"/>
                <w:szCs w:val="18"/>
              </w:rPr>
              <w:t>Did the interpretation of findings address all of the concerns identified in Domains 1</w:t>
            </w:r>
            <w:r w:rsidRPr="005078E9">
              <w:rPr>
                <w:rFonts w:ascii="Cambria Math" w:hAnsi="Cambria Math" w:cs="Cambria Math"/>
                <w:sz w:val="18"/>
                <w:szCs w:val="18"/>
              </w:rPr>
              <w:t>‐</w:t>
            </w:r>
            <w:r w:rsidRPr="005078E9">
              <w:rPr>
                <w:rFonts w:ascii="Aptos" w:hAnsi="Aptos"/>
                <w:sz w:val="18"/>
                <w:szCs w:val="18"/>
              </w:rPr>
              <w:t>4?</w:t>
            </w:r>
          </w:p>
        </w:tc>
        <w:tc>
          <w:tcPr>
            <w:tcW w:w="381" w:type="pct"/>
            <w:tcBorders>
              <w:top w:val="nil"/>
              <w:left w:val="nil"/>
              <w:bottom w:val="single" w:sz="4" w:space="0" w:color="auto"/>
              <w:right w:val="single" w:sz="4" w:space="0" w:color="auto"/>
            </w:tcBorders>
            <w:shd w:val="clear" w:color="000000" w:fill="FFFFFF"/>
            <w:vAlign w:val="center"/>
            <w:hideMark/>
          </w:tcPr>
          <w:p w14:paraId="439B9AB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9120EBF"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8C19D3E"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23C94827"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05996007" w14:textId="77777777" w:rsidTr="00513011">
        <w:trPr>
          <w:trHeight w:val="116"/>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1DDDA54C" w14:textId="77777777" w:rsidR="003B7F1C" w:rsidRPr="005078E9" w:rsidRDefault="003B7F1C" w:rsidP="003B7F1C">
            <w:pPr>
              <w:rPr>
                <w:rFonts w:ascii="Aptos" w:hAnsi="Aptos"/>
                <w:sz w:val="18"/>
                <w:szCs w:val="18"/>
              </w:rPr>
            </w:pPr>
            <w:r w:rsidRPr="005078E9">
              <w:rPr>
                <w:rFonts w:ascii="Aptos" w:hAnsi="Aptos"/>
                <w:sz w:val="18"/>
                <w:szCs w:val="18"/>
              </w:rPr>
              <w:t>Was the relevance of identified studies to the review's research question appropriately considered?</w:t>
            </w:r>
          </w:p>
        </w:tc>
        <w:tc>
          <w:tcPr>
            <w:tcW w:w="381" w:type="pct"/>
            <w:tcBorders>
              <w:top w:val="nil"/>
              <w:left w:val="nil"/>
              <w:bottom w:val="single" w:sz="4" w:space="0" w:color="auto"/>
              <w:right w:val="single" w:sz="4" w:space="0" w:color="auto"/>
            </w:tcBorders>
            <w:shd w:val="clear" w:color="000000" w:fill="FFFFFF"/>
            <w:vAlign w:val="center"/>
            <w:hideMark/>
          </w:tcPr>
          <w:p w14:paraId="5B1B053D"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AFC6C4D"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386CAA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7E650C64"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0CA0146D" w14:textId="77777777" w:rsidTr="00513011">
        <w:trPr>
          <w:trHeight w:val="327"/>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68059E38" w14:textId="77777777" w:rsidR="003B7F1C" w:rsidRPr="005078E9" w:rsidRDefault="003B7F1C" w:rsidP="003B7F1C">
            <w:pPr>
              <w:rPr>
                <w:rFonts w:ascii="Aptos" w:hAnsi="Aptos"/>
                <w:sz w:val="18"/>
                <w:szCs w:val="18"/>
              </w:rPr>
            </w:pPr>
            <w:r w:rsidRPr="005078E9">
              <w:rPr>
                <w:rFonts w:ascii="Aptos" w:hAnsi="Aptos"/>
                <w:sz w:val="18"/>
                <w:szCs w:val="18"/>
              </w:rPr>
              <w:t>Did the reviewers avoid emphasizing results on the basis of their statistical significance?</w:t>
            </w:r>
          </w:p>
        </w:tc>
        <w:tc>
          <w:tcPr>
            <w:tcW w:w="381" w:type="pct"/>
            <w:tcBorders>
              <w:top w:val="nil"/>
              <w:left w:val="nil"/>
              <w:bottom w:val="single" w:sz="4" w:space="0" w:color="auto"/>
              <w:right w:val="single" w:sz="4" w:space="0" w:color="auto"/>
            </w:tcBorders>
            <w:shd w:val="clear" w:color="000000" w:fill="FFFFFF"/>
            <w:vAlign w:val="center"/>
            <w:hideMark/>
          </w:tcPr>
          <w:p w14:paraId="3A93B498"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1444BED6"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0AE47FE2"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c>
          <w:tcPr>
            <w:tcW w:w="381" w:type="pct"/>
            <w:tcBorders>
              <w:top w:val="nil"/>
              <w:left w:val="single" w:sz="4" w:space="0" w:color="auto"/>
              <w:bottom w:val="single" w:sz="4" w:space="0" w:color="auto"/>
              <w:right w:val="single" w:sz="4" w:space="0" w:color="auto"/>
            </w:tcBorders>
            <w:shd w:val="clear" w:color="000000" w:fill="FFFFFF"/>
            <w:vAlign w:val="center"/>
            <w:hideMark/>
          </w:tcPr>
          <w:p w14:paraId="64CFA2A9" w14:textId="77777777" w:rsidR="003B7F1C" w:rsidRPr="005078E9" w:rsidRDefault="003B7F1C" w:rsidP="00513011">
            <w:pPr>
              <w:jc w:val="center"/>
              <w:rPr>
                <w:rFonts w:ascii="Aptos" w:hAnsi="Aptos"/>
                <w:sz w:val="18"/>
                <w:szCs w:val="18"/>
              </w:rPr>
            </w:pPr>
            <w:r w:rsidRPr="005078E9">
              <w:rPr>
                <w:rFonts w:ascii="Aptos" w:hAnsi="Aptos"/>
                <w:sz w:val="18"/>
                <w:szCs w:val="18"/>
              </w:rPr>
              <w:t>Y</w:t>
            </w:r>
          </w:p>
        </w:tc>
      </w:tr>
      <w:tr w:rsidR="003B7F1C" w:rsidRPr="005078E9" w14:paraId="1752D0CD" w14:textId="77777777" w:rsidTr="00513011">
        <w:trPr>
          <w:trHeight w:val="257"/>
        </w:trPr>
        <w:tc>
          <w:tcPr>
            <w:tcW w:w="3477" w:type="pct"/>
            <w:tcBorders>
              <w:top w:val="nil"/>
              <w:left w:val="single" w:sz="4" w:space="0" w:color="auto"/>
              <w:bottom w:val="single" w:sz="4" w:space="0" w:color="auto"/>
              <w:right w:val="single" w:sz="4" w:space="0" w:color="auto"/>
            </w:tcBorders>
            <w:shd w:val="clear" w:color="000000" w:fill="FFFFFF"/>
            <w:vAlign w:val="center"/>
            <w:hideMark/>
          </w:tcPr>
          <w:p w14:paraId="743C43B4" w14:textId="77777777" w:rsidR="003B7F1C" w:rsidRPr="005078E9" w:rsidRDefault="003B7F1C" w:rsidP="003B7F1C">
            <w:pPr>
              <w:rPr>
                <w:rFonts w:ascii="Aptos" w:hAnsi="Aptos"/>
                <w:sz w:val="18"/>
                <w:szCs w:val="18"/>
              </w:rPr>
            </w:pPr>
            <w:r w:rsidRPr="005078E9">
              <w:rPr>
                <w:rFonts w:ascii="Aptos" w:hAnsi="Aptos"/>
                <w:sz w:val="18"/>
                <w:szCs w:val="18"/>
              </w:rPr>
              <w:t>Overall risk of bias</w:t>
            </w:r>
          </w:p>
        </w:tc>
        <w:tc>
          <w:tcPr>
            <w:tcW w:w="381" w:type="pct"/>
            <w:tcBorders>
              <w:top w:val="nil"/>
              <w:left w:val="nil"/>
              <w:bottom w:val="single" w:sz="4" w:space="0" w:color="auto"/>
              <w:right w:val="single" w:sz="4" w:space="0" w:color="auto"/>
            </w:tcBorders>
            <w:shd w:val="clear" w:color="000000" w:fill="FCE4D6"/>
            <w:vAlign w:val="center"/>
            <w:hideMark/>
          </w:tcPr>
          <w:p w14:paraId="46FE53BD" w14:textId="77777777" w:rsidR="003B7F1C" w:rsidRPr="005078E9" w:rsidRDefault="003B7F1C" w:rsidP="00513011">
            <w:pPr>
              <w:jc w:val="center"/>
              <w:rPr>
                <w:rFonts w:ascii="Aptos" w:hAnsi="Aptos"/>
                <w:sz w:val="18"/>
                <w:szCs w:val="18"/>
              </w:rPr>
            </w:pPr>
            <w:r w:rsidRPr="005078E9">
              <w:rPr>
                <w:rFonts w:ascii="Aptos" w:hAnsi="Aptos"/>
                <w:sz w:val="18"/>
                <w:szCs w:val="18"/>
              </w:rPr>
              <w:t>High risk</w:t>
            </w:r>
          </w:p>
        </w:tc>
        <w:tc>
          <w:tcPr>
            <w:tcW w:w="381" w:type="pct"/>
            <w:tcBorders>
              <w:top w:val="nil"/>
              <w:left w:val="single" w:sz="4" w:space="0" w:color="auto"/>
              <w:bottom w:val="single" w:sz="4" w:space="0" w:color="auto"/>
              <w:right w:val="single" w:sz="4" w:space="0" w:color="auto"/>
            </w:tcBorders>
            <w:shd w:val="clear" w:color="000000" w:fill="FFF2CC"/>
            <w:vAlign w:val="center"/>
            <w:hideMark/>
          </w:tcPr>
          <w:p w14:paraId="05FA4B80" w14:textId="77777777" w:rsidR="003B7F1C" w:rsidRPr="005078E9" w:rsidRDefault="003B7F1C" w:rsidP="00513011">
            <w:pPr>
              <w:jc w:val="center"/>
              <w:rPr>
                <w:rFonts w:ascii="Aptos" w:hAnsi="Aptos"/>
                <w:sz w:val="18"/>
                <w:szCs w:val="18"/>
              </w:rPr>
            </w:pPr>
            <w:r w:rsidRPr="005078E9">
              <w:rPr>
                <w:rFonts w:ascii="Aptos" w:hAnsi="Aptos"/>
                <w:sz w:val="18"/>
                <w:szCs w:val="18"/>
              </w:rPr>
              <w:t>Unclear risk</w:t>
            </w:r>
          </w:p>
        </w:tc>
        <w:tc>
          <w:tcPr>
            <w:tcW w:w="381" w:type="pct"/>
            <w:tcBorders>
              <w:top w:val="nil"/>
              <w:left w:val="single" w:sz="4" w:space="0" w:color="auto"/>
              <w:bottom w:val="single" w:sz="4" w:space="0" w:color="auto"/>
              <w:right w:val="single" w:sz="4" w:space="0" w:color="auto"/>
            </w:tcBorders>
            <w:shd w:val="clear" w:color="000000" w:fill="FFF2CC"/>
            <w:vAlign w:val="center"/>
            <w:hideMark/>
          </w:tcPr>
          <w:p w14:paraId="2110E87F" w14:textId="77777777" w:rsidR="003B7F1C" w:rsidRPr="005078E9" w:rsidRDefault="003B7F1C" w:rsidP="00513011">
            <w:pPr>
              <w:jc w:val="center"/>
              <w:rPr>
                <w:rFonts w:ascii="Aptos" w:hAnsi="Aptos"/>
                <w:sz w:val="18"/>
                <w:szCs w:val="18"/>
              </w:rPr>
            </w:pPr>
            <w:r w:rsidRPr="005078E9">
              <w:rPr>
                <w:rFonts w:ascii="Aptos" w:hAnsi="Aptos"/>
                <w:sz w:val="18"/>
                <w:szCs w:val="18"/>
              </w:rPr>
              <w:t>Unclear risk</w:t>
            </w:r>
          </w:p>
        </w:tc>
        <w:tc>
          <w:tcPr>
            <w:tcW w:w="381" w:type="pct"/>
            <w:tcBorders>
              <w:top w:val="nil"/>
              <w:left w:val="single" w:sz="4" w:space="0" w:color="auto"/>
              <w:bottom w:val="single" w:sz="4" w:space="0" w:color="auto"/>
              <w:right w:val="single" w:sz="4" w:space="0" w:color="auto"/>
            </w:tcBorders>
            <w:shd w:val="clear" w:color="000000" w:fill="FFF2CC"/>
            <w:vAlign w:val="center"/>
            <w:hideMark/>
          </w:tcPr>
          <w:p w14:paraId="34EA307C" w14:textId="77777777" w:rsidR="003B7F1C" w:rsidRPr="005078E9" w:rsidRDefault="003B7F1C" w:rsidP="00513011">
            <w:pPr>
              <w:jc w:val="center"/>
              <w:rPr>
                <w:rFonts w:ascii="Aptos" w:hAnsi="Aptos"/>
                <w:sz w:val="18"/>
                <w:szCs w:val="18"/>
              </w:rPr>
            </w:pPr>
            <w:r w:rsidRPr="005078E9">
              <w:rPr>
                <w:rFonts w:ascii="Aptos" w:hAnsi="Aptos"/>
                <w:sz w:val="18"/>
                <w:szCs w:val="18"/>
              </w:rPr>
              <w:t>Unclear risk</w:t>
            </w:r>
          </w:p>
        </w:tc>
      </w:tr>
    </w:tbl>
    <w:p w14:paraId="3917EF21" w14:textId="77777777" w:rsidR="002661D1" w:rsidRPr="00D518FF" w:rsidRDefault="002661D1" w:rsidP="00AA72BD">
      <w:pPr>
        <w:pStyle w:val="2024TABLECAPTION"/>
        <w:spacing w:before="120"/>
        <w:rPr>
          <w:rFonts w:ascii="Aptos" w:hAnsi="Aptos"/>
        </w:rPr>
      </w:pPr>
    </w:p>
    <w:p w14:paraId="1EEC5A7F" w14:textId="5313CEFE" w:rsidR="003B7F1C" w:rsidRDefault="003B7F1C" w:rsidP="00AA62BB">
      <w:pPr>
        <w:pStyle w:val="Caption"/>
        <w:rPr>
          <w:rFonts w:ascii="Aptos" w:hAnsi="Aptos"/>
        </w:rPr>
      </w:pPr>
      <w:bookmarkStart w:id="220" w:name="_Toc185254596"/>
      <w:r w:rsidRPr="00E77295">
        <w:rPr>
          <w:rFonts w:ascii="Aptos" w:hAnsi="Aptos"/>
        </w:rPr>
        <w:t xml:space="preserve">Table </w:t>
      </w:r>
      <w:r w:rsidRPr="00E77295">
        <w:rPr>
          <w:rFonts w:ascii="Aptos" w:hAnsi="Aptos"/>
        </w:rPr>
        <w:fldChar w:fldCharType="begin" w:fldLock="1"/>
      </w:r>
      <w:r w:rsidRPr="00E77295">
        <w:rPr>
          <w:rFonts w:ascii="Aptos" w:hAnsi="Aptos"/>
        </w:rPr>
        <w:instrText xml:space="preserve"> STYLEREF 1 \s </w:instrText>
      </w:r>
      <w:r w:rsidRPr="00E77295">
        <w:rPr>
          <w:rFonts w:ascii="Aptos" w:hAnsi="Aptos"/>
        </w:rPr>
        <w:fldChar w:fldCharType="separate"/>
      </w:r>
      <w:r w:rsidRPr="00E77295">
        <w:rPr>
          <w:rFonts w:ascii="Aptos" w:hAnsi="Aptos"/>
        </w:rPr>
        <w:t>F</w:t>
      </w:r>
      <w:r w:rsidRPr="00E77295">
        <w:rPr>
          <w:rFonts w:ascii="Aptos" w:hAnsi="Aptos"/>
        </w:rPr>
        <w:fldChar w:fldCharType="end"/>
      </w:r>
      <w:r w:rsidRPr="00E77295">
        <w:rPr>
          <w:rFonts w:ascii="Aptos" w:hAnsi="Aptos"/>
        </w:rPr>
        <w:noBreakHyphen/>
      </w:r>
      <w:r w:rsidRPr="00E77295">
        <w:rPr>
          <w:rFonts w:ascii="Aptos" w:hAnsi="Aptos"/>
        </w:rPr>
        <w:fldChar w:fldCharType="begin"/>
      </w:r>
      <w:r w:rsidRPr="00E77295">
        <w:rPr>
          <w:rFonts w:ascii="Aptos" w:hAnsi="Aptos"/>
        </w:rPr>
        <w:instrText xml:space="preserve"> SEQ Table \* ARABIC \s 1 </w:instrText>
      </w:r>
      <w:r w:rsidRPr="00E77295">
        <w:rPr>
          <w:rFonts w:ascii="Aptos" w:hAnsi="Aptos"/>
        </w:rPr>
        <w:fldChar w:fldCharType="separate"/>
      </w:r>
      <w:r w:rsidR="00C426C6">
        <w:rPr>
          <w:rFonts w:ascii="Aptos" w:hAnsi="Aptos"/>
          <w:noProof/>
        </w:rPr>
        <w:t>4</w:t>
      </w:r>
      <w:r w:rsidRPr="00E77295">
        <w:rPr>
          <w:rFonts w:ascii="Aptos" w:hAnsi="Aptos"/>
        </w:rPr>
        <w:fldChar w:fldCharType="end"/>
      </w:r>
      <w:r w:rsidRPr="00D518FF">
        <w:rPr>
          <w:rFonts w:ascii="Aptos" w:hAnsi="Aptos"/>
        </w:rPr>
        <w:t>. Results of included reviews by outcome domain –</w:t>
      </w:r>
      <w:r w:rsidR="009922A7">
        <w:rPr>
          <w:rFonts w:ascii="Aptos" w:hAnsi="Aptos"/>
        </w:rPr>
        <w:t xml:space="preserve"> </w:t>
      </w:r>
      <w:r>
        <w:rPr>
          <w:rFonts w:ascii="Aptos" w:hAnsi="Aptos"/>
        </w:rPr>
        <w:t>depression</w:t>
      </w:r>
      <w:r w:rsidR="009922A7">
        <w:rPr>
          <w:rFonts w:ascii="Aptos" w:hAnsi="Aptos"/>
        </w:rPr>
        <w:t>, omega-3</w:t>
      </w:r>
      <w:r w:rsidR="00224D1F">
        <w:rPr>
          <w:rFonts w:ascii="Aptos" w:hAnsi="Aptos"/>
        </w:rPr>
        <w:t xml:space="preserve"> </w:t>
      </w:r>
      <w:r w:rsidR="00224D1F">
        <w:t>fatty acids</w:t>
      </w:r>
      <w:bookmarkEnd w:id="220"/>
    </w:p>
    <w:tbl>
      <w:tblPr>
        <w:tblW w:w="14245" w:type="dxa"/>
        <w:tblLayout w:type="fixed"/>
        <w:tblCellMar>
          <w:left w:w="57" w:type="dxa"/>
          <w:right w:w="57" w:type="dxa"/>
        </w:tblCellMar>
        <w:tblLook w:val="04A0" w:firstRow="1" w:lastRow="0" w:firstColumn="1" w:lastColumn="0" w:noHBand="0" w:noVBand="1"/>
      </w:tblPr>
      <w:tblGrid>
        <w:gridCol w:w="3985"/>
        <w:gridCol w:w="394"/>
        <w:gridCol w:w="395"/>
        <w:gridCol w:w="394"/>
        <w:gridCol w:w="395"/>
        <w:gridCol w:w="395"/>
        <w:gridCol w:w="394"/>
        <w:gridCol w:w="395"/>
        <w:gridCol w:w="394"/>
        <w:gridCol w:w="395"/>
        <w:gridCol w:w="395"/>
        <w:gridCol w:w="394"/>
        <w:gridCol w:w="395"/>
        <w:gridCol w:w="395"/>
        <w:gridCol w:w="394"/>
        <w:gridCol w:w="395"/>
        <w:gridCol w:w="394"/>
        <w:gridCol w:w="395"/>
        <w:gridCol w:w="395"/>
        <w:gridCol w:w="394"/>
        <w:gridCol w:w="395"/>
        <w:gridCol w:w="394"/>
        <w:gridCol w:w="395"/>
        <w:gridCol w:w="395"/>
        <w:gridCol w:w="394"/>
        <w:gridCol w:w="395"/>
        <w:gridCol w:w="395"/>
      </w:tblGrid>
      <w:tr w:rsidR="004D4DB5" w:rsidRPr="009922A7" w14:paraId="192EEB8B" w14:textId="77777777" w:rsidTr="00066F36">
        <w:trPr>
          <w:cantSplit/>
          <w:trHeight w:val="1818"/>
        </w:trPr>
        <w:tc>
          <w:tcPr>
            <w:tcW w:w="3985"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3C673D41" w14:textId="77777777" w:rsidR="00304555" w:rsidRPr="0003609C" w:rsidRDefault="00304555" w:rsidP="009922A7">
            <w:pPr>
              <w:rPr>
                <w:rFonts w:ascii="Aptos" w:hAnsi="Aptos"/>
                <w:b/>
                <w:bCs/>
                <w:sz w:val="18"/>
                <w:szCs w:val="18"/>
              </w:rPr>
            </w:pPr>
            <w:r w:rsidRPr="0003609C">
              <w:rPr>
                <w:rFonts w:ascii="Aptos" w:hAnsi="Aptos"/>
                <w:b/>
                <w:bCs/>
                <w:sz w:val="18"/>
                <w:szCs w:val="18"/>
              </w:rPr>
              <w:t>Review ID</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5FA5C732"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Appleton 2015</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75D7A82C"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Appleton 2016</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6D5B861C"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Appleton 2021</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6B34D030"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Bae 2018</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6423B08E"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Bai 2018</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48391FD0"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Bai 2020</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52863B70"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Chowdhury 2020</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02A31F78"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Farooq 2020</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46FAE1A9"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Gabriel 2023</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21AFEA8A"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Liao 2019</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74C567F4"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Miller 2013</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5431E1D8"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Mocking 2016</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18B1EC05"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Mocking 2020</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7CB83967"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Morrell 2016</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427F3076"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Newberry 2016</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2472E514"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Saccone 2016</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66CAEB4F"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Sarris 2012</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11B214A3"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Suradom 2021</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77CE6A02"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Troeung 2013</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44C5C2CA"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Tsai 2023</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71CEA728"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Tung 2023</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1FEF9954"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Viswanathan 2020</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45D9DF4B"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Williams 2006</w:t>
            </w:r>
          </w:p>
        </w:tc>
        <w:tc>
          <w:tcPr>
            <w:tcW w:w="394"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5258076D"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Xu 2023</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1621CFDE"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Zhang 2019</w:t>
            </w:r>
          </w:p>
        </w:tc>
        <w:tc>
          <w:tcPr>
            <w:tcW w:w="395" w:type="dxa"/>
            <w:tcBorders>
              <w:top w:val="single" w:sz="4" w:space="0" w:color="auto"/>
              <w:left w:val="nil"/>
              <w:bottom w:val="single" w:sz="4" w:space="0" w:color="auto"/>
              <w:right w:val="single" w:sz="4" w:space="0" w:color="auto"/>
            </w:tcBorders>
            <w:shd w:val="clear" w:color="000000" w:fill="D9D9D9"/>
            <w:textDirection w:val="btLr"/>
            <w:vAlign w:val="center"/>
            <w:hideMark/>
          </w:tcPr>
          <w:p w14:paraId="2A304760" w14:textId="77777777" w:rsidR="00304555" w:rsidRPr="0003609C" w:rsidRDefault="00304555" w:rsidP="00066F36">
            <w:pPr>
              <w:ind w:left="113" w:right="113"/>
              <w:jc w:val="center"/>
              <w:rPr>
                <w:rFonts w:ascii="Aptos" w:hAnsi="Aptos"/>
                <w:b/>
                <w:bCs/>
                <w:sz w:val="18"/>
                <w:szCs w:val="18"/>
              </w:rPr>
            </w:pPr>
            <w:r w:rsidRPr="0003609C">
              <w:rPr>
                <w:rFonts w:ascii="Aptos" w:hAnsi="Aptos"/>
                <w:b/>
                <w:bCs/>
                <w:sz w:val="18"/>
                <w:szCs w:val="18"/>
              </w:rPr>
              <w:t>Zhang 2020</w:t>
            </w:r>
          </w:p>
        </w:tc>
      </w:tr>
      <w:tr w:rsidR="004D4DB5" w:rsidRPr="009922A7" w14:paraId="4405F1DC"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D9D9D9"/>
            <w:noWrap/>
            <w:vAlign w:val="center"/>
            <w:hideMark/>
          </w:tcPr>
          <w:p w14:paraId="380EF9C8" w14:textId="77777777" w:rsidR="00304555" w:rsidRPr="00AE40B8" w:rsidRDefault="00304555" w:rsidP="009922A7">
            <w:pPr>
              <w:rPr>
                <w:rFonts w:ascii="Aptos" w:hAnsi="Aptos"/>
                <w:sz w:val="18"/>
                <w:szCs w:val="18"/>
              </w:rPr>
            </w:pPr>
            <w:r w:rsidRPr="00AE40B8">
              <w:rPr>
                <w:rFonts w:ascii="Aptos" w:hAnsi="Aptos"/>
                <w:sz w:val="18"/>
                <w:szCs w:val="18"/>
              </w:rPr>
              <w:t>ROBIS DOMAINS</w:t>
            </w:r>
          </w:p>
        </w:tc>
        <w:tc>
          <w:tcPr>
            <w:tcW w:w="394" w:type="dxa"/>
            <w:tcBorders>
              <w:top w:val="nil"/>
              <w:left w:val="nil"/>
              <w:bottom w:val="single" w:sz="4" w:space="0" w:color="auto"/>
              <w:right w:val="single" w:sz="4" w:space="0" w:color="auto"/>
            </w:tcBorders>
            <w:shd w:val="clear" w:color="000000" w:fill="D9D9D9"/>
            <w:noWrap/>
            <w:vAlign w:val="center"/>
            <w:hideMark/>
          </w:tcPr>
          <w:p w14:paraId="31912FAB" w14:textId="33A6107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29DE8DF0" w14:textId="04D34FAC"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59F7E95B" w14:textId="39A43F2B"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16C0389B" w14:textId="6D182B9C"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67483F0A" w14:textId="534DFB74"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59A74D54" w14:textId="71B46DA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024E8289" w14:textId="31E06C33"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18F26E48" w14:textId="09A3BF04"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277D6F97" w14:textId="69E3B1C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122EBD83" w14:textId="5F28EBE6"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26291346" w14:textId="3FEEBC0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10D51F40" w14:textId="44AF7051"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5B1CA447" w14:textId="1974BA3B"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74D72350" w14:textId="2E192501"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7C72A700" w14:textId="15AD5A5A"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557D9D44" w14:textId="366FF10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4F0713B1" w14:textId="7F7DAA0C"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5D8B4CE8" w14:textId="12F183C6"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441257CB" w14:textId="56590EAE"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0EBED5B9" w14:textId="31951B8D" w:rsidR="00304555" w:rsidRPr="00AE40B8" w:rsidRDefault="00304555" w:rsidP="00066F36">
            <w:pPr>
              <w:jc w:val="center"/>
              <w:rPr>
                <w:rFonts w:ascii="Aptos" w:hAnsi="Aptos"/>
                <w:sz w:val="18"/>
                <w:szCs w:val="18"/>
              </w:rPr>
            </w:pPr>
          </w:p>
        </w:tc>
        <w:tc>
          <w:tcPr>
            <w:tcW w:w="394" w:type="dxa"/>
            <w:tcBorders>
              <w:top w:val="single" w:sz="4" w:space="0" w:color="auto"/>
              <w:left w:val="nil"/>
              <w:bottom w:val="single" w:sz="4" w:space="0" w:color="auto"/>
              <w:right w:val="nil"/>
            </w:tcBorders>
            <w:shd w:val="clear" w:color="auto" w:fill="D9D9D9" w:themeFill="background1" w:themeFillShade="D9"/>
            <w:noWrap/>
            <w:vAlign w:val="center"/>
            <w:hideMark/>
          </w:tcPr>
          <w:p w14:paraId="4A19DEEA" w14:textId="77777777" w:rsidR="00304555" w:rsidRPr="00AE40B8" w:rsidRDefault="00304555" w:rsidP="00066F36">
            <w:pPr>
              <w:jc w:val="center"/>
              <w:rPr>
                <w:rFonts w:ascii="Aptos" w:hAnsi="Aptos"/>
                <w:sz w:val="18"/>
                <w:szCs w:val="18"/>
              </w:rPr>
            </w:pPr>
          </w:p>
        </w:tc>
        <w:tc>
          <w:tcPr>
            <w:tcW w:w="395" w:type="dxa"/>
            <w:tcBorders>
              <w:top w:val="nil"/>
              <w:left w:val="single" w:sz="4" w:space="0" w:color="auto"/>
              <w:bottom w:val="single" w:sz="4" w:space="0" w:color="auto"/>
              <w:right w:val="single" w:sz="4" w:space="0" w:color="auto"/>
            </w:tcBorders>
            <w:shd w:val="clear" w:color="000000" w:fill="D9D9D9"/>
            <w:noWrap/>
            <w:vAlign w:val="center"/>
            <w:hideMark/>
          </w:tcPr>
          <w:p w14:paraId="5D89A680" w14:textId="404ED11B"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04C56122" w14:textId="2AB8CD54"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232C06A8" w14:textId="0EA9E52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6B082270" w14:textId="26C920F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321E0080" w14:textId="0D02CA73" w:rsidR="00304555" w:rsidRPr="00AE40B8" w:rsidRDefault="00304555" w:rsidP="00066F36">
            <w:pPr>
              <w:jc w:val="center"/>
              <w:rPr>
                <w:rFonts w:ascii="Aptos" w:hAnsi="Aptos"/>
                <w:sz w:val="18"/>
                <w:szCs w:val="18"/>
              </w:rPr>
            </w:pPr>
          </w:p>
        </w:tc>
      </w:tr>
      <w:tr w:rsidR="004D4DB5" w:rsidRPr="009922A7" w14:paraId="3096AFFB"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D9D9D9"/>
            <w:noWrap/>
            <w:vAlign w:val="center"/>
            <w:hideMark/>
          </w:tcPr>
          <w:p w14:paraId="331C6A14" w14:textId="77777777" w:rsidR="00304555" w:rsidRPr="00AE40B8" w:rsidRDefault="00304555" w:rsidP="009922A7">
            <w:pPr>
              <w:rPr>
                <w:rFonts w:ascii="Aptos" w:hAnsi="Aptos"/>
                <w:sz w:val="18"/>
                <w:szCs w:val="18"/>
              </w:rPr>
            </w:pPr>
            <w:r w:rsidRPr="00AE40B8">
              <w:rPr>
                <w:rFonts w:ascii="Aptos" w:hAnsi="Aptos"/>
                <w:sz w:val="18"/>
                <w:szCs w:val="18"/>
              </w:rPr>
              <w:t>Answer code: Y=YES, PY=PROBABLY YES, PN=PROBABLY NO, N=NO, NI=NO INFORMATION</w:t>
            </w:r>
          </w:p>
        </w:tc>
        <w:tc>
          <w:tcPr>
            <w:tcW w:w="394" w:type="dxa"/>
            <w:tcBorders>
              <w:top w:val="nil"/>
              <w:left w:val="nil"/>
              <w:bottom w:val="single" w:sz="4" w:space="0" w:color="auto"/>
              <w:right w:val="single" w:sz="4" w:space="0" w:color="auto"/>
            </w:tcBorders>
            <w:shd w:val="clear" w:color="000000" w:fill="D9D9D9"/>
            <w:noWrap/>
            <w:vAlign w:val="center"/>
            <w:hideMark/>
          </w:tcPr>
          <w:p w14:paraId="641E3CFB" w14:textId="3F1D5706"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77166077" w14:textId="63A05253"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307FBC07" w14:textId="18832F7E"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2F5D29B1" w14:textId="7BC1B97B"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24153A47" w14:textId="51F5932D"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5D697A80" w14:textId="551C09F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328D6FFF" w14:textId="2FB7937D"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770E47E6" w14:textId="30A1E9D1"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79E94095" w14:textId="4E93D4BC"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045F81E7" w14:textId="18551A06"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5F073270" w14:textId="13D416F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3226E361" w14:textId="4A820A2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18EDE146" w14:textId="79CD3144"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78E7F685" w14:textId="4FE80480"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75E94014" w14:textId="130173A7"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104C3189" w14:textId="39BE7648"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56150865" w14:textId="5ACC6CD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7FEFEA4C" w14:textId="6F7949C7"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31FC5D1F" w14:textId="1B103BE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398D3D50" w14:textId="58D7A479" w:rsidR="00304555" w:rsidRPr="00AE40B8" w:rsidRDefault="00304555" w:rsidP="00066F36">
            <w:pPr>
              <w:jc w:val="center"/>
              <w:rPr>
                <w:rFonts w:ascii="Aptos" w:hAnsi="Aptos"/>
                <w:sz w:val="18"/>
                <w:szCs w:val="18"/>
              </w:rPr>
            </w:pPr>
          </w:p>
        </w:tc>
        <w:tc>
          <w:tcPr>
            <w:tcW w:w="394" w:type="dxa"/>
            <w:tcBorders>
              <w:top w:val="single" w:sz="4" w:space="0" w:color="auto"/>
              <w:left w:val="nil"/>
              <w:bottom w:val="single" w:sz="4" w:space="0" w:color="auto"/>
              <w:right w:val="nil"/>
            </w:tcBorders>
            <w:shd w:val="clear" w:color="auto" w:fill="D9D9D9" w:themeFill="background1" w:themeFillShade="D9"/>
            <w:noWrap/>
            <w:vAlign w:val="center"/>
            <w:hideMark/>
          </w:tcPr>
          <w:p w14:paraId="7A75F1BD" w14:textId="77777777" w:rsidR="00304555" w:rsidRPr="00AE40B8" w:rsidRDefault="00304555" w:rsidP="00066F36">
            <w:pPr>
              <w:jc w:val="center"/>
              <w:rPr>
                <w:rFonts w:ascii="Aptos" w:hAnsi="Aptos"/>
                <w:sz w:val="18"/>
                <w:szCs w:val="18"/>
              </w:rPr>
            </w:pPr>
          </w:p>
        </w:tc>
        <w:tc>
          <w:tcPr>
            <w:tcW w:w="395" w:type="dxa"/>
            <w:tcBorders>
              <w:top w:val="nil"/>
              <w:left w:val="single" w:sz="4" w:space="0" w:color="auto"/>
              <w:bottom w:val="single" w:sz="4" w:space="0" w:color="auto"/>
              <w:right w:val="single" w:sz="4" w:space="0" w:color="auto"/>
            </w:tcBorders>
            <w:shd w:val="clear" w:color="000000" w:fill="D9D9D9"/>
            <w:noWrap/>
            <w:vAlign w:val="center"/>
            <w:hideMark/>
          </w:tcPr>
          <w:p w14:paraId="19C7CB09" w14:textId="63CDAAB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20C4D6FD" w14:textId="641A485A"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noWrap/>
            <w:vAlign w:val="center"/>
            <w:hideMark/>
          </w:tcPr>
          <w:p w14:paraId="3A785CA9" w14:textId="5F568ECB"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36879470" w14:textId="16B0E361"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noWrap/>
            <w:vAlign w:val="center"/>
            <w:hideMark/>
          </w:tcPr>
          <w:p w14:paraId="0A566CC0" w14:textId="1B0FCDB7" w:rsidR="00304555" w:rsidRPr="00AE40B8" w:rsidRDefault="00304555" w:rsidP="00066F36">
            <w:pPr>
              <w:jc w:val="center"/>
              <w:rPr>
                <w:rFonts w:ascii="Aptos" w:hAnsi="Aptos"/>
                <w:sz w:val="18"/>
                <w:szCs w:val="18"/>
              </w:rPr>
            </w:pPr>
          </w:p>
        </w:tc>
      </w:tr>
      <w:tr w:rsidR="004D4DB5" w:rsidRPr="009922A7" w14:paraId="66D7651A"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2F2F2"/>
            <w:vAlign w:val="center"/>
            <w:hideMark/>
          </w:tcPr>
          <w:p w14:paraId="1FEA0CCC" w14:textId="77777777" w:rsidR="00304555" w:rsidRPr="00AE40B8" w:rsidRDefault="00304555" w:rsidP="009922A7">
            <w:pPr>
              <w:rPr>
                <w:rFonts w:ascii="Aptos" w:hAnsi="Aptos"/>
                <w:sz w:val="18"/>
                <w:szCs w:val="18"/>
              </w:rPr>
            </w:pPr>
            <w:r w:rsidRPr="00AE40B8">
              <w:rPr>
                <w:rFonts w:ascii="Aptos" w:hAnsi="Aptos"/>
                <w:sz w:val="18"/>
                <w:szCs w:val="18"/>
              </w:rPr>
              <w:t>Domain 1: Study eligibility criteria</w:t>
            </w:r>
          </w:p>
        </w:tc>
        <w:tc>
          <w:tcPr>
            <w:tcW w:w="394" w:type="dxa"/>
            <w:tcBorders>
              <w:top w:val="nil"/>
              <w:left w:val="nil"/>
              <w:bottom w:val="single" w:sz="4" w:space="0" w:color="auto"/>
              <w:right w:val="single" w:sz="4" w:space="0" w:color="auto"/>
            </w:tcBorders>
            <w:shd w:val="clear" w:color="000000" w:fill="F2F2F2"/>
            <w:vAlign w:val="center"/>
            <w:hideMark/>
          </w:tcPr>
          <w:p w14:paraId="70F9B510" w14:textId="4853B847"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6A4278A" w14:textId="4ED14A9E"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528DB538" w14:textId="4E286C8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16E0840" w14:textId="7FD89523"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153F501A" w14:textId="32DE69F5"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38F0A88C" w14:textId="1993BAC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037ED80F" w14:textId="5371A89B"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343358B8" w14:textId="4A5E1840"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0DF5732" w14:textId="16D53634"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0320F687" w14:textId="0C8D3266"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229E58F5" w14:textId="1FD32DC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FC78686" w14:textId="0390D48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14809328" w14:textId="6636550C"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239A1C28" w14:textId="4D699FE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6A36EDF7" w14:textId="68291685"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585408DA" w14:textId="0B51DAD7"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AE47128" w14:textId="5E451A8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18D5DCD5" w14:textId="1C16D41B"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5F858DED" w14:textId="32D3D25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1A29FEE" w14:textId="03395F33" w:rsidR="00304555" w:rsidRPr="00AE40B8" w:rsidRDefault="00304555" w:rsidP="00066F36">
            <w:pPr>
              <w:jc w:val="center"/>
              <w:rPr>
                <w:rFonts w:ascii="Aptos" w:hAnsi="Aptos"/>
                <w:sz w:val="18"/>
                <w:szCs w:val="18"/>
              </w:rPr>
            </w:pPr>
          </w:p>
        </w:tc>
        <w:tc>
          <w:tcPr>
            <w:tcW w:w="394" w:type="dxa"/>
            <w:tcBorders>
              <w:top w:val="single" w:sz="4" w:space="0" w:color="auto"/>
              <w:left w:val="nil"/>
              <w:bottom w:val="single" w:sz="4" w:space="0" w:color="auto"/>
              <w:right w:val="nil"/>
            </w:tcBorders>
            <w:shd w:val="clear" w:color="auto" w:fill="F2F2F2" w:themeFill="background1" w:themeFillShade="F2"/>
            <w:noWrap/>
            <w:vAlign w:val="center"/>
            <w:hideMark/>
          </w:tcPr>
          <w:p w14:paraId="76DE3756" w14:textId="77777777" w:rsidR="00304555" w:rsidRPr="00AE40B8" w:rsidRDefault="00304555" w:rsidP="00066F36">
            <w:pPr>
              <w:jc w:val="center"/>
              <w:rPr>
                <w:rFonts w:ascii="Aptos" w:hAnsi="Aptos"/>
                <w:sz w:val="18"/>
                <w:szCs w:val="18"/>
              </w:rPr>
            </w:pPr>
          </w:p>
        </w:tc>
        <w:tc>
          <w:tcPr>
            <w:tcW w:w="395" w:type="dxa"/>
            <w:tcBorders>
              <w:top w:val="nil"/>
              <w:left w:val="single" w:sz="4" w:space="0" w:color="auto"/>
              <w:bottom w:val="single" w:sz="4" w:space="0" w:color="auto"/>
              <w:right w:val="single" w:sz="4" w:space="0" w:color="auto"/>
            </w:tcBorders>
            <w:shd w:val="clear" w:color="000000" w:fill="F2F2F2"/>
            <w:vAlign w:val="center"/>
            <w:hideMark/>
          </w:tcPr>
          <w:p w14:paraId="45FDE231" w14:textId="4B05EA37"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7DB46B2" w14:textId="3CF70CC9"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7233ECC8" w14:textId="6CB24C77"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D0FB7DB" w14:textId="0F2C5C15"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6F0D287E" w14:textId="33D545DB" w:rsidR="00304555" w:rsidRPr="00AE40B8" w:rsidRDefault="00304555" w:rsidP="00066F36">
            <w:pPr>
              <w:jc w:val="center"/>
              <w:rPr>
                <w:rFonts w:ascii="Aptos" w:hAnsi="Aptos"/>
                <w:sz w:val="18"/>
                <w:szCs w:val="18"/>
              </w:rPr>
            </w:pPr>
          </w:p>
        </w:tc>
      </w:tr>
      <w:tr w:rsidR="004D4DB5" w:rsidRPr="009922A7" w14:paraId="0464C33A"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704E95E5" w14:textId="77777777" w:rsidR="00304555" w:rsidRPr="00AE40B8" w:rsidRDefault="00304555" w:rsidP="009922A7">
            <w:pPr>
              <w:rPr>
                <w:rFonts w:ascii="Aptos" w:hAnsi="Aptos"/>
                <w:sz w:val="18"/>
                <w:szCs w:val="18"/>
              </w:rPr>
            </w:pPr>
            <w:r w:rsidRPr="00AE40B8">
              <w:rPr>
                <w:rFonts w:ascii="Aptos" w:hAnsi="Aptos"/>
                <w:sz w:val="18"/>
                <w:szCs w:val="18"/>
              </w:rPr>
              <w:t>Did the review adhere to pre</w:t>
            </w:r>
            <w:r w:rsidRPr="00AE40B8">
              <w:rPr>
                <w:rFonts w:ascii="Cambria Math" w:hAnsi="Cambria Math" w:cs="Cambria Math"/>
                <w:sz w:val="18"/>
                <w:szCs w:val="18"/>
              </w:rPr>
              <w:t>‐</w:t>
            </w:r>
            <w:r w:rsidRPr="00AE40B8">
              <w:rPr>
                <w:rFonts w:ascii="Aptos" w:hAnsi="Aptos"/>
                <w:sz w:val="18"/>
                <w:szCs w:val="18"/>
              </w:rPr>
              <w:t>defined objectives and eligibility criteria?</w:t>
            </w:r>
          </w:p>
        </w:tc>
        <w:tc>
          <w:tcPr>
            <w:tcW w:w="394" w:type="dxa"/>
            <w:tcBorders>
              <w:top w:val="nil"/>
              <w:left w:val="nil"/>
              <w:bottom w:val="single" w:sz="4" w:space="0" w:color="auto"/>
              <w:right w:val="single" w:sz="4" w:space="0" w:color="auto"/>
            </w:tcBorders>
            <w:shd w:val="clear" w:color="000000" w:fill="FFFFFF"/>
            <w:vAlign w:val="center"/>
            <w:hideMark/>
          </w:tcPr>
          <w:p w14:paraId="11D9714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DDB404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F3EBAD1"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6491AC88"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4394B79F"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3B551CE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B4301CB"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64A898D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2FC76F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A6D2CDD"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695EDE2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77E073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8E6A80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3C934D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8FBFDB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640E30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252F21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31F299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D8A49C9"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2D3D810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single" w:sz="4" w:space="0" w:color="auto"/>
              <w:left w:val="nil"/>
              <w:bottom w:val="single" w:sz="4" w:space="0" w:color="auto"/>
              <w:right w:val="single" w:sz="4" w:space="0" w:color="auto"/>
            </w:tcBorders>
            <w:shd w:val="clear" w:color="000000" w:fill="FFFFFF"/>
            <w:vAlign w:val="center"/>
            <w:hideMark/>
          </w:tcPr>
          <w:p w14:paraId="2B8AED2A"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0BB92A0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98DB96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D0EE8CE"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300603C0"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71CA993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188B0614"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28A23F4B" w14:textId="77777777" w:rsidR="00304555" w:rsidRPr="00AE40B8" w:rsidRDefault="00304555" w:rsidP="009922A7">
            <w:pPr>
              <w:rPr>
                <w:rFonts w:ascii="Aptos" w:hAnsi="Aptos"/>
                <w:sz w:val="18"/>
                <w:szCs w:val="18"/>
              </w:rPr>
            </w:pPr>
            <w:r w:rsidRPr="00AE40B8">
              <w:rPr>
                <w:rFonts w:ascii="Aptos" w:hAnsi="Aptos"/>
                <w:sz w:val="18"/>
                <w:szCs w:val="18"/>
              </w:rPr>
              <w:t>Were the eligibility criteria appropriate for the review question?</w:t>
            </w:r>
          </w:p>
        </w:tc>
        <w:tc>
          <w:tcPr>
            <w:tcW w:w="394" w:type="dxa"/>
            <w:tcBorders>
              <w:top w:val="nil"/>
              <w:left w:val="nil"/>
              <w:bottom w:val="single" w:sz="4" w:space="0" w:color="auto"/>
              <w:right w:val="single" w:sz="4" w:space="0" w:color="auto"/>
            </w:tcBorders>
            <w:shd w:val="clear" w:color="000000" w:fill="FFFFFF"/>
            <w:vAlign w:val="center"/>
            <w:hideMark/>
          </w:tcPr>
          <w:p w14:paraId="7362F51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660585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9296F8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5A9305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6AF60D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12270D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14FE16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0877C4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8B7437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9A3E6A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FD3D8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D2585D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38B31D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E03BE3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0A4941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4D280A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A9EBDB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6E10C0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296DCE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0A66A6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B4BF5D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C23FBF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B864D6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A537ED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03600E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2CE89D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51DC887D"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2874E23E" w14:textId="77777777" w:rsidR="00304555" w:rsidRPr="00AE40B8" w:rsidRDefault="00304555" w:rsidP="009922A7">
            <w:pPr>
              <w:rPr>
                <w:rFonts w:ascii="Aptos" w:hAnsi="Aptos"/>
                <w:sz w:val="18"/>
                <w:szCs w:val="18"/>
              </w:rPr>
            </w:pPr>
            <w:r w:rsidRPr="00AE40B8">
              <w:rPr>
                <w:rFonts w:ascii="Aptos" w:hAnsi="Aptos"/>
                <w:sz w:val="18"/>
                <w:szCs w:val="18"/>
              </w:rPr>
              <w:t>Were eligibility criteria unambiguous?</w:t>
            </w:r>
          </w:p>
        </w:tc>
        <w:tc>
          <w:tcPr>
            <w:tcW w:w="394" w:type="dxa"/>
            <w:tcBorders>
              <w:top w:val="nil"/>
              <w:left w:val="nil"/>
              <w:bottom w:val="single" w:sz="4" w:space="0" w:color="auto"/>
              <w:right w:val="single" w:sz="4" w:space="0" w:color="auto"/>
            </w:tcBorders>
            <w:shd w:val="clear" w:color="000000" w:fill="FFFFFF"/>
            <w:vAlign w:val="center"/>
            <w:hideMark/>
          </w:tcPr>
          <w:p w14:paraId="2718281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4C78DD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69A535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97D0F3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DBCC70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E2C5DE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71AC17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87C5FE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676DAF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8BAC6E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06CE32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C53569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42CB4D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22296D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4017DD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84467E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352395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46E948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145A5D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7F6FD1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957459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414EE6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20B6CC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B596D2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0BC6C7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79A347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17D44F83"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146D0319" w14:textId="77777777" w:rsidR="00304555" w:rsidRPr="00AE40B8" w:rsidRDefault="00304555" w:rsidP="009922A7">
            <w:pPr>
              <w:rPr>
                <w:rFonts w:ascii="Aptos" w:hAnsi="Aptos"/>
                <w:sz w:val="18"/>
                <w:szCs w:val="18"/>
              </w:rPr>
            </w:pPr>
            <w:r w:rsidRPr="00AE40B8">
              <w:rPr>
                <w:rFonts w:ascii="Aptos" w:hAnsi="Aptos"/>
                <w:sz w:val="18"/>
                <w:szCs w:val="18"/>
              </w:rPr>
              <w:t>Were all restrictions in eligibility criteria based on study characteristics appropriate (e.g. date, sample size, study quality, outcomes measured)?</w:t>
            </w:r>
          </w:p>
        </w:tc>
        <w:tc>
          <w:tcPr>
            <w:tcW w:w="394" w:type="dxa"/>
            <w:tcBorders>
              <w:top w:val="nil"/>
              <w:left w:val="nil"/>
              <w:bottom w:val="single" w:sz="4" w:space="0" w:color="auto"/>
              <w:right w:val="single" w:sz="4" w:space="0" w:color="auto"/>
            </w:tcBorders>
            <w:shd w:val="clear" w:color="000000" w:fill="FFFFFF"/>
            <w:vAlign w:val="center"/>
            <w:hideMark/>
          </w:tcPr>
          <w:p w14:paraId="351C87D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293E7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F289DA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4356EB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0E5CBF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ACE4F8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7CE63A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3D20DE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C6C4A0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160089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C35745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9BD53B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F41AE6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5CDA41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D1C5F5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4818E4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93C0A3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F5FCFD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9B472D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AA6B437"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485C837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02C2BC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997FF9A"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3735AB6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0FCB2C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96376E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351A446A"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46FB09CA" w14:textId="77777777" w:rsidR="00304555" w:rsidRPr="00AE40B8" w:rsidRDefault="00304555" w:rsidP="009922A7">
            <w:pPr>
              <w:rPr>
                <w:rFonts w:ascii="Aptos" w:hAnsi="Aptos"/>
                <w:sz w:val="18"/>
                <w:szCs w:val="18"/>
              </w:rPr>
            </w:pPr>
            <w:r w:rsidRPr="00AE40B8">
              <w:rPr>
                <w:rFonts w:ascii="Aptos" w:hAnsi="Aptos"/>
                <w:sz w:val="18"/>
                <w:szCs w:val="18"/>
              </w:rPr>
              <w:lastRenderedPageBreak/>
              <w:t>Were any restrictions in eligibility criteria based on sources of information appropriate (publication status or format, language, availability of data)?</w:t>
            </w:r>
          </w:p>
        </w:tc>
        <w:tc>
          <w:tcPr>
            <w:tcW w:w="394" w:type="dxa"/>
            <w:tcBorders>
              <w:top w:val="nil"/>
              <w:left w:val="nil"/>
              <w:bottom w:val="single" w:sz="4" w:space="0" w:color="auto"/>
              <w:right w:val="single" w:sz="4" w:space="0" w:color="auto"/>
            </w:tcBorders>
            <w:shd w:val="clear" w:color="000000" w:fill="FFFFFF"/>
            <w:vAlign w:val="center"/>
            <w:hideMark/>
          </w:tcPr>
          <w:p w14:paraId="27B362E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7E4F2B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53FE0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E98151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B6CEB9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C96E57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3ED9F0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DFAD47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AB5BBE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8F6BC0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C981EF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2E92CC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667543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51682D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BA7640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FB5312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52C032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482DD4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B6F669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BBEEC65"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467FB41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C2D72B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696701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4579A4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FC70AF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1FC3F6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7DBD7A81" w14:textId="77777777" w:rsidTr="00066F36">
        <w:trPr>
          <w:cantSplit/>
          <w:trHeight w:val="637"/>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4BBF6E19" w14:textId="77777777" w:rsidR="00304555" w:rsidRPr="00AE40B8" w:rsidRDefault="00304555" w:rsidP="009922A7">
            <w:pPr>
              <w:rPr>
                <w:rFonts w:ascii="Aptos" w:hAnsi="Aptos"/>
                <w:sz w:val="18"/>
                <w:szCs w:val="18"/>
              </w:rPr>
            </w:pPr>
            <w:r w:rsidRPr="00AE40B8">
              <w:rPr>
                <w:rFonts w:ascii="Aptos" w:hAnsi="Aptos"/>
                <w:sz w:val="18"/>
                <w:szCs w:val="18"/>
              </w:rPr>
              <w:t>Concerns regarding specification of study eligibility criteria LOW, HIGH, 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09EF9BE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483C0F0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43198F4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4699994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0D9A7C3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A9BCC4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45F9980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13499677"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091E11E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1A06C2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626213B2"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79A735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2B47F57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02A007A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05196EF"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65183AC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D948B22"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6AA8E2F"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081DA46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439AD1B"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63B2D7E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F116C64"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3A78305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2FE4392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1724192"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74A7027"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r>
      <w:tr w:rsidR="004D4DB5" w:rsidRPr="009922A7" w14:paraId="44D4AE41"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2F2F2"/>
            <w:vAlign w:val="center"/>
            <w:hideMark/>
          </w:tcPr>
          <w:p w14:paraId="6911AE1B" w14:textId="77777777" w:rsidR="00304555" w:rsidRPr="00AE40B8" w:rsidRDefault="00304555" w:rsidP="009922A7">
            <w:pPr>
              <w:rPr>
                <w:rFonts w:ascii="Aptos" w:hAnsi="Aptos"/>
                <w:sz w:val="18"/>
                <w:szCs w:val="18"/>
              </w:rPr>
            </w:pPr>
            <w:r w:rsidRPr="00AE40B8">
              <w:rPr>
                <w:rFonts w:ascii="Aptos" w:hAnsi="Aptos"/>
                <w:sz w:val="18"/>
                <w:szCs w:val="18"/>
              </w:rPr>
              <w:t>Domain 2: Identification and selection of studies</w:t>
            </w:r>
          </w:p>
        </w:tc>
        <w:tc>
          <w:tcPr>
            <w:tcW w:w="394" w:type="dxa"/>
            <w:tcBorders>
              <w:top w:val="nil"/>
              <w:left w:val="nil"/>
              <w:bottom w:val="single" w:sz="4" w:space="0" w:color="auto"/>
              <w:right w:val="single" w:sz="4" w:space="0" w:color="auto"/>
            </w:tcBorders>
            <w:shd w:val="clear" w:color="000000" w:fill="F2F2F2"/>
            <w:vAlign w:val="center"/>
            <w:hideMark/>
          </w:tcPr>
          <w:p w14:paraId="66513CC4" w14:textId="17E5AD31"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559507D0" w14:textId="6131E0FA"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5159A3E2" w14:textId="5190CF28"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6F0EF76" w14:textId="3B68006E"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141F8452" w14:textId="1FE56011"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1823FA69" w14:textId="3DA3396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74A3F99" w14:textId="39DEEEDA"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3676A5ED" w14:textId="387DFC6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00C84AAC" w14:textId="5448179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1EE5463C" w14:textId="6CBEBDF8"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5CC4238B" w14:textId="6C8ACE6C"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6B94763B" w14:textId="241E04B0"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98898CA" w14:textId="2EA6ACBB"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485A51AD" w14:textId="4B3D3EC6"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BFC40F3" w14:textId="079E1EA8"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275481B8" w14:textId="580AB5A6"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00148B5" w14:textId="2DE77800"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C4F31ED" w14:textId="23F3518C"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053B39C7" w14:textId="488C2E84"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C243154" w14:textId="44E162CE" w:rsidR="00304555" w:rsidRPr="00AE40B8" w:rsidRDefault="00304555" w:rsidP="00066F36">
            <w:pPr>
              <w:jc w:val="center"/>
              <w:rPr>
                <w:rFonts w:ascii="Aptos" w:hAnsi="Aptos"/>
                <w:sz w:val="18"/>
                <w:szCs w:val="18"/>
              </w:rPr>
            </w:pPr>
          </w:p>
        </w:tc>
        <w:tc>
          <w:tcPr>
            <w:tcW w:w="394" w:type="dxa"/>
            <w:tcBorders>
              <w:top w:val="nil"/>
              <w:left w:val="nil"/>
              <w:bottom w:val="nil"/>
              <w:right w:val="nil"/>
            </w:tcBorders>
            <w:shd w:val="clear" w:color="auto" w:fill="auto"/>
            <w:noWrap/>
            <w:vAlign w:val="center"/>
            <w:hideMark/>
          </w:tcPr>
          <w:p w14:paraId="23853989" w14:textId="77777777" w:rsidR="00304555" w:rsidRPr="00AE40B8" w:rsidRDefault="00304555" w:rsidP="00066F36">
            <w:pPr>
              <w:jc w:val="center"/>
              <w:rPr>
                <w:rFonts w:ascii="Aptos" w:hAnsi="Aptos"/>
                <w:sz w:val="18"/>
                <w:szCs w:val="18"/>
              </w:rPr>
            </w:pPr>
          </w:p>
        </w:tc>
        <w:tc>
          <w:tcPr>
            <w:tcW w:w="395" w:type="dxa"/>
            <w:tcBorders>
              <w:top w:val="nil"/>
              <w:left w:val="single" w:sz="4" w:space="0" w:color="auto"/>
              <w:bottom w:val="single" w:sz="4" w:space="0" w:color="auto"/>
              <w:right w:val="single" w:sz="4" w:space="0" w:color="auto"/>
            </w:tcBorders>
            <w:shd w:val="clear" w:color="000000" w:fill="F2F2F2"/>
            <w:vAlign w:val="center"/>
            <w:hideMark/>
          </w:tcPr>
          <w:p w14:paraId="48FD0453" w14:textId="1598656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D9BCFE7" w14:textId="12772831"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4D838C09" w14:textId="004D9860"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AA01B2C" w14:textId="3BDB53AC"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B3F4205" w14:textId="6825BB2F" w:rsidR="00304555" w:rsidRPr="00AE40B8" w:rsidRDefault="00304555" w:rsidP="00066F36">
            <w:pPr>
              <w:jc w:val="center"/>
              <w:rPr>
                <w:rFonts w:ascii="Aptos" w:hAnsi="Aptos"/>
                <w:sz w:val="18"/>
                <w:szCs w:val="18"/>
              </w:rPr>
            </w:pPr>
          </w:p>
        </w:tc>
      </w:tr>
      <w:tr w:rsidR="004D4DB5" w:rsidRPr="009922A7" w14:paraId="387275B8"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2E2DD7CB" w14:textId="77777777" w:rsidR="00304555" w:rsidRPr="00AE40B8" w:rsidRDefault="00304555" w:rsidP="009922A7">
            <w:pPr>
              <w:rPr>
                <w:rFonts w:ascii="Aptos" w:hAnsi="Aptos"/>
                <w:sz w:val="18"/>
                <w:szCs w:val="18"/>
              </w:rPr>
            </w:pPr>
            <w:r w:rsidRPr="00AE40B8">
              <w:rPr>
                <w:rFonts w:ascii="Aptos" w:hAnsi="Aptos"/>
                <w:sz w:val="18"/>
                <w:szCs w:val="18"/>
              </w:rPr>
              <w:t>Did the search include an appropriate range of databases/electronic sources for published and unpublished reports?</w:t>
            </w:r>
          </w:p>
        </w:tc>
        <w:tc>
          <w:tcPr>
            <w:tcW w:w="394" w:type="dxa"/>
            <w:tcBorders>
              <w:top w:val="nil"/>
              <w:left w:val="nil"/>
              <w:bottom w:val="single" w:sz="4" w:space="0" w:color="auto"/>
              <w:right w:val="single" w:sz="4" w:space="0" w:color="auto"/>
            </w:tcBorders>
            <w:shd w:val="clear" w:color="000000" w:fill="FFFFFF"/>
            <w:vAlign w:val="center"/>
            <w:hideMark/>
          </w:tcPr>
          <w:p w14:paraId="2FBC5AF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7FA95D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3541AD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C96CF5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09C6A7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BADEDE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A8C0B5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99ABA7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FF0BFE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1FFA64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79A36F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23BD81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CDE61F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A62337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45D9FD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6CAEB9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1BD58A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7FDB84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B92966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1A15A9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single" w:sz="4" w:space="0" w:color="auto"/>
              <w:left w:val="nil"/>
              <w:bottom w:val="single" w:sz="4" w:space="0" w:color="auto"/>
              <w:right w:val="single" w:sz="4" w:space="0" w:color="auto"/>
            </w:tcBorders>
            <w:shd w:val="clear" w:color="000000" w:fill="FFFFFF"/>
            <w:vAlign w:val="center"/>
            <w:hideMark/>
          </w:tcPr>
          <w:p w14:paraId="261C426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52BEEB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172AA0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6F1BD2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2F3356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753E48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3A43FFBE"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1A1ADE8D" w14:textId="77777777" w:rsidR="00304555" w:rsidRPr="00AE40B8" w:rsidRDefault="00304555" w:rsidP="009922A7">
            <w:pPr>
              <w:rPr>
                <w:rFonts w:ascii="Aptos" w:hAnsi="Aptos"/>
                <w:sz w:val="18"/>
                <w:szCs w:val="18"/>
              </w:rPr>
            </w:pPr>
            <w:r w:rsidRPr="00AE40B8">
              <w:rPr>
                <w:rFonts w:ascii="Aptos" w:hAnsi="Aptos"/>
                <w:sz w:val="18"/>
                <w:szCs w:val="18"/>
              </w:rPr>
              <w:t>Were methods additional to database searching used to identify relevant reports?</w:t>
            </w:r>
          </w:p>
        </w:tc>
        <w:tc>
          <w:tcPr>
            <w:tcW w:w="394" w:type="dxa"/>
            <w:tcBorders>
              <w:top w:val="nil"/>
              <w:left w:val="nil"/>
              <w:bottom w:val="single" w:sz="4" w:space="0" w:color="auto"/>
              <w:right w:val="single" w:sz="4" w:space="0" w:color="auto"/>
            </w:tcBorders>
            <w:shd w:val="clear" w:color="000000" w:fill="FFFFFF"/>
            <w:vAlign w:val="center"/>
            <w:hideMark/>
          </w:tcPr>
          <w:p w14:paraId="13D87E5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374D05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36A4F0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067D30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A17B8E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B1DCF2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1A049A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D377B7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4895E2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4EEB02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3E9814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011F70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C3DDC9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C4591E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3FA67F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8723E0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1C346B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B7D046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61F553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B14D872"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69C099D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CDA42F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C48D01A"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4" w:type="dxa"/>
            <w:tcBorders>
              <w:top w:val="nil"/>
              <w:left w:val="nil"/>
              <w:bottom w:val="single" w:sz="4" w:space="0" w:color="auto"/>
              <w:right w:val="single" w:sz="4" w:space="0" w:color="auto"/>
            </w:tcBorders>
            <w:shd w:val="clear" w:color="000000" w:fill="FFFFFF"/>
            <w:vAlign w:val="center"/>
            <w:hideMark/>
          </w:tcPr>
          <w:p w14:paraId="106480B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AAB9FE8"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252291E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1D525DCA"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5DB6F809" w14:textId="77777777" w:rsidR="00304555" w:rsidRPr="00AE40B8" w:rsidRDefault="00304555" w:rsidP="009922A7">
            <w:pPr>
              <w:rPr>
                <w:rFonts w:ascii="Aptos" w:hAnsi="Aptos"/>
                <w:sz w:val="18"/>
                <w:szCs w:val="18"/>
              </w:rPr>
            </w:pPr>
            <w:r w:rsidRPr="00AE40B8">
              <w:rPr>
                <w:rFonts w:ascii="Aptos" w:hAnsi="Aptos"/>
                <w:sz w:val="18"/>
                <w:szCs w:val="18"/>
              </w:rPr>
              <w:t>Were the terms and structure of the search strategy likely to retrieve as many eligible studies as possible?</w:t>
            </w:r>
          </w:p>
        </w:tc>
        <w:tc>
          <w:tcPr>
            <w:tcW w:w="394" w:type="dxa"/>
            <w:tcBorders>
              <w:top w:val="nil"/>
              <w:left w:val="nil"/>
              <w:bottom w:val="single" w:sz="4" w:space="0" w:color="auto"/>
              <w:right w:val="single" w:sz="4" w:space="0" w:color="auto"/>
            </w:tcBorders>
            <w:shd w:val="clear" w:color="000000" w:fill="FFFFFF"/>
            <w:vAlign w:val="center"/>
            <w:hideMark/>
          </w:tcPr>
          <w:p w14:paraId="4F564D3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CDCBF3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BA0C6C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1F758D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91772E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39F5F4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418224E"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4" w:type="dxa"/>
            <w:tcBorders>
              <w:top w:val="nil"/>
              <w:left w:val="nil"/>
              <w:bottom w:val="single" w:sz="4" w:space="0" w:color="auto"/>
              <w:right w:val="single" w:sz="4" w:space="0" w:color="auto"/>
            </w:tcBorders>
            <w:shd w:val="clear" w:color="000000" w:fill="FFFFFF"/>
            <w:vAlign w:val="center"/>
            <w:hideMark/>
          </w:tcPr>
          <w:p w14:paraId="3CE8E48D"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4D94C35F"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5F17FEA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691697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388E74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61D8D3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6BEA16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A4328B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D7DB9B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B4A750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278556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D710B4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4CBCD1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9869FE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CB21B04"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57C35313"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4" w:type="dxa"/>
            <w:tcBorders>
              <w:top w:val="nil"/>
              <w:left w:val="nil"/>
              <w:bottom w:val="single" w:sz="4" w:space="0" w:color="auto"/>
              <w:right w:val="single" w:sz="4" w:space="0" w:color="auto"/>
            </w:tcBorders>
            <w:shd w:val="clear" w:color="000000" w:fill="FFFFFF"/>
            <w:vAlign w:val="center"/>
            <w:hideMark/>
          </w:tcPr>
          <w:p w14:paraId="7B56EC0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0A9802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1A5B66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74EDBAEE"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7BE4CAD9" w14:textId="77777777" w:rsidR="00304555" w:rsidRPr="00AE40B8" w:rsidRDefault="00304555" w:rsidP="009922A7">
            <w:pPr>
              <w:rPr>
                <w:rFonts w:ascii="Aptos" w:hAnsi="Aptos"/>
                <w:sz w:val="18"/>
                <w:szCs w:val="18"/>
              </w:rPr>
            </w:pPr>
            <w:r w:rsidRPr="00AE40B8">
              <w:rPr>
                <w:rFonts w:ascii="Aptos" w:hAnsi="Aptos"/>
                <w:sz w:val="18"/>
                <w:szCs w:val="18"/>
              </w:rPr>
              <w:t>Were restrictions based on date, publication format, or language appropriate?</w:t>
            </w:r>
          </w:p>
        </w:tc>
        <w:tc>
          <w:tcPr>
            <w:tcW w:w="394" w:type="dxa"/>
            <w:tcBorders>
              <w:top w:val="nil"/>
              <w:left w:val="nil"/>
              <w:bottom w:val="single" w:sz="4" w:space="0" w:color="auto"/>
              <w:right w:val="single" w:sz="4" w:space="0" w:color="auto"/>
            </w:tcBorders>
            <w:shd w:val="clear" w:color="000000" w:fill="FFFFFF"/>
            <w:vAlign w:val="center"/>
            <w:hideMark/>
          </w:tcPr>
          <w:p w14:paraId="1346D71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FB5D17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D327D3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4FB0B96"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1DF85A74"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4" w:type="dxa"/>
            <w:tcBorders>
              <w:top w:val="nil"/>
              <w:left w:val="nil"/>
              <w:bottom w:val="single" w:sz="4" w:space="0" w:color="auto"/>
              <w:right w:val="single" w:sz="4" w:space="0" w:color="auto"/>
            </w:tcBorders>
            <w:shd w:val="clear" w:color="000000" w:fill="FFFFFF"/>
            <w:vAlign w:val="center"/>
            <w:hideMark/>
          </w:tcPr>
          <w:p w14:paraId="5BB2C94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4E00739"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51820786"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5" w:type="dxa"/>
            <w:tcBorders>
              <w:top w:val="nil"/>
              <w:left w:val="nil"/>
              <w:bottom w:val="single" w:sz="4" w:space="0" w:color="auto"/>
              <w:right w:val="single" w:sz="4" w:space="0" w:color="auto"/>
            </w:tcBorders>
            <w:shd w:val="clear" w:color="000000" w:fill="FFFFFF"/>
            <w:vAlign w:val="center"/>
            <w:hideMark/>
          </w:tcPr>
          <w:p w14:paraId="0467763A"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102F3AAF"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nil"/>
              <w:left w:val="nil"/>
              <w:bottom w:val="single" w:sz="4" w:space="0" w:color="auto"/>
              <w:right w:val="single" w:sz="4" w:space="0" w:color="auto"/>
            </w:tcBorders>
            <w:shd w:val="clear" w:color="000000" w:fill="FFFFFF"/>
            <w:vAlign w:val="center"/>
            <w:hideMark/>
          </w:tcPr>
          <w:p w14:paraId="7EEAF41B"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16A3BA4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22E030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A37A140"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5" w:type="dxa"/>
            <w:tcBorders>
              <w:top w:val="nil"/>
              <w:left w:val="nil"/>
              <w:bottom w:val="single" w:sz="4" w:space="0" w:color="auto"/>
              <w:right w:val="single" w:sz="4" w:space="0" w:color="auto"/>
            </w:tcBorders>
            <w:shd w:val="clear" w:color="000000" w:fill="FFFFFF"/>
            <w:vAlign w:val="center"/>
            <w:hideMark/>
          </w:tcPr>
          <w:p w14:paraId="2331EF71"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4DBB77B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BEBE9F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47B7DB4"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6092151E"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5" w:type="dxa"/>
            <w:tcBorders>
              <w:top w:val="nil"/>
              <w:left w:val="nil"/>
              <w:bottom w:val="single" w:sz="4" w:space="0" w:color="auto"/>
              <w:right w:val="single" w:sz="4" w:space="0" w:color="auto"/>
            </w:tcBorders>
            <w:shd w:val="clear" w:color="000000" w:fill="FFFFFF"/>
            <w:vAlign w:val="center"/>
            <w:hideMark/>
          </w:tcPr>
          <w:p w14:paraId="5F40F89D"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4" w:type="dxa"/>
            <w:tcBorders>
              <w:top w:val="nil"/>
              <w:left w:val="nil"/>
              <w:bottom w:val="single" w:sz="4" w:space="0" w:color="auto"/>
              <w:right w:val="single" w:sz="4" w:space="0" w:color="auto"/>
            </w:tcBorders>
            <w:shd w:val="clear" w:color="000000" w:fill="FFFFFF"/>
            <w:vAlign w:val="center"/>
            <w:hideMark/>
          </w:tcPr>
          <w:p w14:paraId="5A8E7B45"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271BF6E9"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76DC113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38E9E76" w14:textId="77777777" w:rsidR="00304555" w:rsidRPr="00AE40B8" w:rsidRDefault="00304555" w:rsidP="00066F36">
            <w:pPr>
              <w:jc w:val="center"/>
              <w:rPr>
                <w:rFonts w:ascii="Aptos" w:hAnsi="Aptos"/>
                <w:sz w:val="18"/>
                <w:szCs w:val="18"/>
              </w:rPr>
            </w:pPr>
            <w:r w:rsidRPr="00AE40B8">
              <w:rPr>
                <w:rFonts w:ascii="Aptos" w:hAnsi="Aptos"/>
                <w:sz w:val="18"/>
                <w:szCs w:val="18"/>
              </w:rPr>
              <w:t>PN</w:t>
            </w:r>
          </w:p>
        </w:tc>
        <w:tc>
          <w:tcPr>
            <w:tcW w:w="395" w:type="dxa"/>
            <w:tcBorders>
              <w:top w:val="nil"/>
              <w:left w:val="nil"/>
              <w:bottom w:val="single" w:sz="4" w:space="0" w:color="auto"/>
              <w:right w:val="single" w:sz="4" w:space="0" w:color="auto"/>
            </w:tcBorders>
            <w:shd w:val="clear" w:color="000000" w:fill="FFFFFF"/>
            <w:vAlign w:val="center"/>
            <w:hideMark/>
          </w:tcPr>
          <w:p w14:paraId="4162096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90EB97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43E208D1"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5F293F36" w14:textId="77777777" w:rsidR="00304555" w:rsidRPr="00AE40B8" w:rsidRDefault="00304555" w:rsidP="009922A7">
            <w:pPr>
              <w:rPr>
                <w:rFonts w:ascii="Aptos" w:hAnsi="Aptos"/>
                <w:sz w:val="18"/>
                <w:szCs w:val="18"/>
              </w:rPr>
            </w:pPr>
            <w:r w:rsidRPr="00AE40B8">
              <w:rPr>
                <w:rFonts w:ascii="Aptos" w:hAnsi="Aptos"/>
                <w:sz w:val="18"/>
                <w:szCs w:val="18"/>
              </w:rPr>
              <w:t>Were efforts made to minimise error in selection of studies?</w:t>
            </w:r>
          </w:p>
        </w:tc>
        <w:tc>
          <w:tcPr>
            <w:tcW w:w="394" w:type="dxa"/>
            <w:tcBorders>
              <w:top w:val="nil"/>
              <w:left w:val="nil"/>
              <w:bottom w:val="single" w:sz="4" w:space="0" w:color="auto"/>
              <w:right w:val="single" w:sz="4" w:space="0" w:color="auto"/>
            </w:tcBorders>
            <w:shd w:val="clear" w:color="000000" w:fill="FFFFFF"/>
            <w:vAlign w:val="center"/>
            <w:hideMark/>
          </w:tcPr>
          <w:p w14:paraId="4C6AD31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931A08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FE74BB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750263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8D7B09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59DDD0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43454E4"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46A98D63"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71A1F1A5"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6CC0293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2FB3BB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B2EAFA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914664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EA5049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BAD06C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7EA649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6222D0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826518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11204FB" w14:textId="0A8AF02A"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2B55C45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45AD99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C5A1E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851163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9CEFC7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4B79CE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30AE43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3B3468A2" w14:textId="77777777" w:rsidTr="00066F36">
        <w:trPr>
          <w:cantSplit/>
          <w:trHeight w:val="945"/>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517916E9" w14:textId="77777777" w:rsidR="00304555" w:rsidRPr="00AE40B8" w:rsidRDefault="00304555" w:rsidP="009922A7">
            <w:pPr>
              <w:rPr>
                <w:rFonts w:ascii="Aptos" w:hAnsi="Aptos"/>
                <w:sz w:val="18"/>
                <w:szCs w:val="18"/>
              </w:rPr>
            </w:pPr>
            <w:r w:rsidRPr="00AE40B8">
              <w:rPr>
                <w:rFonts w:ascii="Aptos" w:hAnsi="Aptos"/>
                <w:sz w:val="18"/>
                <w:szCs w:val="18"/>
              </w:rPr>
              <w:t>Concerns regarding methods used to identify and/or select studies: LOW, HIGH, 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2D70D272"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C46252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0A0CE6F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2C04A33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48F62B87"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26F0BCE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7C8AA74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6E3F4632"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0C74E76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7BDEEC6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F4B084"/>
            <w:textDirection w:val="btLr"/>
            <w:vAlign w:val="center"/>
            <w:hideMark/>
          </w:tcPr>
          <w:p w14:paraId="32211BC4"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3B3305F2"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2F77E34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2557679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252D3624"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5282BE5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CCD29CE"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5C9BCFE"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0764518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2E98D8E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F4B084"/>
            <w:textDirection w:val="btLr"/>
            <w:vAlign w:val="center"/>
            <w:hideMark/>
          </w:tcPr>
          <w:p w14:paraId="38C4D6A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726A9C6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7EFE106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73C901AF"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0152798F"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40E147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r>
      <w:tr w:rsidR="004D4DB5" w:rsidRPr="009922A7" w14:paraId="3A2CD6B9"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2F2F2"/>
            <w:vAlign w:val="center"/>
            <w:hideMark/>
          </w:tcPr>
          <w:p w14:paraId="649EEBC3" w14:textId="77777777" w:rsidR="00304555" w:rsidRPr="00AE40B8" w:rsidRDefault="00304555" w:rsidP="009922A7">
            <w:pPr>
              <w:rPr>
                <w:rFonts w:ascii="Aptos" w:hAnsi="Aptos"/>
                <w:sz w:val="18"/>
                <w:szCs w:val="18"/>
              </w:rPr>
            </w:pPr>
            <w:r w:rsidRPr="00AE40B8">
              <w:rPr>
                <w:rFonts w:ascii="Aptos" w:hAnsi="Aptos"/>
                <w:sz w:val="18"/>
                <w:szCs w:val="18"/>
              </w:rPr>
              <w:t>Domain 3: Data collection and study appraisal</w:t>
            </w:r>
          </w:p>
        </w:tc>
        <w:tc>
          <w:tcPr>
            <w:tcW w:w="394" w:type="dxa"/>
            <w:tcBorders>
              <w:top w:val="nil"/>
              <w:left w:val="nil"/>
              <w:bottom w:val="single" w:sz="4" w:space="0" w:color="auto"/>
              <w:right w:val="single" w:sz="4" w:space="0" w:color="auto"/>
            </w:tcBorders>
            <w:shd w:val="clear" w:color="000000" w:fill="F2F2F2"/>
            <w:vAlign w:val="center"/>
            <w:hideMark/>
          </w:tcPr>
          <w:p w14:paraId="3FC77AAC" w14:textId="0F2C38E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62B9E25D" w14:textId="2E90A262"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102DE760" w14:textId="7DB24B9C"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C11FC55" w14:textId="3C0BA0D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690A1408" w14:textId="2526845E"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42AF57DD" w14:textId="51B0D454"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5BCA94C5" w14:textId="07CE6D9D"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05BA4175" w14:textId="154FE45F"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556DCA98" w14:textId="34F8DD2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001FFAF" w14:textId="4A496721"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17BACDF2" w14:textId="7D0632C7"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47B69A5" w14:textId="71D6FBAB"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D90C9A4" w14:textId="5F81C73B"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7694653A" w14:textId="10C502DF"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5FC5B4E" w14:textId="710BCFB8"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2D479521" w14:textId="6D2CB436"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E30EC01" w14:textId="670A6AE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5DAB41D" w14:textId="15B35644"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523C7687" w14:textId="1C013357"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49C0982" w14:textId="751B52C4" w:rsidR="00304555" w:rsidRPr="00AE40B8" w:rsidRDefault="00304555" w:rsidP="00066F36">
            <w:pPr>
              <w:jc w:val="center"/>
              <w:rPr>
                <w:rFonts w:ascii="Aptos" w:hAnsi="Aptos"/>
                <w:sz w:val="18"/>
                <w:szCs w:val="18"/>
              </w:rPr>
            </w:pPr>
          </w:p>
        </w:tc>
        <w:tc>
          <w:tcPr>
            <w:tcW w:w="394" w:type="dxa"/>
            <w:tcBorders>
              <w:top w:val="nil"/>
              <w:left w:val="nil"/>
              <w:bottom w:val="nil"/>
              <w:right w:val="nil"/>
            </w:tcBorders>
            <w:shd w:val="clear" w:color="auto" w:fill="auto"/>
            <w:noWrap/>
            <w:vAlign w:val="center"/>
            <w:hideMark/>
          </w:tcPr>
          <w:p w14:paraId="2125B2B8" w14:textId="77777777" w:rsidR="00304555" w:rsidRPr="00AE40B8" w:rsidRDefault="00304555" w:rsidP="00066F36">
            <w:pPr>
              <w:jc w:val="center"/>
              <w:rPr>
                <w:rFonts w:ascii="Aptos" w:hAnsi="Aptos"/>
                <w:sz w:val="18"/>
                <w:szCs w:val="18"/>
              </w:rPr>
            </w:pPr>
          </w:p>
        </w:tc>
        <w:tc>
          <w:tcPr>
            <w:tcW w:w="395" w:type="dxa"/>
            <w:tcBorders>
              <w:top w:val="nil"/>
              <w:left w:val="single" w:sz="4" w:space="0" w:color="auto"/>
              <w:bottom w:val="single" w:sz="4" w:space="0" w:color="auto"/>
              <w:right w:val="single" w:sz="4" w:space="0" w:color="auto"/>
            </w:tcBorders>
            <w:shd w:val="clear" w:color="000000" w:fill="F2F2F2"/>
            <w:vAlign w:val="center"/>
            <w:hideMark/>
          </w:tcPr>
          <w:p w14:paraId="3E46054D" w14:textId="344311F4"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1F462741" w14:textId="0C1494F0"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615C98A4" w14:textId="0CA25FC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858B5FA" w14:textId="4C403B2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3E4A0EF6" w14:textId="572AA21B" w:rsidR="00304555" w:rsidRPr="00AE40B8" w:rsidRDefault="00304555" w:rsidP="00066F36">
            <w:pPr>
              <w:jc w:val="center"/>
              <w:rPr>
                <w:rFonts w:ascii="Aptos" w:hAnsi="Aptos"/>
                <w:sz w:val="18"/>
                <w:szCs w:val="18"/>
              </w:rPr>
            </w:pPr>
          </w:p>
        </w:tc>
      </w:tr>
      <w:tr w:rsidR="004D4DB5" w:rsidRPr="009922A7" w14:paraId="4F2E528A"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65364B80" w14:textId="77777777" w:rsidR="00304555" w:rsidRPr="00AE40B8" w:rsidRDefault="00304555" w:rsidP="009922A7">
            <w:pPr>
              <w:rPr>
                <w:rFonts w:ascii="Aptos" w:hAnsi="Aptos"/>
                <w:sz w:val="18"/>
                <w:szCs w:val="18"/>
              </w:rPr>
            </w:pPr>
            <w:r w:rsidRPr="00AE40B8">
              <w:rPr>
                <w:rFonts w:ascii="Aptos" w:hAnsi="Aptos"/>
                <w:sz w:val="18"/>
                <w:szCs w:val="18"/>
              </w:rPr>
              <w:t>Were efforts made to minimise error in data collection?</w:t>
            </w:r>
          </w:p>
        </w:tc>
        <w:tc>
          <w:tcPr>
            <w:tcW w:w="394" w:type="dxa"/>
            <w:tcBorders>
              <w:top w:val="nil"/>
              <w:left w:val="nil"/>
              <w:bottom w:val="single" w:sz="4" w:space="0" w:color="auto"/>
              <w:right w:val="single" w:sz="4" w:space="0" w:color="auto"/>
            </w:tcBorders>
            <w:shd w:val="clear" w:color="000000" w:fill="FFFFFF"/>
            <w:vAlign w:val="center"/>
            <w:hideMark/>
          </w:tcPr>
          <w:p w14:paraId="6EFB54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AE96F6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86301E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94CEC0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708DFE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A83774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0834252"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36941CB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B1EFCB6"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1ED1B6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E56D56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4450D9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826E61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7550B5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4A006E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A35BC0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A7A8EB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AC2C5B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D28149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5AB8CC0"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single" w:sz="4" w:space="0" w:color="auto"/>
              <w:left w:val="nil"/>
              <w:bottom w:val="single" w:sz="4" w:space="0" w:color="auto"/>
              <w:right w:val="single" w:sz="4" w:space="0" w:color="auto"/>
            </w:tcBorders>
            <w:shd w:val="clear" w:color="000000" w:fill="FFFFFF"/>
            <w:vAlign w:val="center"/>
            <w:hideMark/>
          </w:tcPr>
          <w:p w14:paraId="414360B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0E12FF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9F992AF"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nil"/>
              <w:left w:val="nil"/>
              <w:bottom w:val="single" w:sz="4" w:space="0" w:color="auto"/>
              <w:right w:val="single" w:sz="4" w:space="0" w:color="auto"/>
            </w:tcBorders>
            <w:shd w:val="clear" w:color="000000" w:fill="FFFFFF"/>
            <w:vAlign w:val="center"/>
            <w:hideMark/>
          </w:tcPr>
          <w:p w14:paraId="267D24C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9F7F08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7D2706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244B2BE1"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3F216A66" w14:textId="77777777" w:rsidR="00304555" w:rsidRPr="00AE40B8" w:rsidRDefault="00304555" w:rsidP="009922A7">
            <w:pPr>
              <w:rPr>
                <w:rFonts w:ascii="Aptos" w:hAnsi="Aptos"/>
                <w:sz w:val="18"/>
                <w:szCs w:val="18"/>
              </w:rPr>
            </w:pPr>
            <w:r w:rsidRPr="00AE40B8">
              <w:rPr>
                <w:rFonts w:ascii="Aptos" w:hAnsi="Aptos"/>
                <w:sz w:val="18"/>
                <w:szCs w:val="18"/>
              </w:rPr>
              <w:t>Were sufficient study characteristics available for both review authors and readers to be able to interpret the results?</w:t>
            </w:r>
          </w:p>
        </w:tc>
        <w:tc>
          <w:tcPr>
            <w:tcW w:w="394" w:type="dxa"/>
            <w:tcBorders>
              <w:top w:val="nil"/>
              <w:left w:val="nil"/>
              <w:bottom w:val="single" w:sz="4" w:space="0" w:color="auto"/>
              <w:right w:val="single" w:sz="4" w:space="0" w:color="auto"/>
            </w:tcBorders>
            <w:shd w:val="clear" w:color="000000" w:fill="FFFFFF"/>
            <w:vAlign w:val="center"/>
            <w:hideMark/>
          </w:tcPr>
          <w:p w14:paraId="7FFBA4F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3F496B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9477FA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6F88C3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82831C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90AC60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D5B1A5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B0E266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8E3994E"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3E7D0A0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DF7377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0189B0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B00A64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2F89F6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7072A1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8E7D7F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1548CA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3A584F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FE9DEF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A1B027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93A888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594F2E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E37101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170EE1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46BAB6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19A376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5F237E87"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72DF0D95" w14:textId="77777777" w:rsidR="00304555" w:rsidRPr="00AE40B8" w:rsidRDefault="00304555" w:rsidP="009922A7">
            <w:pPr>
              <w:rPr>
                <w:rFonts w:ascii="Aptos" w:hAnsi="Aptos"/>
                <w:sz w:val="18"/>
                <w:szCs w:val="18"/>
              </w:rPr>
            </w:pPr>
            <w:r w:rsidRPr="00AE40B8">
              <w:rPr>
                <w:rFonts w:ascii="Aptos" w:hAnsi="Aptos"/>
                <w:sz w:val="18"/>
                <w:szCs w:val="18"/>
              </w:rPr>
              <w:t>Were all relevant study results collected for use in the synthesis?</w:t>
            </w:r>
          </w:p>
        </w:tc>
        <w:tc>
          <w:tcPr>
            <w:tcW w:w="394" w:type="dxa"/>
            <w:tcBorders>
              <w:top w:val="nil"/>
              <w:left w:val="nil"/>
              <w:bottom w:val="single" w:sz="4" w:space="0" w:color="auto"/>
              <w:right w:val="single" w:sz="4" w:space="0" w:color="auto"/>
            </w:tcBorders>
            <w:shd w:val="clear" w:color="000000" w:fill="FFFFFF"/>
            <w:vAlign w:val="center"/>
            <w:hideMark/>
          </w:tcPr>
          <w:p w14:paraId="72190BD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5E7CA3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8455FB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876EBF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5474AC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B0DA62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5AB7CB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EDD010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F7E37E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832524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D8B800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BBC622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50DDCB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FDA1A7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D3574C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6CF0A8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FD3DB7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D968EA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3EBD8F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9EF40F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A9C174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135C69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70FCFB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49F8E6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82785E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F48990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0DCD228B"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6FB9EAD7" w14:textId="77777777" w:rsidR="00304555" w:rsidRPr="00AE40B8" w:rsidRDefault="00304555" w:rsidP="009922A7">
            <w:pPr>
              <w:rPr>
                <w:rFonts w:ascii="Aptos" w:hAnsi="Aptos"/>
                <w:sz w:val="18"/>
                <w:szCs w:val="18"/>
              </w:rPr>
            </w:pPr>
            <w:r w:rsidRPr="00AE40B8">
              <w:rPr>
                <w:rFonts w:ascii="Aptos" w:hAnsi="Aptos"/>
                <w:sz w:val="18"/>
                <w:szCs w:val="18"/>
              </w:rPr>
              <w:t>Was risk of bias (or methodological quality) formally assessed using appropriate criteria?</w:t>
            </w:r>
          </w:p>
        </w:tc>
        <w:tc>
          <w:tcPr>
            <w:tcW w:w="394" w:type="dxa"/>
            <w:tcBorders>
              <w:top w:val="nil"/>
              <w:left w:val="nil"/>
              <w:bottom w:val="single" w:sz="4" w:space="0" w:color="auto"/>
              <w:right w:val="single" w:sz="4" w:space="0" w:color="auto"/>
            </w:tcBorders>
            <w:shd w:val="clear" w:color="000000" w:fill="FFFFFF"/>
            <w:vAlign w:val="center"/>
            <w:hideMark/>
          </w:tcPr>
          <w:p w14:paraId="4A73263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E8E5D1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696AD1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D7A8AB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1278B9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522A07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C726D5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CDA5FD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09C0A96"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1D4ECE8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356913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B0E12A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5EF179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068E42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305A66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ACC948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56AFD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48FA86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63C5EB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50B8B6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6EE880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7E4C66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E9BA20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3A2B24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39DB37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3FBCBF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04294795"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11B2F77B" w14:textId="77777777" w:rsidR="00304555" w:rsidRPr="00AE40B8" w:rsidRDefault="00304555" w:rsidP="009922A7">
            <w:pPr>
              <w:rPr>
                <w:rFonts w:ascii="Aptos" w:hAnsi="Aptos"/>
                <w:sz w:val="18"/>
                <w:szCs w:val="18"/>
              </w:rPr>
            </w:pPr>
            <w:r w:rsidRPr="00AE40B8">
              <w:rPr>
                <w:rFonts w:ascii="Aptos" w:hAnsi="Aptos"/>
                <w:sz w:val="18"/>
                <w:szCs w:val="18"/>
              </w:rPr>
              <w:t>Were efforts made to minimise error in risk of bias assessment?</w:t>
            </w:r>
          </w:p>
        </w:tc>
        <w:tc>
          <w:tcPr>
            <w:tcW w:w="394" w:type="dxa"/>
            <w:tcBorders>
              <w:top w:val="nil"/>
              <w:left w:val="nil"/>
              <w:bottom w:val="single" w:sz="4" w:space="0" w:color="auto"/>
              <w:right w:val="single" w:sz="4" w:space="0" w:color="auto"/>
            </w:tcBorders>
            <w:shd w:val="clear" w:color="000000" w:fill="FFFFFF"/>
            <w:vAlign w:val="center"/>
            <w:hideMark/>
          </w:tcPr>
          <w:p w14:paraId="19CCDA0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2D484F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DFF17A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E3B6CE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8CD06A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C85D5E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56B6AC4"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04EB9A0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D7FBFB3"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08EA1DB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883516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0D66DF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D44F07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8C9383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A7E12A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19F9DB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3723CB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090EE8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31BC95F" w14:textId="1999DC93"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6C0925EA"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nil"/>
              <w:left w:val="nil"/>
              <w:bottom w:val="single" w:sz="4" w:space="0" w:color="auto"/>
              <w:right w:val="single" w:sz="4" w:space="0" w:color="auto"/>
            </w:tcBorders>
            <w:shd w:val="clear" w:color="000000" w:fill="FFFFFF"/>
            <w:vAlign w:val="center"/>
            <w:hideMark/>
          </w:tcPr>
          <w:p w14:paraId="360076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AD2975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C048A3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537673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97FF09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C3DA6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57F5318C" w14:textId="77777777" w:rsidTr="00066F36">
        <w:trPr>
          <w:cantSplit/>
          <w:trHeight w:val="888"/>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3EABD2C1" w14:textId="77777777" w:rsidR="00304555" w:rsidRPr="00AE40B8" w:rsidRDefault="00304555" w:rsidP="009922A7">
            <w:pPr>
              <w:rPr>
                <w:rFonts w:ascii="Aptos" w:hAnsi="Aptos"/>
                <w:sz w:val="18"/>
                <w:szCs w:val="18"/>
              </w:rPr>
            </w:pPr>
            <w:r w:rsidRPr="00AE40B8">
              <w:rPr>
                <w:rFonts w:ascii="Aptos" w:hAnsi="Aptos"/>
                <w:sz w:val="18"/>
                <w:szCs w:val="18"/>
              </w:rPr>
              <w:lastRenderedPageBreak/>
              <w:t>Concerns regarding methods used to collect data and appraise studies: LOW, HIGH, 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60C115B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A6B2B5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2C6B110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22794AFB"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223E485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4A6909B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3AA5A2F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F69CB7F"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18B0CB5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1747F6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D493762"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CDEB30B"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0687A45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1CB91E8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04D541B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0445E79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08D1450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F50C1A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382112E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67DF2AD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77A7A4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30B1D447"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31298395"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20A9B22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2924B03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F89790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r>
      <w:tr w:rsidR="004D4DB5" w:rsidRPr="009922A7" w14:paraId="2D450819"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2F2F2"/>
            <w:vAlign w:val="center"/>
            <w:hideMark/>
          </w:tcPr>
          <w:p w14:paraId="747ABB9F" w14:textId="77777777" w:rsidR="00304555" w:rsidRPr="00AE40B8" w:rsidRDefault="00304555" w:rsidP="009922A7">
            <w:pPr>
              <w:rPr>
                <w:rFonts w:ascii="Aptos" w:hAnsi="Aptos"/>
                <w:sz w:val="18"/>
                <w:szCs w:val="18"/>
              </w:rPr>
            </w:pPr>
            <w:r w:rsidRPr="00AE40B8">
              <w:rPr>
                <w:rFonts w:ascii="Aptos" w:hAnsi="Aptos"/>
                <w:sz w:val="18"/>
                <w:szCs w:val="18"/>
              </w:rPr>
              <w:t>Domain 4: Synthesis and findings</w:t>
            </w:r>
          </w:p>
        </w:tc>
        <w:tc>
          <w:tcPr>
            <w:tcW w:w="394" w:type="dxa"/>
            <w:tcBorders>
              <w:top w:val="nil"/>
              <w:left w:val="nil"/>
              <w:bottom w:val="single" w:sz="4" w:space="0" w:color="auto"/>
              <w:right w:val="single" w:sz="4" w:space="0" w:color="auto"/>
            </w:tcBorders>
            <w:shd w:val="clear" w:color="000000" w:fill="F2F2F2"/>
            <w:vAlign w:val="center"/>
            <w:hideMark/>
          </w:tcPr>
          <w:p w14:paraId="237CB4F4" w14:textId="3EAFA30F"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0236C797" w14:textId="730F3E01"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0A93A242" w14:textId="2ACA981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5CC46C82" w14:textId="393A4BA8"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683A057" w14:textId="0C752B93"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32AB1474" w14:textId="06155B15"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683C80BA" w14:textId="7C53DC56"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7423508F" w14:textId="3838D9C9"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09D67ADC" w14:textId="7807C850"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0433F59C" w14:textId="5D9C8C2A"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5862112D" w14:textId="59B9FEB3"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539CB55" w14:textId="4F6CF1E4"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553A4981" w14:textId="2188A201"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3822BA99" w14:textId="11BBC29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75D462B" w14:textId="6B25574C"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40599725" w14:textId="1292F825"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80830C5" w14:textId="2B466EBF"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7D43D698" w14:textId="48135DEB"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2E8C8E0A" w14:textId="2A06D39E"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6131E308" w14:textId="62F126AB" w:rsidR="00304555" w:rsidRPr="00AE40B8" w:rsidRDefault="00304555" w:rsidP="00066F36">
            <w:pPr>
              <w:jc w:val="center"/>
              <w:rPr>
                <w:rFonts w:ascii="Aptos" w:hAnsi="Aptos"/>
                <w:sz w:val="18"/>
                <w:szCs w:val="18"/>
              </w:rPr>
            </w:pPr>
          </w:p>
        </w:tc>
        <w:tc>
          <w:tcPr>
            <w:tcW w:w="394" w:type="dxa"/>
            <w:tcBorders>
              <w:top w:val="nil"/>
              <w:left w:val="nil"/>
              <w:bottom w:val="nil"/>
              <w:right w:val="nil"/>
            </w:tcBorders>
            <w:shd w:val="clear" w:color="auto" w:fill="auto"/>
            <w:noWrap/>
            <w:vAlign w:val="center"/>
            <w:hideMark/>
          </w:tcPr>
          <w:p w14:paraId="51DF9C19" w14:textId="77777777" w:rsidR="00304555" w:rsidRPr="00AE40B8" w:rsidRDefault="00304555" w:rsidP="00066F36">
            <w:pPr>
              <w:jc w:val="center"/>
              <w:rPr>
                <w:rFonts w:ascii="Aptos" w:hAnsi="Aptos"/>
                <w:sz w:val="18"/>
                <w:szCs w:val="18"/>
              </w:rPr>
            </w:pPr>
          </w:p>
        </w:tc>
        <w:tc>
          <w:tcPr>
            <w:tcW w:w="395" w:type="dxa"/>
            <w:tcBorders>
              <w:top w:val="nil"/>
              <w:left w:val="single" w:sz="4" w:space="0" w:color="auto"/>
              <w:bottom w:val="single" w:sz="4" w:space="0" w:color="auto"/>
              <w:right w:val="single" w:sz="4" w:space="0" w:color="auto"/>
            </w:tcBorders>
            <w:shd w:val="clear" w:color="000000" w:fill="F2F2F2"/>
            <w:vAlign w:val="center"/>
            <w:hideMark/>
          </w:tcPr>
          <w:p w14:paraId="0A743E08" w14:textId="586558E5"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287C6F4E" w14:textId="43101CD0"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F2F2F2"/>
            <w:vAlign w:val="center"/>
            <w:hideMark/>
          </w:tcPr>
          <w:p w14:paraId="48C6D83B" w14:textId="5C2E2650"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0F62218F" w14:textId="7180A13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F2F2F2"/>
            <w:vAlign w:val="center"/>
            <w:hideMark/>
          </w:tcPr>
          <w:p w14:paraId="42AE216C" w14:textId="6EB629ED" w:rsidR="00304555" w:rsidRPr="00AE40B8" w:rsidRDefault="00304555" w:rsidP="00066F36">
            <w:pPr>
              <w:jc w:val="center"/>
              <w:rPr>
                <w:rFonts w:ascii="Aptos" w:hAnsi="Aptos"/>
                <w:sz w:val="18"/>
                <w:szCs w:val="18"/>
              </w:rPr>
            </w:pPr>
          </w:p>
        </w:tc>
      </w:tr>
      <w:tr w:rsidR="004D4DB5" w:rsidRPr="009922A7" w14:paraId="1408BF11"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4C547515" w14:textId="77777777" w:rsidR="00304555" w:rsidRPr="00AE40B8" w:rsidRDefault="00304555" w:rsidP="009922A7">
            <w:pPr>
              <w:rPr>
                <w:rFonts w:ascii="Aptos" w:hAnsi="Aptos"/>
                <w:sz w:val="18"/>
                <w:szCs w:val="18"/>
              </w:rPr>
            </w:pPr>
            <w:r w:rsidRPr="00AE40B8">
              <w:rPr>
                <w:rFonts w:ascii="Aptos" w:hAnsi="Aptos"/>
                <w:sz w:val="18"/>
                <w:szCs w:val="18"/>
              </w:rPr>
              <w:t>Did the synthesis include all studies that it should?</w:t>
            </w:r>
          </w:p>
        </w:tc>
        <w:tc>
          <w:tcPr>
            <w:tcW w:w="394" w:type="dxa"/>
            <w:tcBorders>
              <w:top w:val="nil"/>
              <w:left w:val="nil"/>
              <w:bottom w:val="single" w:sz="4" w:space="0" w:color="auto"/>
              <w:right w:val="single" w:sz="4" w:space="0" w:color="auto"/>
            </w:tcBorders>
            <w:shd w:val="clear" w:color="000000" w:fill="FFFFFF"/>
            <w:vAlign w:val="center"/>
            <w:hideMark/>
          </w:tcPr>
          <w:p w14:paraId="5F1C83D7"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63FAA772"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21F6A02D"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0D6B9712"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738F5445"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5CA0C6E3"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1EFADAFE"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18B004AA"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33AF9EB0"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736790DD"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672D60B3"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52E39AF4"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00BC5A03"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54D5D09F"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29B1520F"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12A5D6C7"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7F2D5526"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0928903D"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74322A2E"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4389257D"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single" w:sz="4" w:space="0" w:color="auto"/>
              <w:left w:val="nil"/>
              <w:bottom w:val="single" w:sz="4" w:space="0" w:color="auto"/>
              <w:right w:val="single" w:sz="4" w:space="0" w:color="auto"/>
            </w:tcBorders>
            <w:shd w:val="clear" w:color="000000" w:fill="FFFFFF"/>
            <w:vAlign w:val="center"/>
            <w:hideMark/>
          </w:tcPr>
          <w:p w14:paraId="7F701322"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099B00AE"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1A75DA52"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36453DBA"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195DDC6B"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40DDB22A"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r>
      <w:tr w:rsidR="004D4DB5" w:rsidRPr="009922A7" w14:paraId="08DBA107"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2E969F6E" w14:textId="77777777" w:rsidR="00304555" w:rsidRPr="00AE40B8" w:rsidRDefault="00304555" w:rsidP="009922A7">
            <w:pPr>
              <w:rPr>
                <w:rFonts w:ascii="Aptos" w:hAnsi="Aptos"/>
                <w:sz w:val="18"/>
                <w:szCs w:val="18"/>
              </w:rPr>
            </w:pPr>
            <w:r w:rsidRPr="00AE40B8">
              <w:rPr>
                <w:rFonts w:ascii="Aptos" w:hAnsi="Aptos"/>
                <w:sz w:val="18"/>
                <w:szCs w:val="18"/>
              </w:rPr>
              <w:t>Were all pre</w:t>
            </w:r>
            <w:r w:rsidRPr="00AE40B8">
              <w:rPr>
                <w:rFonts w:ascii="Cambria Math" w:hAnsi="Cambria Math" w:cs="Cambria Math"/>
                <w:sz w:val="18"/>
                <w:szCs w:val="18"/>
              </w:rPr>
              <w:t>‐</w:t>
            </w:r>
            <w:r w:rsidRPr="00AE40B8">
              <w:rPr>
                <w:rFonts w:ascii="Aptos" w:hAnsi="Aptos"/>
                <w:sz w:val="18"/>
                <w:szCs w:val="18"/>
              </w:rPr>
              <w:t>defined analyses reported or departures explained?</w:t>
            </w:r>
          </w:p>
        </w:tc>
        <w:tc>
          <w:tcPr>
            <w:tcW w:w="394" w:type="dxa"/>
            <w:tcBorders>
              <w:top w:val="nil"/>
              <w:left w:val="nil"/>
              <w:bottom w:val="single" w:sz="4" w:space="0" w:color="auto"/>
              <w:right w:val="single" w:sz="4" w:space="0" w:color="auto"/>
            </w:tcBorders>
            <w:shd w:val="clear" w:color="000000" w:fill="FFFFFF"/>
            <w:vAlign w:val="center"/>
            <w:hideMark/>
          </w:tcPr>
          <w:p w14:paraId="636F17E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7F4C3B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404682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81C1D2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997F0A2"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04F753F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F5DE249"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nil"/>
              <w:left w:val="nil"/>
              <w:bottom w:val="single" w:sz="4" w:space="0" w:color="auto"/>
              <w:right w:val="single" w:sz="4" w:space="0" w:color="auto"/>
            </w:tcBorders>
            <w:shd w:val="clear" w:color="000000" w:fill="FFFFFF"/>
            <w:vAlign w:val="center"/>
            <w:hideMark/>
          </w:tcPr>
          <w:p w14:paraId="6FBEC808"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050CDFFC"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59F96A7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07524C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90FC05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C52238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62A5AD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1EBF80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496B2B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45289E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D80F34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700CF0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512B47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9A1A47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92FAA1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49D496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1153FA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73861C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90B12C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1BDEB01D"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6CBD4961" w14:textId="77777777" w:rsidR="00304555" w:rsidRPr="00AE40B8" w:rsidRDefault="00304555" w:rsidP="009922A7">
            <w:pPr>
              <w:rPr>
                <w:rFonts w:ascii="Aptos" w:hAnsi="Aptos"/>
                <w:sz w:val="18"/>
                <w:szCs w:val="18"/>
              </w:rPr>
            </w:pPr>
            <w:r w:rsidRPr="00AE40B8">
              <w:rPr>
                <w:rFonts w:ascii="Aptos" w:hAnsi="Aptos"/>
                <w:sz w:val="18"/>
                <w:szCs w:val="18"/>
              </w:rPr>
              <w:t>Was the synthesis appropriate given the nature and similarity in the research questions, study designs and outcomes across included studies?</w:t>
            </w:r>
          </w:p>
        </w:tc>
        <w:tc>
          <w:tcPr>
            <w:tcW w:w="394" w:type="dxa"/>
            <w:tcBorders>
              <w:top w:val="nil"/>
              <w:left w:val="nil"/>
              <w:bottom w:val="single" w:sz="4" w:space="0" w:color="auto"/>
              <w:right w:val="single" w:sz="4" w:space="0" w:color="auto"/>
            </w:tcBorders>
            <w:shd w:val="clear" w:color="000000" w:fill="FFFFFF"/>
            <w:vAlign w:val="center"/>
            <w:hideMark/>
          </w:tcPr>
          <w:p w14:paraId="34B5052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F9366D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4DCE60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9715C8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CF88E7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67E9E7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291DAE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088899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11266D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A00979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3C4F58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60D1B6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FE1BD6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22BD09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5EEF9B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BEEC3C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1D9DBD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DD3E7E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5745B1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BD8625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74198A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A89C12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1C35BC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EA4584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1DC639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EE615C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29377A78"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4917182F" w14:textId="77777777" w:rsidR="00304555" w:rsidRPr="00AE40B8" w:rsidRDefault="00304555" w:rsidP="009922A7">
            <w:pPr>
              <w:rPr>
                <w:rFonts w:ascii="Aptos" w:hAnsi="Aptos"/>
                <w:sz w:val="18"/>
                <w:szCs w:val="18"/>
              </w:rPr>
            </w:pPr>
            <w:r w:rsidRPr="00AE40B8">
              <w:rPr>
                <w:rFonts w:ascii="Aptos" w:hAnsi="Aptos"/>
                <w:sz w:val="18"/>
                <w:szCs w:val="18"/>
              </w:rPr>
              <w:t>Was between</w:t>
            </w:r>
            <w:r w:rsidRPr="00AE40B8">
              <w:rPr>
                <w:rFonts w:ascii="Cambria Math" w:hAnsi="Cambria Math" w:cs="Cambria Math"/>
                <w:sz w:val="18"/>
                <w:szCs w:val="18"/>
              </w:rPr>
              <w:t>‐</w:t>
            </w:r>
            <w:r w:rsidRPr="00AE40B8">
              <w:rPr>
                <w:rFonts w:ascii="Aptos" w:hAnsi="Aptos"/>
                <w:sz w:val="18"/>
                <w:szCs w:val="18"/>
              </w:rPr>
              <w:t>study variation (heterogeneity) minimal or addressed in the synthesis?</w:t>
            </w:r>
          </w:p>
        </w:tc>
        <w:tc>
          <w:tcPr>
            <w:tcW w:w="394" w:type="dxa"/>
            <w:tcBorders>
              <w:top w:val="nil"/>
              <w:left w:val="nil"/>
              <w:bottom w:val="single" w:sz="4" w:space="0" w:color="auto"/>
              <w:right w:val="single" w:sz="4" w:space="0" w:color="auto"/>
            </w:tcBorders>
            <w:shd w:val="clear" w:color="000000" w:fill="FFFFFF"/>
            <w:vAlign w:val="center"/>
            <w:hideMark/>
          </w:tcPr>
          <w:p w14:paraId="1607A02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D97291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B114BE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19994E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BF1BCA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3E02E7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A642BA2"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nil"/>
              <w:left w:val="nil"/>
              <w:bottom w:val="single" w:sz="4" w:space="0" w:color="auto"/>
              <w:right w:val="single" w:sz="4" w:space="0" w:color="auto"/>
            </w:tcBorders>
            <w:shd w:val="clear" w:color="000000" w:fill="FFFFFF"/>
            <w:vAlign w:val="center"/>
            <w:hideMark/>
          </w:tcPr>
          <w:p w14:paraId="0FEA9E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6CF5444"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4AE07E48"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2159783C"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006654B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0CDA05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B8C0C1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6B9576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F59E978"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675E9A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35A0EB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0F38A1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A05D87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D4D4E75"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69C78517"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2649B21A"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4" w:type="dxa"/>
            <w:tcBorders>
              <w:top w:val="nil"/>
              <w:left w:val="nil"/>
              <w:bottom w:val="single" w:sz="4" w:space="0" w:color="auto"/>
              <w:right w:val="single" w:sz="4" w:space="0" w:color="auto"/>
            </w:tcBorders>
            <w:shd w:val="clear" w:color="000000" w:fill="FFFFFF"/>
            <w:vAlign w:val="center"/>
            <w:hideMark/>
          </w:tcPr>
          <w:p w14:paraId="744254C0"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2FBA4AA1" w14:textId="77777777" w:rsidR="00304555" w:rsidRPr="00AE40B8" w:rsidRDefault="00304555" w:rsidP="00066F36">
            <w:pPr>
              <w:jc w:val="center"/>
              <w:rPr>
                <w:rFonts w:ascii="Aptos" w:hAnsi="Aptos"/>
                <w:sz w:val="18"/>
                <w:szCs w:val="18"/>
              </w:rPr>
            </w:pPr>
            <w:r w:rsidRPr="00AE40B8">
              <w:rPr>
                <w:rFonts w:ascii="Aptos" w:hAnsi="Aptos"/>
                <w:sz w:val="18"/>
                <w:szCs w:val="18"/>
              </w:rPr>
              <w:t>PY</w:t>
            </w:r>
          </w:p>
        </w:tc>
        <w:tc>
          <w:tcPr>
            <w:tcW w:w="395" w:type="dxa"/>
            <w:tcBorders>
              <w:top w:val="nil"/>
              <w:left w:val="nil"/>
              <w:bottom w:val="single" w:sz="4" w:space="0" w:color="auto"/>
              <w:right w:val="single" w:sz="4" w:space="0" w:color="auto"/>
            </w:tcBorders>
            <w:shd w:val="clear" w:color="000000" w:fill="FFFFFF"/>
            <w:vAlign w:val="center"/>
            <w:hideMark/>
          </w:tcPr>
          <w:p w14:paraId="18CDC62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0291A778" w14:textId="77777777" w:rsidTr="00066F36">
        <w:trPr>
          <w:trHeight w:val="78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50621F31" w14:textId="77777777" w:rsidR="00304555" w:rsidRPr="00AE40B8" w:rsidRDefault="00304555" w:rsidP="009922A7">
            <w:pPr>
              <w:rPr>
                <w:rFonts w:ascii="Aptos" w:hAnsi="Aptos"/>
                <w:sz w:val="18"/>
                <w:szCs w:val="18"/>
              </w:rPr>
            </w:pPr>
            <w:r w:rsidRPr="00AE40B8">
              <w:rPr>
                <w:rFonts w:ascii="Aptos" w:hAnsi="Aptos"/>
                <w:sz w:val="18"/>
                <w:szCs w:val="18"/>
              </w:rPr>
              <w:t>Were the findings robust, e.g. as demonstrated through funnel plot or sensitivity analyses?</w:t>
            </w:r>
          </w:p>
        </w:tc>
        <w:tc>
          <w:tcPr>
            <w:tcW w:w="394" w:type="dxa"/>
            <w:tcBorders>
              <w:top w:val="nil"/>
              <w:left w:val="nil"/>
              <w:bottom w:val="single" w:sz="4" w:space="0" w:color="auto"/>
              <w:right w:val="single" w:sz="4" w:space="0" w:color="auto"/>
            </w:tcBorders>
            <w:shd w:val="clear" w:color="000000" w:fill="FFFFFF"/>
            <w:vAlign w:val="center"/>
            <w:hideMark/>
          </w:tcPr>
          <w:p w14:paraId="5F536D38"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1E91F60E"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60994276"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72979EB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DB13B0F" w14:textId="122226CB" w:rsidR="00304555" w:rsidRPr="00AE40B8" w:rsidRDefault="00AA62BB" w:rsidP="00066F36">
            <w:pPr>
              <w:jc w:val="center"/>
              <w:rPr>
                <w:rFonts w:ascii="Aptos" w:hAnsi="Aptos"/>
                <w:sz w:val="18"/>
                <w:szCs w:val="18"/>
              </w:rPr>
            </w:pPr>
            <w:r>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5333811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9EC5CF7"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nil"/>
              <w:left w:val="nil"/>
              <w:bottom w:val="single" w:sz="4" w:space="0" w:color="auto"/>
              <w:right w:val="single" w:sz="4" w:space="0" w:color="auto"/>
            </w:tcBorders>
            <w:shd w:val="clear" w:color="000000" w:fill="FFFFFF"/>
            <w:vAlign w:val="center"/>
            <w:hideMark/>
          </w:tcPr>
          <w:p w14:paraId="7BB77B7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908A1A8"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6B2E75A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063AC41"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3AD422B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74580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05FB885"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3336901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F43CBE1"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76F14FA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28A90F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8E91E6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23FAC0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FB88B19"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25BD1B25"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62C724D8"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4" w:type="dxa"/>
            <w:tcBorders>
              <w:top w:val="nil"/>
              <w:left w:val="nil"/>
              <w:bottom w:val="single" w:sz="4" w:space="0" w:color="auto"/>
              <w:right w:val="single" w:sz="4" w:space="0" w:color="auto"/>
            </w:tcBorders>
            <w:shd w:val="clear" w:color="000000" w:fill="FFFFFF"/>
            <w:vAlign w:val="center"/>
            <w:hideMark/>
          </w:tcPr>
          <w:p w14:paraId="0CDD5A79"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22E48BEE" w14:textId="77777777" w:rsidR="00304555" w:rsidRPr="00AE40B8" w:rsidRDefault="00304555" w:rsidP="00066F36">
            <w:pPr>
              <w:jc w:val="center"/>
              <w:rPr>
                <w:rFonts w:ascii="Aptos" w:hAnsi="Aptos"/>
                <w:sz w:val="18"/>
                <w:szCs w:val="18"/>
              </w:rPr>
            </w:pPr>
            <w:r w:rsidRPr="00AE40B8">
              <w:rPr>
                <w:rFonts w:ascii="Aptos" w:hAnsi="Aptos"/>
                <w:sz w:val="18"/>
                <w:szCs w:val="18"/>
              </w:rPr>
              <w:t>NI</w:t>
            </w:r>
          </w:p>
        </w:tc>
        <w:tc>
          <w:tcPr>
            <w:tcW w:w="395" w:type="dxa"/>
            <w:tcBorders>
              <w:top w:val="nil"/>
              <w:left w:val="nil"/>
              <w:bottom w:val="single" w:sz="4" w:space="0" w:color="auto"/>
              <w:right w:val="single" w:sz="4" w:space="0" w:color="auto"/>
            </w:tcBorders>
            <w:shd w:val="clear" w:color="000000" w:fill="FFFFFF"/>
            <w:vAlign w:val="center"/>
            <w:hideMark/>
          </w:tcPr>
          <w:p w14:paraId="34D8F73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337BE3B1" w14:textId="77777777" w:rsidTr="00066F36">
        <w:trPr>
          <w:trHeight w:val="3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28D264F0" w14:textId="77777777" w:rsidR="00304555" w:rsidRPr="00AE40B8" w:rsidRDefault="00304555" w:rsidP="009922A7">
            <w:pPr>
              <w:rPr>
                <w:rFonts w:ascii="Aptos" w:hAnsi="Aptos"/>
                <w:sz w:val="18"/>
                <w:szCs w:val="18"/>
              </w:rPr>
            </w:pPr>
            <w:r w:rsidRPr="00AE40B8">
              <w:rPr>
                <w:rFonts w:ascii="Aptos" w:hAnsi="Aptos"/>
                <w:sz w:val="18"/>
                <w:szCs w:val="18"/>
              </w:rPr>
              <w:t>Were biases in primary studies minimal or addressed in the synthesis?</w:t>
            </w:r>
          </w:p>
        </w:tc>
        <w:tc>
          <w:tcPr>
            <w:tcW w:w="394" w:type="dxa"/>
            <w:tcBorders>
              <w:top w:val="nil"/>
              <w:left w:val="nil"/>
              <w:bottom w:val="single" w:sz="4" w:space="0" w:color="auto"/>
              <w:right w:val="single" w:sz="4" w:space="0" w:color="auto"/>
            </w:tcBorders>
            <w:shd w:val="clear" w:color="000000" w:fill="FFFFFF"/>
            <w:vAlign w:val="center"/>
            <w:hideMark/>
          </w:tcPr>
          <w:p w14:paraId="2A77037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2CCA02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F28F3A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1180E5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2EAA36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E8C708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CC6B6E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E63820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A81072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2FC930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EA132E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92BC7E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FA1A56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753B6F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19DF07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31E4EC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CC0404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66F529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7C040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577399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9E8BCC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09E17B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C00E55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96BA30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15A54F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17AEA51"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5C3CFE45" w14:textId="77777777" w:rsidTr="00066F36">
        <w:trPr>
          <w:cantSplit/>
          <w:trHeight w:val="914"/>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32DAD4F8" w14:textId="77777777" w:rsidR="00304555" w:rsidRPr="00AE40B8" w:rsidRDefault="00304555" w:rsidP="009922A7">
            <w:pPr>
              <w:rPr>
                <w:rFonts w:ascii="Aptos" w:hAnsi="Aptos"/>
                <w:sz w:val="18"/>
                <w:szCs w:val="18"/>
              </w:rPr>
            </w:pPr>
            <w:r w:rsidRPr="00AE40B8">
              <w:rPr>
                <w:rFonts w:ascii="Aptos" w:hAnsi="Aptos"/>
                <w:sz w:val="18"/>
                <w:szCs w:val="18"/>
              </w:rPr>
              <w:t>Concerns regarding the synthesis and finding: LOW, HIGH, UNCLEAR</w:t>
            </w:r>
          </w:p>
        </w:tc>
        <w:tc>
          <w:tcPr>
            <w:tcW w:w="394" w:type="dxa"/>
            <w:tcBorders>
              <w:top w:val="nil"/>
              <w:left w:val="nil"/>
              <w:bottom w:val="single" w:sz="4" w:space="0" w:color="auto"/>
              <w:right w:val="single" w:sz="4" w:space="0" w:color="auto"/>
            </w:tcBorders>
            <w:shd w:val="clear" w:color="000000" w:fill="F8CBAD"/>
            <w:textDirection w:val="btLr"/>
            <w:vAlign w:val="center"/>
            <w:hideMark/>
          </w:tcPr>
          <w:p w14:paraId="1028F58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F8CBAD"/>
            <w:textDirection w:val="btLr"/>
            <w:vAlign w:val="center"/>
            <w:hideMark/>
          </w:tcPr>
          <w:p w14:paraId="0E5F0D5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4" w:type="dxa"/>
            <w:tcBorders>
              <w:top w:val="nil"/>
              <w:left w:val="nil"/>
              <w:bottom w:val="single" w:sz="4" w:space="0" w:color="auto"/>
              <w:right w:val="single" w:sz="4" w:space="0" w:color="auto"/>
            </w:tcBorders>
            <w:shd w:val="clear" w:color="000000" w:fill="F8CBAD"/>
            <w:textDirection w:val="btLr"/>
            <w:vAlign w:val="center"/>
            <w:hideMark/>
          </w:tcPr>
          <w:p w14:paraId="6F8E796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47D5096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52D5FD0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6598647"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6381589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4306A0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005F775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972095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F4B084"/>
            <w:textDirection w:val="btLr"/>
            <w:vAlign w:val="center"/>
            <w:hideMark/>
          </w:tcPr>
          <w:p w14:paraId="56DC318E"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866079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D3E71D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F4B084"/>
            <w:textDirection w:val="btLr"/>
            <w:vAlign w:val="center"/>
            <w:hideMark/>
          </w:tcPr>
          <w:p w14:paraId="3FA134B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26704FD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3DB47CAB"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501F8C7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55D14C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3EF3558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18244B0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435FD7A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4EE05E9B"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109A4AB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0A30D8E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0EFDAC8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34D14B28"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w:t>
            </w:r>
          </w:p>
        </w:tc>
      </w:tr>
      <w:tr w:rsidR="004D4DB5" w:rsidRPr="009922A7" w14:paraId="53934767" w14:textId="77777777" w:rsidTr="00862DCB">
        <w:trPr>
          <w:trHeight w:val="320"/>
        </w:trPr>
        <w:tc>
          <w:tcPr>
            <w:tcW w:w="3985" w:type="dxa"/>
            <w:tcBorders>
              <w:top w:val="nil"/>
              <w:left w:val="single" w:sz="4" w:space="0" w:color="auto"/>
              <w:bottom w:val="single" w:sz="4" w:space="0" w:color="auto"/>
              <w:right w:val="single" w:sz="4" w:space="0" w:color="auto"/>
            </w:tcBorders>
            <w:shd w:val="clear" w:color="000000" w:fill="D9D9D9"/>
            <w:vAlign w:val="center"/>
            <w:hideMark/>
          </w:tcPr>
          <w:p w14:paraId="2AF37482" w14:textId="77777777" w:rsidR="00304555" w:rsidRPr="00AE40B8" w:rsidRDefault="00304555" w:rsidP="009922A7">
            <w:pPr>
              <w:rPr>
                <w:rFonts w:ascii="Aptos" w:hAnsi="Aptos"/>
                <w:sz w:val="18"/>
                <w:szCs w:val="18"/>
              </w:rPr>
            </w:pPr>
            <w:r w:rsidRPr="00AE40B8">
              <w:rPr>
                <w:rFonts w:ascii="Aptos" w:hAnsi="Aptos"/>
                <w:sz w:val="18"/>
                <w:szCs w:val="18"/>
              </w:rPr>
              <w:t>Risk of bias in the review</w:t>
            </w:r>
          </w:p>
        </w:tc>
        <w:tc>
          <w:tcPr>
            <w:tcW w:w="394" w:type="dxa"/>
            <w:tcBorders>
              <w:top w:val="nil"/>
              <w:left w:val="nil"/>
              <w:bottom w:val="single" w:sz="4" w:space="0" w:color="auto"/>
              <w:right w:val="single" w:sz="4" w:space="0" w:color="auto"/>
            </w:tcBorders>
            <w:shd w:val="clear" w:color="000000" w:fill="D9D9D9"/>
            <w:vAlign w:val="center"/>
            <w:hideMark/>
          </w:tcPr>
          <w:p w14:paraId="58C97817" w14:textId="5D734CA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4410F487" w14:textId="2B517220"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5981C7A4" w14:textId="6E93F0F7"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62D4CE4B" w14:textId="3C902E8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18FB0CC8" w14:textId="025632E3"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72261FF5" w14:textId="3FEADE45"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3BA4E8E6" w14:textId="305DD290"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408792CD" w14:textId="1A63B276"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2C1794BF" w14:textId="7DC20BAA"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1FB227CC" w14:textId="18467ECF"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10AD90BC" w14:textId="637B7D06"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6D9624AE" w14:textId="1378475E"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340A23BE" w14:textId="0856A21D"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040A0585" w14:textId="7E95F884"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0F827C76" w14:textId="5A6BD2D1"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1BED76BD" w14:textId="7583874C"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7FF0E927" w14:textId="51EA539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582D7BB9" w14:textId="2596822E"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63F03A1A" w14:textId="1A0CF7E1"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11F1E5BE" w14:textId="7E8E2C0E" w:rsidR="00304555" w:rsidRPr="00AE40B8" w:rsidRDefault="00304555" w:rsidP="00066F36">
            <w:pPr>
              <w:jc w:val="center"/>
              <w:rPr>
                <w:rFonts w:ascii="Aptos" w:hAnsi="Aptos"/>
                <w:sz w:val="18"/>
                <w:szCs w:val="18"/>
              </w:rPr>
            </w:pPr>
          </w:p>
        </w:tc>
        <w:tc>
          <w:tcPr>
            <w:tcW w:w="394" w:type="dxa"/>
            <w:tcBorders>
              <w:top w:val="nil"/>
              <w:left w:val="nil"/>
              <w:bottom w:val="nil"/>
              <w:right w:val="nil"/>
            </w:tcBorders>
            <w:shd w:val="clear" w:color="auto" w:fill="D9D9D9" w:themeFill="background1" w:themeFillShade="D9"/>
            <w:noWrap/>
            <w:vAlign w:val="center"/>
            <w:hideMark/>
          </w:tcPr>
          <w:p w14:paraId="08076BE4" w14:textId="77777777" w:rsidR="00304555" w:rsidRPr="00AE40B8" w:rsidRDefault="00304555" w:rsidP="00066F36">
            <w:pPr>
              <w:jc w:val="center"/>
              <w:rPr>
                <w:rFonts w:ascii="Aptos" w:hAnsi="Aptos"/>
                <w:sz w:val="18"/>
                <w:szCs w:val="18"/>
              </w:rPr>
            </w:pPr>
          </w:p>
        </w:tc>
        <w:tc>
          <w:tcPr>
            <w:tcW w:w="395" w:type="dxa"/>
            <w:tcBorders>
              <w:top w:val="nil"/>
              <w:left w:val="single" w:sz="4" w:space="0" w:color="auto"/>
              <w:bottom w:val="single" w:sz="4" w:space="0" w:color="auto"/>
              <w:right w:val="single" w:sz="4" w:space="0" w:color="auto"/>
            </w:tcBorders>
            <w:shd w:val="clear" w:color="000000" w:fill="D9D9D9"/>
            <w:vAlign w:val="center"/>
            <w:hideMark/>
          </w:tcPr>
          <w:p w14:paraId="1FC2B058" w14:textId="2F3D1391"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0AF3E162" w14:textId="55246C87" w:rsidR="00304555" w:rsidRPr="00AE40B8" w:rsidRDefault="00304555" w:rsidP="00066F36">
            <w:pPr>
              <w:jc w:val="center"/>
              <w:rPr>
                <w:rFonts w:ascii="Aptos" w:hAnsi="Aptos"/>
                <w:sz w:val="18"/>
                <w:szCs w:val="18"/>
              </w:rPr>
            </w:pPr>
          </w:p>
        </w:tc>
        <w:tc>
          <w:tcPr>
            <w:tcW w:w="394" w:type="dxa"/>
            <w:tcBorders>
              <w:top w:val="nil"/>
              <w:left w:val="nil"/>
              <w:bottom w:val="single" w:sz="4" w:space="0" w:color="auto"/>
              <w:right w:val="single" w:sz="4" w:space="0" w:color="auto"/>
            </w:tcBorders>
            <w:shd w:val="clear" w:color="000000" w:fill="D9D9D9"/>
            <w:vAlign w:val="center"/>
            <w:hideMark/>
          </w:tcPr>
          <w:p w14:paraId="491A3608" w14:textId="7164627D"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0D97AB0C" w14:textId="33234162" w:rsidR="00304555" w:rsidRPr="00AE40B8" w:rsidRDefault="00304555" w:rsidP="00066F36">
            <w:pPr>
              <w:jc w:val="center"/>
              <w:rPr>
                <w:rFonts w:ascii="Aptos" w:hAnsi="Aptos"/>
                <w:sz w:val="18"/>
                <w:szCs w:val="18"/>
              </w:rPr>
            </w:pPr>
          </w:p>
        </w:tc>
        <w:tc>
          <w:tcPr>
            <w:tcW w:w="395" w:type="dxa"/>
            <w:tcBorders>
              <w:top w:val="nil"/>
              <w:left w:val="nil"/>
              <w:bottom w:val="single" w:sz="4" w:space="0" w:color="auto"/>
              <w:right w:val="single" w:sz="4" w:space="0" w:color="auto"/>
            </w:tcBorders>
            <w:shd w:val="clear" w:color="000000" w:fill="D9D9D9"/>
            <w:vAlign w:val="center"/>
            <w:hideMark/>
          </w:tcPr>
          <w:p w14:paraId="0E89B28B" w14:textId="6A901CB3" w:rsidR="00304555" w:rsidRPr="00AE40B8" w:rsidRDefault="00304555" w:rsidP="00066F36">
            <w:pPr>
              <w:jc w:val="center"/>
              <w:rPr>
                <w:rFonts w:ascii="Aptos" w:hAnsi="Aptos"/>
                <w:sz w:val="18"/>
                <w:szCs w:val="18"/>
              </w:rPr>
            </w:pPr>
          </w:p>
        </w:tc>
      </w:tr>
      <w:tr w:rsidR="004D4DB5" w:rsidRPr="009922A7" w14:paraId="698B3FE4"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54270A24" w14:textId="77777777" w:rsidR="00304555" w:rsidRPr="00AE40B8" w:rsidRDefault="00304555" w:rsidP="009922A7">
            <w:pPr>
              <w:rPr>
                <w:rFonts w:ascii="Aptos" w:hAnsi="Aptos"/>
                <w:sz w:val="18"/>
                <w:szCs w:val="18"/>
              </w:rPr>
            </w:pPr>
            <w:r w:rsidRPr="00AE40B8">
              <w:rPr>
                <w:rFonts w:ascii="Aptos" w:hAnsi="Aptos"/>
                <w:sz w:val="18"/>
                <w:szCs w:val="18"/>
              </w:rPr>
              <w:t>Did the interpretation of findings address all of the concerns identified in Domains 1</w:t>
            </w:r>
            <w:r w:rsidRPr="00AE40B8">
              <w:rPr>
                <w:rFonts w:ascii="Cambria Math" w:hAnsi="Cambria Math" w:cs="Cambria Math"/>
                <w:sz w:val="18"/>
                <w:szCs w:val="18"/>
              </w:rPr>
              <w:t>‐</w:t>
            </w:r>
            <w:r w:rsidRPr="00AE40B8">
              <w:rPr>
                <w:rFonts w:ascii="Aptos" w:hAnsi="Aptos"/>
                <w:sz w:val="18"/>
                <w:szCs w:val="18"/>
              </w:rPr>
              <w:t>4?</w:t>
            </w:r>
          </w:p>
        </w:tc>
        <w:tc>
          <w:tcPr>
            <w:tcW w:w="394" w:type="dxa"/>
            <w:tcBorders>
              <w:top w:val="nil"/>
              <w:left w:val="nil"/>
              <w:bottom w:val="single" w:sz="4" w:space="0" w:color="auto"/>
              <w:right w:val="single" w:sz="4" w:space="0" w:color="auto"/>
            </w:tcBorders>
            <w:shd w:val="clear" w:color="000000" w:fill="FFFFFF"/>
            <w:vAlign w:val="center"/>
            <w:hideMark/>
          </w:tcPr>
          <w:p w14:paraId="78BCEB1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294577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FEBE58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7D0D3C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158FCB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DE4C62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C9200A3"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4" w:type="dxa"/>
            <w:tcBorders>
              <w:top w:val="nil"/>
              <w:left w:val="nil"/>
              <w:bottom w:val="single" w:sz="4" w:space="0" w:color="auto"/>
              <w:right w:val="single" w:sz="4" w:space="0" w:color="auto"/>
            </w:tcBorders>
            <w:shd w:val="clear" w:color="000000" w:fill="FFFFFF"/>
            <w:vAlign w:val="center"/>
            <w:hideMark/>
          </w:tcPr>
          <w:p w14:paraId="782F317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589DB01" w14:textId="77777777" w:rsidR="00304555" w:rsidRPr="00AE40B8" w:rsidRDefault="00304555" w:rsidP="00066F36">
            <w:pPr>
              <w:jc w:val="center"/>
              <w:rPr>
                <w:rFonts w:ascii="Aptos" w:hAnsi="Aptos"/>
                <w:sz w:val="18"/>
                <w:szCs w:val="18"/>
              </w:rPr>
            </w:pPr>
            <w:r w:rsidRPr="00AE40B8">
              <w:rPr>
                <w:rFonts w:ascii="Aptos" w:hAnsi="Aptos"/>
                <w:sz w:val="18"/>
                <w:szCs w:val="18"/>
              </w:rPr>
              <w:t>N</w:t>
            </w:r>
          </w:p>
        </w:tc>
        <w:tc>
          <w:tcPr>
            <w:tcW w:w="395" w:type="dxa"/>
            <w:tcBorders>
              <w:top w:val="nil"/>
              <w:left w:val="nil"/>
              <w:bottom w:val="single" w:sz="4" w:space="0" w:color="auto"/>
              <w:right w:val="single" w:sz="4" w:space="0" w:color="auto"/>
            </w:tcBorders>
            <w:shd w:val="clear" w:color="000000" w:fill="FFFFFF"/>
            <w:vAlign w:val="center"/>
            <w:hideMark/>
          </w:tcPr>
          <w:p w14:paraId="54A38C5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14C547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851A8DC"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FC7BFE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D1A2C2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01BC9B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515BE74"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E384D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10597D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E9DC70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5E82CE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single" w:sz="4" w:space="0" w:color="auto"/>
              <w:left w:val="nil"/>
              <w:bottom w:val="single" w:sz="4" w:space="0" w:color="auto"/>
              <w:right w:val="single" w:sz="4" w:space="0" w:color="auto"/>
            </w:tcBorders>
            <w:shd w:val="clear" w:color="000000" w:fill="FFFFFF"/>
            <w:vAlign w:val="center"/>
            <w:hideMark/>
          </w:tcPr>
          <w:p w14:paraId="27108FE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16CC0B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42B2B9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07340F4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33B054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3A47A4D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0F6166E8"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1E1EF6BB" w14:textId="77777777" w:rsidR="00304555" w:rsidRPr="00AE40B8" w:rsidRDefault="00304555" w:rsidP="009922A7">
            <w:pPr>
              <w:rPr>
                <w:rFonts w:ascii="Aptos" w:hAnsi="Aptos"/>
                <w:sz w:val="18"/>
                <w:szCs w:val="18"/>
              </w:rPr>
            </w:pPr>
            <w:r w:rsidRPr="00AE40B8">
              <w:rPr>
                <w:rFonts w:ascii="Aptos" w:hAnsi="Aptos"/>
                <w:sz w:val="18"/>
                <w:szCs w:val="18"/>
              </w:rPr>
              <w:t>Was the relevance of identified studies to the review's research question appropriately considered?</w:t>
            </w:r>
          </w:p>
        </w:tc>
        <w:tc>
          <w:tcPr>
            <w:tcW w:w="394" w:type="dxa"/>
            <w:tcBorders>
              <w:top w:val="nil"/>
              <w:left w:val="nil"/>
              <w:bottom w:val="single" w:sz="4" w:space="0" w:color="auto"/>
              <w:right w:val="single" w:sz="4" w:space="0" w:color="auto"/>
            </w:tcBorders>
            <w:shd w:val="clear" w:color="000000" w:fill="FFFFFF"/>
            <w:vAlign w:val="center"/>
            <w:hideMark/>
          </w:tcPr>
          <w:p w14:paraId="24EC22C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1FFD52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EA152B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DEE577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B9E8A8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C3476F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3C5B8F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3562C6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BF2669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D56ED1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AD2B90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111901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9D2C6C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620D87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51D708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571B07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58BE0D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23E15A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2D1E80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9BE790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7B36F03D"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5AB526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88588E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55E1919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99BCE0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93C0A3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4CAD620D" w14:textId="77777777" w:rsidTr="00066F36">
        <w:trPr>
          <w:trHeight w:val="520"/>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26B5944C" w14:textId="77777777" w:rsidR="00304555" w:rsidRPr="00AE40B8" w:rsidRDefault="00304555" w:rsidP="009922A7">
            <w:pPr>
              <w:rPr>
                <w:rFonts w:ascii="Aptos" w:hAnsi="Aptos"/>
                <w:sz w:val="18"/>
                <w:szCs w:val="18"/>
              </w:rPr>
            </w:pPr>
            <w:r w:rsidRPr="00AE40B8">
              <w:rPr>
                <w:rFonts w:ascii="Aptos" w:hAnsi="Aptos"/>
                <w:sz w:val="18"/>
                <w:szCs w:val="18"/>
              </w:rPr>
              <w:t>Did the reviewers avoid emphasizing results on the basis of their statistical significance?</w:t>
            </w:r>
          </w:p>
        </w:tc>
        <w:tc>
          <w:tcPr>
            <w:tcW w:w="394" w:type="dxa"/>
            <w:tcBorders>
              <w:top w:val="nil"/>
              <w:left w:val="nil"/>
              <w:bottom w:val="single" w:sz="4" w:space="0" w:color="auto"/>
              <w:right w:val="single" w:sz="4" w:space="0" w:color="auto"/>
            </w:tcBorders>
            <w:shd w:val="clear" w:color="000000" w:fill="FFFFFF"/>
            <w:vAlign w:val="center"/>
            <w:hideMark/>
          </w:tcPr>
          <w:p w14:paraId="1F06DC1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5350AF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EF32FB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27AC5A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AFDF57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BBE562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FFC0F6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3E7B836"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4B92C8A2"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927C09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65148DF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09620A7"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7A6F992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2653825A"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CBC830B"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6FC40B9"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64BB91E"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209B1C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48F5FF2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204954AF"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384270D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67EF31C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5E55AB68"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4" w:type="dxa"/>
            <w:tcBorders>
              <w:top w:val="nil"/>
              <w:left w:val="nil"/>
              <w:bottom w:val="single" w:sz="4" w:space="0" w:color="auto"/>
              <w:right w:val="single" w:sz="4" w:space="0" w:color="auto"/>
            </w:tcBorders>
            <w:shd w:val="clear" w:color="000000" w:fill="FFFFFF"/>
            <w:vAlign w:val="center"/>
            <w:hideMark/>
          </w:tcPr>
          <w:p w14:paraId="179DA840"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164C4F35"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c>
          <w:tcPr>
            <w:tcW w:w="395" w:type="dxa"/>
            <w:tcBorders>
              <w:top w:val="nil"/>
              <w:left w:val="nil"/>
              <w:bottom w:val="single" w:sz="4" w:space="0" w:color="auto"/>
              <w:right w:val="single" w:sz="4" w:space="0" w:color="auto"/>
            </w:tcBorders>
            <w:shd w:val="clear" w:color="000000" w:fill="FFFFFF"/>
            <w:vAlign w:val="center"/>
            <w:hideMark/>
          </w:tcPr>
          <w:p w14:paraId="08876153" w14:textId="77777777" w:rsidR="00304555" w:rsidRPr="00AE40B8" w:rsidRDefault="00304555" w:rsidP="00066F36">
            <w:pPr>
              <w:jc w:val="center"/>
              <w:rPr>
                <w:rFonts w:ascii="Aptos" w:hAnsi="Aptos"/>
                <w:sz w:val="18"/>
                <w:szCs w:val="18"/>
              </w:rPr>
            </w:pPr>
            <w:r w:rsidRPr="00AE40B8">
              <w:rPr>
                <w:rFonts w:ascii="Aptos" w:hAnsi="Aptos"/>
                <w:sz w:val="18"/>
                <w:szCs w:val="18"/>
              </w:rPr>
              <w:t>Y</w:t>
            </w:r>
          </w:p>
        </w:tc>
      </w:tr>
      <w:tr w:rsidR="004D4DB5" w:rsidRPr="009922A7" w14:paraId="2280E4A3" w14:textId="77777777" w:rsidTr="00066F36">
        <w:trPr>
          <w:cantSplit/>
          <w:trHeight w:val="1211"/>
        </w:trPr>
        <w:tc>
          <w:tcPr>
            <w:tcW w:w="3985" w:type="dxa"/>
            <w:tcBorders>
              <w:top w:val="nil"/>
              <w:left w:val="single" w:sz="4" w:space="0" w:color="auto"/>
              <w:bottom w:val="single" w:sz="4" w:space="0" w:color="auto"/>
              <w:right w:val="single" w:sz="4" w:space="0" w:color="auto"/>
            </w:tcBorders>
            <w:shd w:val="clear" w:color="000000" w:fill="FFFFFF"/>
            <w:vAlign w:val="center"/>
            <w:hideMark/>
          </w:tcPr>
          <w:p w14:paraId="32976FB4" w14:textId="77777777" w:rsidR="00304555" w:rsidRPr="00AE40B8" w:rsidRDefault="00304555" w:rsidP="009922A7">
            <w:pPr>
              <w:rPr>
                <w:rFonts w:ascii="Aptos" w:hAnsi="Aptos"/>
                <w:sz w:val="18"/>
                <w:szCs w:val="18"/>
              </w:rPr>
            </w:pPr>
            <w:r w:rsidRPr="00AE40B8">
              <w:rPr>
                <w:rFonts w:ascii="Aptos" w:hAnsi="Aptos"/>
                <w:sz w:val="18"/>
                <w:szCs w:val="18"/>
              </w:rPr>
              <w:t>Overall risk of bias</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6A52434"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386ADA9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650F53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1ADC7D27"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FFF2CC"/>
            <w:textDirection w:val="btLr"/>
            <w:vAlign w:val="center"/>
            <w:hideMark/>
          </w:tcPr>
          <w:p w14:paraId="17B9F4C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 risk</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53F0EF5B" w14:textId="35A9DF89"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5D1B4734"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 risk</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7A878B3A"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3CF51B25"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221F23A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1FA75C8A" w14:textId="6541A621" w:rsidR="00304555" w:rsidRPr="00AE40B8" w:rsidRDefault="00304555" w:rsidP="00066F36">
            <w:pPr>
              <w:ind w:left="113" w:right="113"/>
              <w:jc w:val="center"/>
              <w:rPr>
                <w:rFonts w:ascii="Aptos" w:hAnsi="Aptos"/>
                <w:sz w:val="18"/>
                <w:szCs w:val="18"/>
              </w:rPr>
            </w:pPr>
            <w:r w:rsidRPr="00AE40B8">
              <w:rPr>
                <w:rFonts w:ascii="Aptos" w:hAnsi="Aptos"/>
                <w:sz w:val="18"/>
                <w:szCs w:val="18"/>
              </w:rPr>
              <w:t>Uncle</w:t>
            </w:r>
            <w:r w:rsidR="00862DCB">
              <w:rPr>
                <w:rFonts w:ascii="Aptos" w:hAnsi="Aptos"/>
                <w:sz w:val="18"/>
                <w:szCs w:val="18"/>
              </w:rPr>
              <w:t>a</w:t>
            </w:r>
            <w:r w:rsidRPr="00AE40B8">
              <w:rPr>
                <w:rFonts w:ascii="Aptos" w:hAnsi="Aptos"/>
                <w:sz w:val="18"/>
                <w:szCs w:val="18"/>
              </w:rPr>
              <w:t>r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295EDA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CCBF3FD"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375C319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6E63681"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28C5E0D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4A502446"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7F8C6EC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4" w:type="dxa"/>
            <w:tcBorders>
              <w:top w:val="nil"/>
              <w:left w:val="nil"/>
              <w:bottom w:val="single" w:sz="4" w:space="0" w:color="auto"/>
              <w:right w:val="single" w:sz="4" w:space="0" w:color="auto"/>
            </w:tcBorders>
            <w:shd w:val="clear" w:color="000000" w:fill="E2EFDA"/>
            <w:textDirection w:val="btLr"/>
            <w:vAlign w:val="center"/>
            <w:hideMark/>
          </w:tcPr>
          <w:p w14:paraId="498321A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46AF27FC"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4" w:type="dxa"/>
            <w:tcBorders>
              <w:top w:val="nil"/>
              <w:left w:val="nil"/>
              <w:bottom w:val="single" w:sz="4" w:space="0" w:color="auto"/>
              <w:right w:val="single" w:sz="4" w:space="0" w:color="auto"/>
            </w:tcBorders>
            <w:shd w:val="clear" w:color="000000" w:fill="F4B084"/>
            <w:textDirection w:val="btLr"/>
            <w:vAlign w:val="center"/>
            <w:hideMark/>
          </w:tcPr>
          <w:p w14:paraId="489DD55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 risk</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6A0E9943"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 risk</w:t>
            </w:r>
          </w:p>
        </w:tc>
        <w:tc>
          <w:tcPr>
            <w:tcW w:w="395" w:type="dxa"/>
            <w:tcBorders>
              <w:top w:val="nil"/>
              <w:left w:val="nil"/>
              <w:bottom w:val="single" w:sz="4" w:space="0" w:color="auto"/>
              <w:right w:val="single" w:sz="4" w:space="0" w:color="auto"/>
            </w:tcBorders>
            <w:shd w:val="clear" w:color="000000" w:fill="F4B084"/>
            <w:textDirection w:val="btLr"/>
            <w:vAlign w:val="center"/>
            <w:hideMark/>
          </w:tcPr>
          <w:p w14:paraId="4D1A88B0"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High risk</w:t>
            </w:r>
          </w:p>
        </w:tc>
        <w:tc>
          <w:tcPr>
            <w:tcW w:w="394" w:type="dxa"/>
            <w:tcBorders>
              <w:top w:val="nil"/>
              <w:left w:val="nil"/>
              <w:bottom w:val="single" w:sz="4" w:space="0" w:color="auto"/>
              <w:right w:val="single" w:sz="4" w:space="0" w:color="auto"/>
            </w:tcBorders>
            <w:shd w:val="clear" w:color="000000" w:fill="FFF2CC"/>
            <w:textDirection w:val="btLr"/>
            <w:vAlign w:val="center"/>
            <w:hideMark/>
          </w:tcPr>
          <w:p w14:paraId="0DFAB09E"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Unclear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6556475B"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c>
          <w:tcPr>
            <w:tcW w:w="395" w:type="dxa"/>
            <w:tcBorders>
              <w:top w:val="nil"/>
              <w:left w:val="nil"/>
              <w:bottom w:val="single" w:sz="4" w:space="0" w:color="auto"/>
              <w:right w:val="single" w:sz="4" w:space="0" w:color="auto"/>
            </w:tcBorders>
            <w:shd w:val="clear" w:color="000000" w:fill="E2EFDA"/>
            <w:textDirection w:val="btLr"/>
            <w:vAlign w:val="center"/>
            <w:hideMark/>
          </w:tcPr>
          <w:p w14:paraId="39FC6379" w14:textId="77777777" w:rsidR="00304555" w:rsidRPr="00AE40B8" w:rsidRDefault="00304555" w:rsidP="00066F36">
            <w:pPr>
              <w:ind w:left="113" w:right="113"/>
              <w:jc w:val="center"/>
              <w:rPr>
                <w:rFonts w:ascii="Aptos" w:hAnsi="Aptos"/>
                <w:sz w:val="18"/>
                <w:szCs w:val="18"/>
              </w:rPr>
            </w:pPr>
            <w:r w:rsidRPr="00AE40B8">
              <w:rPr>
                <w:rFonts w:ascii="Aptos" w:hAnsi="Aptos"/>
                <w:sz w:val="18"/>
                <w:szCs w:val="18"/>
              </w:rPr>
              <w:t>Low risk</w:t>
            </w:r>
          </w:p>
        </w:tc>
      </w:tr>
    </w:tbl>
    <w:p w14:paraId="3F75C16F" w14:textId="77777777" w:rsidR="003B7F1C" w:rsidRPr="003B7F1C" w:rsidRDefault="003B7F1C" w:rsidP="003B7F1C"/>
    <w:p w14:paraId="797AE879" w14:textId="4BDD9B67" w:rsidR="009922A7" w:rsidRPr="00D518FF" w:rsidRDefault="00834CBC" w:rsidP="00EB0AAA">
      <w:pPr>
        <w:pStyle w:val="Caption"/>
        <w:rPr>
          <w:rFonts w:ascii="Aptos" w:hAnsi="Aptos"/>
        </w:rPr>
      </w:pPr>
      <w:bookmarkStart w:id="221" w:name="_Toc185254597"/>
      <w:r w:rsidRPr="00AA694C">
        <w:rPr>
          <w:rFonts w:ascii="Aptos" w:hAnsi="Aptos"/>
        </w:rPr>
        <w:lastRenderedPageBreak/>
        <w:t xml:space="preserve">Table </w:t>
      </w:r>
      <w:r w:rsidR="00DC4767" w:rsidRPr="00AA694C">
        <w:rPr>
          <w:rFonts w:ascii="Aptos" w:hAnsi="Aptos"/>
        </w:rPr>
        <w:fldChar w:fldCharType="begin" w:fldLock="1"/>
      </w:r>
      <w:r w:rsidR="00DC4767" w:rsidRPr="00AA694C">
        <w:rPr>
          <w:rFonts w:ascii="Aptos" w:hAnsi="Aptos"/>
        </w:rPr>
        <w:instrText xml:space="preserve"> STYLEREF 1 \s </w:instrText>
      </w:r>
      <w:r w:rsidR="00DC4767" w:rsidRPr="00AA694C">
        <w:rPr>
          <w:rFonts w:ascii="Aptos" w:hAnsi="Aptos"/>
        </w:rPr>
        <w:fldChar w:fldCharType="separate"/>
      </w:r>
      <w:r w:rsidR="00DC4767" w:rsidRPr="00AA694C">
        <w:rPr>
          <w:rFonts w:ascii="Aptos" w:hAnsi="Aptos"/>
        </w:rPr>
        <w:t>F</w:t>
      </w:r>
      <w:r w:rsidR="00DC4767" w:rsidRPr="00AA694C">
        <w:rPr>
          <w:rFonts w:ascii="Aptos" w:hAnsi="Aptos"/>
        </w:rPr>
        <w:fldChar w:fldCharType="end"/>
      </w:r>
      <w:r w:rsidR="00DC4767" w:rsidRPr="00AA694C">
        <w:rPr>
          <w:rFonts w:ascii="Aptos" w:hAnsi="Aptos"/>
        </w:rPr>
        <w:noBreakHyphen/>
      </w:r>
      <w:r w:rsidR="003B0594" w:rsidRPr="00AA694C">
        <w:rPr>
          <w:rFonts w:ascii="Aptos" w:hAnsi="Aptos"/>
        </w:rPr>
        <w:fldChar w:fldCharType="begin"/>
      </w:r>
      <w:r w:rsidR="003B0594" w:rsidRPr="00AA694C">
        <w:rPr>
          <w:rFonts w:ascii="Aptos" w:hAnsi="Aptos"/>
        </w:rPr>
        <w:instrText xml:space="preserve"> SEQ Table \* ARABIC \s 1 </w:instrText>
      </w:r>
      <w:r w:rsidR="003B0594" w:rsidRPr="00AA694C">
        <w:rPr>
          <w:rFonts w:ascii="Aptos" w:hAnsi="Aptos"/>
        </w:rPr>
        <w:fldChar w:fldCharType="separate"/>
      </w:r>
      <w:r w:rsidR="00C426C6">
        <w:rPr>
          <w:rFonts w:ascii="Aptos" w:hAnsi="Aptos"/>
          <w:noProof/>
        </w:rPr>
        <w:t>5</w:t>
      </w:r>
      <w:r w:rsidR="003B0594" w:rsidRPr="00AA694C">
        <w:rPr>
          <w:rFonts w:ascii="Aptos" w:hAnsi="Aptos"/>
        </w:rPr>
        <w:fldChar w:fldCharType="end"/>
      </w:r>
      <w:r w:rsidR="00881574" w:rsidRPr="00D518FF">
        <w:rPr>
          <w:rFonts w:ascii="Aptos" w:hAnsi="Aptos"/>
        </w:rPr>
        <w:t>. Results of included reviews by outcome domain – atopic disorders (including eczema, dermatitis, allergic rhinitis, allergies), zinc</w:t>
      </w:r>
      <w:bookmarkEnd w:id="221"/>
    </w:p>
    <w:tbl>
      <w:tblPr>
        <w:tblpPr w:leftFromText="180" w:rightFromText="180" w:vertAnchor="text" w:tblpY="1"/>
        <w:tblOverlap w:val="never"/>
        <w:tblW w:w="4975" w:type="pct"/>
        <w:tblCellMar>
          <w:left w:w="57" w:type="dxa"/>
          <w:right w:w="57" w:type="dxa"/>
        </w:tblCellMar>
        <w:tblLook w:val="04A0" w:firstRow="1" w:lastRow="0" w:firstColumn="1" w:lastColumn="0" w:noHBand="0" w:noVBand="1"/>
      </w:tblPr>
      <w:tblGrid>
        <w:gridCol w:w="11158"/>
        <w:gridCol w:w="1032"/>
        <w:gridCol w:w="989"/>
        <w:gridCol w:w="995"/>
      </w:tblGrid>
      <w:tr w:rsidR="00D40F1C" w:rsidRPr="00A1739B" w14:paraId="461B3861" w14:textId="77777777" w:rsidTr="00AA694C">
        <w:trPr>
          <w:trHeight w:val="355"/>
        </w:trPr>
        <w:tc>
          <w:tcPr>
            <w:tcW w:w="393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EBCE91A" w14:textId="456261C9" w:rsidR="00ED5365" w:rsidRPr="0039142E" w:rsidRDefault="00ED5365" w:rsidP="00AA694C">
            <w:pPr>
              <w:rPr>
                <w:rFonts w:ascii="Aptos" w:hAnsi="Aptos"/>
                <w:b/>
                <w:bCs/>
                <w:sz w:val="18"/>
                <w:szCs w:val="18"/>
              </w:rPr>
            </w:pPr>
            <w:r w:rsidRPr="0039142E">
              <w:rPr>
                <w:rFonts w:ascii="Aptos" w:hAnsi="Aptos"/>
                <w:b/>
                <w:bCs/>
                <w:sz w:val="18"/>
                <w:szCs w:val="18"/>
              </w:rPr>
              <w:t>Review ID</w:t>
            </w:r>
          </w:p>
        </w:tc>
        <w:tc>
          <w:tcPr>
            <w:tcW w:w="364" w:type="pct"/>
            <w:tcBorders>
              <w:top w:val="single" w:sz="4" w:space="0" w:color="auto"/>
              <w:left w:val="nil"/>
              <w:bottom w:val="single" w:sz="4" w:space="0" w:color="auto"/>
              <w:right w:val="single" w:sz="4" w:space="0" w:color="auto"/>
            </w:tcBorders>
            <w:shd w:val="clear" w:color="000000" w:fill="D9D9D9"/>
            <w:vAlign w:val="center"/>
            <w:hideMark/>
          </w:tcPr>
          <w:p w14:paraId="5047481C" w14:textId="77777777" w:rsidR="00ED5365" w:rsidRPr="00A1739B" w:rsidRDefault="00ED5365" w:rsidP="00AA694C">
            <w:pPr>
              <w:jc w:val="center"/>
              <w:rPr>
                <w:rFonts w:ascii="Aptos" w:hAnsi="Aptos"/>
                <w:b/>
                <w:bCs/>
                <w:sz w:val="18"/>
                <w:szCs w:val="18"/>
              </w:rPr>
            </w:pPr>
            <w:r w:rsidRPr="00A1739B">
              <w:rPr>
                <w:rFonts w:ascii="Aptos" w:hAnsi="Aptos"/>
                <w:b/>
                <w:bCs/>
                <w:sz w:val="18"/>
                <w:szCs w:val="18"/>
              </w:rPr>
              <w:t>Bath-Hextall 2012</w:t>
            </w:r>
          </w:p>
        </w:tc>
        <w:tc>
          <w:tcPr>
            <w:tcW w:w="349" w:type="pct"/>
            <w:tcBorders>
              <w:top w:val="single" w:sz="4" w:space="0" w:color="auto"/>
              <w:left w:val="nil"/>
              <w:bottom w:val="single" w:sz="4" w:space="0" w:color="auto"/>
              <w:right w:val="single" w:sz="4" w:space="0" w:color="auto"/>
            </w:tcBorders>
            <w:shd w:val="clear" w:color="000000" w:fill="D9D9D9"/>
            <w:vAlign w:val="center"/>
            <w:hideMark/>
          </w:tcPr>
          <w:p w14:paraId="5AF7A84D" w14:textId="77777777" w:rsidR="00ED5365" w:rsidRPr="00A1739B" w:rsidRDefault="00ED5365" w:rsidP="00AA694C">
            <w:pPr>
              <w:jc w:val="center"/>
              <w:rPr>
                <w:rFonts w:ascii="Aptos" w:hAnsi="Aptos"/>
                <w:b/>
                <w:bCs/>
                <w:sz w:val="18"/>
                <w:szCs w:val="18"/>
              </w:rPr>
            </w:pPr>
            <w:r w:rsidRPr="00A1739B">
              <w:rPr>
                <w:rFonts w:ascii="Aptos" w:hAnsi="Aptos"/>
                <w:b/>
                <w:bCs/>
                <w:sz w:val="18"/>
                <w:szCs w:val="18"/>
              </w:rPr>
              <w:t>Dhaliwal 2023</w:t>
            </w:r>
          </w:p>
        </w:tc>
        <w:tc>
          <w:tcPr>
            <w:tcW w:w="352" w:type="pct"/>
            <w:tcBorders>
              <w:top w:val="single" w:sz="4" w:space="0" w:color="auto"/>
              <w:left w:val="nil"/>
              <w:bottom w:val="single" w:sz="4" w:space="0" w:color="auto"/>
              <w:right w:val="single" w:sz="4" w:space="0" w:color="auto"/>
            </w:tcBorders>
            <w:shd w:val="clear" w:color="000000" w:fill="D9D9D9"/>
            <w:vAlign w:val="center"/>
            <w:hideMark/>
          </w:tcPr>
          <w:p w14:paraId="2D5A3A8E" w14:textId="21670A28" w:rsidR="00ED5365" w:rsidRPr="00A1739B" w:rsidRDefault="00ED5365" w:rsidP="00AA694C">
            <w:pPr>
              <w:jc w:val="center"/>
              <w:rPr>
                <w:rFonts w:ascii="Aptos" w:hAnsi="Aptos"/>
                <w:b/>
                <w:bCs/>
                <w:sz w:val="18"/>
                <w:szCs w:val="18"/>
              </w:rPr>
            </w:pPr>
            <w:r w:rsidRPr="00A1739B">
              <w:rPr>
                <w:rFonts w:ascii="Aptos" w:hAnsi="Aptos"/>
                <w:b/>
                <w:bCs/>
                <w:sz w:val="18"/>
                <w:szCs w:val="18"/>
              </w:rPr>
              <w:t>Gray</w:t>
            </w:r>
            <w:r w:rsidR="00E418A0" w:rsidRPr="00A1739B">
              <w:rPr>
                <w:rFonts w:ascii="Aptos" w:hAnsi="Aptos"/>
                <w:b/>
                <w:bCs/>
                <w:sz w:val="18"/>
                <w:szCs w:val="18"/>
              </w:rPr>
              <w:t xml:space="preserve"> 2019</w:t>
            </w:r>
          </w:p>
        </w:tc>
      </w:tr>
      <w:tr w:rsidR="00D40F1C" w:rsidRPr="00A1739B" w14:paraId="18D61E54"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D9D9D9"/>
            <w:noWrap/>
            <w:vAlign w:val="center"/>
            <w:hideMark/>
          </w:tcPr>
          <w:p w14:paraId="03B9E94D" w14:textId="77777777" w:rsidR="00ED5365" w:rsidRPr="00A1739B" w:rsidRDefault="00ED5365" w:rsidP="00AA694C">
            <w:pPr>
              <w:rPr>
                <w:rFonts w:ascii="Aptos" w:hAnsi="Aptos"/>
                <w:sz w:val="18"/>
                <w:szCs w:val="18"/>
              </w:rPr>
            </w:pPr>
            <w:r w:rsidRPr="00A1739B">
              <w:rPr>
                <w:rFonts w:ascii="Aptos" w:hAnsi="Aptos"/>
                <w:sz w:val="18"/>
                <w:szCs w:val="18"/>
              </w:rPr>
              <w:t>ROBIS DOMAINS</w:t>
            </w:r>
          </w:p>
        </w:tc>
        <w:tc>
          <w:tcPr>
            <w:tcW w:w="364" w:type="pct"/>
            <w:tcBorders>
              <w:top w:val="nil"/>
              <w:left w:val="nil"/>
              <w:bottom w:val="single" w:sz="4" w:space="0" w:color="auto"/>
              <w:right w:val="single" w:sz="4" w:space="0" w:color="auto"/>
            </w:tcBorders>
            <w:shd w:val="clear" w:color="000000" w:fill="D9D9D9"/>
            <w:noWrap/>
            <w:vAlign w:val="center"/>
          </w:tcPr>
          <w:p w14:paraId="0E37F363" w14:textId="6ACA583A" w:rsidR="00ED5365" w:rsidRPr="00A1739B" w:rsidRDefault="00ED5365" w:rsidP="00AA694C">
            <w:pPr>
              <w:jc w:val="center"/>
              <w:rPr>
                <w:rFonts w:ascii="Aptos" w:hAnsi="Aptos"/>
                <w:sz w:val="18"/>
                <w:szCs w:val="18"/>
              </w:rPr>
            </w:pPr>
          </w:p>
        </w:tc>
        <w:tc>
          <w:tcPr>
            <w:tcW w:w="349" w:type="pct"/>
            <w:tcBorders>
              <w:top w:val="nil"/>
              <w:left w:val="single" w:sz="4" w:space="0" w:color="auto"/>
              <w:bottom w:val="single" w:sz="4" w:space="0" w:color="auto"/>
              <w:right w:val="single" w:sz="4" w:space="0" w:color="auto"/>
            </w:tcBorders>
            <w:shd w:val="clear" w:color="000000" w:fill="D9D9D9"/>
            <w:noWrap/>
            <w:vAlign w:val="center"/>
          </w:tcPr>
          <w:p w14:paraId="4EDABB75" w14:textId="6F7EB3F3" w:rsidR="00ED5365" w:rsidRPr="00A1739B" w:rsidRDefault="00ED5365" w:rsidP="00AA694C">
            <w:pPr>
              <w:jc w:val="center"/>
              <w:rPr>
                <w:rFonts w:ascii="Aptos" w:hAnsi="Aptos"/>
                <w:sz w:val="18"/>
                <w:szCs w:val="18"/>
              </w:rPr>
            </w:pPr>
          </w:p>
        </w:tc>
        <w:tc>
          <w:tcPr>
            <w:tcW w:w="352" w:type="pct"/>
            <w:tcBorders>
              <w:top w:val="nil"/>
              <w:left w:val="single" w:sz="4" w:space="0" w:color="auto"/>
              <w:bottom w:val="single" w:sz="4" w:space="0" w:color="auto"/>
              <w:right w:val="single" w:sz="4" w:space="0" w:color="auto"/>
            </w:tcBorders>
            <w:shd w:val="clear" w:color="000000" w:fill="D9D9D9"/>
            <w:noWrap/>
            <w:vAlign w:val="center"/>
            <w:hideMark/>
          </w:tcPr>
          <w:p w14:paraId="61EE94FA" w14:textId="428D09D3" w:rsidR="00ED5365" w:rsidRPr="00A1739B" w:rsidRDefault="00ED5365" w:rsidP="00AA694C">
            <w:pPr>
              <w:jc w:val="center"/>
              <w:rPr>
                <w:rFonts w:ascii="Aptos" w:hAnsi="Aptos"/>
                <w:sz w:val="18"/>
                <w:szCs w:val="18"/>
              </w:rPr>
            </w:pPr>
          </w:p>
        </w:tc>
      </w:tr>
      <w:tr w:rsidR="00D40F1C" w:rsidRPr="00A1739B" w14:paraId="2C46295A"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D9D9D9"/>
            <w:noWrap/>
            <w:vAlign w:val="center"/>
            <w:hideMark/>
          </w:tcPr>
          <w:p w14:paraId="69563862" w14:textId="77777777" w:rsidR="00ED5365" w:rsidRPr="00A1739B" w:rsidRDefault="00ED5365" w:rsidP="00AA694C">
            <w:pPr>
              <w:rPr>
                <w:rFonts w:ascii="Aptos" w:hAnsi="Aptos"/>
                <w:sz w:val="18"/>
                <w:szCs w:val="18"/>
              </w:rPr>
            </w:pPr>
            <w:r w:rsidRPr="00A1739B">
              <w:rPr>
                <w:rFonts w:ascii="Aptos" w:hAnsi="Aptos"/>
                <w:sz w:val="18"/>
                <w:szCs w:val="18"/>
              </w:rPr>
              <w:t>Answer code: Y=YES, PY=PROBABLY YES, PN=PROBABLY NO, N=NO, NI=NO INFORMATION</w:t>
            </w:r>
          </w:p>
        </w:tc>
        <w:tc>
          <w:tcPr>
            <w:tcW w:w="364" w:type="pct"/>
            <w:tcBorders>
              <w:top w:val="nil"/>
              <w:left w:val="nil"/>
              <w:bottom w:val="single" w:sz="4" w:space="0" w:color="auto"/>
              <w:right w:val="single" w:sz="4" w:space="0" w:color="auto"/>
            </w:tcBorders>
            <w:shd w:val="clear" w:color="000000" w:fill="D9D9D9"/>
            <w:noWrap/>
            <w:vAlign w:val="center"/>
            <w:hideMark/>
          </w:tcPr>
          <w:p w14:paraId="2BBDE676" w14:textId="37BEC296" w:rsidR="00ED5365" w:rsidRPr="00A1739B" w:rsidRDefault="00ED5365" w:rsidP="00AA694C">
            <w:pPr>
              <w:jc w:val="center"/>
              <w:rPr>
                <w:rFonts w:ascii="Aptos" w:hAnsi="Aptos"/>
                <w:sz w:val="18"/>
                <w:szCs w:val="18"/>
              </w:rPr>
            </w:pPr>
          </w:p>
        </w:tc>
        <w:tc>
          <w:tcPr>
            <w:tcW w:w="349" w:type="pct"/>
            <w:tcBorders>
              <w:top w:val="nil"/>
              <w:left w:val="single" w:sz="4" w:space="0" w:color="auto"/>
              <w:bottom w:val="single" w:sz="4" w:space="0" w:color="auto"/>
              <w:right w:val="single" w:sz="4" w:space="0" w:color="auto"/>
            </w:tcBorders>
            <w:shd w:val="clear" w:color="000000" w:fill="D9D9D9"/>
            <w:noWrap/>
            <w:vAlign w:val="center"/>
            <w:hideMark/>
          </w:tcPr>
          <w:p w14:paraId="2217B246" w14:textId="2C3BD3A7" w:rsidR="00ED5365" w:rsidRPr="00A1739B" w:rsidRDefault="00ED5365" w:rsidP="00AA694C">
            <w:pPr>
              <w:jc w:val="center"/>
              <w:rPr>
                <w:rFonts w:ascii="Aptos" w:hAnsi="Aptos"/>
                <w:sz w:val="18"/>
                <w:szCs w:val="18"/>
              </w:rPr>
            </w:pPr>
          </w:p>
        </w:tc>
        <w:tc>
          <w:tcPr>
            <w:tcW w:w="352" w:type="pct"/>
            <w:tcBorders>
              <w:top w:val="nil"/>
              <w:left w:val="single" w:sz="4" w:space="0" w:color="auto"/>
              <w:bottom w:val="single" w:sz="4" w:space="0" w:color="auto"/>
              <w:right w:val="single" w:sz="4" w:space="0" w:color="auto"/>
            </w:tcBorders>
            <w:shd w:val="clear" w:color="000000" w:fill="D9D9D9"/>
            <w:noWrap/>
            <w:vAlign w:val="center"/>
            <w:hideMark/>
          </w:tcPr>
          <w:p w14:paraId="76C630AC" w14:textId="0E337B5F" w:rsidR="00ED5365" w:rsidRPr="00A1739B" w:rsidRDefault="00ED5365" w:rsidP="00AA694C">
            <w:pPr>
              <w:jc w:val="center"/>
              <w:rPr>
                <w:rFonts w:ascii="Aptos" w:hAnsi="Aptos"/>
                <w:sz w:val="18"/>
                <w:szCs w:val="18"/>
              </w:rPr>
            </w:pPr>
          </w:p>
        </w:tc>
      </w:tr>
      <w:tr w:rsidR="00D40F1C" w:rsidRPr="00A1739B" w14:paraId="56002962"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2F2F2"/>
            <w:vAlign w:val="center"/>
            <w:hideMark/>
          </w:tcPr>
          <w:p w14:paraId="1AAD3DA3" w14:textId="77777777" w:rsidR="00ED5365" w:rsidRPr="00A1739B" w:rsidRDefault="00ED5365" w:rsidP="00AA694C">
            <w:pPr>
              <w:rPr>
                <w:rFonts w:ascii="Aptos" w:hAnsi="Aptos"/>
                <w:sz w:val="18"/>
                <w:szCs w:val="18"/>
              </w:rPr>
            </w:pPr>
            <w:r w:rsidRPr="00A1739B">
              <w:rPr>
                <w:rFonts w:ascii="Aptos" w:hAnsi="Aptos"/>
                <w:sz w:val="18"/>
                <w:szCs w:val="18"/>
              </w:rPr>
              <w:t>Domain 1: Study eligibility criteria</w:t>
            </w:r>
          </w:p>
        </w:tc>
        <w:tc>
          <w:tcPr>
            <w:tcW w:w="364" w:type="pct"/>
            <w:tcBorders>
              <w:top w:val="nil"/>
              <w:left w:val="nil"/>
              <w:bottom w:val="single" w:sz="4" w:space="0" w:color="auto"/>
              <w:right w:val="single" w:sz="4" w:space="0" w:color="auto"/>
            </w:tcBorders>
            <w:shd w:val="clear" w:color="000000" w:fill="F2F2F2"/>
            <w:vAlign w:val="center"/>
            <w:hideMark/>
          </w:tcPr>
          <w:p w14:paraId="032244D3" w14:textId="6810ACD9" w:rsidR="00ED5365" w:rsidRPr="00A1739B" w:rsidRDefault="00ED5365" w:rsidP="00AA694C">
            <w:pPr>
              <w:jc w:val="center"/>
              <w:rPr>
                <w:rFonts w:ascii="Aptos" w:hAnsi="Aptos"/>
                <w:sz w:val="18"/>
                <w:szCs w:val="18"/>
              </w:rPr>
            </w:pPr>
          </w:p>
        </w:tc>
        <w:tc>
          <w:tcPr>
            <w:tcW w:w="349" w:type="pct"/>
            <w:tcBorders>
              <w:top w:val="nil"/>
              <w:left w:val="single" w:sz="4" w:space="0" w:color="auto"/>
              <w:bottom w:val="single" w:sz="4" w:space="0" w:color="auto"/>
              <w:right w:val="single" w:sz="4" w:space="0" w:color="auto"/>
            </w:tcBorders>
            <w:shd w:val="clear" w:color="000000" w:fill="F2F2F2"/>
            <w:vAlign w:val="center"/>
            <w:hideMark/>
          </w:tcPr>
          <w:p w14:paraId="0C5632F6" w14:textId="62C3E9A8" w:rsidR="00ED5365" w:rsidRPr="00A1739B" w:rsidRDefault="00ED5365" w:rsidP="00AA694C">
            <w:pPr>
              <w:jc w:val="center"/>
              <w:rPr>
                <w:rFonts w:ascii="Aptos" w:hAnsi="Aptos"/>
                <w:sz w:val="18"/>
                <w:szCs w:val="18"/>
              </w:rPr>
            </w:pPr>
          </w:p>
        </w:tc>
        <w:tc>
          <w:tcPr>
            <w:tcW w:w="352" w:type="pct"/>
            <w:tcBorders>
              <w:top w:val="nil"/>
              <w:left w:val="single" w:sz="4" w:space="0" w:color="auto"/>
              <w:bottom w:val="single" w:sz="4" w:space="0" w:color="auto"/>
              <w:right w:val="single" w:sz="4" w:space="0" w:color="auto"/>
            </w:tcBorders>
            <w:shd w:val="clear" w:color="000000" w:fill="F2F2F2"/>
            <w:vAlign w:val="center"/>
            <w:hideMark/>
          </w:tcPr>
          <w:p w14:paraId="76347883" w14:textId="10E7B04B" w:rsidR="00ED5365" w:rsidRPr="00A1739B" w:rsidRDefault="00ED5365" w:rsidP="00AA694C">
            <w:pPr>
              <w:jc w:val="center"/>
              <w:rPr>
                <w:rFonts w:ascii="Aptos" w:hAnsi="Aptos"/>
                <w:sz w:val="18"/>
                <w:szCs w:val="18"/>
              </w:rPr>
            </w:pPr>
          </w:p>
        </w:tc>
      </w:tr>
      <w:tr w:rsidR="00D40F1C" w:rsidRPr="00A1739B" w14:paraId="2BE1A1E6"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5F406EBD" w14:textId="77777777" w:rsidR="00ED5365" w:rsidRPr="00A1739B" w:rsidRDefault="00ED5365" w:rsidP="00AA694C">
            <w:pPr>
              <w:rPr>
                <w:rFonts w:ascii="Aptos" w:hAnsi="Aptos"/>
                <w:sz w:val="18"/>
                <w:szCs w:val="18"/>
              </w:rPr>
            </w:pPr>
            <w:r w:rsidRPr="00A1739B">
              <w:rPr>
                <w:rFonts w:ascii="Aptos" w:hAnsi="Aptos"/>
                <w:sz w:val="18"/>
                <w:szCs w:val="18"/>
              </w:rPr>
              <w:t>Did the review adhere to pre</w:t>
            </w:r>
            <w:r w:rsidRPr="00A1739B">
              <w:rPr>
                <w:rFonts w:ascii="Cambria Math" w:hAnsi="Cambria Math" w:cs="Cambria Math"/>
                <w:sz w:val="18"/>
                <w:szCs w:val="18"/>
              </w:rPr>
              <w:t>‐</w:t>
            </w:r>
            <w:r w:rsidRPr="00A1739B">
              <w:rPr>
                <w:rFonts w:ascii="Aptos" w:hAnsi="Aptos"/>
                <w:sz w:val="18"/>
                <w:szCs w:val="18"/>
              </w:rPr>
              <w:t>defined objectives and eligibility criteria?</w:t>
            </w:r>
          </w:p>
        </w:tc>
        <w:tc>
          <w:tcPr>
            <w:tcW w:w="364" w:type="pct"/>
            <w:tcBorders>
              <w:top w:val="nil"/>
              <w:left w:val="nil"/>
              <w:bottom w:val="single" w:sz="4" w:space="0" w:color="auto"/>
              <w:right w:val="single" w:sz="4" w:space="0" w:color="auto"/>
            </w:tcBorders>
            <w:shd w:val="clear" w:color="000000" w:fill="FFFFFF"/>
            <w:vAlign w:val="center"/>
            <w:hideMark/>
          </w:tcPr>
          <w:p w14:paraId="45E53635"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690BEC9E"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40843B3E"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054C021F"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0A0CCF5F" w14:textId="77777777" w:rsidR="00ED5365" w:rsidRPr="00A1739B" w:rsidRDefault="00ED5365" w:rsidP="00AA694C">
            <w:pPr>
              <w:rPr>
                <w:rFonts w:ascii="Aptos" w:hAnsi="Aptos"/>
                <w:sz w:val="18"/>
                <w:szCs w:val="18"/>
              </w:rPr>
            </w:pPr>
            <w:r w:rsidRPr="00A1739B">
              <w:rPr>
                <w:rFonts w:ascii="Aptos" w:hAnsi="Aptos"/>
                <w:sz w:val="18"/>
                <w:szCs w:val="18"/>
              </w:rPr>
              <w:t>Were the eligibility criteria appropriate for the review question?</w:t>
            </w:r>
          </w:p>
        </w:tc>
        <w:tc>
          <w:tcPr>
            <w:tcW w:w="364" w:type="pct"/>
            <w:tcBorders>
              <w:top w:val="nil"/>
              <w:left w:val="nil"/>
              <w:bottom w:val="single" w:sz="4" w:space="0" w:color="auto"/>
              <w:right w:val="single" w:sz="4" w:space="0" w:color="auto"/>
            </w:tcBorders>
            <w:shd w:val="clear" w:color="000000" w:fill="FFFFFF"/>
            <w:vAlign w:val="center"/>
            <w:hideMark/>
          </w:tcPr>
          <w:p w14:paraId="287C28AF"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0DCB3E36"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2DA09A4B"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0C48E45E"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4FFA0EB1" w14:textId="77777777" w:rsidR="00ED5365" w:rsidRPr="00A1739B" w:rsidRDefault="00ED5365" w:rsidP="00AA694C">
            <w:pPr>
              <w:rPr>
                <w:rFonts w:ascii="Aptos" w:hAnsi="Aptos"/>
                <w:sz w:val="18"/>
                <w:szCs w:val="18"/>
              </w:rPr>
            </w:pPr>
            <w:r w:rsidRPr="00A1739B">
              <w:rPr>
                <w:rFonts w:ascii="Aptos" w:hAnsi="Aptos"/>
                <w:sz w:val="18"/>
                <w:szCs w:val="18"/>
              </w:rPr>
              <w:t>Were eligibility criteria unambiguous?</w:t>
            </w:r>
          </w:p>
        </w:tc>
        <w:tc>
          <w:tcPr>
            <w:tcW w:w="364" w:type="pct"/>
            <w:tcBorders>
              <w:top w:val="nil"/>
              <w:left w:val="nil"/>
              <w:bottom w:val="single" w:sz="4" w:space="0" w:color="auto"/>
              <w:right w:val="single" w:sz="4" w:space="0" w:color="auto"/>
            </w:tcBorders>
            <w:shd w:val="clear" w:color="000000" w:fill="FFFFFF"/>
            <w:vAlign w:val="center"/>
            <w:hideMark/>
          </w:tcPr>
          <w:p w14:paraId="47127551"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60615657" w14:textId="77777777" w:rsidR="00ED5365" w:rsidRPr="00A1739B" w:rsidRDefault="00ED5365" w:rsidP="00AA694C">
            <w:pPr>
              <w:jc w:val="center"/>
              <w:rPr>
                <w:rFonts w:ascii="Aptos" w:hAnsi="Aptos"/>
                <w:sz w:val="18"/>
                <w:szCs w:val="18"/>
              </w:rPr>
            </w:pPr>
            <w:r w:rsidRPr="00A1739B">
              <w:rPr>
                <w:rFonts w:ascii="Aptos" w:hAnsi="Aptos"/>
                <w:sz w:val="18"/>
                <w:szCs w:val="18"/>
              </w:rPr>
              <w:t>PN</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0185FD09"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3CAF1ABD"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636D9010" w14:textId="77777777" w:rsidR="00ED5365" w:rsidRPr="00A1739B" w:rsidRDefault="00ED5365" w:rsidP="00AA694C">
            <w:pPr>
              <w:rPr>
                <w:rFonts w:ascii="Aptos" w:hAnsi="Aptos"/>
                <w:sz w:val="18"/>
                <w:szCs w:val="18"/>
              </w:rPr>
            </w:pPr>
            <w:r w:rsidRPr="00A1739B">
              <w:rPr>
                <w:rFonts w:ascii="Aptos" w:hAnsi="Aptos"/>
                <w:sz w:val="18"/>
                <w:szCs w:val="18"/>
              </w:rPr>
              <w:t>Were all restrictions in eligibility criteria based on study characteristics appropriate (e.g. date, sample size, study quality, outcomes measured)?</w:t>
            </w:r>
          </w:p>
        </w:tc>
        <w:tc>
          <w:tcPr>
            <w:tcW w:w="364" w:type="pct"/>
            <w:tcBorders>
              <w:top w:val="nil"/>
              <w:left w:val="nil"/>
              <w:bottom w:val="single" w:sz="4" w:space="0" w:color="auto"/>
              <w:right w:val="single" w:sz="4" w:space="0" w:color="auto"/>
            </w:tcBorders>
            <w:shd w:val="clear" w:color="000000" w:fill="FFFFFF"/>
            <w:vAlign w:val="center"/>
            <w:hideMark/>
          </w:tcPr>
          <w:p w14:paraId="7D3C97B4"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1F9B892E"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37225F4F"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36F2682E"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24A1919D" w14:textId="77777777" w:rsidR="00ED5365" w:rsidRPr="00A1739B" w:rsidRDefault="00ED5365" w:rsidP="00AA694C">
            <w:pPr>
              <w:rPr>
                <w:rFonts w:ascii="Aptos" w:hAnsi="Aptos"/>
                <w:sz w:val="18"/>
                <w:szCs w:val="18"/>
              </w:rPr>
            </w:pPr>
            <w:r w:rsidRPr="00A1739B">
              <w:rPr>
                <w:rFonts w:ascii="Aptos" w:hAnsi="Aptos"/>
                <w:sz w:val="18"/>
                <w:szCs w:val="18"/>
              </w:rPr>
              <w:t>Were any restrictions in eligibility criteria based on sources of information appropriate (publication status or format, language, availability of data)?</w:t>
            </w:r>
          </w:p>
        </w:tc>
        <w:tc>
          <w:tcPr>
            <w:tcW w:w="364" w:type="pct"/>
            <w:tcBorders>
              <w:top w:val="nil"/>
              <w:left w:val="nil"/>
              <w:bottom w:val="single" w:sz="4" w:space="0" w:color="auto"/>
              <w:right w:val="single" w:sz="4" w:space="0" w:color="auto"/>
            </w:tcBorders>
            <w:shd w:val="clear" w:color="000000" w:fill="FFFFFF"/>
            <w:vAlign w:val="center"/>
            <w:hideMark/>
          </w:tcPr>
          <w:p w14:paraId="655BFC6A"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3D63713A"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0DACBD9A"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6DC86CCC"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0C937F23" w14:textId="77777777" w:rsidR="00ED5365" w:rsidRPr="00A1739B" w:rsidRDefault="00ED5365" w:rsidP="00AA694C">
            <w:pPr>
              <w:rPr>
                <w:rFonts w:ascii="Aptos" w:hAnsi="Aptos"/>
                <w:sz w:val="18"/>
                <w:szCs w:val="18"/>
              </w:rPr>
            </w:pPr>
            <w:r w:rsidRPr="00A1739B">
              <w:rPr>
                <w:rFonts w:ascii="Aptos" w:hAnsi="Aptos"/>
                <w:sz w:val="18"/>
                <w:szCs w:val="18"/>
              </w:rPr>
              <w:t>Concerns regarding specification of study eligibility criteria LOW, HIGH, UNCLEAR</w:t>
            </w:r>
          </w:p>
        </w:tc>
        <w:tc>
          <w:tcPr>
            <w:tcW w:w="364" w:type="pct"/>
            <w:tcBorders>
              <w:top w:val="nil"/>
              <w:left w:val="nil"/>
              <w:bottom w:val="single" w:sz="4" w:space="0" w:color="auto"/>
              <w:right w:val="single" w:sz="4" w:space="0" w:color="auto"/>
            </w:tcBorders>
            <w:shd w:val="clear" w:color="000000" w:fill="E2EFDA"/>
            <w:vAlign w:val="center"/>
            <w:hideMark/>
          </w:tcPr>
          <w:p w14:paraId="11810DB3" w14:textId="77777777" w:rsidR="00ED5365" w:rsidRPr="00A1739B" w:rsidRDefault="00ED5365" w:rsidP="00AA694C">
            <w:pPr>
              <w:jc w:val="center"/>
              <w:rPr>
                <w:rFonts w:ascii="Aptos" w:hAnsi="Aptos"/>
                <w:sz w:val="18"/>
                <w:szCs w:val="18"/>
              </w:rPr>
            </w:pPr>
            <w:r w:rsidRPr="00A1739B">
              <w:rPr>
                <w:rFonts w:ascii="Aptos" w:hAnsi="Aptos"/>
                <w:sz w:val="18"/>
                <w:szCs w:val="18"/>
              </w:rPr>
              <w:t>Low</w:t>
            </w:r>
          </w:p>
        </w:tc>
        <w:tc>
          <w:tcPr>
            <w:tcW w:w="349" w:type="pct"/>
            <w:tcBorders>
              <w:top w:val="nil"/>
              <w:left w:val="single" w:sz="4" w:space="0" w:color="auto"/>
              <w:bottom w:val="single" w:sz="4" w:space="0" w:color="auto"/>
              <w:right w:val="single" w:sz="4" w:space="0" w:color="auto"/>
            </w:tcBorders>
            <w:shd w:val="clear" w:color="000000" w:fill="FFF2CC"/>
            <w:vAlign w:val="center"/>
            <w:hideMark/>
          </w:tcPr>
          <w:p w14:paraId="11E10049" w14:textId="77777777" w:rsidR="00ED5365" w:rsidRPr="00A1739B" w:rsidRDefault="00ED5365" w:rsidP="00AA694C">
            <w:pPr>
              <w:jc w:val="center"/>
              <w:rPr>
                <w:rFonts w:ascii="Aptos" w:hAnsi="Aptos"/>
                <w:sz w:val="18"/>
                <w:szCs w:val="18"/>
              </w:rPr>
            </w:pPr>
            <w:r w:rsidRPr="00A1739B">
              <w:rPr>
                <w:rFonts w:ascii="Aptos" w:hAnsi="Aptos"/>
                <w:sz w:val="18"/>
                <w:szCs w:val="18"/>
              </w:rPr>
              <w:t>Unclear</w:t>
            </w:r>
          </w:p>
        </w:tc>
        <w:tc>
          <w:tcPr>
            <w:tcW w:w="352" w:type="pct"/>
            <w:tcBorders>
              <w:top w:val="nil"/>
              <w:left w:val="single" w:sz="4" w:space="0" w:color="auto"/>
              <w:bottom w:val="single" w:sz="4" w:space="0" w:color="auto"/>
              <w:right w:val="single" w:sz="4" w:space="0" w:color="auto"/>
            </w:tcBorders>
            <w:shd w:val="clear" w:color="000000" w:fill="E2EFDA"/>
            <w:vAlign w:val="center"/>
            <w:hideMark/>
          </w:tcPr>
          <w:p w14:paraId="1A0931CE" w14:textId="77777777" w:rsidR="00ED5365" w:rsidRPr="00A1739B" w:rsidRDefault="00ED5365" w:rsidP="00AA694C">
            <w:pPr>
              <w:jc w:val="center"/>
              <w:rPr>
                <w:rFonts w:ascii="Aptos" w:hAnsi="Aptos"/>
                <w:sz w:val="18"/>
                <w:szCs w:val="18"/>
              </w:rPr>
            </w:pPr>
            <w:r w:rsidRPr="00A1739B">
              <w:rPr>
                <w:rFonts w:ascii="Aptos" w:hAnsi="Aptos"/>
                <w:sz w:val="18"/>
                <w:szCs w:val="18"/>
              </w:rPr>
              <w:t>Low</w:t>
            </w:r>
          </w:p>
        </w:tc>
      </w:tr>
      <w:tr w:rsidR="00D40F1C" w:rsidRPr="00A1739B" w14:paraId="6FCF4520"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2F2F2"/>
            <w:vAlign w:val="center"/>
            <w:hideMark/>
          </w:tcPr>
          <w:p w14:paraId="3D02BA75" w14:textId="77777777" w:rsidR="00ED5365" w:rsidRPr="00A1739B" w:rsidRDefault="00ED5365" w:rsidP="00AA694C">
            <w:pPr>
              <w:rPr>
                <w:rFonts w:ascii="Aptos" w:hAnsi="Aptos"/>
                <w:sz w:val="18"/>
                <w:szCs w:val="18"/>
              </w:rPr>
            </w:pPr>
            <w:r w:rsidRPr="00A1739B">
              <w:rPr>
                <w:rFonts w:ascii="Aptos" w:hAnsi="Aptos"/>
                <w:sz w:val="18"/>
                <w:szCs w:val="18"/>
              </w:rPr>
              <w:t>Domain 2: Identification and selection of studies</w:t>
            </w:r>
          </w:p>
        </w:tc>
        <w:tc>
          <w:tcPr>
            <w:tcW w:w="364" w:type="pct"/>
            <w:tcBorders>
              <w:top w:val="nil"/>
              <w:left w:val="nil"/>
              <w:bottom w:val="single" w:sz="4" w:space="0" w:color="auto"/>
              <w:right w:val="single" w:sz="4" w:space="0" w:color="auto"/>
            </w:tcBorders>
            <w:shd w:val="clear" w:color="000000" w:fill="F2F2F2"/>
            <w:vAlign w:val="center"/>
            <w:hideMark/>
          </w:tcPr>
          <w:p w14:paraId="2CB7E702" w14:textId="2362F40E" w:rsidR="00ED5365" w:rsidRPr="00A1739B" w:rsidRDefault="00ED5365" w:rsidP="00AA694C">
            <w:pPr>
              <w:jc w:val="center"/>
              <w:rPr>
                <w:rFonts w:ascii="Aptos" w:hAnsi="Aptos"/>
                <w:sz w:val="18"/>
                <w:szCs w:val="18"/>
              </w:rPr>
            </w:pPr>
          </w:p>
        </w:tc>
        <w:tc>
          <w:tcPr>
            <w:tcW w:w="349" w:type="pct"/>
            <w:tcBorders>
              <w:top w:val="nil"/>
              <w:left w:val="single" w:sz="4" w:space="0" w:color="auto"/>
              <w:bottom w:val="single" w:sz="4" w:space="0" w:color="auto"/>
              <w:right w:val="single" w:sz="4" w:space="0" w:color="auto"/>
            </w:tcBorders>
            <w:shd w:val="clear" w:color="000000" w:fill="F2F2F2"/>
            <w:vAlign w:val="center"/>
            <w:hideMark/>
          </w:tcPr>
          <w:p w14:paraId="1A5ABD6F" w14:textId="26398984" w:rsidR="00ED5365" w:rsidRPr="00A1739B" w:rsidRDefault="00ED5365" w:rsidP="00AA694C">
            <w:pPr>
              <w:jc w:val="center"/>
              <w:rPr>
                <w:rFonts w:ascii="Aptos" w:hAnsi="Aptos"/>
                <w:sz w:val="18"/>
                <w:szCs w:val="18"/>
              </w:rPr>
            </w:pPr>
          </w:p>
        </w:tc>
        <w:tc>
          <w:tcPr>
            <w:tcW w:w="352" w:type="pct"/>
            <w:tcBorders>
              <w:top w:val="nil"/>
              <w:left w:val="single" w:sz="4" w:space="0" w:color="auto"/>
              <w:bottom w:val="single" w:sz="4" w:space="0" w:color="auto"/>
              <w:right w:val="single" w:sz="4" w:space="0" w:color="auto"/>
            </w:tcBorders>
            <w:shd w:val="clear" w:color="000000" w:fill="F2F2F2"/>
            <w:vAlign w:val="center"/>
            <w:hideMark/>
          </w:tcPr>
          <w:p w14:paraId="00FC72DD" w14:textId="085D4AEC" w:rsidR="00ED5365" w:rsidRPr="00A1739B" w:rsidRDefault="00ED5365" w:rsidP="00AA694C">
            <w:pPr>
              <w:jc w:val="center"/>
              <w:rPr>
                <w:rFonts w:ascii="Aptos" w:hAnsi="Aptos"/>
                <w:sz w:val="18"/>
                <w:szCs w:val="18"/>
              </w:rPr>
            </w:pPr>
          </w:p>
        </w:tc>
      </w:tr>
      <w:tr w:rsidR="00D40F1C" w:rsidRPr="00A1739B" w14:paraId="084784D9"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7D9BC958" w14:textId="77777777" w:rsidR="00ED5365" w:rsidRPr="00A1739B" w:rsidRDefault="00ED5365" w:rsidP="00AA694C">
            <w:pPr>
              <w:rPr>
                <w:rFonts w:ascii="Aptos" w:hAnsi="Aptos"/>
                <w:sz w:val="18"/>
                <w:szCs w:val="18"/>
              </w:rPr>
            </w:pPr>
            <w:r w:rsidRPr="00A1739B">
              <w:rPr>
                <w:rFonts w:ascii="Aptos" w:hAnsi="Aptos"/>
                <w:sz w:val="18"/>
                <w:szCs w:val="18"/>
              </w:rPr>
              <w:t>Did the search include an appropriate range of databases/electronic sources for published and unpublished reports?</w:t>
            </w:r>
          </w:p>
        </w:tc>
        <w:tc>
          <w:tcPr>
            <w:tcW w:w="364" w:type="pct"/>
            <w:tcBorders>
              <w:top w:val="nil"/>
              <w:left w:val="nil"/>
              <w:bottom w:val="single" w:sz="4" w:space="0" w:color="auto"/>
              <w:right w:val="single" w:sz="4" w:space="0" w:color="auto"/>
            </w:tcBorders>
            <w:shd w:val="clear" w:color="000000" w:fill="FFFFFF"/>
            <w:vAlign w:val="center"/>
            <w:hideMark/>
          </w:tcPr>
          <w:p w14:paraId="5C882FC6"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1010E02B"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7A7C2940"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3A71E6AB"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3AC03167" w14:textId="77777777" w:rsidR="00ED5365" w:rsidRPr="00A1739B" w:rsidRDefault="00ED5365" w:rsidP="00AA694C">
            <w:pPr>
              <w:rPr>
                <w:rFonts w:ascii="Aptos" w:hAnsi="Aptos"/>
                <w:sz w:val="18"/>
                <w:szCs w:val="18"/>
              </w:rPr>
            </w:pPr>
            <w:r w:rsidRPr="00A1739B">
              <w:rPr>
                <w:rFonts w:ascii="Aptos" w:hAnsi="Aptos"/>
                <w:sz w:val="18"/>
                <w:szCs w:val="18"/>
              </w:rPr>
              <w:t>Were methods additional to database searching used to identify relevant reports?</w:t>
            </w:r>
          </w:p>
        </w:tc>
        <w:tc>
          <w:tcPr>
            <w:tcW w:w="364" w:type="pct"/>
            <w:tcBorders>
              <w:top w:val="nil"/>
              <w:left w:val="nil"/>
              <w:bottom w:val="single" w:sz="4" w:space="0" w:color="auto"/>
              <w:right w:val="single" w:sz="4" w:space="0" w:color="auto"/>
            </w:tcBorders>
            <w:shd w:val="clear" w:color="000000" w:fill="FFFFFF"/>
            <w:vAlign w:val="center"/>
            <w:hideMark/>
          </w:tcPr>
          <w:p w14:paraId="7A341B93"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37EE1F02"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37F12DAC"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437B0C5D"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3EAAF707" w14:textId="77777777" w:rsidR="00ED5365" w:rsidRPr="00A1739B" w:rsidRDefault="00ED5365" w:rsidP="00AA694C">
            <w:pPr>
              <w:rPr>
                <w:rFonts w:ascii="Aptos" w:hAnsi="Aptos"/>
                <w:sz w:val="18"/>
                <w:szCs w:val="18"/>
              </w:rPr>
            </w:pPr>
            <w:r w:rsidRPr="00A1739B">
              <w:rPr>
                <w:rFonts w:ascii="Aptos" w:hAnsi="Aptos"/>
                <w:sz w:val="18"/>
                <w:szCs w:val="18"/>
              </w:rPr>
              <w:t>Were the terms and structure of the search strategy likely to retrieve as many eligible studies as possible?</w:t>
            </w:r>
          </w:p>
        </w:tc>
        <w:tc>
          <w:tcPr>
            <w:tcW w:w="364" w:type="pct"/>
            <w:tcBorders>
              <w:top w:val="nil"/>
              <w:left w:val="nil"/>
              <w:bottom w:val="single" w:sz="4" w:space="0" w:color="auto"/>
              <w:right w:val="single" w:sz="4" w:space="0" w:color="auto"/>
            </w:tcBorders>
            <w:shd w:val="clear" w:color="000000" w:fill="FFFFFF"/>
            <w:vAlign w:val="center"/>
            <w:hideMark/>
          </w:tcPr>
          <w:p w14:paraId="3FD39744"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5C1FC594"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7077EAE3"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565294BE"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6296160A" w14:textId="77777777" w:rsidR="00ED5365" w:rsidRPr="00A1739B" w:rsidRDefault="00ED5365" w:rsidP="00AA694C">
            <w:pPr>
              <w:rPr>
                <w:rFonts w:ascii="Aptos" w:hAnsi="Aptos"/>
                <w:sz w:val="18"/>
                <w:szCs w:val="18"/>
              </w:rPr>
            </w:pPr>
            <w:r w:rsidRPr="00A1739B">
              <w:rPr>
                <w:rFonts w:ascii="Aptos" w:hAnsi="Aptos"/>
                <w:sz w:val="18"/>
                <w:szCs w:val="18"/>
              </w:rPr>
              <w:t>Were restrictions based on date, publication format, or language appropriate?</w:t>
            </w:r>
          </w:p>
        </w:tc>
        <w:tc>
          <w:tcPr>
            <w:tcW w:w="364" w:type="pct"/>
            <w:tcBorders>
              <w:top w:val="nil"/>
              <w:left w:val="nil"/>
              <w:bottom w:val="single" w:sz="4" w:space="0" w:color="auto"/>
              <w:right w:val="single" w:sz="4" w:space="0" w:color="auto"/>
            </w:tcBorders>
            <w:shd w:val="clear" w:color="000000" w:fill="FFFFFF"/>
            <w:vAlign w:val="center"/>
            <w:hideMark/>
          </w:tcPr>
          <w:p w14:paraId="32D857B3"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655FCD8C" w14:textId="77777777" w:rsidR="00ED5365" w:rsidRPr="00A1739B" w:rsidRDefault="00ED5365" w:rsidP="00AA694C">
            <w:pPr>
              <w:jc w:val="center"/>
              <w:rPr>
                <w:rFonts w:ascii="Aptos" w:hAnsi="Aptos"/>
                <w:sz w:val="18"/>
                <w:szCs w:val="18"/>
              </w:rPr>
            </w:pPr>
            <w:r w:rsidRPr="00A1739B">
              <w:rPr>
                <w:rFonts w:ascii="Aptos" w:hAnsi="Aptos"/>
                <w:sz w:val="18"/>
                <w:szCs w:val="18"/>
              </w:rPr>
              <w:t>PN</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45A7ED97"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6025AE01"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39212387" w14:textId="77777777" w:rsidR="00ED5365" w:rsidRPr="00A1739B" w:rsidRDefault="00ED5365" w:rsidP="00AA694C">
            <w:pPr>
              <w:rPr>
                <w:rFonts w:ascii="Aptos" w:hAnsi="Aptos"/>
                <w:sz w:val="18"/>
                <w:szCs w:val="18"/>
              </w:rPr>
            </w:pPr>
            <w:r w:rsidRPr="00A1739B">
              <w:rPr>
                <w:rFonts w:ascii="Aptos" w:hAnsi="Aptos"/>
                <w:sz w:val="18"/>
                <w:szCs w:val="18"/>
              </w:rPr>
              <w:t>Were efforts made to minimise error in selection of studies?</w:t>
            </w:r>
          </w:p>
        </w:tc>
        <w:tc>
          <w:tcPr>
            <w:tcW w:w="364" w:type="pct"/>
            <w:tcBorders>
              <w:top w:val="nil"/>
              <w:left w:val="nil"/>
              <w:bottom w:val="single" w:sz="4" w:space="0" w:color="auto"/>
              <w:right w:val="single" w:sz="4" w:space="0" w:color="auto"/>
            </w:tcBorders>
            <w:shd w:val="clear" w:color="000000" w:fill="FFFFFF"/>
            <w:vAlign w:val="center"/>
            <w:hideMark/>
          </w:tcPr>
          <w:p w14:paraId="475CB81A"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2F37482F"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008096CC"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70F53ED0"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2091486A" w14:textId="77777777" w:rsidR="00ED5365" w:rsidRPr="00A1739B" w:rsidRDefault="00ED5365" w:rsidP="00AA694C">
            <w:pPr>
              <w:rPr>
                <w:rFonts w:ascii="Aptos" w:hAnsi="Aptos"/>
                <w:sz w:val="18"/>
                <w:szCs w:val="18"/>
              </w:rPr>
            </w:pPr>
            <w:r w:rsidRPr="00A1739B">
              <w:rPr>
                <w:rFonts w:ascii="Aptos" w:hAnsi="Aptos"/>
                <w:sz w:val="18"/>
                <w:szCs w:val="18"/>
              </w:rPr>
              <w:t>Concerns regarding methods used to identify and/or select studies: LOW, HIGH, UNCLEAR</w:t>
            </w:r>
          </w:p>
        </w:tc>
        <w:tc>
          <w:tcPr>
            <w:tcW w:w="364" w:type="pct"/>
            <w:tcBorders>
              <w:top w:val="nil"/>
              <w:left w:val="nil"/>
              <w:bottom w:val="single" w:sz="4" w:space="0" w:color="auto"/>
              <w:right w:val="single" w:sz="4" w:space="0" w:color="auto"/>
            </w:tcBorders>
            <w:shd w:val="clear" w:color="000000" w:fill="E2EFDA"/>
            <w:vAlign w:val="center"/>
            <w:hideMark/>
          </w:tcPr>
          <w:p w14:paraId="0093C69B" w14:textId="77777777" w:rsidR="00ED5365" w:rsidRPr="00A1739B" w:rsidRDefault="00ED5365" w:rsidP="00AA694C">
            <w:pPr>
              <w:jc w:val="center"/>
              <w:rPr>
                <w:rFonts w:ascii="Aptos" w:hAnsi="Aptos"/>
                <w:sz w:val="18"/>
                <w:szCs w:val="18"/>
              </w:rPr>
            </w:pPr>
            <w:r w:rsidRPr="00A1739B">
              <w:rPr>
                <w:rFonts w:ascii="Aptos" w:hAnsi="Aptos"/>
                <w:sz w:val="18"/>
                <w:szCs w:val="18"/>
              </w:rPr>
              <w:t>Low</w:t>
            </w:r>
          </w:p>
        </w:tc>
        <w:tc>
          <w:tcPr>
            <w:tcW w:w="349" w:type="pct"/>
            <w:tcBorders>
              <w:top w:val="nil"/>
              <w:left w:val="single" w:sz="4" w:space="0" w:color="auto"/>
              <w:bottom w:val="single" w:sz="4" w:space="0" w:color="auto"/>
              <w:right w:val="single" w:sz="4" w:space="0" w:color="auto"/>
            </w:tcBorders>
            <w:shd w:val="clear" w:color="000000" w:fill="FFF2CC"/>
            <w:vAlign w:val="center"/>
            <w:hideMark/>
          </w:tcPr>
          <w:p w14:paraId="11BD552A" w14:textId="77777777" w:rsidR="00ED5365" w:rsidRPr="00A1739B" w:rsidRDefault="00ED5365" w:rsidP="00AA694C">
            <w:pPr>
              <w:jc w:val="center"/>
              <w:rPr>
                <w:rFonts w:ascii="Aptos" w:hAnsi="Aptos"/>
                <w:sz w:val="18"/>
                <w:szCs w:val="18"/>
              </w:rPr>
            </w:pPr>
            <w:r w:rsidRPr="00A1739B">
              <w:rPr>
                <w:rFonts w:ascii="Aptos" w:hAnsi="Aptos"/>
                <w:sz w:val="18"/>
                <w:szCs w:val="18"/>
              </w:rPr>
              <w:t>Unclear</w:t>
            </w:r>
          </w:p>
        </w:tc>
        <w:tc>
          <w:tcPr>
            <w:tcW w:w="352" w:type="pct"/>
            <w:tcBorders>
              <w:top w:val="nil"/>
              <w:left w:val="single" w:sz="4" w:space="0" w:color="auto"/>
              <w:bottom w:val="single" w:sz="4" w:space="0" w:color="auto"/>
              <w:right w:val="single" w:sz="4" w:space="0" w:color="auto"/>
            </w:tcBorders>
            <w:shd w:val="clear" w:color="000000" w:fill="E2EFDA"/>
            <w:vAlign w:val="center"/>
            <w:hideMark/>
          </w:tcPr>
          <w:p w14:paraId="63DB5914" w14:textId="77777777" w:rsidR="00ED5365" w:rsidRPr="00A1739B" w:rsidRDefault="00ED5365" w:rsidP="00AA694C">
            <w:pPr>
              <w:jc w:val="center"/>
              <w:rPr>
                <w:rFonts w:ascii="Aptos" w:hAnsi="Aptos"/>
                <w:sz w:val="18"/>
                <w:szCs w:val="18"/>
              </w:rPr>
            </w:pPr>
            <w:r w:rsidRPr="00A1739B">
              <w:rPr>
                <w:rFonts w:ascii="Aptos" w:hAnsi="Aptos"/>
                <w:sz w:val="18"/>
                <w:szCs w:val="18"/>
              </w:rPr>
              <w:t>Low</w:t>
            </w:r>
          </w:p>
        </w:tc>
      </w:tr>
      <w:tr w:rsidR="00D40F1C" w:rsidRPr="00A1739B" w14:paraId="52D52F61"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2F2F2"/>
            <w:vAlign w:val="center"/>
            <w:hideMark/>
          </w:tcPr>
          <w:p w14:paraId="0B7796A5" w14:textId="77777777" w:rsidR="00ED5365" w:rsidRPr="00A1739B" w:rsidRDefault="00ED5365" w:rsidP="00AA694C">
            <w:pPr>
              <w:rPr>
                <w:rFonts w:ascii="Aptos" w:hAnsi="Aptos"/>
                <w:sz w:val="18"/>
                <w:szCs w:val="18"/>
              </w:rPr>
            </w:pPr>
            <w:r w:rsidRPr="00A1739B">
              <w:rPr>
                <w:rFonts w:ascii="Aptos" w:hAnsi="Aptos"/>
                <w:sz w:val="18"/>
                <w:szCs w:val="18"/>
              </w:rPr>
              <w:t>Domain 3: Data collection and study appraisal</w:t>
            </w:r>
          </w:p>
        </w:tc>
        <w:tc>
          <w:tcPr>
            <w:tcW w:w="364" w:type="pct"/>
            <w:tcBorders>
              <w:top w:val="nil"/>
              <w:left w:val="nil"/>
              <w:bottom w:val="single" w:sz="4" w:space="0" w:color="auto"/>
              <w:right w:val="single" w:sz="4" w:space="0" w:color="auto"/>
            </w:tcBorders>
            <w:shd w:val="clear" w:color="000000" w:fill="F2F2F2"/>
            <w:vAlign w:val="center"/>
            <w:hideMark/>
          </w:tcPr>
          <w:p w14:paraId="05DAECC5" w14:textId="7E0FFB86" w:rsidR="00ED5365" w:rsidRPr="00A1739B" w:rsidRDefault="00ED5365" w:rsidP="00AA694C">
            <w:pPr>
              <w:jc w:val="center"/>
              <w:rPr>
                <w:rFonts w:ascii="Aptos" w:hAnsi="Aptos"/>
                <w:sz w:val="18"/>
                <w:szCs w:val="18"/>
              </w:rPr>
            </w:pPr>
          </w:p>
        </w:tc>
        <w:tc>
          <w:tcPr>
            <w:tcW w:w="349" w:type="pct"/>
            <w:tcBorders>
              <w:top w:val="nil"/>
              <w:left w:val="single" w:sz="4" w:space="0" w:color="auto"/>
              <w:bottom w:val="single" w:sz="4" w:space="0" w:color="auto"/>
              <w:right w:val="single" w:sz="4" w:space="0" w:color="auto"/>
            </w:tcBorders>
            <w:shd w:val="clear" w:color="000000" w:fill="F2F2F2"/>
            <w:vAlign w:val="center"/>
            <w:hideMark/>
          </w:tcPr>
          <w:p w14:paraId="0B4DD4EC" w14:textId="463141EF" w:rsidR="00ED5365" w:rsidRPr="00A1739B" w:rsidRDefault="00ED5365" w:rsidP="00AA694C">
            <w:pPr>
              <w:jc w:val="center"/>
              <w:rPr>
                <w:rFonts w:ascii="Aptos" w:hAnsi="Aptos"/>
                <w:sz w:val="18"/>
                <w:szCs w:val="18"/>
              </w:rPr>
            </w:pPr>
          </w:p>
        </w:tc>
        <w:tc>
          <w:tcPr>
            <w:tcW w:w="352" w:type="pct"/>
            <w:tcBorders>
              <w:top w:val="nil"/>
              <w:left w:val="single" w:sz="4" w:space="0" w:color="auto"/>
              <w:bottom w:val="single" w:sz="4" w:space="0" w:color="auto"/>
              <w:right w:val="single" w:sz="4" w:space="0" w:color="auto"/>
            </w:tcBorders>
            <w:shd w:val="clear" w:color="000000" w:fill="F2F2F2"/>
            <w:vAlign w:val="center"/>
            <w:hideMark/>
          </w:tcPr>
          <w:p w14:paraId="1EF5B2B3" w14:textId="6ABB4A35" w:rsidR="00ED5365" w:rsidRPr="00A1739B" w:rsidRDefault="00ED5365" w:rsidP="00AA694C">
            <w:pPr>
              <w:jc w:val="center"/>
              <w:rPr>
                <w:rFonts w:ascii="Aptos" w:hAnsi="Aptos"/>
                <w:sz w:val="18"/>
                <w:szCs w:val="18"/>
              </w:rPr>
            </w:pPr>
          </w:p>
        </w:tc>
      </w:tr>
      <w:tr w:rsidR="00D40F1C" w:rsidRPr="00A1739B" w14:paraId="316AD193"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57877879" w14:textId="77777777" w:rsidR="00ED5365" w:rsidRPr="00A1739B" w:rsidRDefault="00ED5365" w:rsidP="00AA694C">
            <w:pPr>
              <w:rPr>
                <w:rFonts w:ascii="Aptos" w:hAnsi="Aptos"/>
                <w:sz w:val="18"/>
                <w:szCs w:val="18"/>
              </w:rPr>
            </w:pPr>
            <w:r w:rsidRPr="00A1739B">
              <w:rPr>
                <w:rFonts w:ascii="Aptos" w:hAnsi="Aptos"/>
                <w:sz w:val="18"/>
                <w:szCs w:val="18"/>
              </w:rPr>
              <w:t>Were efforts made to minimise error in data collection?</w:t>
            </w:r>
          </w:p>
        </w:tc>
        <w:tc>
          <w:tcPr>
            <w:tcW w:w="364" w:type="pct"/>
            <w:tcBorders>
              <w:top w:val="nil"/>
              <w:left w:val="nil"/>
              <w:bottom w:val="single" w:sz="4" w:space="0" w:color="auto"/>
              <w:right w:val="single" w:sz="4" w:space="0" w:color="auto"/>
            </w:tcBorders>
            <w:shd w:val="clear" w:color="000000" w:fill="FFFFFF"/>
            <w:vAlign w:val="center"/>
            <w:hideMark/>
          </w:tcPr>
          <w:p w14:paraId="0325AACE"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0C18307C" w14:textId="77777777" w:rsidR="00ED5365" w:rsidRPr="00A1739B" w:rsidRDefault="00ED5365" w:rsidP="00AA694C">
            <w:pPr>
              <w:jc w:val="center"/>
              <w:rPr>
                <w:rFonts w:ascii="Aptos" w:hAnsi="Aptos"/>
                <w:sz w:val="18"/>
                <w:szCs w:val="18"/>
              </w:rPr>
            </w:pPr>
            <w:r w:rsidRPr="00A1739B">
              <w:rPr>
                <w:rFonts w:ascii="Aptos" w:hAnsi="Aptos"/>
                <w:sz w:val="18"/>
                <w:szCs w:val="18"/>
              </w:rPr>
              <w:t>NI</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464DCAD3"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69D799E4"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69F6D4D5" w14:textId="77777777" w:rsidR="00ED5365" w:rsidRPr="00A1739B" w:rsidRDefault="00ED5365" w:rsidP="00AA694C">
            <w:pPr>
              <w:rPr>
                <w:rFonts w:ascii="Aptos" w:hAnsi="Aptos"/>
                <w:sz w:val="18"/>
                <w:szCs w:val="18"/>
              </w:rPr>
            </w:pPr>
            <w:r w:rsidRPr="00A1739B">
              <w:rPr>
                <w:rFonts w:ascii="Aptos" w:hAnsi="Aptos"/>
                <w:sz w:val="18"/>
                <w:szCs w:val="18"/>
              </w:rPr>
              <w:t>Were sufficient study characteristics available for both review authors and readers to be able to interpret the results?</w:t>
            </w:r>
          </w:p>
        </w:tc>
        <w:tc>
          <w:tcPr>
            <w:tcW w:w="364" w:type="pct"/>
            <w:tcBorders>
              <w:top w:val="nil"/>
              <w:left w:val="nil"/>
              <w:bottom w:val="single" w:sz="4" w:space="0" w:color="auto"/>
              <w:right w:val="single" w:sz="4" w:space="0" w:color="auto"/>
            </w:tcBorders>
            <w:shd w:val="clear" w:color="000000" w:fill="FFFFFF"/>
            <w:vAlign w:val="center"/>
            <w:hideMark/>
          </w:tcPr>
          <w:p w14:paraId="3D4FE6D1"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407544A8"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05996C2C"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4D7BDF2B"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0F37ABBA" w14:textId="77777777" w:rsidR="00ED5365" w:rsidRPr="00A1739B" w:rsidRDefault="00ED5365" w:rsidP="00AA694C">
            <w:pPr>
              <w:rPr>
                <w:rFonts w:ascii="Aptos" w:hAnsi="Aptos"/>
                <w:sz w:val="18"/>
                <w:szCs w:val="18"/>
              </w:rPr>
            </w:pPr>
            <w:r w:rsidRPr="00A1739B">
              <w:rPr>
                <w:rFonts w:ascii="Aptos" w:hAnsi="Aptos"/>
                <w:sz w:val="18"/>
                <w:szCs w:val="18"/>
              </w:rPr>
              <w:t>Were all relevant study results collected for use in the synthesis?</w:t>
            </w:r>
          </w:p>
        </w:tc>
        <w:tc>
          <w:tcPr>
            <w:tcW w:w="364" w:type="pct"/>
            <w:tcBorders>
              <w:top w:val="nil"/>
              <w:left w:val="nil"/>
              <w:bottom w:val="single" w:sz="4" w:space="0" w:color="auto"/>
              <w:right w:val="single" w:sz="4" w:space="0" w:color="auto"/>
            </w:tcBorders>
            <w:shd w:val="clear" w:color="000000" w:fill="FFFFFF"/>
            <w:vAlign w:val="center"/>
            <w:hideMark/>
          </w:tcPr>
          <w:p w14:paraId="65C3C7A0"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591954CE"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4E2DC8C4"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66D0756E"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242D57E7" w14:textId="77777777" w:rsidR="00ED5365" w:rsidRPr="00A1739B" w:rsidRDefault="00ED5365" w:rsidP="00AA694C">
            <w:pPr>
              <w:rPr>
                <w:rFonts w:ascii="Aptos" w:hAnsi="Aptos"/>
                <w:sz w:val="18"/>
                <w:szCs w:val="18"/>
              </w:rPr>
            </w:pPr>
            <w:r w:rsidRPr="00A1739B">
              <w:rPr>
                <w:rFonts w:ascii="Aptos" w:hAnsi="Aptos"/>
                <w:sz w:val="18"/>
                <w:szCs w:val="18"/>
              </w:rPr>
              <w:t>Was risk of bias (or methodological quality) formally assessed using appropriate criteria?</w:t>
            </w:r>
          </w:p>
        </w:tc>
        <w:tc>
          <w:tcPr>
            <w:tcW w:w="364" w:type="pct"/>
            <w:tcBorders>
              <w:top w:val="nil"/>
              <w:left w:val="nil"/>
              <w:bottom w:val="single" w:sz="4" w:space="0" w:color="auto"/>
              <w:right w:val="single" w:sz="4" w:space="0" w:color="auto"/>
            </w:tcBorders>
            <w:shd w:val="clear" w:color="000000" w:fill="FFFFFF"/>
            <w:vAlign w:val="center"/>
            <w:hideMark/>
          </w:tcPr>
          <w:p w14:paraId="7A92063E"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432D6D87"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7BBB9858"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2104DC68"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6635FAC3" w14:textId="77777777" w:rsidR="00ED5365" w:rsidRPr="00A1739B" w:rsidRDefault="00ED5365" w:rsidP="00AA694C">
            <w:pPr>
              <w:rPr>
                <w:rFonts w:ascii="Aptos" w:hAnsi="Aptos"/>
                <w:sz w:val="18"/>
                <w:szCs w:val="18"/>
              </w:rPr>
            </w:pPr>
            <w:r w:rsidRPr="00A1739B">
              <w:rPr>
                <w:rFonts w:ascii="Aptos" w:hAnsi="Aptos"/>
                <w:sz w:val="18"/>
                <w:szCs w:val="18"/>
              </w:rPr>
              <w:lastRenderedPageBreak/>
              <w:t>Were efforts made to minimise error in risk of bias assessment?</w:t>
            </w:r>
          </w:p>
        </w:tc>
        <w:tc>
          <w:tcPr>
            <w:tcW w:w="364" w:type="pct"/>
            <w:tcBorders>
              <w:top w:val="nil"/>
              <w:left w:val="nil"/>
              <w:bottom w:val="single" w:sz="4" w:space="0" w:color="auto"/>
              <w:right w:val="single" w:sz="4" w:space="0" w:color="auto"/>
            </w:tcBorders>
            <w:shd w:val="clear" w:color="000000" w:fill="FFFFFF"/>
            <w:vAlign w:val="center"/>
            <w:hideMark/>
          </w:tcPr>
          <w:p w14:paraId="3FE20A12"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3B17F6EF" w14:textId="77777777" w:rsidR="00ED5365" w:rsidRPr="00A1739B" w:rsidRDefault="00ED5365" w:rsidP="00AA694C">
            <w:pPr>
              <w:jc w:val="center"/>
              <w:rPr>
                <w:rFonts w:ascii="Aptos" w:hAnsi="Aptos"/>
                <w:sz w:val="18"/>
                <w:szCs w:val="18"/>
              </w:rPr>
            </w:pPr>
            <w:r w:rsidRPr="00A1739B">
              <w:rPr>
                <w:rFonts w:ascii="Aptos" w:hAnsi="Aptos"/>
                <w:sz w:val="18"/>
                <w:szCs w:val="18"/>
              </w:rPr>
              <w:t>NI</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5305CFE1"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4376C718"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52884A50" w14:textId="77777777" w:rsidR="00ED5365" w:rsidRPr="00A1739B" w:rsidRDefault="00ED5365" w:rsidP="00AA694C">
            <w:pPr>
              <w:rPr>
                <w:rFonts w:ascii="Aptos" w:hAnsi="Aptos"/>
                <w:sz w:val="18"/>
                <w:szCs w:val="18"/>
              </w:rPr>
            </w:pPr>
            <w:r w:rsidRPr="00A1739B">
              <w:rPr>
                <w:rFonts w:ascii="Aptos" w:hAnsi="Aptos"/>
                <w:sz w:val="18"/>
                <w:szCs w:val="18"/>
              </w:rPr>
              <w:t>Concerns regarding methods used to collect data and appraise studies: LOW, HIGH, UNCLEAR</w:t>
            </w:r>
          </w:p>
        </w:tc>
        <w:tc>
          <w:tcPr>
            <w:tcW w:w="364" w:type="pct"/>
            <w:tcBorders>
              <w:top w:val="nil"/>
              <w:left w:val="nil"/>
              <w:bottom w:val="single" w:sz="4" w:space="0" w:color="auto"/>
              <w:right w:val="single" w:sz="4" w:space="0" w:color="auto"/>
            </w:tcBorders>
            <w:shd w:val="clear" w:color="000000" w:fill="E2EFDA"/>
            <w:vAlign w:val="center"/>
            <w:hideMark/>
          </w:tcPr>
          <w:p w14:paraId="5197B24F" w14:textId="77777777" w:rsidR="00ED5365" w:rsidRPr="00A1739B" w:rsidRDefault="00ED5365" w:rsidP="00AA694C">
            <w:pPr>
              <w:jc w:val="center"/>
              <w:rPr>
                <w:rFonts w:ascii="Aptos" w:hAnsi="Aptos"/>
                <w:sz w:val="18"/>
                <w:szCs w:val="18"/>
              </w:rPr>
            </w:pPr>
            <w:r w:rsidRPr="00A1739B">
              <w:rPr>
                <w:rFonts w:ascii="Aptos" w:hAnsi="Aptos"/>
                <w:sz w:val="18"/>
                <w:szCs w:val="18"/>
              </w:rPr>
              <w:t>Low</w:t>
            </w:r>
          </w:p>
        </w:tc>
        <w:tc>
          <w:tcPr>
            <w:tcW w:w="349" w:type="pct"/>
            <w:tcBorders>
              <w:top w:val="nil"/>
              <w:left w:val="single" w:sz="4" w:space="0" w:color="auto"/>
              <w:bottom w:val="single" w:sz="4" w:space="0" w:color="auto"/>
              <w:right w:val="single" w:sz="4" w:space="0" w:color="auto"/>
            </w:tcBorders>
            <w:shd w:val="clear" w:color="000000" w:fill="FFF2CC"/>
            <w:vAlign w:val="center"/>
            <w:hideMark/>
          </w:tcPr>
          <w:p w14:paraId="789BDEDD" w14:textId="77777777" w:rsidR="00ED5365" w:rsidRPr="00A1739B" w:rsidRDefault="00ED5365" w:rsidP="00AA694C">
            <w:pPr>
              <w:jc w:val="center"/>
              <w:rPr>
                <w:rFonts w:ascii="Aptos" w:hAnsi="Aptos"/>
                <w:sz w:val="18"/>
                <w:szCs w:val="18"/>
              </w:rPr>
            </w:pPr>
            <w:r w:rsidRPr="00A1739B">
              <w:rPr>
                <w:rFonts w:ascii="Aptos" w:hAnsi="Aptos"/>
                <w:sz w:val="18"/>
                <w:szCs w:val="18"/>
              </w:rPr>
              <w:t>Unclear</w:t>
            </w:r>
          </w:p>
        </w:tc>
        <w:tc>
          <w:tcPr>
            <w:tcW w:w="352" w:type="pct"/>
            <w:tcBorders>
              <w:top w:val="nil"/>
              <w:left w:val="single" w:sz="4" w:space="0" w:color="auto"/>
              <w:bottom w:val="single" w:sz="4" w:space="0" w:color="auto"/>
              <w:right w:val="single" w:sz="4" w:space="0" w:color="auto"/>
            </w:tcBorders>
            <w:shd w:val="clear" w:color="000000" w:fill="E2EFDA"/>
            <w:vAlign w:val="center"/>
            <w:hideMark/>
          </w:tcPr>
          <w:p w14:paraId="39AD2BD1" w14:textId="77777777" w:rsidR="00ED5365" w:rsidRPr="00A1739B" w:rsidRDefault="00ED5365" w:rsidP="00AA694C">
            <w:pPr>
              <w:jc w:val="center"/>
              <w:rPr>
                <w:rFonts w:ascii="Aptos" w:hAnsi="Aptos"/>
                <w:sz w:val="18"/>
                <w:szCs w:val="18"/>
              </w:rPr>
            </w:pPr>
            <w:r w:rsidRPr="00A1739B">
              <w:rPr>
                <w:rFonts w:ascii="Aptos" w:hAnsi="Aptos"/>
                <w:sz w:val="18"/>
                <w:szCs w:val="18"/>
              </w:rPr>
              <w:t>Low</w:t>
            </w:r>
          </w:p>
        </w:tc>
      </w:tr>
      <w:tr w:rsidR="00D40F1C" w:rsidRPr="00A1739B" w14:paraId="31B22EB0"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2F2F2"/>
            <w:vAlign w:val="center"/>
            <w:hideMark/>
          </w:tcPr>
          <w:p w14:paraId="3EC0B936" w14:textId="77777777" w:rsidR="00ED5365" w:rsidRPr="00A1739B" w:rsidRDefault="00ED5365" w:rsidP="00AA694C">
            <w:pPr>
              <w:rPr>
                <w:rFonts w:ascii="Aptos" w:hAnsi="Aptos"/>
                <w:sz w:val="18"/>
                <w:szCs w:val="18"/>
              </w:rPr>
            </w:pPr>
            <w:r w:rsidRPr="00A1739B">
              <w:rPr>
                <w:rFonts w:ascii="Aptos" w:hAnsi="Aptos"/>
                <w:sz w:val="18"/>
                <w:szCs w:val="18"/>
              </w:rPr>
              <w:t>Domain 4: Synthesis and findings</w:t>
            </w:r>
          </w:p>
        </w:tc>
        <w:tc>
          <w:tcPr>
            <w:tcW w:w="364" w:type="pct"/>
            <w:tcBorders>
              <w:top w:val="nil"/>
              <w:left w:val="nil"/>
              <w:bottom w:val="single" w:sz="4" w:space="0" w:color="auto"/>
              <w:right w:val="single" w:sz="4" w:space="0" w:color="auto"/>
            </w:tcBorders>
            <w:shd w:val="clear" w:color="000000" w:fill="F2F2F2"/>
            <w:vAlign w:val="center"/>
            <w:hideMark/>
          </w:tcPr>
          <w:p w14:paraId="028E3020" w14:textId="2E1AD209" w:rsidR="00ED5365" w:rsidRPr="00A1739B" w:rsidRDefault="00ED5365" w:rsidP="00AA694C">
            <w:pPr>
              <w:jc w:val="center"/>
              <w:rPr>
                <w:rFonts w:ascii="Aptos" w:hAnsi="Aptos"/>
                <w:sz w:val="18"/>
                <w:szCs w:val="18"/>
              </w:rPr>
            </w:pPr>
          </w:p>
        </w:tc>
        <w:tc>
          <w:tcPr>
            <w:tcW w:w="349" w:type="pct"/>
            <w:tcBorders>
              <w:top w:val="nil"/>
              <w:left w:val="single" w:sz="4" w:space="0" w:color="auto"/>
              <w:bottom w:val="single" w:sz="4" w:space="0" w:color="auto"/>
              <w:right w:val="single" w:sz="4" w:space="0" w:color="auto"/>
            </w:tcBorders>
            <w:shd w:val="clear" w:color="000000" w:fill="F2F2F2"/>
            <w:vAlign w:val="center"/>
            <w:hideMark/>
          </w:tcPr>
          <w:p w14:paraId="559B7BA2" w14:textId="55F863A2" w:rsidR="00ED5365" w:rsidRPr="00A1739B" w:rsidRDefault="00ED5365" w:rsidP="00AA694C">
            <w:pPr>
              <w:jc w:val="center"/>
              <w:rPr>
                <w:rFonts w:ascii="Aptos" w:hAnsi="Aptos"/>
                <w:sz w:val="18"/>
                <w:szCs w:val="18"/>
              </w:rPr>
            </w:pPr>
          </w:p>
        </w:tc>
        <w:tc>
          <w:tcPr>
            <w:tcW w:w="352" w:type="pct"/>
            <w:tcBorders>
              <w:top w:val="nil"/>
              <w:left w:val="single" w:sz="4" w:space="0" w:color="auto"/>
              <w:bottom w:val="single" w:sz="4" w:space="0" w:color="auto"/>
              <w:right w:val="single" w:sz="4" w:space="0" w:color="auto"/>
            </w:tcBorders>
            <w:shd w:val="clear" w:color="000000" w:fill="F2F2F2"/>
            <w:vAlign w:val="center"/>
            <w:hideMark/>
          </w:tcPr>
          <w:p w14:paraId="4379C61D" w14:textId="351318D1" w:rsidR="00ED5365" w:rsidRPr="00A1739B" w:rsidRDefault="00ED5365" w:rsidP="00AA694C">
            <w:pPr>
              <w:jc w:val="center"/>
              <w:rPr>
                <w:rFonts w:ascii="Aptos" w:hAnsi="Aptos"/>
                <w:sz w:val="18"/>
                <w:szCs w:val="18"/>
              </w:rPr>
            </w:pPr>
          </w:p>
        </w:tc>
      </w:tr>
      <w:tr w:rsidR="00D40F1C" w:rsidRPr="00A1739B" w14:paraId="763C7997"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1BB5DBD9" w14:textId="77777777" w:rsidR="00ED5365" w:rsidRPr="00A1739B" w:rsidRDefault="00ED5365" w:rsidP="00AA694C">
            <w:pPr>
              <w:rPr>
                <w:rFonts w:ascii="Aptos" w:hAnsi="Aptos"/>
                <w:sz w:val="18"/>
                <w:szCs w:val="18"/>
              </w:rPr>
            </w:pPr>
            <w:r w:rsidRPr="00A1739B">
              <w:rPr>
                <w:rFonts w:ascii="Aptos" w:hAnsi="Aptos"/>
                <w:sz w:val="18"/>
                <w:szCs w:val="18"/>
              </w:rPr>
              <w:t>Did the synthesis include all studies that it should?</w:t>
            </w:r>
          </w:p>
        </w:tc>
        <w:tc>
          <w:tcPr>
            <w:tcW w:w="364" w:type="pct"/>
            <w:tcBorders>
              <w:top w:val="nil"/>
              <w:left w:val="nil"/>
              <w:bottom w:val="single" w:sz="4" w:space="0" w:color="auto"/>
              <w:right w:val="single" w:sz="4" w:space="0" w:color="auto"/>
            </w:tcBorders>
            <w:shd w:val="clear" w:color="000000" w:fill="FFFFFF"/>
            <w:vAlign w:val="center"/>
            <w:hideMark/>
          </w:tcPr>
          <w:p w14:paraId="2ABFD95E"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0BC80C8E"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66E18F1F"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r>
      <w:tr w:rsidR="00D40F1C" w:rsidRPr="00A1739B" w14:paraId="7BAC1847"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09119430" w14:textId="77777777" w:rsidR="00ED5365" w:rsidRPr="00A1739B" w:rsidRDefault="00ED5365" w:rsidP="00AA694C">
            <w:pPr>
              <w:rPr>
                <w:rFonts w:ascii="Aptos" w:hAnsi="Aptos"/>
                <w:sz w:val="18"/>
                <w:szCs w:val="18"/>
              </w:rPr>
            </w:pPr>
            <w:r w:rsidRPr="00A1739B">
              <w:rPr>
                <w:rFonts w:ascii="Aptos" w:hAnsi="Aptos"/>
                <w:sz w:val="18"/>
                <w:szCs w:val="18"/>
              </w:rPr>
              <w:t>Were all pre</w:t>
            </w:r>
            <w:r w:rsidRPr="00A1739B">
              <w:rPr>
                <w:rFonts w:ascii="Cambria Math" w:hAnsi="Cambria Math" w:cs="Cambria Math"/>
                <w:sz w:val="18"/>
                <w:szCs w:val="18"/>
              </w:rPr>
              <w:t>‐</w:t>
            </w:r>
            <w:r w:rsidRPr="00A1739B">
              <w:rPr>
                <w:rFonts w:ascii="Aptos" w:hAnsi="Aptos"/>
                <w:sz w:val="18"/>
                <w:szCs w:val="18"/>
              </w:rPr>
              <w:t>defined analyses reported or departures explained?</w:t>
            </w:r>
          </w:p>
        </w:tc>
        <w:tc>
          <w:tcPr>
            <w:tcW w:w="364" w:type="pct"/>
            <w:tcBorders>
              <w:top w:val="nil"/>
              <w:left w:val="nil"/>
              <w:bottom w:val="single" w:sz="4" w:space="0" w:color="auto"/>
              <w:right w:val="single" w:sz="4" w:space="0" w:color="auto"/>
            </w:tcBorders>
            <w:shd w:val="clear" w:color="000000" w:fill="FFFFFF"/>
            <w:vAlign w:val="center"/>
            <w:hideMark/>
          </w:tcPr>
          <w:p w14:paraId="026EB25C"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50AA0CD3"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6B7ED486"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28B9919F"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142C68E3" w14:textId="77777777" w:rsidR="00ED5365" w:rsidRPr="00A1739B" w:rsidRDefault="00ED5365" w:rsidP="00AA694C">
            <w:pPr>
              <w:rPr>
                <w:rFonts w:ascii="Aptos" w:hAnsi="Aptos"/>
                <w:sz w:val="18"/>
                <w:szCs w:val="18"/>
              </w:rPr>
            </w:pPr>
            <w:r w:rsidRPr="00A1739B">
              <w:rPr>
                <w:rFonts w:ascii="Aptos" w:hAnsi="Aptos"/>
                <w:sz w:val="18"/>
                <w:szCs w:val="18"/>
              </w:rPr>
              <w:t>Was the synthesis appropriate given the nature and similarity in the research questions, study designs and outcomes across included studies?</w:t>
            </w:r>
          </w:p>
        </w:tc>
        <w:tc>
          <w:tcPr>
            <w:tcW w:w="364" w:type="pct"/>
            <w:tcBorders>
              <w:top w:val="nil"/>
              <w:left w:val="nil"/>
              <w:bottom w:val="single" w:sz="4" w:space="0" w:color="auto"/>
              <w:right w:val="single" w:sz="4" w:space="0" w:color="auto"/>
            </w:tcBorders>
            <w:shd w:val="clear" w:color="000000" w:fill="FFFFFF"/>
            <w:vAlign w:val="center"/>
            <w:hideMark/>
          </w:tcPr>
          <w:p w14:paraId="06C08125"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4FA38C59"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0FA42F5C"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7BF97E80"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72145940" w14:textId="77777777" w:rsidR="00ED5365" w:rsidRPr="00A1739B" w:rsidRDefault="00ED5365" w:rsidP="00AA694C">
            <w:pPr>
              <w:rPr>
                <w:rFonts w:ascii="Aptos" w:hAnsi="Aptos"/>
                <w:sz w:val="18"/>
                <w:szCs w:val="18"/>
              </w:rPr>
            </w:pPr>
            <w:r w:rsidRPr="00A1739B">
              <w:rPr>
                <w:rFonts w:ascii="Aptos" w:hAnsi="Aptos"/>
                <w:sz w:val="18"/>
                <w:szCs w:val="18"/>
              </w:rPr>
              <w:t>Was between</w:t>
            </w:r>
            <w:r w:rsidRPr="00A1739B">
              <w:rPr>
                <w:rFonts w:ascii="Cambria Math" w:hAnsi="Cambria Math" w:cs="Cambria Math"/>
                <w:sz w:val="18"/>
                <w:szCs w:val="18"/>
              </w:rPr>
              <w:t>‐</w:t>
            </w:r>
            <w:r w:rsidRPr="00A1739B">
              <w:rPr>
                <w:rFonts w:ascii="Aptos" w:hAnsi="Aptos"/>
                <w:sz w:val="18"/>
                <w:szCs w:val="18"/>
              </w:rPr>
              <w:t>study variation (heterogeneity) minimal or addressed in the synthesis?</w:t>
            </w:r>
          </w:p>
        </w:tc>
        <w:tc>
          <w:tcPr>
            <w:tcW w:w="364" w:type="pct"/>
            <w:tcBorders>
              <w:top w:val="nil"/>
              <w:left w:val="nil"/>
              <w:bottom w:val="single" w:sz="4" w:space="0" w:color="auto"/>
              <w:right w:val="single" w:sz="4" w:space="0" w:color="auto"/>
            </w:tcBorders>
            <w:shd w:val="clear" w:color="000000" w:fill="FFFFFF"/>
            <w:vAlign w:val="center"/>
            <w:hideMark/>
          </w:tcPr>
          <w:p w14:paraId="11B0D9F3"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20EBACF6"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04383943" w14:textId="77777777" w:rsidR="00ED5365" w:rsidRPr="00A1739B" w:rsidRDefault="00ED5365" w:rsidP="00AA694C">
            <w:pPr>
              <w:jc w:val="center"/>
              <w:rPr>
                <w:rFonts w:ascii="Aptos" w:hAnsi="Aptos"/>
                <w:sz w:val="18"/>
                <w:szCs w:val="18"/>
              </w:rPr>
            </w:pPr>
            <w:r w:rsidRPr="00A1739B">
              <w:rPr>
                <w:rFonts w:ascii="Aptos" w:hAnsi="Aptos"/>
                <w:sz w:val="18"/>
                <w:szCs w:val="18"/>
              </w:rPr>
              <w:t>PY</w:t>
            </w:r>
          </w:p>
        </w:tc>
      </w:tr>
      <w:tr w:rsidR="00D40F1C" w:rsidRPr="00A1739B" w14:paraId="1EE2778F"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2D76F96D" w14:textId="77777777" w:rsidR="00ED5365" w:rsidRPr="00A1739B" w:rsidRDefault="00ED5365" w:rsidP="00AA694C">
            <w:pPr>
              <w:rPr>
                <w:rFonts w:ascii="Aptos" w:hAnsi="Aptos"/>
                <w:sz w:val="18"/>
                <w:szCs w:val="18"/>
              </w:rPr>
            </w:pPr>
            <w:r w:rsidRPr="00A1739B">
              <w:rPr>
                <w:rFonts w:ascii="Aptos" w:hAnsi="Aptos"/>
                <w:sz w:val="18"/>
                <w:szCs w:val="18"/>
              </w:rPr>
              <w:t>Were the findings robust, e.g. as demonstrated through funnel plot or sensitivity analyses?</w:t>
            </w:r>
          </w:p>
        </w:tc>
        <w:tc>
          <w:tcPr>
            <w:tcW w:w="364" w:type="pct"/>
            <w:tcBorders>
              <w:top w:val="nil"/>
              <w:left w:val="nil"/>
              <w:bottom w:val="single" w:sz="4" w:space="0" w:color="auto"/>
              <w:right w:val="single" w:sz="4" w:space="0" w:color="auto"/>
            </w:tcBorders>
            <w:shd w:val="clear" w:color="000000" w:fill="FFFFFF"/>
            <w:vAlign w:val="center"/>
            <w:hideMark/>
          </w:tcPr>
          <w:p w14:paraId="484B86EA" w14:textId="77777777" w:rsidR="00ED5365" w:rsidRPr="00A1739B" w:rsidRDefault="00ED5365" w:rsidP="00AA694C">
            <w:pPr>
              <w:jc w:val="center"/>
              <w:rPr>
                <w:rFonts w:ascii="Aptos" w:hAnsi="Aptos"/>
                <w:sz w:val="18"/>
                <w:szCs w:val="18"/>
              </w:rPr>
            </w:pPr>
            <w:r w:rsidRPr="00A1739B">
              <w:rPr>
                <w:rFonts w:ascii="Aptos" w:hAnsi="Aptos"/>
                <w:sz w:val="18"/>
                <w:szCs w:val="18"/>
              </w:rPr>
              <w:t>NI</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18D05FE5" w14:textId="77777777" w:rsidR="00ED5365" w:rsidRPr="00A1739B" w:rsidRDefault="00ED5365" w:rsidP="00AA694C">
            <w:pPr>
              <w:jc w:val="center"/>
              <w:rPr>
                <w:rFonts w:ascii="Aptos" w:hAnsi="Aptos"/>
                <w:sz w:val="18"/>
                <w:szCs w:val="18"/>
              </w:rPr>
            </w:pPr>
            <w:r w:rsidRPr="00A1739B">
              <w:rPr>
                <w:rFonts w:ascii="Aptos" w:hAnsi="Aptos"/>
                <w:sz w:val="18"/>
                <w:szCs w:val="18"/>
              </w:rPr>
              <w:t>NI</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27B326C1" w14:textId="77777777" w:rsidR="00ED5365" w:rsidRPr="00A1739B" w:rsidRDefault="00ED5365" w:rsidP="00AA694C">
            <w:pPr>
              <w:jc w:val="center"/>
              <w:rPr>
                <w:rFonts w:ascii="Aptos" w:hAnsi="Aptos"/>
                <w:sz w:val="18"/>
                <w:szCs w:val="18"/>
              </w:rPr>
            </w:pPr>
            <w:r w:rsidRPr="00A1739B">
              <w:rPr>
                <w:rFonts w:ascii="Aptos" w:hAnsi="Aptos"/>
                <w:sz w:val="18"/>
                <w:szCs w:val="18"/>
              </w:rPr>
              <w:t>NI</w:t>
            </w:r>
          </w:p>
        </w:tc>
      </w:tr>
      <w:tr w:rsidR="00D40F1C" w:rsidRPr="00A1739B" w14:paraId="3BF99A91"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71115A53" w14:textId="77777777" w:rsidR="00ED5365" w:rsidRPr="00A1739B" w:rsidRDefault="00ED5365" w:rsidP="00AA694C">
            <w:pPr>
              <w:rPr>
                <w:rFonts w:ascii="Aptos" w:hAnsi="Aptos"/>
                <w:sz w:val="18"/>
                <w:szCs w:val="18"/>
              </w:rPr>
            </w:pPr>
            <w:r w:rsidRPr="00A1739B">
              <w:rPr>
                <w:rFonts w:ascii="Aptos" w:hAnsi="Aptos"/>
                <w:sz w:val="18"/>
                <w:szCs w:val="18"/>
              </w:rPr>
              <w:t>Were biases in primary studies minimal or addressed in the synthesis?</w:t>
            </w:r>
          </w:p>
        </w:tc>
        <w:tc>
          <w:tcPr>
            <w:tcW w:w="364" w:type="pct"/>
            <w:tcBorders>
              <w:top w:val="nil"/>
              <w:left w:val="nil"/>
              <w:bottom w:val="single" w:sz="4" w:space="0" w:color="auto"/>
              <w:right w:val="single" w:sz="4" w:space="0" w:color="auto"/>
            </w:tcBorders>
            <w:shd w:val="clear" w:color="000000" w:fill="FFFFFF"/>
            <w:vAlign w:val="center"/>
            <w:hideMark/>
          </w:tcPr>
          <w:p w14:paraId="41C316E4"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09376C0E"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5E354088"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0F28EBCE"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71AB7B7F" w14:textId="77777777" w:rsidR="00ED5365" w:rsidRPr="00A1739B" w:rsidRDefault="00ED5365" w:rsidP="00AA694C">
            <w:pPr>
              <w:rPr>
                <w:rFonts w:ascii="Aptos" w:hAnsi="Aptos"/>
                <w:sz w:val="18"/>
                <w:szCs w:val="18"/>
              </w:rPr>
            </w:pPr>
            <w:r w:rsidRPr="00A1739B">
              <w:rPr>
                <w:rFonts w:ascii="Aptos" w:hAnsi="Aptos"/>
                <w:sz w:val="18"/>
                <w:szCs w:val="18"/>
              </w:rPr>
              <w:t>Concerns regarding the synthesis and finding: LOW, HIGH, UNCLEAR</w:t>
            </w:r>
          </w:p>
        </w:tc>
        <w:tc>
          <w:tcPr>
            <w:tcW w:w="364" w:type="pct"/>
            <w:tcBorders>
              <w:top w:val="nil"/>
              <w:left w:val="nil"/>
              <w:bottom w:val="single" w:sz="4" w:space="0" w:color="auto"/>
              <w:right w:val="single" w:sz="4" w:space="0" w:color="auto"/>
            </w:tcBorders>
            <w:shd w:val="clear" w:color="000000" w:fill="FFF2CC"/>
            <w:vAlign w:val="center"/>
            <w:hideMark/>
          </w:tcPr>
          <w:p w14:paraId="5AADBAA2" w14:textId="77777777" w:rsidR="00ED5365" w:rsidRPr="00A1739B" w:rsidRDefault="00ED5365" w:rsidP="00AA694C">
            <w:pPr>
              <w:jc w:val="center"/>
              <w:rPr>
                <w:rFonts w:ascii="Aptos" w:hAnsi="Aptos"/>
                <w:sz w:val="18"/>
                <w:szCs w:val="18"/>
              </w:rPr>
            </w:pPr>
            <w:r w:rsidRPr="00A1739B">
              <w:rPr>
                <w:rFonts w:ascii="Aptos" w:hAnsi="Aptos"/>
                <w:sz w:val="18"/>
                <w:szCs w:val="18"/>
              </w:rPr>
              <w:t>Unclear</w:t>
            </w:r>
          </w:p>
        </w:tc>
        <w:tc>
          <w:tcPr>
            <w:tcW w:w="349" w:type="pct"/>
            <w:tcBorders>
              <w:top w:val="nil"/>
              <w:left w:val="single" w:sz="4" w:space="0" w:color="auto"/>
              <w:bottom w:val="single" w:sz="4" w:space="0" w:color="auto"/>
              <w:right w:val="single" w:sz="4" w:space="0" w:color="auto"/>
            </w:tcBorders>
            <w:shd w:val="clear" w:color="000000" w:fill="FFF2CC"/>
            <w:vAlign w:val="center"/>
            <w:hideMark/>
          </w:tcPr>
          <w:p w14:paraId="399ACE3E" w14:textId="77777777" w:rsidR="00ED5365" w:rsidRPr="00A1739B" w:rsidRDefault="00ED5365" w:rsidP="00AA694C">
            <w:pPr>
              <w:jc w:val="center"/>
              <w:rPr>
                <w:rFonts w:ascii="Aptos" w:hAnsi="Aptos"/>
                <w:sz w:val="18"/>
                <w:szCs w:val="18"/>
              </w:rPr>
            </w:pPr>
            <w:r w:rsidRPr="00A1739B">
              <w:rPr>
                <w:rFonts w:ascii="Aptos" w:hAnsi="Aptos"/>
                <w:sz w:val="18"/>
                <w:szCs w:val="18"/>
              </w:rPr>
              <w:t>Unclear</w:t>
            </w:r>
          </w:p>
        </w:tc>
        <w:tc>
          <w:tcPr>
            <w:tcW w:w="352" w:type="pct"/>
            <w:tcBorders>
              <w:top w:val="nil"/>
              <w:left w:val="single" w:sz="4" w:space="0" w:color="auto"/>
              <w:bottom w:val="single" w:sz="4" w:space="0" w:color="auto"/>
              <w:right w:val="single" w:sz="4" w:space="0" w:color="auto"/>
            </w:tcBorders>
            <w:shd w:val="clear" w:color="000000" w:fill="FFF2CC"/>
            <w:vAlign w:val="center"/>
            <w:hideMark/>
          </w:tcPr>
          <w:p w14:paraId="723C5229" w14:textId="77777777" w:rsidR="00ED5365" w:rsidRPr="00A1739B" w:rsidRDefault="00ED5365" w:rsidP="00AA694C">
            <w:pPr>
              <w:jc w:val="center"/>
              <w:rPr>
                <w:rFonts w:ascii="Aptos" w:hAnsi="Aptos"/>
                <w:sz w:val="18"/>
                <w:szCs w:val="18"/>
              </w:rPr>
            </w:pPr>
            <w:r w:rsidRPr="00A1739B">
              <w:rPr>
                <w:rFonts w:ascii="Aptos" w:hAnsi="Aptos"/>
                <w:sz w:val="18"/>
                <w:szCs w:val="18"/>
              </w:rPr>
              <w:t>Unclear</w:t>
            </w:r>
          </w:p>
        </w:tc>
      </w:tr>
      <w:tr w:rsidR="00D40F1C" w:rsidRPr="00A1739B" w14:paraId="7AC53841"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D9D9D9"/>
            <w:vAlign w:val="center"/>
            <w:hideMark/>
          </w:tcPr>
          <w:p w14:paraId="2FEB0073" w14:textId="77777777" w:rsidR="00ED5365" w:rsidRPr="00A1739B" w:rsidRDefault="00ED5365" w:rsidP="00AA694C">
            <w:pPr>
              <w:rPr>
                <w:rFonts w:ascii="Aptos" w:hAnsi="Aptos"/>
                <w:sz w:val="18"/>
                <w:szCs w:val="18"/>
              </w:rPr>
            </w:pPr>
            <w:r w:rsidRPr="00A1739B">
              <w:rPr>
                <w:rFonts w:ascii="Aptos" w:hAnsi="Aptos"/>
                <w:sz w:val="18"/>
                <w:szCs w:val="18"/>
              </w:rPr>
              <w:t>Risk of bias in the review</w:t>
            </w:r>
          </w:p>
        </w:tc>
        <w:tc>
          <w:tcPr>
            <w:tcW w:w="364" w:type="pct"/>
            <w:tcBorders>
              <w:top w:val="nil"/>
              <w:left w:val="nil"/>
              <w:bottom w:val="single" w:sz="4" w:space="0" w:color="auto"/>
              <w:right w:val="single" w:sz="4" w:space="0" w:color="auto"/>
            </w:tcBorders>
            <w:shd w:val="clear" w:color="000000" w:fill="D9D9D9"/>
            <w:vAlign w:val="center"/>
            <w:hideMark/>
          </w:tcPr>
          <w:p w14:paraId="657D019C" w14:textId="38ABD109" w:rsidR="00ED5365" w:rsidRPr="00A1739B" w:rsidRDefault="00ED5365" w:rsidP="00AA694C">
            <w:pPr>
              <w:jc w:val="center"/>
              <w:rPr>
                <w:rFonts w:ascii="Aptos" w:hAnsi="Aptos"/>
                <w:sz w:val="18"/>
                <w:szCs w:val="18"/>
              </w:rPr>
            </w:pPr>
          </w:p>
        </w:tc>
        <w:tc>
          <w:tcPr>
            <w:tcW w:w="349" w:type="pct"/>
            <w:tcBorders>
              <w:top w:val="nil"/>
              <w:left w:val="single" w:sz="4" w:space="0" w:color="auto"/>
              <w:bottom w:val="single" w:sz="4" w:space="0" w:color="auto"/>
              <w:right w:val="single" w:sz="4" w:space="0" w:color="auto"/>
            </w:tcBorders>
            <w:shd w:val="clear" w:color="000000" w:fill="D9D9D9"/>
            <w:vAlign w:val="center"/>
            <w:hideMark/>
          </w:tcPr>
          <w:p w14:paraId="1171BB20" w14:textId="327F0835" w:rsidR="00ED5365" w:rsidRPr="00A1739B" w:rsidRDefault="00ED5365" w:rsidP="00AA694C">
            <w:pPr>
              <w:jc w:val="center"/>
              <w:rPr>
                <w:rFonts w:ascii="Aptos" w:hAnsi="Aptos"/>
                <w:sz w:val="18"/>
                <w:szCs w:val="18"/>
              </w:rPr>
            </w:pPr>
          </w:p>
        </w:tc>
        <w:tc>
          <w:tcPr>
            <w:tcW w:w="352" w:type="pct"/>
            <w:tcBorders>
              <w:top w:val="nil"/>
              <w:left w:val="single" w:sz="4" w:space="0" w:color="auto"/>
              <w:bottom w:val="single" w:sz="4" w:space="0" w:color="auto"/>
              <w:right w:val="single" w:sz="4" w:space="0" w:color="auto"/>
            </w:tcBorders>
            <w:shd w:val="clear" w:color="000000" w:fill="D9D9D9"/>
            <w:vAlign w:val="center"/>
            <w:hideMark/>
          </w:tcPr>
          <w:p w14:paraId="3824E72B" w14:textId="4E6AAD19" w:rsidR="00ED5365" w:rsidRPr="00A1739B" w:rsidRDefault="00ED5365" w:rsidP="00AA694C">
            <w:pPr>
              <w:jc w:val="center"/>
              <w:rPr>
                <w:rFonts w:ascii="Aptos" w:hAnsi="Aptos"/>
                <w:sz w:val="18"/>
                <w:szCs w:val="18"/>
              </w:rPr>
            </w:pPr>
          </w:p>
        </w:tc>
      </w:tr>
      <w:tr w:rsidR="00D40F1C" w:rsidRPr="00A1739B" w14:paraId="7907FC7A"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7B0C1B6F" w14:textId="77777777" w:rsidR="00ED5365" w:rsidRPr="00A1739B" w:rsidRDefault="00ED5365" w:rsidP="00AA694C">
            <w:pPr>
              <w:rPr>
                <w:rFonts w:ascii="Aptos" w:hAnsi="Aptos"/>
                <w:sz w:val="18"/>
                <w:szCs w:val="18"/>
              </w:rPr>
            </w:pPr>
            <w:r w:rsidRPr="00A1739B">
              <w:rPr>
                <w:rFonts w:ascii="Aptos" w:hAnsi="Aptos"/>
                <w:sz w:val="18"/>
                <w:szCs w:val="18"/>
              </w:rPr>
              <w:t>Did the interpretation of findings address all of the concerns identified in Domains 1</w:t>
            </w:r>
            <w:r w:rsidRPr="00A1739B">
              <w:rPr>
                <w:rFonts w:ascii="Cambria Math" w:hAnsi="Cambria Math" w:cs="Cambria Math"/>
                <w:sz w:val="18"/>
                <w:szCs w:val="18"/>
              </w:rPr>
              <w:t>‐</w:t>
            </w:r>
            <w:r w:rsidRPr="00A1739B">
              <w:rPr>
                <w:rFonts w:ascii="Aptos" w:hAnsi="Aptos"/>
                <w:sz w:val="18"/>
                <w:szCs w:val="18"/>
              </w:rPr>
              <w:t>4?</w:t>
            </w:r>
          </w:p>
        </w:tc>
        <w:tc>
          <w:tcPr>
            <w:tcW w:w="364" w:type="pct"/>
            <w:tcBorders>
              <w:top w:val="nil"/>
              <w:left w:val="nil"/>
              <w:bottom w:val="single" w:sz="4" w:space="0" w:color="auto"/>
              <w:right w:val="single" w:sz="4" w:space="0" w:color="auto"/>
            </w:tcBorders>
            <w:shd w:val="clear" w:color="000000" w:fill="FFFFFF"/>
            <w:vAlign w:val="center"/>
            <w:hideMark/>
          </w:tcPr>
          <w:p w14:paraId="1A855AE7"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6D164FC2"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45E18DC1"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68A65BDD"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426DCC95" w14:textId="77777777" w:rsidR="00ED5365" w:rsidRPr="00A1739B" w:rsidRDefault="00ED5365" w:rsidP="00AA694C">
            <w:pPr>
              <w:rPr>
                <w:rFonts w:ascii="Aptos" w:hAnsi="Aptos"/>
                <w:sz w:val="18"/>
                <w:szCs w:val="18"/>
              </w:rPr>
            </w:pPr>
            <w:r w:rsidRPr="00A1739B">
              <w:rPr>
                <w:rFonts w:ascii="Aptos" w:hAnsi="Aptos"/>
                <w:sz w:val="18"/>
                <w:szCs w:val="18"/>
              </w:rPr>
              <w:t>Was the relevance of identified studies to the review's research question appropriately considered?</w:t>
            </w:r>
          </w:p>
        </w:tc>
        <w:tc>
          <w:tcPr>
            <w:tcW w:w="364" w:type="pct"/>
            <w:tcBorders>
              <w:top w:val="nil"/>
              <w:left w:val="nil"/>
              <w:bottom w:val="single" w:sz="4" w:space="0" w:color="auto"/>
              <w:right w:val="single" w:sz="4" w:space="0" w:color="auto"/>
            </w:tcBorders>
            <w:shd w:val="clear" w:color="000000" w:fill="FFFFFF"/>
            <w:vAlign w:val="center"/>
            <w:hideMark/>
          </w:tcPr>
          <w:p w14:paraId="094E3823"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737A469D"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0A794059"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789CE6DA"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511F1CB4" w14:textId="77777777" w:rsidR="00ED5365" w:rsidRPr="00A1739B" w:rsidRDefault="00ED5365" w:rsidP="00AA694C">
            <w:pPr>
              <w:rPr>
                <w:rFonts w:ascii="Aptos" w:hAnsi="Aptos"/>
                <w:sz w:val="18"/>
                <w:szCs w:val="18"/>
              </w:rPr>
            </w:pPr>
            <w:r w:rsidRPr="00A1739B">
              <w:rPr>
                <w:rFonts w:ascii="Aptos" w:hAnsi="Aptos"/>
                <w:sz w:val="18"/>
                <w:szCs w:val="18"/>
              </w:rPr>
              <w:t>Did the reviewers avoid emphasizing results on the basis of their statistical significance?</w:t>
            </w:r>
          </w:p>
        </w:tc>
        <w:tc>
          <w:tcPr>
            <w:tcW w:w="364" w:type="pct"/>
            <w:tcBorders>
              <w:top w:val="nil"/>
              <w:left w:val="nil"/>
              <w:bottom w:val="single" w:sz="4" w:space="0" w:color="auto"/>
              <w:right w:val="single" w:sz="4" w:space="0" w:color="auto"/>
            </w:tcBorders>
            <w:shd w:val="clear" w:color="000000" w:fill="FFFFFF"/>
            <w:vAlign w:val="center"/>
            <w:hideMark/>
          </w:tcPr>
          <w:p w14:paraId="319D030D"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49" w:type="pct"/>
            <w:tcBorders>
              <w:top w:val="nil"/>
              <w:left w:val="single" w:sz="4" w:space="0" w:color="auto"/>
              <w:bottom w:val="single" w:sz="4" w:space="0" w:color="auto"/>
              <w:right w:val="single" w:sz="4" w:space="0" w:color="auto"/>
            </w:tcBorders>
            <w:shd w:val="clear" w:color="000000" w:fill="FFFFFF"/>
            <w:vAlign w:val="center"/>
            <w:hideMark/>
          </w:tcPr>
          <w:p w14:paraId="3E93999F"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c>
          <w:tcPr>
            <w:tcW w:w="352" w:type="pct"/>
            <w:tcBorders>
              <w:top w:val="nil"/>
              <w:left w:val="single" w:sz="4" w:space="0" w:color="auto"/>
              <w:bottom w:val="single" w:sz="4" w:space="0" w:color="auto"/>
              <w:right w:val="single" w:sz="4" w:space="0" w:color="auto"/>
            </w:tcBorders>
            <w:shd w:val="clear" w:color="000000" w:fill="FFFFFF"/>
            <w:vAlign w:val="center"/>
            <w:hideMark/>
          </w:tcPr>
          <w:p w14:paraId="2B1C52B0" w14:textId="77777777" w:rsidR="00ED5365" w:rsidRPr="00A1739B" w:rsidRDefault="00ED5365" w:rsidP="00AA694C">
            <w:pPr>
              <w:jc w:val="center"/>
              <w:rPr>
                <w:rFonts w:ascii="Aptos" w:hAnsi="Aptos"/>
                <w:sz w:val="18"/>
                <w:szCs w:val="18"/>
              </w:rPr>
            </w:pPr>
            <w:r w:rsidRPr="00A1739B">
              <w:rPr>
                <w:rFonts w:ascii="Aptos" w:hAnsi="Aptos"/>
                <w:sz w:val="18"/>
                <w:szCs w:val="18"/>
              </w:rPr>
              <w:t>Y</w:t>
            </w:r>
          </w:p>
        </w:tc>
      </w:tr>
      <w:tr w:rsidR="00D40F1C" w:rsidRPr="00A1739B" w14:paraId="47D92969" w14:textId="77777777" w:rsidTr="00AA694C">
        <w:trPr>
          <w:trHeight w:val="355"/>
        </w:trPr>
        <w:tc>
          <w:tcPr>
            <w:tcW w:w="3936" w:type="pct"/>
            <w:tcBorders>
              <w:top w:val="nil"/>
              <w:left w:val="single" w:sz="4" w:space="0" w:color="auto"/>
              <w:bottom w:val="single" w:sz="4" w:space="0" w:color="auto"/>
              <w:right w:val="single" w:sz="4" w:space="0" w:color="auto"/>
            </w:tcBorders>
            <w:shd w:val="clear" w:color="000000" w:fill="FFFFFF"/>
            <w:vAlign w:val="center"/>
            <w:hideMark/>
          </w:tcPr>
          <w:p w14:paraId="36512CE3" w14:textId="77777777" w:rsidR="00ED5365" w:rsidRPr="00A1739B" w:rsidRDefault="00ED5365" w:rsidP="00AA694C">
            <w:pPr>
              <w:rPr>
                <w:rFonts w:ascii="Aptos" w:hAnsi="Aptos"/>
                <w:sz w:val="18"/>
                <w:szCs w:val="18"/>
              </w:rPr>
            </w:pPr>
            <w:r w:rsidRPr="00A1739B">
              <w:rPr>
                <w:rFonts w:ascii="Aptos" w:hAnsi="Aptos"/>
                <w:sz w:val="18"/>
                <w:szCs w:val="18"/>
              </w:rPr>
              <w:t>Overall risk of bias</w:t>
            </w:r>
          </w:p>
        </w:tc>
        <w:tc>
          <w:tcPr>
            <w:tcW w:w="364" w:type="pct"/>
            <w:tcBorders>
              <w:top w:val="nil"/>
              <w:left w:val="nil"/>
              <w:bottom w:val="single" w:sz="4" w:space="0" w:color="auto"/>
              <w:right w:val="single" w:sz="4" w:space="0" w:color="auto"/>
            </w:tcBorders>
            <w:shd w:val="clear" w:color="000000" w:fill="FFF2CC"/>
            <w:vAlign w:val="center"/>
            <w:hideMark/>
          </w:tcPr>
          <w:p w14:paraId="6333C552" w14:textId="77777777" w:rsidR="00ED5365" w:rsidRPr="00A1739B" w:rsidRDefault="00ED5365" w:rsidP="00AA694C">
            <w:pPr>
              <w:jc w:val="center"/>
              <w:rPr>
                <w:rFonts w:ascii="Aptos" w:hAnsi="Aptos"/>
                <w:sz w:val="18"/>
                <w:szCs w:val="18"/>
              </w:rPr>
            </w:pPr>
            <w:r w:rsidRPr="00A1739B">
              <w:rPr>
                <w:rFonts w:ascii="Aptos" w:hAnsi="Aptos"/>
                <w:sz w:val="18"/>
                <w:szCs w:val="18"/>
              </w:rPr>
              <w:t>Unclear risk</w:t>
            </w:r>
          </w:p>
        </w:tc>
        <w:tc>
          <w:tcPr>
            <w:tcW w:w="349" w:type="pct"/>
            <w:tcBorders>
              <w:top w:val="nil"/>
              <w:left w:val="single" w:sz="4" w:space="0" w:color="auto"/>
              <w:bottom w:val="single" w:sz="4" w:space="0" w:color="auto"/>
              <w:right w:val="single" w:sz="4" w:space="0" w:color="auto"/>
            </w:tcBorders>
            <w:shd w:val="clear" w:color="000000" w:fill="FFF2CC"/>
            <w:vAlign w:val="center"/>
            <w:hideMark/>
          </w:tcPr>
          <w:p w14:paraId="4AE4B8BB" w14:textId="77777777" w:rsidR="00ED5365" w:rsidRPr="00A1739B" w:rsidRDefault="00ED5365" w:rsidP="00AA694C">
            <w:pPr>
              <w:jc w:val="center"/>
              <w:rPr>
                <w:rFonts w:ascii="Aptos" w:hAnsi="Aptos"/>
                <w:sz w:val="18"/>
                <w:szCs w:val="18"/>
              </w:rPr>
            </w:pPr>
            <w:r w:rsidRPr="00A1739B">
              <w:rPr>
                <w:rFonts w:ascii="Aptos" w:hAnsi="Aptos"/>
                <w:sz w:val="18"/>
                <w:szCs w:val="18"/>
              </w:rPr>
              <w:t>Unclear risk</w:t>
            </w:r>
          </w:p>
        </w:tc>
        <w:tc>
          <w:tcPr>
            <w:tcW w:w="352" w:type="pct"/>
            <w:tcBorders>
              <w:top w:val="nil"/>
              <w:left w:val="single" w:sz="4" w:space="0" w:color="auto"/>
              <w:bottom w:val="single" w:sz="4" w:space="0" w:color="auto"/>
              <w:right w:val="single" w:sz="4" w:space="0" w:color="auto"/>
            </w:tcBorders>
            <w:shd w:val="clear" w:color="000000" w:fill="FFF2CC"/>
            <w:vAlign w:val="center"/>
            <w:hideMark/>
          </w:tcPr>
          <w:p w14:paraId="7B535B0E" w14:textId="77777777" w:rsidR="00ED5365" w:rsidRPr="00A1739B" w:rsidRDefault="00ED5365" w:rsidP="00AA694C">
            <w:pPr>
              <w:jc w:val="center"/>
              <w:rPr>
                <w:rFonts w:ascii="Aptos" w:hAnsi="Aptos"/>
                <w:sz w:val="18"/>
                <w:szCs w:val="18"/>
              </w:rPr>
            </w:pPr>
            <w:r w:rsidRPr="00A1739B">
              <w:rPr>
                <w:rFonts w:ascii="Aptos" w:hAnsi="Aptos"/>
                <w:sz w:val="18"/>
                <w:szCs w:val="18"/>
              </w:rPr>
              <w:t>Unclear risk</w:t>
            </w:r>
          </w:p>
        </w:tc>
      </w:tr>
    </w:tbl>
    <w:p w14:paraId="3B96DD48" w14:textId="77777777" w:rsidR="009922A7" w:rsidRDefault="009922A7" w:rsidP="00DC4767">
      <w:pPr>
        <w:pStyle w:val="Caption"/>
      </w:pPr>
    </w:p>
    <w:p w14:paraId="2A625DCE" w14:textId="25A5D3F1" w:rsidR="00881574" w:rsidRPr="00D518FF" w:rsidRDefault="00DC4767" w:rsidP="00DC4767">
      <w:pPr>
        <w:pStyle w:val="Caption"/>
        <w:rPr>
          <w:rFonts w:ascii="Aptos" w:hAnsi="Aptos"/>
        </w:rPr>
      </w:pPr>
      <w:bookmarkStart w:id="222" w:name="_Toc185254598"/>
      <w:r w:rsidRPr="00AA694C">
        <w:rPr>
          <w:rFonts w:ascii="Aptos" w:hAnsi="Aptos"/>
        </w:rPr>
        <w:t xml:space="preserve">Table </w:t>
      </w:r>
      <w:r w:rsidRPr="00AA694C">
        <w:rPr>
          <w:rFonts w:ascii="Aptos" w:hAnsi="Aptos"/>
        </w:rPr>
        <w:fldChar w:fldCharType="begin" w:fldLock="1"/>
      </w:r>
      <w:r w:rsidRPr="00AA694C">
        <w:rPr>
          <w:rFonts w:ascii="Aptos" w:hAnsi="Aptos"/>
        </w:rPr>
        <w:instrText xml:space="preserve"> STYLEREF 1 \s </w:instrText>
      </w:r>
      <w:r w:rsidRPr="00AA694C">
        <w:rPr>
          <w:rFonts w:ascii="Aptos" w:hAnsi="Aptos"/>
        </w:rPr>
        <w:fldChar w:fldCharType="separate"/>
      </w:r>
      <w:r w:rsidRPr="00AA694C">
        <w:rPr>
          <w:rFonts w:ascii="Aptos" w:hAnsi="Aptos"/>
        </w:rPr>
        <w:t>F</w:t>
      </w:r>
      <w:r w:rsidRPr="00AA694C">
        <w:rPr>
          <w:rFonts w:ascii="Aptos" w:hAnsi="Aptos"/>
        </w:rPr>
        <w:fldChar w:fldCharType="end"/>
      </w:r>
      <w:r w:rsidRPr="00AA694C">
        <w:rPr>
          <w:rFonts w:ascii="Aptos" w:hAnsi="Aptos"/>
        </w:rPr>
        <w:noBreakHyphen/>
      </w:r>
      <w:r w:rsidR="003B0594" w:rsidRPr="00AA694C">
        <w:rPr>
          <w:rFonts w:ascii="Aptos" w:hAnsi="Aptos"/>
        </w:rPr>
        <w:fldChar w:fldCharType="begin"/>
      </w:r>
      <w:r w:rsidR="003B0594" w:rsidRPr="00AA694C">
        <w:rPr>
          <w:rFonts w:ascii="Aptos" w:hAnsi="Aptos"/>
        </w:rPr>
        <w:instrText xml:space="preserve"> SEQ Table \* ARABIC \s 1 </w:instrText>
      </w:r>
      <w:r w:rsidR="003B0594" w:rsidRPr="00AA694C">
        <w:rPr>
          <w:rFonts w:ascii="Aptos" w:hAnsi="Aptos"/>
        </w:rPr>
        <w:fldChar w:fldCharType="separate"/>
      </w:r>
      <w:r w:rsidR="00C426C6">
        <w:rPr>
          <w:rFonts w:ascii="Aptos" w:hAnsi="Aptos"/>
          <w:noProof/>
        </w:rPr>
        <w:t>6</w:t>
      </w:r>
      <w:r w:rsidR="003B0594" w:rsidRPr="00AA694C">
        <w:rPr>
          <w:rFonts w:ascii="Aptos" w:hAnsi="Aptos"/>
        </w:rPr>
        <w:fldChar w:fldCharType="end"/>
      </w:r>
      <w:r w:rsidR="00881574" w:rsidRPr="00D518FF">
        <w:rPr>
          <w:rFonts w:ascii="Aptos" w:hAnsi="Aptos"/>
        </w:rPr>
        <w:t xml:space="preserve">. </w:t>
      </w:r>
      <w:r w:rsidR="009922A7">
        <w:rPr>
          <w:rFonts w:ascii="Aptos" w:hAnsi="Aptos"/>
        </w:rPr>
        <w:t>ROBIS assessments</w:t>
      </w:r>
      <w:r w:rsidR="00881574" w:rsidRPr="00D518FF">
        <w:rPr>
          <w:rFonts w:ascii="Aptos" w:hAnsi="Aptos"/>
        </w:rPr>
        <w:t xml:space="preserve"> – fatigue (general) (including myalgic encephalomyelitis (ME) and Chronic Fatigue Syndrome (CFS)), antioxidants (specifically coq10 and alpha-lipoic acid)</w:t>
      </w:r>
      <w:bookmarkEnd w:id="222"/>
    </w:p>
    <w:tbl>
      <w:tblPr>
        <w:tblW w:w="4974" w:type="pct"/>
        <w:tblLayout w:type="fixed"/>
        <w:tblCellMar>
          <w:left w:w="57" w:type="dxa"/>
          <w:right w:w="57" w:type="dxa"/>
        </w:tblCellMar>
        <w:tblLook w:val="04A0" w:firstRow="1" w:lastRow="0" w:firstColumn="1" w:lastColumn="0" w:noHBand="0" w:noVBand="1"/>
      </w:tblPr>
      <w:tblGrid>
        <w:gridCol w:w="6941"/>
        <w:gridCol w:w="1205"/>
        <w:gridCol w:w="1205"/>
        <w:gridCol w:w="1205"/>
        <w:gridCol w:w="1205"/>
        <w:gridCol w:w="1205"/>
        <w:gridCol w:w="1205"/>
      </w:tblGrid>
      <w:tr w:rsidR="00854AF1" w:rsidRPr="00CD6489" w14:paraId="2D8E7A31" w14:textId="77777777" w:rsidTr="00E00FDD">
        <w:trPr>
          <w:trHeight w:val="439"/>
        </w:trPr>
        <w:tc>
          <w:tcPr>
            <w:tcW w:w="2449"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DB5841B" w14:textId="77777777" w:rsidR="00854AF1" w:rsidRPr="00CD6489" w:rsidRDefault="00854AF1" w:rsidP="00854AF1">
            <w:pPr>
              <w:rPr>
                <w:rFonts w:ascii="Aptos" w:hAnsi="Aptos"/>
                <w:b/>
                <w:bCs/>
                <w:sz w:val="18"/>
                <w:szCs w:val="18"/>
              </w:rPr>
            </w:pPr>
            <w:r w:rsidRPr="00CD6489">
              <w:rPr>
                <w:rFonts w:ascii="Aptos" w:hAnsi="Aptos"/>
                <w:b/>
                <w:bCs/>
                <w:sz w:val="18"/>
                <w:szCs w:val="18"/>
              </w:rPr>
              <w:t>Review ID</w:t>
            </w:r>
          </w:p>
        </w:tc>
        <w:tc>
          <w:tcPr>
            <w:tcW w:w="425" w:type="pct"/>
            <w:tcBorders>
              <w:top w:val="single" w:sz="4" w:space="0" w:color="auto"/>
              <w:left w:val="nil"/>
              <w:bottom w:val="single" w:sz="4" w:space="0" w:color="auto"/>
              <w:right w:val="single" w:sz="4" w:space="0" w:color="auto"/>
            </w:tcBorders>
            <w:shd w:val="clear" w:color="000000" w:fill="D9D9D9"/>
            <w:vAlign w:val="center"/>
            <w:hideMark/>
          </w:tcPr>
          <w:p w14:paraId="7799DF90" w14:textId="77777777" w:rsidR="00854AF1" w:rsidRPr="00CD6489" w:rsidRDefault="00854AF1" w:rsidP="00E00FDD">
            <w:pPr>
              <w:jc w:val="center"/>
              <w:rPr>
                <w:rFonts w:ascii="Aptos" w:hAnsi="Aptos"/>
                <w:b/>
                <w:bCs/>
                <w:sz w:val="18"/>
                <w:szCs w:val="18"/>
              </w:rPr>
            </w:pPr>
            <w:r w:rsidRPr="00CD6489">
              <w:rPr>
                <w:rFonts w:ascii="Aptos" w:hAnsi="Aptos"/>
                <w:b/>
                <w:bCs/>
                <w:sz w:val="18"/>
                <w:szCs w:val="18"/>
              </w:rPr>
              <w:t>Campagnolo 2017</w:t>
            </w:r>
          </w:p>
        </w:tc>
        <w:tc>
          <w:tcPr>
            <w:tcW w:w="425" w:type="pct"/>
            <w:tcBorders>
              <w:top w:val="single" w:sz="4" w:space="0" w:color="auto"/>
              <w:left w:val="nil"/>
              <w:bottom w:val="single" w:sz="4" w:space="0" w:color="auto"/>
              <w:right w:val="single" w:sz="4" w:space="0" w:color="auto"/>
            </w:tcBorders>
            <w:shd w:val="clear" w:color="000000" w:fill="D9D9D9"/>
            <w:vAlign w:val="center"/>
            <w:hideMark/>
          </w:tcPr>
          <w:p w14:paraId="7BE4ABA5" w14:textId="77777777" w:rsidR="00854AF1" w:rsidRPr="00CD6489" w:rsidRDefault="00854AF1" w:rsidP="00E00FDD">
            <w:pPr>
              <w:jc w:val="center"/>
              <w:rPr>
                <w:rFonts w:ascii="Aptos" w:hAnsi="Aptos"/>
                <w:b/>
                <w:bCs/>
                <w:sz w:val="18"/>
                <w:szCs w:val="18"/>
              </w:rPr>
            </w:pPr>
            <w:r w:rsidRPr="00CD6489">
              <w:rPr>
                <w:rFonts w:ascii="Aptos" w:hAnsi="Aptos"/>
                <w:b/>
                <w:bCs/>
                <w:sz w:val="18"/>
                <w:szCs w:val="18"/>
              </w:rPr>
              <w:t>Kim 2020</w:t>
            </w:r>
          </w:p>
        </w:tc>
        <w:tc>
          <w:tcPr>
            <w:tcW w:w="425" w:type="pct"/>
            <w:tcBorders>
              <w:top w:val="single" w:sz="4" w:space="0" w:color="auto"/>
              <w:left w:val="nil"/>
              <w:bottom w:val="single" w:sz="4" w:space="0" w:color="auto"/>
              <w:right w:val="single" w:sz="4" w:space="0" w:color="auto"/>
            </w:tcBorders>
            <w:shd w:val="clear" w:color="000000" w:fill="D9D9D9"/>
            <w:vAlign w:val="center"/>
            <w:hideMark/>
          </w:tcPr>
          <w:p w14:paraId="3D29A943" w14:textId="77777777" w:rsidR="00854AF1" w:rsidRPr="00CD6489" w:rsidRDefault="00854AF1" w:rsidP="00E00FDD">
            <w:pPr>
              <w:jc w:val="center"/>
              <w:rPr>
                <w:rFonts w:ascii="Aptos" w:hAnsi="Aptos"/>
                <w:b/>
                <w:bCs/>
                <w:sz w:val="18"/>
                <w:szCs w:val="18"/>
              </w:rPr>
            </w:pPr>
            <w:r w:rsidRPr="00CD6489">
              <w:rPr>
                <w:rFonts w:ascii="Aptos" w:hAnsi="Aptos"/>
                <w:b/>
                <w:bCs/>
                <w:sz w:val="18"/>
                <w:szCs w:val="18"/>
              </w:rPr>
              <w:t>Marx 2019</w:t>
            </w:r>
          </w:p>
        </w:tc>
        <w:tc>
          <w:tcPr>
            <w:tcW w:w="425" w:type="pct"/>
            <w:tcBorders>
              <w:top w:val="single" w:sz="4" w:space="0" w:color="auto"/>
              <w:left w:val="nil"/>
              <w:bottom w:val="single" w:sz="4" w:space="0" w:color="auto"/>
              <w:right w:val="single" w:sz="4" w:space="0" w:color="auto"/>
            </w:tcBorders>
            <w:shd w:val="clear" w:color="000000" w:fill="D9D9D9"/>
            <w:vAlign w:val="center"/>
            <w:hideMark/>
          </w:tcPr>
          <w:p w14:paraId="37F64D07" w14:textId="77777777" w:rsidR="00854AF1" w:rsidRPr="00CD6489" w:rsidRDefault="00854AF1" w:rsidP="00E00FDD">
            <w:pPr>
              <w:jc w:val="center"/>
              <w:rPr>
                <w:rFonts w:ascii="Aptos" w:hAnsi="Aptos"/>
                <w:b/>
                <w:bCs/>
                <w:sz w:val="18"/>
                <w:szCs w:val="18"/>
              </w:rPr>
            </w:pPr>
            <w:r w:rsidRPr="00CD6489">
              <w:rPr>
                <w:rFonts w:ascii="Aptos" w:hAnsi="Aptos"/>
                <w:b/>
                <w:bCs/>
                <w:sz w:val="18"/>
                <w:szCs w:val="18"/>
              </w:rPr>
              <w:t>Mehrabani 2019</w:t>
            </w:r>
          </w:p>
        </w:tc>
        <w:tc>
          <w:tcPr>
            <w:tcW w:w="425" w:type="pct"/>
            <w:tcBorders>
              <w:top w:val="single" w:sz="4" w:space="0" w:color="auto"/>
              <w:left w:val="nil"/>
              <w:bottom w:val="single" w:sz="4" w:space="0" w:color="auto"/>
              <w:right w:val="single" w:sz="4" w:space="0" w:color="auto"/>
            </w:tcBorders>
            <w:shd w:val="clear" w:color="000000" w:fill="D9D9D9"/>
            <w:vAlign w:val="center"/>
            <w:hideMark/>
          </w:tcPr>
          <w:p w14:paraId="488C7BA4" w14:textId="77777777" w:rsidR="00854AF1" w:rsidRPr="00CD6489" w:rsidRDefault="00854AF1" w:rsidP="00E00FDD">
            <w:pPr>
              <w:jc w:val="center"/>
              <w:rPr>
                <w:rFonts w:ascii="Aptos" w:hAnsi="Aptos"/>
                <w:b/>
                <w:bCs/>
                <w:sz w:val="18"/>
                <w:szCs w:val="18"/>
              </w:rPr>
            </w:pPr>
            <w:r w:rsidRPr="00CD6489">
              <w:rPr>
                <w:rFonts w:ascii="Aptos" w:hAnsi="Aptos"/>
                <w:b/>
                <w:bCs/>
                <w:sz w:val="18"/>
                <w:szCs w:val="18"/>
              </w:rPr>
              <w:t>Pereira 2018</w:t>
            </w:r>
          </w:p>
        </w:tc>
        <w:tc>
          <w:tcPr>
            <w:tcW w:w="425" w:type="pct"/>
            <w:tcBorders>
              <w:top w:val="single" w:sz="4" w:space="0" w:color="auto"/>
              <w:left w:val="nil"/>
              <w:bottom w:val="single" w:sz="4" w:space="0" w:color="auto"/>
              <w:right w:val="single" w:sz="4" w:space="0" w:color="auto"/>
            </w:tcBorders>
            <w:shd w:val="clear" w:color="000000" w:fill="D9D9D9"/>
            <w:vAlign w:val="center"/>
            <w:hideMark/>
          </w:tcPr>
          <w:p w14:paraId="75B4A0EC" w14:textId="77777777" w:rsidR="00854AF1" w:rsidRPr="00CD6489" w:rsidRDefault="00854AF1" w:rsidP="00E00FDD">
            <w:pPr>
              <w:jc w:val="center"/>
              <w:rPr>
                <w:rFonts w:ascii="Aptos" w:hAnsi="Aptos"/>
                <w:b/>
                <w:bCs/>
                <w:sz w:val="18"/>
                <w:szCs w:val="18"/>
              </w:rPr>
            </w:pPr>
            <w:r w:rsidRPr="00CD6489">
              <w:rPr>
                <w:rFonts w:ascii="Aptos" w:hAnsi="Aptos"/>
                <w:b/>
                <w:bCs/>
                <w:sz w:val="18"/>
                <w:szCs w:val="18"/>
              </w:rPr>
              <w:t>Tsai 2022</w:t>
            </w:r>
          </w:p>
        </w:tc>
      </w:tr>
      <w:tr w:rsidR="00854AF1" w:rsidRPr="00CD6489" w14:paraId="313E1A98"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D9D9D9"/>
            <w:noWrap/>
            <w:vAlign w:val="center"/>
            <w:hideMark/>
          </w:tcPr>
          <w:p w14:paraId="4DF27866" w14:textId="77777777" w:rsidR="00854AF1" w:rsidRPr="00CD6489" w:rsidRDefault="00854AF1" w:rsidP="00854AF1">
            <w:pPr>
              <w:rPr>
                <w:rFonts w:ascii="Aptos" w:hAnsi="Aptos"/>
                <w:sz w:val="18"/>
                <w:szCs w:val="18"/>
              </w:rPr>
            </w:pPr>
            <w:r w:rsidRPr="00CD6489">
              <w:rPr>
                <w:rFonts w:ascii="Aptos" w:hAnsi="Aptos"/>
                <w:sz w:val="18"/>
                <w:szCs w:val="18"/>
              </w:rPr>
              <w:t>ROBIS DOMAINS</w:t>
            </w:r>
          </w:p>
        </w:tc>
        <w:tc>
          <w:tcPr>
            <w:tcW w:w="425" w:type="pct"/>
            <w:tcBorders>
              <w:top w:val="nil"/>
              <w:left w:val="nil"/>
              <w:bottom w:val="single" w:sz="4" w:space="0" w:color="auto"/>
              <w:right w:val="single" w:sz="4" w:space="0" w:color="auto"/>
            </w:tcBorders>
            <w:shd w:val="clear" w:color="000000" w:fill="D9D9D9"/>
            <w:noWrap/>
            <w:vAlign w:val="center"/>
            <w:hideMark/>
          </w:tcPr>
          <w:p w14:paraId="6A01CFA6" w14:textId="2ABB0B8D"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hideMark/>
          </w:tcPr>
          <w:p w14:paraId="1436EF64" w14:textId="64B6FA0F"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hideMark/>
          </w:tcPr>
          <w:p w14:paraId="51190FDE" w14:textId="5AA4097C"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hideMark/>
          </w:tcPr>
          <w:p w14:paraId="30454365" w14:textId="620CB36F"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hideMark/>
          </w:tcPr>
          <w:p w14:paraId="1147A077" w14:textId="1C4C9DEA"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hideMark/>
          </w:tcPr>
          <w:p w14:paraId="53A30D32" w14:textId="4252E5C3" w:rsidR="00854AF1" w:rsidRPr="00CD6489" w:rsidRDefault="00854AF1" w:rsidP="00E00FDD">
            <w:pPr>
              <w:jc w:val="center"/>
              <w:rPr>
                <w:rFonts w:ascii="Aptos" w:hAnsi="Aptos"/>
                <w:sz w:val="18"/>
                <w:szCs w:val="18"/>
              </w:rPr>
            </w:pPr>
          </w:p>
        </w:tc>
      </w:tr>
      <w:tr w:rsidR="00854AF1" w:rsidRPr="00CD6489" w14:paraId="32446414"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D9D9D9"/>
            <w:noWrap/>
            <w:vAlign w:val="center"/>
            <w:hideMark/>
          </w:tcPr>
          <w:p w14:paraId="368F147B" w14:textId="77777777" w:rsidR="00854AF1" w:rsidRPr="00CD6489" w:rsidRDefault="00854AF1" w:rsidP="00854AF1">
            <w:pPr>
              <w:rPr>
                <w:rFonts w:ascii="Aptos" w:hAnsi="Aptos"/>
                <w:sz w:val="18"/>
                <w:szCs w:val="18"/>
              </w:rPr>
            </w:pPr>
            <w:r w:rsidRPr="00CD6489">
              <w:rPr>
                <w:rFonts w:ascii="Aptos" w:hAnsi="Aptos"/>
                <w:sz w:val="18"/>
                <w:szCs w:val="18"/>
              </w:rPr>
              <w:t>Answer code: Y=YES, PY=PROBABLY YES, PN=PROBABLY NO, N=NO, NI=NO INFORMATION</w:t>
            </w:r>
          </w:p>
        </w:tc>
        <w:tc>
          <w:tcPr>
            <w:tcW w:w="425" w:type="pct"/>
            <w:tcBorders>
              <w:top w:val="nil"/>
              <w:left w:val="nil"/>
              <w:bottom w:val="single" w:sz="4" w:space="0" w:color="auto"/>
              <w:right w:val="single" w:sz="4" w:space="0" w:color="auto"/>
            </w:tcBorders>
            <w:shd w:val="clear" w:color="000000" w:fill="D9D9D9"/>
            <w:noWrap/>
            <w:vAlign w:val="center"/>
          </w:tcPr>
          <w:p w14:paraId="2A1195AA" w14:textId="1737410D"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tcPr>
          <w:p w14:paraId="55E346BF" w14:textId="0AC3DE63"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tcPr>
          <w:p w14:paraId="149B74FD" w14:textId="389A1928"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tcPr>
          <w:p w14:paraId="7E848460" w14:textId="7DF4EFA2"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tcPr>
          <w:p w14:paraId="6797A15C" w14:textId="7EF451D9"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noWrap/>
            <w:vAlign w:val="center"/>
          </w:tcPr>
          <w:p w14:paraId="508FA89D" w14:textId="7660E9C0" w:rsidR="00854AF1" w:rsidRPr="00CD6489" w:rsidRDefault="00854AF1" w:rsidP="00E00FDD">
            <w:pPr>
              <w:jc w:val="center"/>
              <w:rPr>
                <w:rFonts w:ascii="Aptos" w:hAnsi="Aptos"/>
                <w:sz w:val="18"/>
                <w:szCs w:val="18"/>
              </w:rPr>
            </w:pPr>
          </w:p>
        </w:tc>
      </w:tr>
      <w:tr w:rsidR="00854AF1" w:rsidRPr="00CD6489" w14:paraId="0560DF51"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2F2F2"/>
            <w:vAlign w:val="center"/>
            <w:hideMark/>
          </w:tcPr>
          <w:p w14:paraId="04C03354" w14:textId="77777777" w:rsidR="00854AF1" w:rsidRPr="00CD6489" w:rsidRDefault="00854AF1" w:rsidP="00854AF1">
            <w:pPr>
              <w:rPr>
                <w:rFonts w:ascii="Aptos" w:hAnsi="Aptos"/>
                <w:sz w:val="18"/>
                <w:szCs w:val="18"/>
              </w:rPr>
            </w:pPr>
            <w:r w:rsidRPr="00CD6489">
              <w:rPr>
                <w:rFonts w:ascii="Aptos" w:hAnsi="Aptos"/>
                <w:sz w:val="18"/>
                <w:szCs w:val="18"/>
              </w:rPr>
              <w:t>Domain 1: Study eligibility criteria</w:t>
            </w:r>
          </w:p>
        </w:tc>
        <w:tc>
          <w:tcPr>
            <w:tcW w:w="425" w:type="pct"/>
            <w:tcBorders>
              <w:top w:val="nil"/>
              <w:left w:val="nil"/>
              <w:bottom w:val="single" w:sz="4" w:space="0" w:color="auto"/>
              <w:right w:val="single" w:sz="4" w:space="0" w:color="auto"/>
            </w:tcBorders>
            <w:shd w:val="clear" w:color="000000" w:fill="F2F2F2"/>
            <w:vAlign w:val="center"/>
            <w:hideMark/>
          </w:tcPr>
          <w:p w14:paraId="5C7DCBBF" w14:textId="014535D2"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142A35F6" w14:textId="572E73CF"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60E73C3C" w14:textId="2C1DA0B9"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4234463D" w14:textId="07AB93F4"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2A64C697" w14:textId="5C57BAB3"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22ADECC4" w14:textId="2CA254AC" w:rsidR="00854AF1" w:rsidRPr="00CD6489" w:rsidRDefault="00854AF1" w:rsidP="00E00FDD">
            <w:pPr>
              <w:jc w:val="center"/>
              <w:rPr>
                <w:rFonts w:ascii="Aptos" w:hAnsi="Aptos"/>
                <w:sz w:val="18"/>
                <w:szCs w:val="18"/>
              </w:rPr>
            </w:pPr>
          </w:p>
        </w:tc>
      </w:tr>
      <w:tr w:rsidR="00854AF1" w:rsidRPr="00CD6489" w14:paraId="279701E3"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7063DE2B" w14:textId="77777777" w:rsidR="00854AF1" w:rsidRPr="00CD6489" w:rsidRDefault="00854AF1" w:rsidP="00854AF1">
            <w:pPr>
              <w:rPr>
                <w:rFonts w:ascii="Aptos" w:hAnsi="Aptos"/>
                <w:sz w:val="18"/>
                <w:szCs w:val="18"/>
              </w:rPr>
            </w:pPr>
            <w:r w:rsidRPr="00CD6489">
              <w:rPr>
                <w:rFonts w:ascii="Aptos" w:hAnsi="Aptos"/>
                <w:sz w:val="18"/>
                <w:szCs w:val="18"/>
              </w:rPr>
              <w:t>Did the review adhere to pre</w:t>
            </w:r>
            <w:r w:rsidRPr="00CD6489">
              <w:rPr>
                <w:rFonts w:ascii="Cambria Math" w:hAnsi="Cambria Math" w:cs="Cambria Math"/>
                <w:sz w:val="18"/>
                <w:szCs w:val="18"/>
              </w:rPr>
              <w:t>‐</w:t>
            </w:r>
            <w:r w:rsidRPr="00CD6489">
              <w:rPr>
                <w:rFonts w:ascii="Aptos" w:hAnsi="Aptos"/>
                <w:sz w:val="18"/>
                <w:szCs w:val="18"/>
              </w:rPr>
              <w:t>defined objectives and eligibility criteria?</w:t>
            </w:r>
          </w:p>
        </w:tc>
        <w:tc>
          <w:tcPr>
            <w:tcW w:w="425" w:type="pct"/>
            <w:tcBorders>
              <w:top w:val="nil"/>
              <w:left w:val="nil"/>
              <w:bottom w:val="single" w:sz="4" w:space="0" w:color="auto"/>
              <w:right w:val="single" w:sz="4" w:space="0" w:color="auto"/>
            </w:tcBorders>
            <w:shd w:val="clear" w:color="000000" w:fill="FFFFFF"/>
            <w:vAlign w:val="center"/>
            <w:hideMark/>
          </w:tcPr>
          <w:p w14:paraId="424F1D38"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3C2B08B"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1E589BB"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3C319E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7462E4C"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4609092"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7FE7013E"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67303AED" w14:textId="77777777" w:rsidR="00854AF1" w:rsidRPr="00CD6489" w:rsidRDefault="00854AF1" w:rsidP="00854AF1">
            <w:pPr>
              <w:rPr>
                <w:rFonts w:ascii="Aptos" w:hAnsi="Aptos"/>
                <w:sz w:val="18"/>
                <w:szCs w:val="18"/>
              </w:rPr>
            </w:pPr>
            <w:r w:rsidRPr="00CD6489">
              <w:rPr>
                <w:rFonts w:ascii="Aptos" w:hAnsi="Aptos"/>
                <w:sz w:val="18"/>
                <w:szCs w:val="18"/>
              </w:rPr>
              <w:lastRenderedPageBreak/>
              <w:t>Were the eligibility criteria appropriate for the review question?</w:t>
            </w:r>
          </w:p>
        </w:tc>
        <w:tc>
          <w:tcPr>
            <w:tcW w:w="425" w:type="pct"/>
            <w:tcBorders>
              <w:top w:val="nil"/>
              <w:left w:val="nil"/>
              <w:bottom w:val="single" w:sz="4" w:space="0" w:color="auto"/>
              <w:right w:val="single" w:sz="4" w:space="0" w:color="auto"/>
            </w:tcBorders>
            <w:shd w:val="clear" w:color="000000" w:fill="FFFFFF"/>
            <w:vAlign w:val="center"/>
            <w:hideMark/>
          </w:tcPr>
          <w:p w14:paraId="405191A8"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13FC31D"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394D5B0"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29CF856"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1B86F14"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A418DBB"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1AE631B7"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5C279E35" w14:textId="77777777" w:rsidR="00854AF1" w:rsidRPr="00CD6489" w:rsidRDefault="00854AF1" w:rsidP="00854AF1">
            <w:pPr>
              <w:rPr>
                <w:rFonts w:ascii="Aptos" w:hAnsi="Aptos"/>
                <w:sz w:val="18"/>
                <w:szCs w:val="18"/>
              </w:rPr>
            </w:pPr>
            <w:r w:rsidRPr="00CD6489">
              <w:rPr>
                <w:rFonts w:ascii="Aptos" w:hAnsi="Aptos"/>
                <w:sz w:val="18"/>
                <w:szCs w:val="18"/>
              </w:rPr>
              <w:t>Were eligibility criteria unambiguous?</w:t>
            </w:r>
          </w:p>
        </w:tc>
        <w:tc>
          <w:tcPr>
            <w:tcW w:w="425" w:type="pct"/>
            <w:tcBorders>
              <w:top w:val="nil"/>
              <w:left w:val="nil"/>
              <w:bottom w:val="single" w:sz="4" w:space="0" w:color="auto"/>
              <w:right w:val="single" w:sz="4" w:space="0" w:color="auto"/>
            </w:tcBorders>
            <w:shd w:val="clear" w:color="000000" w:fill="FFFFFF"/>
            <w:vAlign w:val="center"/>
            <w:hideMark/>
          </w:tcPr>
          <w:p w14:paraId="76ED4CA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16F087B"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CEFA316"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02C8C6F"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19627F0"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1C698F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76544C38"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0C0DFCFF" w14:textId="77777777" w:rsidR="00854AF1" w:rsidRPr="00CD6489" w:rsidRDefault="00854AF1" w:rsidP="00854AF1">
            <w:pPr>
              <w:rPr>
                <w:rFonts w:ascii="Aptos" w:hAnsi="Aptos"/>
                <w:sz w:val="18"/>
                <w:szCs w:val="18"/>
              </w:rPr>
            </w:pPr>
            <w:r w:rsidRPr="00CD6489">
              <w:rPr>
                <w:rFonts w:ascii="Aptos" w:hAnsi="Aptos"/>
                <w:sz w:val="18"/>
                <w:szCs w:val="18"/>
              </w:rPr>
              <w:t>Were all restrictions in eligibility criteria based on study characteristics appropriate (e.g. date, sample size, study quality, outcomes measured)?</w:t>
            </w:r>
          </w:p>
        </w:tc>
        <w:tc>
          <w:tcPr>
            <w:tcW w:w="425" w:type="pct"/>
            <w:tcBorders>
              <w:top w:val="nil"/>
              <w:left w:val="nil"/>
              <w:bottom w:val="single" w:sz="4" w:space="0" w:color="auto"/>
              <w:right w:val="single" w:sz="4" w:space="0" w:color="auto"/>
            </w:tcBorders>
            <w:shd w:val="clear" w:color="000000" w:fill="FFFFFF"/>
            <w:vAlign w:val="center"/>
            <w:hideMark/>
          </w:tcPr>
          <w:p w14:paraId="0FAF690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F4C4FC6"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9462DE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8152FF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3EB2BCF"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79E133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7443AD1A"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1AFCEA5F" w14:textId="77777777" w:rsidR="00854AF1" w:rsidRPr="00CD6489" w:rsidRDefault="00854AF1" w:rsidP="00854AF1">
            <w:pPr>
              <w:rPr>
                <w:rFonts w:ascii="Aptos" w:hAnsi="Aptos"/>
                <w:sz w:val="18"/>
                <w:szCs w:val="18"/>
              </w:rPr>
            </w:pPr>
            <w:r w:rsidRPr="00CD6489">
              <w:rPr>
                <w:rFonts w:ascii="Aptos" w:hAnsi="Aptos"/>
                <w:sz w:val="18"/>
                <w:szCs w:val="18"/>
              </w:rPr>
              <w:t>Were any restrictions in eligibility criteria based on sources of information appropriate (publication status or format, language, availability of data)?</w:t>
            </w:r>
          </w:p>
        </w:tc>
        <w:tc>
          <w:tcPr>
            <w:tcW w:w="425" w:type="pct"/>
            <w:tcBorders>
              <w:top w:val="nil"/>
              <w:left w:val="nil"/>
              <w:bottom w:val="single" w:sz="4" w:space="0" w:color="auto"/>
              <w:right w:val="single" w:sz="4" w:space="0" w:color="auto"/>
            </w:tcBorders>
            <w:shd w:val="clear" w:color="000000" w:fill="FFFFFF"/>
            <w:vAlign w:val="center"/>
            <w:hideMark/>
          </w:tcPr>
          <w:p w14:paraId="73B7F2E2"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6F94C3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18AA18C"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A1D8C0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8788B9B"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892D6B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6B9487C7" w14:textId="77777777" w:rsidTr="00E00FDD">
        <w:trPr>
          <w:trHeight w:val="440"/>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6354A5FF" w14:textId="77777777" w:rsidR="00854AF1" w:rsidRPr="00CD6489" w:rsidRDefault="00854AF1" w:rsidP="00854AF1">
            <w:pPr>
              <w:rPr>
                <w:rFonts w:ascii="Aptos" w:hAnsi="Aptos"/>
                <w:sz w:val="18"/>
                <w:szCs w:val="18"/>
              </w:rPr>
            </w:pPr>
            <w:r w:rsidRPr="00CD6489">
              <w:rPr>
                <w:rFonts w:ascii="Aptos" w:hAnsi="Aptos"/>
                <w:sz w:val="18"/>
                <w:szCs w:val="18"/>
              </w:rPr>
              <w:t>Concerns regarding specification of study eligibility criteria LOW, HIGH, UNCLEAR</w:t>
            </w:r>
          </w:p>
        </w:tc>
        <w:tc>
          <w:tcPr>
            <w:tcW w:w="425" w:type="pct"/>
            <w:tcBorders>
              <w:top w:val="nil"/>
              <w:left w:val="nil"/>
              <w:bottom w:val="single" w:sz="4" w:space="0" w:color="auto"/>
              <w:right w:val="single" w:sz="4" w:space="0" w:color="auto"/>
            </w:tcBorders>
            <w:shd w:val="clear" w:color="000000" w:fill="E2EFDA"/>
            <w:vAlign w:val="center"/>
            <w:hideMark/>
          </w:tcPr>
          <w:p w14:paraId="41710286"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29859222"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3E3A6077"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1893CF53"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33A571D5"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2039FC66"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r>
      <w:tr w:rsidR="00854AF1" w:rsidRPr="00CD6489" w14:paraId="14817980"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2F2F2"/>
            <w:vAlign w:val="center"/>
            <w:hideMark/>
          </w:tcPr>
          <w:p w14:paraId="3C29DC5F" w14:textId="77777777" w:rsidR="00854AF1" w:rsidRPr="00CD6489" w:rsidRDefault="00854AF1" w:rsidP="00854AF1">
            <w:pPr>
              <w:rPr>
                <w:rFonts w:ascii="Aptos" w:hAnsi="Aptos"/>
                <w:sz w:val="18"/>
                <w:szCs w:val="18"/>
              </w:rPr>
            </w:pPr>
            <w:r w:rsidRPr="00CD6489">
              <w:rPr>
                <w:rFonts w:ascii="Aptos" w:hAnsi="Aptos"/>
                <w:sz w:val="18"/>
                <w:szCs w:val="18"/>
              </w:rPr>
              <w:t>Domain 2: Identification and selection of studies</w:t>
            </w:r>
          </w:p>
        </w:tc>
        <w:tc>
          <w:tcPr>
            <w:tcW w:w="425" w:type="pct"/>
            <w:tcBorders>
              <w:top w:val="nil"/>
              <w:left w:val="nil"/>
              <w:bottom w:val="single" w:sz="4" w:space="0" w:color="auto"/>
              <w:right w:val="single" w:sz="4" w:space="0" w:color="auto"/>
            </w:tcBorders>
            <w:shd w:val="clear" w:color="000000" w:fill="F2F2F2"/>
            <w:vAlign w:val="center"/>
            <w:hideMark/>
          </w:tcPr>
          <w:p w14:paraId="2CF804C0" w14:textId="6A9716AF"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0A3E140B" w14:textId="414E2D5D"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5C1B5BFB" w14:textId="6F2F10F0"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654E67FA" w14:textId="7BA9C450"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5A72CFF2" w14:textId="3ADD3E4E"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00F00F24" w14:textId="54ABF8F2" w:rsidR="00854AF1" w:rsidRPr="00CD6489" w:rsidRDefault="00854AF1" w:rsidP="00E00FDD">
            <w:pPr>
              <w:jc w:val="center"/>
              <w:rPr>
                <w:rFonts w:ascii="Aptos" w:hAnsi="Aptos"/>
                <w:sz w:val="18"/>
                <w:szCs w:val="18"/>
              </w:rPr>
            </w:pPr>
          </w:p>
        </w:tc>
      </w:tr>
      <w:tr w:rsidR="00854AF1" w:rsidRPr="00CD6489" w14:paraId="19B99D1F"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461EE2ED" w14:textId="77777777" w:rsidR="00854AF1" w:rsidRPr="00CD6489" w:rsidRDefault="00854AF1" w:rsidP="00854AF1">
            <w:pPr>
              <w:rPr>
                <w:rFonts w:ascii="Aptos" w:hAnsi="Aptos"/>
                <w:sz w:val="18"/>
                <w:szCs w:val="18"/>
              </w:rPr>
            </w:pPr>
            <w:r w:rsidRPr="00CD6489">
              <w:rPr>
                <w:rFonts w:ascii="Aptos" w:hAnsi="Aptos"/>
                <w:sz w:val="18"/>
                <w:szCs w:val="18"/>
              </w:rPr>
              <w:t>Did the search include an appropriate range of databases/electronic sources for published and unpublished reports?</w:t>
            </w:r>
          </w:p>
        </w:tc>
        <w:tc>
          <w:tcPr>
            <w:tcW w:w="425" w:type="pct"/>
            <w:tcBorders>
              <w:top w:val="nil"/>
              <w:left w:val="nil"/>
              <w:bottom w:val="single" w:sz="4" w:space="0" w:color="auto"/>
              <w:right w:val="single" w:sz="4" w:space="0" w:color="auto"/>
            </w:tcBorders>
            <w:shd w:val="clear" w:color="000000" w:fill="FFFFFF"/>
            <w:vAlign w:val="center"/>
            <w:hideMark/>
          </w:tcPr>
          <w:p w14:paraId="29F46ADD"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4652A53"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02F23D8"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466C52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EB62137"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67FA3BE"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569BF984"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00CD73B9" w14:textId="77777777" w:rsidR="00854AF1" w:rsidRPr="00CD6489" w:rsidRDefault="00854AF1" w:rsidP="00854AF1">
            <w:pPr>
              <w:rPr>
                <w:rFonts w:ascii="Aptos" w:hAnsi="Aptos"/>
                <w:sz w:val="18"/>
                <w:szCs w:val="18"/>
              </w:rPr>
            </w:pPr>
            <w:r w:rsidRPr="00CD6489">
              <w:rPr>
                <w:rFonts w:ascii="Aptos" w:hAnsi="Aptos"/>
                <w:sz w:val="18"/>
                <w:szCs w:val="18"/>
              </w:rPr>
              <w:t>Were methods additional to database searching used to identify relevant reports?</w:t>
            </w:r>
          </w:p>
        </w:tc>
        <w:tc>
          <w:tcPr>
            <w:tcW w:w="425" w:type="pct"/>
            <w:tcBorders>
              <w:top w:val="nil"/>
              <w:left w:val="nil"/>
              <w:bottom w:val="single" w:sz="4" w:space="0" w:color="auto"/>
              <w:right w:val="single" w:sz="4" w:space="0" w:color="auto"/>
            </w:tcBorders>
            <w:shd w:val="clear" w:color="000000" w:fill="FFFFFF"/>
            <w:vAlign w:val="center"/>
            <w:hideMark/>
          </w:tcPr>
          <w:p w14:paraId="64DD424B"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0DE086B" w14:textId="77777777" w:rsidR="00854AF1" w:rsidRPr="00CD6489" w:rsidRDefault="00854AF1" w:rsidP="00E00FDD">
            <w:pPr>
              <w:jc w:val="center"/>
              <w:rPr>
                <w:rFonts w:ascii="Aptos" w:hAnsi="Aptos"/>
                <w:sz w:val="18"/>
                <w:szCs w:val="18"/>
              </w:rPr>
            </w:pPr>
            <w:r w:rsidRPr="00CD6489">
              <w:rPr>
                <w:rFonts w:ascii="Aptos" w:hAnsi="Aptos"/>
                <w:sz w:val="18"/>
                <w:szCs w:val="18"/>
              </w:rPr>
              <w:t>N</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2B03FCC"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44839C8"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05D00C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D73980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44663E0D"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38C026FA" w14:textId="77777777" w:rsidR="00854AF1" w:rsidRPr="00CD6489" w:rsidRDefault="00854AF1" w:rsidP="00854AF1">
            <w:pPr>
              <w:rPr>
                <w:rFonts w:ascii="Aptos" w:hAnsi="Aptos"/>
                <w:sz w:val="18"/>
                <w:szCs w:val="18"/>
              </w:rPr>
            </w:pPr>
            <w:r w:rsidRPr="00CD6489">
              <w:rPr>
                <w:rFonts w:ascii="Aptos" w:hAnsi="Aptos"/>
                <w:sz w:val="18"/>
                <w:szCs w:val="18"/>
              </w:rPr>
              <w:t>Were the terms and structure of the search strategy likely to retrieve as many eligible studies as possible?</w:t>
            </w:r>
          </w:p>
        </w:tc>
        <w:tc>
          <w:tcPr>
            <w:tcW w:w="425" w:type="pct"/>
            <w:tcBorders>
              <w:top w:val="nil"/>
              <w:left w:val="nil"/>
              <w:bottom w:val="single" w:sz="4" w:space="0" w:color="auto"/>
              <w:right w:val="single" w:sz="4" w:space="0" w:color="auto"/>
            </w:tcBorders>
            <w:shd w:val="clear" w:color="000000" w:fill="FFFFFF"/>
            <w:vAlign w:val="center"/>
            <w:hideMark/>
          </w:tcPr>
          <w:p w14:paraId="3EA41F7C"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970F15D"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73096BB"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6749874"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99B1C4D"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C4A2B26"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6F8065AA"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21674C1F" w14:textId="77777777" w:rsidR="00854AF1" w:rsidRPr="00CD6489" w:rsidRDefault="00854AF1" w:rsidP="00854AF1">
            <w:pPr>
              <w:rPr>
                <w:rFonts w:ascii="Aptos" w:hAnsi="Aptos"/>
                <w:sz w:val="18"/>
                <w:szCs w:val="18"/>
              </w:rPr>
            </w:pPr>
            <w:r w:rsidRPr="00CD6489">
              <w:rPr>
                <w:rFonts w:ascii="Aptos" w:hAnsi="Aptos"/>
                <w:sz w:val="18"/>
                <w:szCs w:val="18"/>
              </w:rPr>
              <w:t>Were restrictions based on date, publication format, or language appropriate?</w:t>
            </w:r>
          </w:p>
        </w:tc>
        <w:tc>
          <w:tcPr>
            <w:tcW w:w="425" w:type="pct"/>
            <w:tcBorders>
              <w:top w:val="nil"/>
              <w:left w:val="nil"/>
              <w:bottom w:val="single" w:sz="4" w:space="0" w:color="auto"/>
              <w:right w:val="single" w:sz="4" w:space="0" w:color="auto"/>
            </w:tcBorders>
            <w:shd w:val="clear" w:color="000000" w:fill="FFFFFF"/>
            <w:vAlign w:val="center"/>
            <w:hideMark/>
          </w:tcPr>
          <w:p w14:paraId="12DFFB1C" w14:textId="77777777" w:rsidR="00854AF1" w:rsidRPr="00CD6489" w:rsidRDefault="00854AF1" w:rsidP="00E00FDD">
            <w:pPr>
              <w:jc w:val="center"/>
              <w:rPr>
                <w:rFonts w:ascii="Aptos" w:hAnsi="Aptos"/>
                <w:sz w:val="18"/>
                <w:szCs w:val="18"/>
              </w:rPr>
            </w:pPr>
            <w:r w:rsidRPr="00CD6489">
              <w:rPr>
                <w:rFonts w:ascii="Aptos" w:hAnsi="Aptos"/>
                <w:sz w:val="18"/>
                <w:szCs w:val="18"/>
              </w:rPr>
              <w:t>PN</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6BF66F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62AAA5E"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AA04BD6" w14:textId="77777777" w:rsidR="00854AF1" w:rsidRPr="00CD6489" w:rsidRDefault="00854AF1" w:rsidP="00E00FDD">
            <w:pPr>
              <w:jc w:val="center"/>
              <w:rPr>
                <w:rFonts w:ascii="Aptos" w:hAnsi="Aptos"/>
                <w:sz w:val="18"/>
                <w:szCs w:val="18"/>
              </w:rPr>
            </w:pPr>
            <w:r w:rsidRPr="00CD6489">
              <w:rPr>
                <w:rFonts w:ascii="Aptos" w:hAnsi="Aptos"/>
                <w:sz w:val="18"/>
                <w:szCs w:val="18"/>
              </w:rPr>
              <w:t>PN</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F12A0E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9229A2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37463100"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2BC91E00" w14:textId="77777777" w:rsidR="00854AF1" w:rsidRPr="00CD6489" w:rsidRDefault="00854AF1" w:rsidP="00854AF1">
            <w:pPr>
              <w:rPr>
                <w:rFonts w:ascii="Aptos" w:hAnsi="Aptos"/>
                <w:sz w:val="18"/>
                <w:szCs w:val="18"/>
              </w:rPr>
            </w:pPr>
            <w:r w:rsidRPr="00CD6489">
              <w:rPr>
                <w:rFonts w:ascii="Aptos" w:hAnsi="Aptos"/>
                <w:sz w:val="18"/>
                <w:szCs w:val="18"/>
              </w:rPr>
              <w:t>Were efforts made to minimise error in selection of studies?</w:t>
            </w:r>
          </w:p>
        </w:tc>
        <w:tc>
          <w:tcPr>
            <w:tcW w:w="425" w:type="pct"/>
            <w:tcBorders>
              <w:top w:val="nil"/>
              <w:left w:val="nil"/>
              <w:bottom w:val="single" w:sz="4" w:space="0" w:color="auto"/>
              <w:right w:val="single" w:sz="4" w:space="0" w:color="auto"/>
            </w:tcBorders>
            <w:shd w:val="clear" w:color="000000" w:fill="FFFFFF"/>
            <w:vAlign w:val="center"/>
            <w:hideMark/>
          </w:tcPr>
          <w:p w14:paraId="5D90A76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0DB0F54"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E3E2BEE"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D1AC1E4"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06296E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301CDEF"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0E504358"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1AD2AB6A" w14:textId="77777777" w:rsidR="00854AF1" w:rsidRPr="00CD6489" w:rsidRDefault="00854AF1" w:rsidP="00854AF1">
            <w:pPr>
              <w:rPr>
                <w:rFonts w:ascii="Aptos" w:hAnsi="Aptos"/>
                <w:sz w:val="18"/>
                <w:szCs w:val="18"/>
              </w:rPr>
            </w:pPr>
            <w:r w:rsidRPr="00CD6489">
              <w:rPr>
                <w:rFonts w:ascii="Aptos" w:hAnsi="Aptos"/>
                <w:sz w:val="18"/>
                <w:szCs w:val="18"/>
              </w:rPr>
              <w:t>Concerns regarding methods used to identify and/or select studies: LOW, HIGH, UNCLEAR</w:t>
            </w:r>
          </w:p>
        </w:tc>
        <w:tc>
          <w:tcPr>
            <w:tcW w:w="425" w:type="pct"/>
            <w:tcBorders>
              <w:top w:val="nil"/>
              <w:left w:val="nil"/>
              <w:bottom w:val="single" w:sz="4" w:space="0" w:color="auto"/>
              <w:right w:val="single" w:sz="4" w:space="0" w:color="auto"/>
            </w:tcBorders>
            <w:shd w:val="clear" w:color="000000" w:fill="FFF2CC"/>
            <w:vAlign w:val="center"/>
            <w:hideMark/>
          </w:tcPr>
          <w:p w14:paraId="1F06AFE4"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4F06922B"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22663F58"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4BF06A5A"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242B15C8"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2FCAB360"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r>
      <w:tr w:rsidR="00854AF1" w:rsidRPr="00CD6489" w14:paraId="363E3811"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2F2F2"/>
            <w:vAlign w:val="center"/>
            <w:hideMark/>
          </w:tcPr>
          <w:p w14:paraId="383435CD" w14:textId="77777777" w:rsidR="00854AF1" w:rsidRPr="00CD6489" w:rsidRDefault="00854AF1" w:rsidP="00854AF1">
            <w:pPr>
              <w:rPr>
                <w:rFonts w:ascii="Aptos" w:hAnsi="Aptos"/>
                <w:sz w:val="18"/>
                <w:szCs w:val="18"/>
              </w:rPr>
            </w:pPr>
            <w:r w:rsidRPr="00CD6489">
              <w:rPr>
                <w:rFonts w:ascii="Aptos" w:hAnsi="Aptos"/>
                <w:sz w:val="18"/>
                <w:szCs w:val="18"/>
              </w:rPr>
              <w:t>Domain 3: Data collection and study appraisal</w:t>
            </w:r>
          </w:p>
        </w:tc>
        <w:tc>
          <w:tcPr>
            <w:tcW w:w="425" w:type="pct"/>
            <w:tcBorders>
              <w:top w:val="nil"/>
              <w:left w:val="nil"/>
              <w:bottom w:val="single" w:sz="4" w:space="0" w:color="auto"/>
              <w:right w:val="single" w:sz="4" w:space="0" w:color="auto"/>
            </w:tcBorders>
            <w:shd w:val="clear" w:color="000000" w:fill="F2F2F2"/>
            <w:vAlign w:val="center"/>
            <w:hideMark/>
          </w:tcPr>
          <w:p w14:paraId="4600C11B" w14:textId="647A481C"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74560341" w14:textId="422D3F1A"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6359946B" w14:textId="5CDA959F"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4FBCAF6A" w14:textId="48AAD20C"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4BB27A83" w14:textId="5C48F5AB"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047922F1" w14:textId="76057CC1" w:rsidR="00854AF1" w:rsidRPr="00CD6489" w:rsidRDefault="00854AF1" w:rsidP="00E00FDD">
            <w:pPr>
              <w:jc w:val="center"/>
              <w:rPr>
                <w:rFonts w:ascii="Aptos" w:hAnsi="Aptos"/>
                <w:sz w:val="18"/>
                <w:szCs w:val="18"/>
              </w:rPr>
            </w:pPr>
          </w:p>
        </w:tc>
      </w:tr>
      <w:tr w:rsidR="00854AF1" w:rsidRPr="00CD6489" w14:paraId="439974B5" w14:textId="77777777" w:rsidTr="00E00FDD">
        <w:trPr>
          <w:trHeight w:val="440"/>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0BF9A6B7" w14:textId="77777777" w:rsidR="00854AF1" w:rsidRPr="00CD6489" w:rsidRDefault="00854AF1" w:rsidP="00854AF1">
            <w:pPr>
              <w:rPr>
                <w:rFonts w:ascii="Aptos" w:hAnsi="Aptos"/>
                <w:sz w:val="18"/>
                <w:szCs w:val="18"/>
              </w:rPr>
            </w:pPr>
            <w:r w:rsidRPr="00CD6489">
              <w:rPr>
                <w:rFonts w:ascii="Aptos" w:hAnsi="Aptos"/>
                <w:sz w:val="18"/>
                <w:szCs w:val="18"/>
              </w:rPr>
              <w:t>Were efforts made to minimise error in data collection?</w:t>
            </w:r>
          </w:p>
        </w:tc>
        <w:tc>
          <w:tcPr>
            <w:tcW w:w="425" w:type="pct"/>
            <w:tcBorders>
              <w:top w:val="nil"/>
              <w:left w:val="nil"/>
              <w:bottom w:val="single" w:sz="4" w:space="0" w:color="auto"/>
              <w:right w:val="single" w:sz="4" w:space="0" w:color="auto"/>
            </w:tcBorders>
            <w:shd w:val="clear" w:color="000000" w:fill="FFFFFF"/>
            <w:vAlign w:val="center"/>
            <w:hideMark/>
          </w:tcPr>
          <w:p w14:paraId="037D7959"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A17A29D"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19B66C1"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E9A869D"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BF47C3F"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238AEDF"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18575A61"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711F1978" w14:textId="77777777" w:rsidR="00854AF1" w:rsidRPr="00CD6489" w:rsidRDefault="00854AF1" w:rsidP="00854AF1">
            <w:pPr>
              <w:rPr>
                <w:rFonts w:ascii="Aptos" w:hAnsi="Aptos"/>
                <w:sz w:val="18"/>
                <w:szCs w:val="18"/>
              </w:rPr>
            </w:pPr>
            <w:r w:rsidRPr="00CD6489">
              <w:rPr>
                <w:rFonts w:ascii="Aptos" w:hAnsi="Aptos"/>
                <w:sz w:val="18"/>
                <w:szCs w:val="18"/>
              </w:rPr>
              <w:t>Were sufficient study characteristics available for both review authors and readers to be able to interpret the results?</w:t>
            </w:r>
          </w:p>
        </w:tc>
        <w:tc>
          <w:tcPr>
            <w:tcW w:w="425" w:type="pct"/>
            <w:tcBorders>
              <w:top w:val="nil"/>
              <w:left w:val="nil"/>
              <w:bottom w:val="single" w:sz="4" w:space="0" w:color="auto"/>
              <w:right w:val="single" w:sz="4" w:space="0" w:color="auto"/>
            </w:tcBorders>
            <w:shd w:val="clear" w:color="000000" w:fill="FFFFFF"/>
            <w:vAlign w:val="center"/>
            <w:hideMark/>
          </w:tcPr>
          <w:p w14:paraId="5121090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9CD344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B89EB1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7A79F04"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A44765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7C9EB5E"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119605AC"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6A32FDFF" w14:textId="77777777" w:rsidR="00854AF1" w:rsidRPr="00CD6489" w:rsidRDefault="00854AF1" w:rsidP="00854AF1">
            <w:pPr>
              <w:rPr>
                <w:rFonts w:ascii="Aptos" w:hAnsi="Aptos"/>
                <w:sz w:val="18"/>
                <w:szCs w:val="18"/>
              </w:rPr>
            </w:pPr>
            <w:r w:rsidRPr="00CD6489">
              <w:rPr>
                <w:rFonts w:ascii="Aptos" w:hAnsi="Aptos"/>
                <w:sz w:val="18"/>
                <w:szCs w:val="18"/>
              </w:rPr>
              <w:t>Were all relevant study results collected for use in the synthesis?</w:t>
            </w:r>
          </w:p>
        </w:tc>
        <w:tc>
          <w:tcPr>
            <w:tcW w:w="425" w:type="pct"/>
            <w:tcBorders>
              <w:top w:val="nil"/>
              <w:left w:val="nil"/>
              <w:bottom w:val="single" w:sz="4" w:space="0" w:color="auto"/>
              <w:right w:val="single" w:sz="4" w:space="0" w:color="auto"/>
            </w:tcBorders>
            <w:shd w:val="clear" w:color="000000" w:fill="FFFFFF"/>
            <w:vAlign w:val="center"/>
            <w:hideMark/>
          </w:tcPr>
          <w:p w14:paraId="414719C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94FC68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EB0A95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2C607CE"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E121CE4"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6353098"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7F2755B4"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436451C7" w14:textId="77777777" w:rsidR="00854AF1" w:rsidRPr="00CD6489" w:rsidRDefault="00854AF1" w:rsidP="00854AF1">
            <w:pPr>
              <w:rPr>
                <w:rFonts w:ascii="Aptos" w:hAnsi="Aptos"/>
                <w:sz w:val="18"/>
                <w:szCs w:val="18"/>
              </w:rPr>
            </w:pPr>
            <w:r w:rsidRPr="00CD6489">
              <w:rPr>
                <w:rFonts w:ascii="Aptos" w:hAnsi="Aptos"/>
                <w:sz w:val="18"/>
                <w:szCs w:val="18"/>
              </w:rPr>
              <w:t>Was risk of bias (or methodological quality) formally assessed using appropriate criteria?</w:t>
            </w:r>
          </w:p>
        </w:tc>
        <w:tc>
          <w:tcPr>
            <w:tcW w:w="425" w:type="pct"/>
            <w:tcBorders>
              <w:top w:val="nil"/>
              <w:left w:val="nil"/>
              <w:bottom w:val="single" w:sz="4" w:space="0" w:color="auto"/>
              <w:right w:val="single" w:sz="4" w:space="0" w:color="auto"/>
            </w:tcBorders>
            <w:shd w:val="clear" w:color="000000" w:fill="FFFFFF"/>
            <w:vAlign w:val="center"/>
            <w:hideMark/>
          </w:tcPr>
          <w:p w14:paraId="7AA22544"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E9564D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DCFCB3C"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3DEB596"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2F582FC"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A711460"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15E72D1F"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230FC863" w14:textId="77777777" w:rsidR="00854AF1" w:rsidRPr="00CD6489" w:rsidRDefault="00854AF1" w:rsidP="00854AF1">
            <w:pPr>
              <w:rPr>
                <w:rFonts w:ascii="Aptos" w:hAnsi="Aptos"/>
                <w:sz w:val="18"/>
                <w:szCs w:val="18"/>
              </w:rPr>
            </w:pPr>
            <w:r w:rsidRPr="00CD6489">
              <w:rPr>
                <w:rFonts w:ascii="Aptos" w:hAnsi="Aptos"/>
                <w:sz w:val="18"/>
                <w:szCs w:val="18"/>
              </w:rPr>
              <w:t>Were efforts made to minimise error in risk of bias assessment?</w:t>
            </w:r>
          </w:p>
        </w:tc>
        <w:tc>
          <w:tcPr>
            <w:tcW w:w="425" w:type="pct"/>
            <w:tcBorders>
              <w:top w:val="nil"/>
              <w:left w:val="nil"/>
              <w:bottom w:val="single" w:sz="4" w:space="0" w:color="auto"/>
              <w:right w:val="single" w:sz="4" w:space="0" w:color="auto"/>
            </w:tcBorders>
            <w:shd w:val="clear" w:color="000000" w:fill="FFFFFF"/>
            <w:vAlign w:val="center"/>
            <w:hideMark/>
          </w:tcPr>
          <w:p w14:paraId="2F874A51"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21B1F4D"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9D25154"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61D2FC4"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2C3F02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26C7593"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r>
      <w:tr w:rsidR="00854AF1" w:rsidRPr="00CD6489" w14:paraId="337DBC32"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60BAB1E3" w14:textId="77777777" w:rsidR="00854AF1" w:rsidRPr="00CD6489" w:rsidRDefault="00854AF1" w:rsidP="00854AF1">
            <w:pPr>
              <w:rPr>
                <w:rFonts w:ascii="Aptos" w:hAnsi="Aptos"/>
                <w:sz w:val="18"/>
                <w:szCs w:val="18"/>
              </w:rPr>
            </w:pPr>
            <w:r w:rsidRPr="00CD6489">
              <w:rPr>
                <w:rFonts w:ascii="Aptos" w:hAnsi="Aptos"/>
                <w:sz w:val="18"/>
                <w:szCs w:val="18"/>
              </w:rPr>
              <w:t>Concerns regarding methods used to collect data and appraise studies: LOW, HIGH, UNCLEAR</w:t>
            </w:r>
          </w:p>
        </w:tc>
        <w:tc>
          <w:tcPr>
            <w:tcW w:w="425" w:type="pct"/>
            <w:tcBorders>
              <w:top w:val="nil"/>
              <w:left w:val="nil"/>
              <w:bottom w:val="single" w:sz="4" w:space="0" w:color="auto"/>
              <w:right w:val="single" w:sz="4" w:space="0" w:color="auto"/>
            </w:tcBorders>
            <w:shd w:val="clear" w:color="000000" w:fill="FFF2CC"/>
            <w:vAlign w:val="center"/>
            <w:hideMark/>
          </w:tcPr>
          <w:p w14:paraId="75474813"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347EF922"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53DE1912"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399BDE2D"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4A449A30"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45FDC50F"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r>
      <w:tr w:rsidR="00854AF1" w:rsidRPr="00CD6489" w14:paraId="3F88EC52"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2F2F2"/>
            <w:vAlign w:val="center"/>
            <w:hideMark/>
          </w:tcPr>
          <w:p w14:paraId="79A9ABA4" w14:textId="77777777" w:rsidR="00854AF1" w:rsidRPr="00CD6489" w:rsidRDefault="00854AF1" w:rsidP="00854AF1">
            <w:pPr>
              <w:rPr>
                <w:rFonts w:ascii="Aptos" w:hAnsi="Aptos"/>
                <w:sz w:val="18"/>
                <w:szCs w:val="18"/>
              </w:rPr>
            </w:pPr>
            <w:r w:rsidRPr="00CD6489">
              <w:rPr>
                <w:rFonts w:ascii="Aptos" w:hAnsi="Aptos"/>
                <w:sz w:val="18"/>
                <w:szCs w:val="18"/>
              </w:rPr>
              <w:t>Domain 4: Synthesis and findings</w:t>
            </w:r>
          </w:p>
        </w:tc>
        <w:tc>
          <w:tcPr>
            <w:tcW w:w="425" w:type="pct"/>
            <w:tcBorders>
              <w:top w:val="nil"/>
              <w:left w:val="nil"/>
              <w:bottom w:val="single" w:sz="4" w:space="0" w:color="auto"/>
              <w:right w:val="single" w:sz="4" w:space="0" w:color="auto"/>
            </w:tcBorders>
            <w:shd w:val="clear" w:color="000000" w:fill="F2F2F2"/>
            <w:vAlign w:val="center"/>
            <w:hideMark/>
          </w:tcPr>
          <w:p w14:paraId="7D2ABED7" w14:textId="4B8FFDEF"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47D92C60" w14:textId="6E0DA365"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148F7827" w14:textId="1C425746"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4A22FE37" w14:textId="381ADC64"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64520393" w14:textId="7985B880"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F2F2F2"/>
            <w:vAlign w:val="center"/>
            <w:hideMark/>
          </w:tcPr>
          <w:p w14:paraId="369CFC54" w14:textId="1A03EDFB" w:rsidR="00854AF1" w:rsidRPr="00CD6489" w:rsidRDefault="00854AF1" w:rsidP="00E00FDD">
            <w:pPr>
              <w:jc w:val="center"/>
              <w:rPr>
                <w:rFonts w:ascii="Aptos" w:hAnsi="Aptos"/>
                <w:sz w:val="18"/>
                <w:szCs w:val="18"/>
              </w:rPr>
            </w:pPr>
          </w:p>
        </w:tc>
      </w:tr>
      <w:tr w:rsidR="00854AF1" w:rsidRPr="00CD6489" w14:paraId="52FE001D"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02DEDC69" w14:textId="77777777" w:rsidR="00854AF1" w:rsidRPr="00CD6489" w:rsidRDefault="00854AF1" w:rsidP="00854AF1">
            <w:pPr>
              <w:rPr>
                <w:rFonts w:ascii="Aptos" w:hAnsi="Aptos"/>
                <w:sz w:val="18"/>
                <w:szCs w:val="18"/>
              </w:rPr>
            </w:pPr>
            <w:r w:rsidRPr="00CD6489">
              <w:rPr>
                <w:rFonts w:ascii="Aptos" w:hAnsi="Aptos"/>
                <w:sz w:val="18"/>
                <w:szCs w:val="18"/>
              </w:rPr>
              <w:lastRenderedPageBreak/>
              <w:t>Did the synthesis include all studies that it should?</w:t>
            </w:r>
          </w:p>
        </w:tc>
        <w:tc>
          <w:tcPr>
            <w:tcW w:w="425" w:type="pct"/>
            <w:tcBorders>
              <w:top w:val="nil"/>
              <w:left w:val="nil"/>
              <w:bottom w:val="single" w:sz="4" w:space="0" w:color="auto"/>
              <w:right w:val="single" w:sz="4" w:space="0" w:color="auto"/>
            </w:tcBorders>
            <w:shd w:val="clear" w:color="000000" w:fill="FFFFFF"/>
            <w:vAlign w:val="center"/>
            <w:hideMark/>
          </w:tcPr>
          <w:p w14:paraId="3ABA5AB9"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31F0007"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79CF884"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DFB6F33"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87233E9"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23B9633"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r>
      <w:tr w:rsidR="00854AF1" w:rsidRPr="00CD6489" w14:paraId="2CFD5463"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75572D5A" w14:textId="77777777" w:rsidR="00854AF1" w:rsidRPr="00CD6489" w:rsidRDefault="00854AF1" w:rsidP="00854AF1">
            <w:pPr>
              <w:rPr>
                <w:rFonts w:ascii="Aptos" w:hAnsi="Aptos"/>
                <w:sz w:val="18"/>
                <w:szCs w:val="18"/>
              </w:rPr>
            </w:pPr>
            <w:r w:rsidRPr="00CD6489">
              <w:rPr>
                <w:rFonts w:ascii="Aptos" w:hAnsi="Aptos"/>
                <w:sz w:val="18"/>
                <w:szCs w:val="18"/>
              </w:rPr>
              <w:t>Were all pre</w:t>
            </w:r>
            <w:r w:rsidRPr="00CD6489">
              <w:rPr>
                <w:rFonts w:ascii="Cambria Math" w:hAnsi="Cambria Math" w:cs="Cambria Math"/>
                <w:sz w:val="18"/>
                <w:szCs w:val="18"/>
              </w:rPr>
              <w:t>‐</w:t>
            </w:r>
            <w:r w:rsidRPr="00CD6489">
              <w:rPr>
                <w:rFonts w:ascii="Aptos" w:hAnsi="Aptos"/>
                <w:sz w:val="18"/>
                <w:szCs w:val="18"/>
              </w:rPr>
              <w:t>defined analyses reported or departures explained?</w:t>
            </w:r>
          </w:p>
        </w:tc>
        <w:tc>
          <w:tcPr>
            <w:tcW w:w="425" w:type="pct"/>
            <w:tcBorders>
              <w:top w:val="nil"/>
              <w:left w:val="nil"/>
              <w:bottom w:val="single" w:sz="4" w:space="0" w:color="auto"/>
              <w:right w:val="single" w:sz="4" w:space="0" w:color="auto"/>
            </w:tcBorders>
            <w:shd w:val="clear" w:color="000000" w:fill="FFFFFF"/>
            <w:vAlign w:val="center"/>
            <w:hideMark/>
          </w:tcPr>
          <w:p w14:paraId="2C73C737"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86619C2"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5DCE55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5EEF058"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74AFF86"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C15D79C"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1B6A23A6" w14:textId="77777777" w:rsidTr="00E00FDD">
        <w:trPr>
          <w:trHeight w:val="440"/>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0D9B3634" w14:textId="77777777" w:rsidR="00854AF1" w:rsidRPr="00CD6489" w:rsidRDefault="00854AF1" w:rsidP="00854AF1">
            <w:pPr>
              <w:rPr>
                <w:rFonts w:ascii="Aptos" w:hAnsi="Aptos"/>
                <w:sz w:val="18"/>
                <w:szCs w:val="18"/>
              </w:rPr>
            </w:pPr>
            <w:r w:rsidRPr="00CD6489">
              <w:rPr>
                <w:rFonts w:ascii="Aptos" w:hAnsi="Aptos"/>
                <w:sz w:val="18"/>
                <w:szCs w:val="18"/>
              </w:rPr>
              <w:t>Was the synthesis appropriate given the nature and similarity in the research questions, study designs and outcomes across included studies?</w:t>
            </w:r>
          </w:p>
        </w:tc>
        <w:tc>
          <w:tcPr>
            <w:tcW w:w="425" w:type="pct"/>
            <w:tcBorders>
              <w:top w:val="nil"/>
              <w:left w:val="nil"/>
              <w:bottom w:val="single" w:sz="4" w:space="0" w:color="auto"/>
              <w:right w:val="single" w:sz="4" w:space="0" w:color="auto"/>
            </w:tcBorders>
            <w:shd w:val="clear" w:color="000000" w:fill="FFFFFF"/>
            <w:vAlign w:val="center"/>
            <w:hideMark/>
          </w:tcPr>
          <w:p w14:paraId="167B335F"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F02351D"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0E28FB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39D9CD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7B66B56"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6CA56A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22BBF9B1"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51E663E1" w14:textId="77777777" w:rsidR="00854AF1" w:rsidRPr="00CD6489" w:rsidRDefault="00854AF1" w:rsidP="00854AF1">
            <w:pPr>
              <w:rPr>
                <w:rFonts w:ascii="Aptos" w:hAnsi="Aptos"/>
                <w:sz w:val="18"/>
                <w:szCs w:val="18"/>
              </w:rPr>
            </w:pPr>
            <w:r w:rsidRPr="00CD6489">
              <w:rPr>
                <w:rFonts w:ascii="Aptos" w:hAnsi="Aptos"/>
                <w:sz w:val="18"/>
                <w:szCs w:val="18"/>
              </w:rPr>
              <w:t>Was between</w:t>
            </w:r>
            <w:r w:rsidRPr="00CD6489">
              <w:rPr>
                <w:rFonts w:ascii="Cambria Math" w:hAnsi="Cambria Math" w:cs="Cambria Math"/>
                <w:sz w:val="18"/>
                <w:szCs w:val="18"/>
              </w:rPr>
              <w:t>‐</w:t>
            </w:r>
            <w:r w:rsidRPr="00CD6489">
              <w:rPr>
                <w:rFonts w:ascii="Aptos" w:hAnsi="Aptos"/>
                <w:sz w:val="18"/>
                <w:szCs w:val="18"/>
              </w:rPr>
              <w:t>study variation (heterogeneity) minimal or addressed in the synthesis?</w:t>
            </w:r>
          </w:p>
        </w:tc>
        <w:tc>
          <w:tcPr>
            <w:tcW w:w="425" w:type="pct"/>
            <w:tcBorders>
              <w:top w:val="nil"/>
              <w:left w:val="nil"/>
              <w:bottom w:val="single" w:sz="4" w:space="0" w:color="auto"/>
              <w:right w:val="single" w:sz="4" w:space="0" w:color="auto"/>
            </w:tcBorders>
            <w:shd w:val="clear" w:color="000000" w:fill="FFFFFF"/>
            <w:vAlign w:val="center"/>
            <w:hideMark/>
          </w:tcPr>
          <w:p w14:paraId="0E92A102"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DCDE56F"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83B9DD2"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86B510D"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DA5238B"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2FD192F"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11116E7B"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2066CF13" w14:textId="77777777" w:rsidR="00854AF1" w:rsidRPr="00CD6489" w:rsidRDefault="00854AF1" w:rsidP="00854AF1">
            <w:pPr>
              <w:rPr>
                <w:rFonts w:ascii="Aptos" w:hAnsi="Aptos"/>
                <w:sz w:val="18"/>
                <w:szCs w:val="18"/>
              </w:rPr>
            </w:pPr>
            <w:r w:rsidRPr="00CD6489">
              <w:rPr>
                <w:rFonts w:ascii="Aptos" w:hAnsi="Aptos"/>
                <w:sz w:val="18"/>
                <w:szCs w:val="18"/>
              </w:rPr>
              <w:t>Were the findings robust, e.g. as demonstrated through funnel plot or sensitivity analyses?</w:t>
            </w:r>
          </w:p>
        </w:tc>
        <w:tc>
          <w:tcPr>
            <w:tcW w:w="425" w:type="pct"/>
            <w:tcBorders>
              <w:top w:val="nil"/>
              <w:left w:val="nil"/>
              <w:bottom w:val="single" w:sz="4" w:space="0" w:color="auto"/>
              <w:right w:val="single" w:sz="4" w:space="0" w:color="auto"/>
            </w:tcBorders>
            <w:shd w:val="clear" w:color="000000" w:fill="FFFFFF"/>
            <w:vAlign w:val="center"/>
            <w:hideMark/>
          </w:tcPr>
          <w:p w14:paraId="2322C23A"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03A24E2"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B328BE8"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432EE88"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ACB2D21" w14:textId="77777777" w:rsidR="00854AF1" w:rsidRPr="00CD6489" w:rsidRDefault="00854AF1" w:rsidP="00E00FDD">
            <w:pPr>
              <w:jc w:val="center"/>
              <w:rPr>
                <w:rFonts w:ascii="Aptos" w:hAnsi="Aptos"/>
                <w:sz w:val="18"/>
                <w:szCs w:val="18"/>
              </w:rPr>
            </w:pPr>
            <w:r w:rsidRPr="00CD6489">
              <w:rPr>
                <w:rFonts w:ascii="Aptos" w:hAnsi="Aptos"/>
                <w:sz w:val="18"/>
                <w:szCs w:val="18"/>
              </w:rPr>
              <w:t>NI</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3DD6FA8" w14:textId="77777777" w:rsidR="00854AF1" w:rsidRPr="00CD6489" w:rsidRDefault="00854AF1" w:rsidP="00E00FDD">
            <w:pPr>
              <w:jc w:val="center"/>
              <w:rPr>
                <w:rFonts w:ascii="Aptos" w:hAnsi="Aptos"/>
                <w:sz w:val="18"/>
                <w:szCs w:val="18"/>
              </w:rPr>
            </w:pPr>
            <w:r w:rsidRPr="00CD6489">
              <w:rPr>
                <w:rFonts w:ascii="Aptos" w:hAnsi="Aptos"/>
                <w:sz w:val="18"/>
                <w:szCs w:val="18"/>
              </w:rPr>
              <w:t>PY</w:t>
            </w:r>
          </w:p>
        </w:tc>
      </w:tr>
      <w:tr w:rsidR="00854AF1" w:rsidRPr="00CD6489" w14:paraId="0EB46536"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64C80E1E" w14:textId="77777777" w:rsidR="00854AF1" w:rsidRPr="00CD6489" w:rsidRDefault="00854AF1" w:rsidP="00854AF1">
            <w:pPr>
              <w:rPr>
                <w:rFonts w:ascii="Aptos" w:hAnsi="Aptos"/>
                <w:sz w:val="18"/>
                <w:szCs w:val="18"/>
              </w:rPr>
            </w:pPr>
            <w:r w:rsidRPr="00CD6489">
              <w:rPr>
                <w:rFonts w:ascii="Aptos" w:hAnsi="Aptos"/>
                <w:sz w:val="18"/>
                <w:szCs w:val="18"/>
              </w:rPr>
              <w:t>Were biases in primary studies minimal or addressed in the synthesis?</w:t>
            </w:r>
          </w:p>
        </w:tc>
        <w:tc>
          <w:tcPr>
            <w:tcW w:w="425" w:type="pct"/>
            <w:tcBorders>
              <w:top w:val="nil"/>
              <w:left w:val="nil"/>
              <w:bottom w:val="single" w:sz="4" w:space="0" w:color="auto"/>
              <w:right w:val="single" w:sz="4" w:space="0" w:color="auto"/>
            </w:tcBorders>
            <w:shd w:val="clear" w:color="000000" w:fill="FFFFFF"/>
            <w:vAlign w:val="center"/>
            <w:hideMark/>
          </w:tcPr>
          <w:p w14:paraId="69D27FE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CCEC13B"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0BAF6981"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91A4C1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F36BBC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84874C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05DCB090"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399B9292" w14:textId="77777777" w:rsidR="00854AF1" w:rsidRPr="00CD6489" w:rsidRDefault="00854AF1" w:rsidP="00854AF1">
            <w:pPr>
              <w:rPr>
                <w:rFonts w:ascii="Aptos" w:hAnsi="Aptos"/>
                <w:sz w:val="18"/>
                <w:szCs w:val="18"/>
              </w:rPr>
            </w:pPr>
            <w:r w:rsidRPr="00CD6489">
              <w:rPr>
                <w:rFonts w:ascii="Aptos" w:hAnsi="Aptos"/>
                <w:sz w:val="18"/>
                <w:szCs w:val="18"/>
              </w:rPr>
              <w:t>Concerns regarding the synthesis and finding: LOW, HIGH, UNCLEAR</w:t>
            </w:r>
          </w:p>
        </w:tc>
        <w:tc>
          <w:tcPr>
            <w:tcW w:w="425" w:type="pct"/>
            <w:tcBorders>
              <w:top w:val="nil"/>
              <w:left w:val="nil"/>
              <w:bottom w:val="single" w:sz="4" w:space="0" w:color="auto"/>
              <w:right w:val="single" w:sz="4" w:space="0" w:color="auto"/>
            </w:tcBorders>
            <w:shd w:val="clear" w:color="000000" w:fill="FFF2CC"/>
            <w:vAlign w:val="center"/>
            <w:hideMark/>
          </w:tcPr>
          <w:p w14:paraId="2052CF98"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345F64E6"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2995DF28"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695B684E"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51BE5600" w14:textId="77777777" w:rsidR="00854AF1" w:rsidRPr="00CD6489" w:rsidRDefault="00854AF1" w:rsidP="00E00FDD">
            <w:pPr>
              <w:jc w:val="center"/>
              <w:rPr>
                <w:rFonts w:ascii="Aptos" w:hAnsi="Aptos"/>
                <w:sz w:val="18"/>
                <w:szCs w:val="18"/>
              </w:rPr>
            </w:pPr>
            <w:r w:rsidRPr="00CD6489">
              <w:rPr>
                <w:rFonts w:ascii="Aptos" w:hAnsi="Aptos"/>
                <w:sz w:val="18"/>
                <w:szCs w:val="18"/>
              </w:rPr>
              <w:t>Unclear</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34E665D0" w14:textId="77777777" w:rsidR="00854AF1" w:rsidRPr="00CD6489" w:rsidRDefault="00854AF1" w:rsidP="00E00FDD">
            <w:pPr>
              <w:jc w:val="center"/>
              <w:rPr>
                <w:rFonts w:ascii="Aptos" w:hAnsi="Aptos"/>
                <w:sz w:val="18"/>
                <w:szCs w:val="18"/>
              </w:rPr>
            </w:pPr>
            <w:r w:rsidRPr="00CD6489">
              <w:rPr>
                <w:rFonts w:ascii="Aptos" w:hAnsi="Aptos"/>
                <w:sz w:val="18"/>
                <w:szCs w:val="18"/>
              </w:rPr>
              <w:t>Low</w:t>
            </w:r>
          </w:p>
        </w:tc>
      </w:tr>
      <w:tr w:rsidR="00854AF1" w:rsidRPr="00CD6489" w14:paraId="5750C3A8"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D9D9D9"/>
            <w:vAlign w:val="center"/>
            <w:hideMark/>
          </w:tcPr>
          <w:p w14:paraId="7E6E292C" w14:textId="77777777" w:rsidR="00854AF1" w:rsidRPr="00CD6489" w:rsidRDefault="00854AF1" w:rsidP="00854AF1">
            <w:pPr>
              <w:rPr>
                <w:rFonts w:ascii="Aptos" w:hAnsi="Aptos"/>
                <w:sz w:val="18"/>
                <w:szCs w:val="18"/>
              </w:rPr>
            </w:pPr>
            <w:r w:rsidRPr="00CD6489">
              <w:rPr>
                <w:rFonts w:ascii="Aptos" w:hAnsi="Aptos"/>
                <w:sz w:val="18"/>
                <w:szCs w:val="18"/>
              </w:rPr>
              <w:t>Risk of bias in the review</w:t>
            </w:r>
          </w:p>
        </w:tc>
        <w:tc>
          <w:tcPr>
            <w:tcW w:w="425" w:type="pct"/>
            <w:tcBorders>
              <w:top w:val="nil"/>
              <w:left w:val="nil"/>
              <w:bottom w:val="single" w:sz="4" w:space="0" w:color="auto"/>
              <w:right w:val="single" w:sz="4" w:space="0" w:color="auto"/>
            </w:tcBorders>
            <w:shd w:val="clear" w:color="000000" w:fill="D9D9D9"/>
            <w:vAlign w:val="center"/>
            <w:hideMark/>
          </w:tcPr>
          <w:p w14:paraId="632E8B45" w14:textId="23CD63D1"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vAlign w:val="center"/>
            <w:hideMark/>
          </w:tcPr>
          <w:p w14:paraId="5A49EAE0" w14:textId="197B1428"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vAlign w:val="center"/>
            <w:hideMark/>
          </w:tcPr>
          <w:p w14:paraId="6D114C75" w14:textId="21C10418"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vAlign w:val="center"/>
            <w:hideMark/>
          </w:tcPr>
          <w:p w14:paraId="16A7A1F5" w14:textId="04C6E417"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vAlign w:val="center"/>
            <w:hideMark/>
          </w:tcPr>
          <w:p w14:paraId="443B3486" w14:textId="5D28F1E3" w:rsidR="00854AF1" w:rsidRPr="00CD6489" w:rsidRDefault="00854AF1" w:rsidP="00E00FDD">
            <w:pPr>
              <w:jc w:val="center"/>
              <w:rPr>
                <w:rFonts w:ascii="Aptos" w:hAnsi="Aptos"/>
                <w:sz w:val="18"/>
                <w:szCs w:val="18"/>
              </w:rPr>
            </w:pPr>
          </w:p>
        </w:tc>
        <w:tc>
          <w:tcPr>
            <w:tcW w:w="425" w:type="pct"/>
            <w:tcBorders>
              <w:top w:val="nil"/>
              <w:left w:val="single" w:sz="4" w:space="0" w:color="auto"/>
              <w:bottom w:val="single" w:sz="4" w:space="0" w:color="auto"/>
              <w:right w:val="single" w:sz="4" w:space="0" w:color="auto"/>
            </w:tcBorders>
            <w:shd w:val="clear" w:color="000000" w:fill="D9D9D9"/>
            <w:vAlign w:val="center"/>
            <w:hideMark/>
          </w:tcPr>
          <w:p w14:paraId="6CBE3053" w14:textId="06D47FC3" w:rsidR="00854AF1" w:rsidRPr="00CD6489" w:rsidRDefault="00854AF1" w:rsidP="00E00FDD">
            <w:pPr>
              <w:jc w:val="center"/>
              <w:rPr>
                <w:rFonts w:ascii="Aptos" w:hAnsi="Aptos"/>
                <w:sz w:val="18"/>
                <w:szCs w:val="18"/>
              </w:rPr>
            </w:pPr>
          </w:p>
        </w:tc>
      </w:tr>
      <w:tr w:rsidR="00854AF1" w:rsidRPr="00CD6489" w14:paraId="47569FB2"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506EE643" w14:textId="77777777" w:rsidR="00854AF1" w:rsidRPr="00CD6489" w:rsidRDefault="00854AF1" w:rsidP="00854AF1">
            <w:pPr>
              <w:rPr>
                <w:rFonts w:ascii="Aptos" w:hAnsi="Aptos"/>
                <w:sz w:val="18"/>
                <w:szCs w:val="18"/>
              </w:rPr>
            </w:pPr>
            <w:r w:rsidRPr="00CD6489">
              <w:rPr>
                <w:rFonts w:ascii="Aptos" w:hAnsi="Aptos"/>
                <w:sz w:val="18"/>
                <w:szCs w:val="18"/>
              </w:rPr>
              <w:t>Did the interpretation of findings address all of the concerns identified in Domains 1</w:t>
            </w:r>
            <w:r w:rsidRPr="00CD6489">
              <w:rPr>
                <w:rFonts w:ascii="Cambria Math" w:hAnsi="Cambria Math" w:cs="Cambria Math"/>
                <w:sz w:val="18"/>
                <w:szCs w:val="18"/>
              </w:rPr>
              <w:t>‐</w:t>
            </w:r>
            <w:r w:rsidRPr="00CD6489">
              <w:rPr>
                <w:rFonts w:ascii="Aptos" w:hAnsi="Aptos"/>
                <w:sz w:val="18"/>
                <w:szCs w:val="18"/>
              </w:rPr>
              <w:t>4?</w:t>
            </w:r>
          </w:p>
        </w:tc>
        <w:tc>
          <w:tcPr>
            <w:tcW w:w="425" w:type="pct"/>
            <w:tcBorders>
              <w:top w:val="nil"/>
              <w:left w:val="nil"/>
              <w:bottom w:val="single" w:sz="4" w:space="0" w:color="auto"/>
              <w:right w:val="single" w:sz="4" w:space="0" w:color="auto"/>
            </w:tcBorders>
            <w:shd w:val="clear" w:color="000000" w:fill="FFFFFF"/>
            <w:vAlign w:val="center"/>
            <w:hideMark/>
          </w:tcPr>
          <w:p w14:paraId="4984773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9DDDFA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583E65F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6DBD917"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C18151E"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2043AF6"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4BC90ACE"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61394F92" w14:textId="77777777" w:rsidR="00854AF1" w:rsidRPr="00CD6489" w:rsidRDefault="00854AF1" w:rsidP="00854AF1">
            <w:pPr>
              <w:rPr>
                <w:rFonts w:ascii="Aptos" w:hAnsi="Aptos"/>
                <w:sz w:val="18"/>
                <w:szCs w:val="18"/>
              </w:rPr>
            </w:pPr>
            <w:r w:rsidRPr="00CD6489">
              <w:rPr>
                <w:rFonts w:ascii="Aptos" w:hAnsi="Aptos"/>
                <w:sz w:val="18"/>
                <w:szCs w:val="18"/>
              </w:rPr>
              <w:t>Was the relevance of identified studies to the review's research question appropriately considered?</w:t>
            </w:r>
          </w:p>
        </w:tc>
        <w:tc>
          <w:tcPr>
            <w:tcW w:w="425" w:type="pct"/>
            <w:tcBorders>
              <w:top w:val="nil"/>
              <w:left w:val="nil"/>
              <w:bottom w:val="single" w:sz="4" w:space="0" w:color="auto"/>
              <w:right w:val="single" w:sz="4" w:space="0" w:color="auto"/>
            </w:tcBorders>
            <w:shd w:val="clear" w:color="000000" w:fill="FFFFFF"/>
            <w:vAlign w:val="center"/>
            <w:hideMark/>
          </w:tcPr>
          <w:p w14:paraId="6EAE810F"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A30D38C"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068E8DB"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2AC7BAC3"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1C6BF0B2"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654CBBAF"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37BFCC0F" w14:textId="77777777" w:rsidTr="00E00FDD">
        <w:trPr>
          <w:trHeight w:val="439"/>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7AB05FB1" w14:textId="77777777" w:rsidR="00854AF1" w:rsidRPr="00CD6489" w:rsidRDefault="00854AF1" w:rsidP="00854AF1">
            <w:pPr>
              <w:rPr>
                <w:rFonts w:ascii="Aptos" w:hAnsi="Aptos"/>
                <w:sz w:val="18"/>
                <w:szCs w:val="18"/>
              </w:rPr>
            </w:pPr>
            <w:r w:rsidRPr="00CD6489">
              <w:rPr>
                <w:rFonts w:ascii="Aptos" w:hAnsi="Aptos"/>
                <w:sz w:val="18"/>
                <w:szCs w:val="18"/>
              </w:rPr>
              <w:t>Did the reviewers avoid emphasizing results on the basis of their statistical significance?</w:t>
            </w:r>
          </w:p>
        </w:tc>
        <w:tc>
          <w:tcPr>
            <w:tcW w:w="425" w:type="pct"/>
            <w:tcBorders>
              <w:top w:val="nil"/>
              <w:left w:val="nil"/>
              <w:bottom w:val="single" w:sz="4" w:space="0" w:color="auto"/>
              <w:right w:val="single" w:sz="4" w:space="0" w:color="auto"/>
            </w:tcBorders>
            <w:shd w:val="clear" w:color="000000" w:fill="FFFFFF"/>
            <w:vAlign w:val="center"/>
            <w:hideMark/>
          </w:tcPr>
          <w:p w14:paraId="5B5407DA"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8090670"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79DCC619"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4F63856D"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ECBA175"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c>
          <w:tcPr>
            <w:tcW w:w="425" w:type="pct"/>
            <w:tcBorders>
              <w:top w:val="nil"/>
              <w:left w:val="single" w:sz="4" w:space="0" w:color="auto"/>
              <w:bottom w:val="single" w:sz="4" w:space="0" w:color="auto"/>
              <w:right w:val="single" w:sz="4" w:space="0" w:color="auto"/>
            </w:tcBorders>
            <w:shd w:val="clear" w:color="000000" w:fill="FFFFFF"/>
            <w:vAlign w:val="center"/>
            <w:hideMark/>
          </w:tcPr>
          <w:p w14:paraId="38E1567D" w14:textId="77777777" w:rsidR="00854AF1" w:rsidRPr="00CD6489" w:rsidRDefault="00854AF1" w:rsidP="00E00FDD">
            <w:pPr>
              <w:jc w:val="center"/>
              <w:rPr>
                <w:rFonts w:ascii="Aptos" w:hAnsi="Aptos"/>
                <w:sz w:val="18"/>
                <w:szCs w:val="18"/>
              </w:rPr>
            </w:pPr>
            <w:r w:rsidRPr="00CD6489">
              <w:rPr>
                <w:rFonts w:ascii="Aptos" w:hAnsi="Aptos"/>
                <w:sz w:val="18"/>
                <w:szCs w:val="18"/>
              </w:rPr>
              <w:t>Y</w:t>
            </w:r>
          </w:p>
        </w:tc>
      </w:tr>
      <w:tr w:rsidR="00854AF1" w:rsidRPr="00CD6489" w14:paraId="7C413804" w14:textId="77777777" w:rsidTr="00E00FDD">
        <w:trPr>
          <w:trHeight w:val="440"/>
        </w:trPr>
        <w:tc>
          <w:tcPr>
            <w:tcW w:w="2449" w:type="pct"/>
            <w:tcBorders>
              <w:top w:val="nil"/>
              <w:left w:val="single" w:sz="4" w:space="0" w:color="auto"/>
              <w:bottom w:val="single" w:sz="4" w:space="0" w:color="auto"/>
              <w:right w:val="single" w:sz="4" w:space="0" w:color="auto"/>
            </w:tcBorders>
            <w:shd w:val="clear" w:color="000000" w:fill="FFFFFF"/>
            <w:vAlign w:val="center"/>
            <w:hideMark/>
          </w:tcPr>
          <w:p w14:paraId="54041C56" w14:textId="77777777" w:rsidR="00854AF1" w:rsidRPr="00CD6489" w:rsidRDefault="00854AF1" w:rsidP="00854AF1">
            <w:pPr>
              <w:rPr>
                <w:rFonts w:ascii="Aptos" w:hAnsi="Aptos"/>
                <w:sz w:val="18"/>
                <w:szCs w:val="18"/>
              </w:rPr>
            </w:pPr>
            <w:r w:rsidRPr="00CD6489">
              <w:rPr>
                <w:rFonts w:ascii="Aptos" w:hAnsi="Aptos"/>
                <w:sz w:val="18"/>
                <w:szCs w:val="18"/>
              </w:rPr>
              <w:t>Overall risk of bias</w:t>
            </w:r>
          </w:p>
        </w:tc>
        <w:tc>
          <w:tcPr>
            <w:tcW w:w="425" w:type="pct"/>
            <w:tcBorders>
              <w:top w:val="nil"/>
              <w:left w:val="nil"/>
              <w:bottom w:val="single" w:sz="4" w:space="0" w:color="auto"/>
              <w:right w:val="single" w:sz="4" w:space="0" w:color="auto"/>
            </w:tcBorders>
            <w:shd w:val="clear" w:color="000000" w:fill="FFF2CC"/>
            <w:vAlign w:val="center"/>
            <w:hideMark/>
          </w:tcPr>
          <w:p w14:paraId="3CBFF49F" w14:textId="77777777" w:rsidR="00854AF1" w:rsidRPr="00CD6489" w:rsidRDefault="00854AF1" w:rsidP="00E00FDD">
            <w:pPr>
              <w:jc w:val="center"/>
              <w:rPr>
                <w:rFonts w:ascii="Aptos" w:hAnsi="Aptos"/>
                <w:sz w:val="18"/>
                <w:szCs w:val="18"/>
              </w:rPr>
            </w:pPr>
            <w:r w:rsidRPr="00CD6489">
              <w:rPr>
                <w:rFonts w:ascii="Aptos" w:hAnsi="Aptos"/>
                <w:sz w:val="18"/>
                <w:szCs w:val="18"/>
              </w:rPr>
              <w:t>Unclear risk</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5D9DC286" w14:textId="77777777" w:rsidR="00854AF1" w:rsidRPr="00CD6489" w:rsidRDefault="00854AF1" w:rsidP="00E00FDD">
            <w:pPr>
              <w:jc w:val="center"/>
              <w:rPr>
                <w:rFonts w:ascii="Aptos" w:hAnsi="Aptos"/>
                <w:sz w:val="18"/>
                <w:szCs w:val="18"/>
              </w:rPr>
            </w:pPr>
            <w:r w:rsidRPr="00CD6489">
              <w:rPr>
                <w:rFonts w:ascii="Aptos" w:hAnsi="Aptos"/>
                <w:sz w:val="18"/>
                <w:szCs w:val="18"/>
              </w:rPr>
              <w:t>Unclear risk</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11AA9AAC" w14:textId="77777777" w:rsidR="00854AF1" w:rsidRPr="00CD6489" w:rsidRDefault="00854AF1" w:rsidP="00E00FDD">
            <w:pPr>
              <w:jc w:val="center"/>
              <w:rPr>
                <w:rFonts w:ascii="Aptos" w:hAnsi="Aptos"/>
                <w:sz w:val="18"/>
                <w:szCs w:val="18"/>
              </w:rPr>
            </w:pPr>
            <w:r w:rsidRPr="00CD6489">
              <w:rPr>
                <w:rFonts w:ascii="Aptos" w:hAnsi="Aptos"/>
                <w:sz w:val="18"/>
                <w:szCs w:val="18"/>
              </w:rPr>
              <w:t>Unclear risk</w:t>
            </w:r>
          </w:p>
        </w:tc>
        <w:tc>
          <w:tcPr>
            <w:tcW w:w="425" w:type="pct"/>
            <w:tcBorders>
              <w:top w:val="nil"/>
              <w:left w:val="single" w:sz="4" w:space="0" w:color="auto"/>
              <w:bottom w:val="single" w:sz="4" w:space="0" w:color="auto"/>
              <w:right w:val="single" w:sz="4" w:space="0" w:color="auto"/>
            </w:tcBorders>
            <w:shd w:val="clear" w:color="000000" w:fill="FFF2CC"/>
            <w:vAlign w:val="center"/>
            <w:hideMark/>
          </w:tcPr>
          <w:p w14:paraId="66567315" w14:textId="77777777" w:rsidR="00854AF1" w:rsidRPr="00CD6489" w:rsidRDefault="00854AF1" w:rsidP="00E00FDD">
            <w:pPr>
              <w:jc w:val="center"/>
              <w:rPr>
                <w:rFonts w:ascii="Aptos" w:hAnsi="Aptos"/>
                <w:sz w:val="18"/>
                <w:szCs w:val="18"/>
              </w:rPr>
            </w:pPr>
            <w:r w:rsidRPr="00CD6489">
              <w:rPr>
                <w:rFonts w:ascii="Aptos" w:hAnsi="Aptos"/>
                <w:sz w:val="18"/>
                <w:szCs w:val="18"/>
              </w:rPr>
              <w:t>Unclear risk</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6DF45E65" w14:textId="77777777" w:rsidR="00854AF1" w:rsidRPr="00CD6489" w:rsidRDefault="00854AF1" w:rsidP="00E00FDD">
            <w:pPr>
              <w:jc w:val="center"/>
              <w:rPr>
                <w:rFonts w:ascii="Aptos" w:hAnsi="Aptos"/>
                <w:sz w:val="18"/>
                <w:szCs w:val="18"/>
              </w:rPr>
            </w:pPr>
            <w:r w:rsidRPr="00CD6489">
              <w:rPr>
                <w:rFonts w:ascii="Aptos" w:hAnsi="Aptos"/>
                <w:sz w:val="18"/>
                <w:szCs w:val="18"/>
              </w:rPr>
              <w:t>Low risk</w:t>
            </w:r>
          </w:p>
        </w:tc>
        <w:tc>
          <w:tcPr>
            <w:tcW w:w="425" w:type="pct"/>
            <w:tcBorders>
              <w:top w:val="nil"/>
              <w:left w:val="single" w:sz="4" w:space="0" w:color="auto"/>
              <w:bottom w:val="single" w:sz="4" w:space="0" w:color="auto"/>
              <w:right w:val="single" w:sz="4" w:space="0" w:color="auto"/>
            </w:tcBorders>
            <w:shd w:val="clear" w:color="000000" w:fill="E2EFDA"/>
            <w:vAlign w:val="center"/>
            <w:hideMark/>
          </w:tcPr>
          <w:p w14:paraId="7D929A95" w14:textId="77777777" w:rsidR="00854AF1" w:rsidRPr="00CD6489" w:rsidRDefault="00854AF1" w:rsidP="00E00FDD">
            <w:pPr>
              <w:jc w:val="center"/>
              <w:rPr>
                <w:rFonts w:ascii="Aptos" w:hAnsi="Aptos"/>
                <w:sz w:val="18"/>
                <w:szCs w:val="18"/>
              </w:rPr>
            </w:pPr>
            <w:r w:rsidRPr="00CD6489">
              <w:rPr>
                <w:rFonts w:ascii="Aptos" w:hAnsi="Aptos"/>
                <w:sz w:val="18"/>
                <w:szCs w:val="18"/>
              </w:rPr>
              <w:t>Low risk</w:t>
            </w:r>
          </w:p>
        </w:tc>
      </w:tr>
    </w:tbl>
    <w:p w14:paraId="1B1DA64C" w14:textId="77777777" w:rsidR="00881574" w:rsidRPr="00D518FF" w:rsidRDefault="00881574" w:rsidP="00AA72BD">
      <w:pPr>
        <w:rPr>
          <w:rFonts w:ascii="Aptos" w:hAnsi="Aptos" w:cs="Arial"/>
          <w:sz w:val="16"/>
          <w:szCs w:val="16"/>
        </w:rPr>
      </w:pPr>
    </w:p>
    <w:p w14:paraId="5B817485" w14:textId="21D82A73" w:rsidR="00881574" w:rsidRPr="00D518FF" w:rsidRDefault="00DC4767" w:rsidP="00DC4767">
      <w:pPr>
        <w:pStyle w:val="Caption"/>
        <w:rPr>
          <w:rFonts w:ascii="Aptos" w:hAnsi="Aptos"/>
        </w:rPr>
      </w:pPr>
      <w:bookmarkStart w:id="223" w:name="_Toc185254599"/>
      <w:r>
        <w:t xml:space="preserve">Table </w:t>
      </w:r>
      <w:r>
        <w:fldChar w:fldCharType="begin" w:fldLock="1"/>
      </w:r>
      <w:r>
        <w:instrText xml:space="preserve"> STYLEREF 1 \s </w:instrText>
      </w:r>
      <w:r>
        <w:fldChar w:fldCharType="separate"/>
      </w:r>
      <w:r>
        <w:rPr>
          <w:noProof/>
        </w:rPr>
        <w:t>F</w:t>
      </w:r>
      <w:r>
        <w:rPr>
          <w:noProof/>
        </w:rPr>
        <w:fldChar w:fldCharType="end"/>
      </w:r>
      <w:r>
        <w:noBreakHyphen/>
      </w:r>
      <w:r w:rsidR="003B0594">
        <w:fldChar w:fldCharType="begin"/>
      </w:r>
      <w:r w:rsidR="003B0594">
        <w:instrText xml:space="preserve"> SEQ Table \* ARABIC \s 1 </w:instrText>
      </w:r>
      <w:r w:rsidR="003B0594">
        <w:fldChar w:fldCharType="separate"/>
      </w:r>
      <w:r w:rsidR="00C426C6">
        <w:rPr>
          <w:noProof/>
        </w:rPr>
        <w:t>7</w:t>
      </w:r>
      <w:r w:rsidR="003B0594">
        <w:rPr>
          <w:noProof/>
        </w:rPr>
        <w:fldChar w:fldCharType="end"/>
      </w:r>
      <w:r w:rsidR="00881574" w:rsidRPr="00D518FF">
        <w:rPr>
          <w:rFonts w:ascii="Aptos" w:hAnsi="Aptos"/>
        </w:rPr>
        <w:t>. Results of included reviews by outcome domain – headache and migraine, magnesium</w:t>
      </w:r>
      <w:bookmarkEnd w:id="223"/>
    </w:p>
    <w:tbl>
      <w:tblPr>
        <w:tblW w:w="5000" w:type="pct"/>
        <w:tblLayout w:type="fixed"/>
        <w:tblCellMar>
          <w:left w:w="57" w:type="dxa"/>
          <w:right w:w="57" w:type="dxa"/>
        </w:tblCellMar>
        <w:tblLook w:val="04A0" w:firstRow="1" w:lastRow="0" w:firstColumn="1" w:lastColumn="0" w:noHBand="0" w:noVBand="1"/>
      </w:tblPr>
      <w:tblGrid>
        <w:gridCol w:w="7320"/>
        <w:gridCol w:w="1155"/>
        <w:gridCol w:w="1154"/>
        <w:gridCol w:w="1154"/>
        <w:gridCol w:w="1154"/>
        <w:gridCol w:w="1154"/>
        <w:gridCol w:w="1154"/>
      </w:tblGrid>
      <w:tr w:rsidR="0068611D" w:rsidRPr="00C05E28" w14:paraId="69520ECA" w14:textId="77777777" w:rsidTr="00141E83">
        <w:trPr>
          <w:trHeight w:val="439"/>
        </w:trPr>
        <w:tc>
          <w:tcPr>
            <w:tcW w:w="2568"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47BFF71" w14:textId="77777777" w:rsidR="0068611D" w:rsidRPr="00C05E28" w:rsidRDefault="0068611D" w:rsidP="0068611D">
            <w:pPr>
              <w:rPr>
                <w:rFonts w:ascii="Aptos" w:hAnsi="Aptos"/>
                <w:b/>
                <w:bCs/>
                <w:sz w:val="18"/>
                <w:szCs w:val="18"/>
              </w:rPr>
            </w:pPr>
            <w:r w:rsidRPr="00C05E28">
              <w:rPr>
                <w:rFonts w:ascii="Aptos" w:hAnsi="Aptos"/>
                <w:b/>
                <w:bCs/>
                <w:sz w:val="18"/>
                <w:szCs w:val="18"/>
              </w:rPr>
              <w:t>Review ID</w:t>
            </w:r>
          </w:p>
        </w:tc>
        <w:tc>
          <w:tcPr>
            <w:tcW w:w="405" w:type="pct"/>
            <w:tcBorders>
              <w:top w:val="single" w:sz="4" w:space="0" w:color="auto"/>
              <w:left w:val="nil"/>
              <w:bottom w:val="single" w:sz="4" w:space="0" w:color="auto"/>
              <w:right w:val="single" w:sz="4" w:space="0" w:color="auto"/>
            </w:tcBorders>
            <w:shd w:val="clear" w:color="000000" w:fill="D9D9D9"/>
            <w:vAlign w:val="center"/>
            <w:hideMark/>
          </w:tcPr>
          <w:p w14:paraId="540399D2" w14:textId="4CCB034F" w:rsidR="0068611D" w:rsidRPr="00C05E28" w:rsidRDefault="0068611D" w:rsidP="00141E83">
            <w:pPr>
              <w:jc w:val="center"/>
              <w:rPr>
                <w:rFonts w:ascii="Aptos" w:hAnsi="Aptos"/>
                <w:b/>
                <w:bCs/>
                <w:sz w:val="18"/>
                <w:szCs w:val="18"/>
              </w:rPr>
            </w:pPr>
            <w:r w:rsidRPr="00C05E28">
              <w:rPr>
                <w:rFonts w:ascii="Aptos" w:hAnsi="Aptos"/>
                <w:b/>
                <w:bCs/>
                <w:sz w:val="18"/>
                <w:szCs w:val="18"/>
              </w:rPr>
              <w:t>Chiu 2016</w:t>
            </w:r>
          </w:p>
        </w:tc>
        <w:tc>
          <w:tcPr>
            <w:tcW w:w="40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4E325DD" w14:textId="0593D94B" w:rsidR="0068611D" w:rsidRPr="00C05E28" w:rsidRDefault="0068611D" w:rsidP="00141E83">
            <w:pPr>
              <w:jc w:val="center"/>
              <w:rPr>
                <w:rFonts w:ascii="Aptos" w:hAnsi="Aptos"/>
                <w:b/>
                <w:bCs/>
                <w:sz w:val="18"/>
                <w:szCs w:val="18"/>
              </w:rPr>
            </w:pPr>
            <w:r w:rsidRPr="00C05E28">
              <w:rPr>
                <w:rFonts w:ascii="Aptos" w:hAnsi="Aptos"/>
                <w:b/>
                <w:bCs/>
                <w:sz w:val="18"/>
                <w:szCs w:val="18"/>
              </w:rPr>
              <w:t>Okoli 2019</w:t>
            </w:r>
          </w:p>
        </w:tc>
        <w:tc>
          <w:tcPr>
            <w:tcW w:w="40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52BD508" w14:textId="6FE1DA95" w:rsidR="0068611D" w:rsidRPr="00C05E28" w:rsidRDefault="0068611D" w:rsidP="00141E83">
            <w:pPr>
              <w:jc w:val="center"/>
              <w:rPr>
                <w:rFonts w:ascii="Aptos" w:hAnsi="Aptos"/>
                <w:b/>
                <w:bCs/>
                <w:sz w:val="18"/>
                <w:szCs w:val="18"/>
              </w:rPr>
            </w:pPr>
            <w:r w:rsidRPr="00C05E28">
              <w:rPr>
                <w:rFonts w:ascii="Aptos" w:hAnsi="Aptos"/>
                <w:b/>
                <w:bCs/>
                <w:sz w:val="18"/>
                <w:szCs w:val="18"/>
              </w:rPr>
              <w:t>Park 2020</w:t>
            </w:r>
          </w:p>
        </w:tc>
        <w:tc>
          <w:tcPr>
            <w:tcW w:w="40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DF5F032" w14:textId="712EC250" w:rsidR="0068611D" w:rsidRPr="00C05E28" w:rsidRDefault="0068611D" w:rsidP="00141E83">
            <w:pPr>
              <w:jc w:val="center"/>
              <w:rPr>
                <w:rFonts w:ascii="Aptos" w:hAnsi="Aptos"/>
                <w:b/>
                <w:bCs/>
                <w:sz w:val="18"/>
                <w:szCs w:val="18"/>
              </w:rPr>
            </w:pPr>
            <w:r w:rsidRPr="00C05E28">
              <w:rPr>
                <w:rFonts w:ascii="Aptos" w:hAnsi="Aptos"/>
                <w:b/>
                <w:bCs/>
                <w:sz w:val="18"/>
                <w:szCs w:val="18"/>
              </w:rPr>
              <w:t>Pringsheim 2008</w:t>
            </w:r>
          </w:p>
        </w:tc>
        <w:tc>
          <w:tcPr>
            <w:tcW w:w="40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BF040E3" w14:textId="4910E43B" w:rsidR="0068611D" w:rsidRPr="00C05E28" w:rsidRDefault="0068611D" w:rsidP="00141E83">
            <w:pPr>
              <w:jc w:val="center"/>
              <w:rPr>
                <w:rFonts w:ascii="Aptos" w:hAnsi="Aptos"/>
                <w:b/>
                <w:bCs/>
                <w:sz w:val="18"/>
                <w:szCs w:val="18"/>
              </w:rPr>
            </w:pPr>
            <w:r w:rsidRPr="00C05E28">
              <w:rPr>
                <w:rFonts w:ascii="Aptos" w:hAnsi="Aptos"/>
                <w:b/>
                <w:bCs/>
                <w:sz w:val="18"/>
                <w:szCs w:val="18"/>
              </w:rPr>
              <w:t>Pringsheim 2012</w:t>
            </w:r>
          </w:p>
        </w:tc>
        <w:tc>
          <w:tcPr>
            <w:tcW w:w="40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AC8181D" w14:textId="1B01152F" w:rsidR="0068611D" w:rsidRPr="00C05E28" w:rsidRDefault="0068611D" w:rsidP="00141E83">
            <w:pPr>
              <w:jc w:val="center"/>
              <w:rPr>
                <w:rFonts w:ascii="Aptos" w:hAnsi="Aptos"/>
                <w:b/>
                <w:bCs/>
                <w:sz w:val="18"/>
                <w:szCs w:val="18"/>
              </w:rPr>
            </w:pPr>
            <w:r w:rsidRPr="00C05E28">
              <w:rPr>
                <w:rFonts w:ascii="Aptos" w:hAnsi="Aptos"/>
                <w:b/>
                <w:bCs/>
                <w:sz w:val="18"/>
                <w:szCs w:val="18"/>
              </w:rPr>
              <w:t>vonLuckner 2018</w:t>
            </w:r>
          </w:p>
        </w:tc>
      </w:tr>
      <w:tr w:rsidR="0068611D" w:rsidRPr="00C05E28" w14:paraId="6FF7A38E"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D9D9D9"/>
            <w:noWrap/>
            <w:vAlign w:val="center"/>
            <w:hideMark/>
          </w:tcPr>
          <w:p w14:paraId="0C0E37C6" w14:textId="77777777" w:rsidR="0068611D" w:rsidRPr="00C05E28" w:rsidRDefault="0068611D" w:rsidP="0068611D">
            <w:pPr>
              <w:rPr>
                <w:rFonts w:ascii="Aptos" w:hAnsi="Aptos"/>
                <w:sz w:val="18"/>
                <w:szCs w:val="18"/>
              </w:rPr>
            </w:pPr>
            <w:r w:rsidRPr="00C05E28">
              <w:rPr>
                <w:rFonts w:ascii="Aptos" w:hAnsi="Aptos"/>
                <w:sz w:val="18"/>
                <w:szCs w:val="18"/>
              </w:rPr>
              <w:t>ROBIS DOMAINS</w:t>
            </w:r>
          </w:p>
        </w:tc>
        <w:tc>
          <w:tcPr>
            <w:tcW w:w="405" w:type="pct"/>
            <w:tcBorders>
              <w:top w:val="nil"/>
              <w:left w:val="nil"/>
              <w:bottom w:val="single" w:sz="4" w:space="0" w:color="auto"/>
              <w:right w:val="single" w:sz="4" w:space="0" w:color="auto"/>
            </w:tcBorders>
            <w:shd w:val="clear" w:color="000000" w:fill="D9D9D9"/>
            <w:noWrap/>
            <w:vAlign w:val="center"/>
            <w:hideMark/>
          </w:tcPr>
          <w:p w14:paraId="187E58FC" w14:textId="5123D275"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2626749C" w14:textId="664DABF7"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38EBF998" w14:textId="4CCB1E49"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6F1C1977" w14:textId="2755C484"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290C51C0" w14:textId="2060C84F"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637DE644" w14:textId="3BF135B2" w:rsidR="0068611D" w:rsidRPr="00C05E28" w:rsidRDefault="0068611D" w:rsidP="00141E83">
            <w:pPr>
              <w:jc w:val="center"/>
              <w:rPr>
                <w:rFonts w:ascii="Aptos" w:hAnsi="Aptos"/>
                <w:sz w:val="18"/>
                <w:szCs w:val="18"/>
              </w:rPr>
            </w:pPr>
          </w:p>
        </w:tc>
      </w:tr>
      <w:tr w:rsidR="0068611D" w:rsidRPr="00C05E28" w14:paraId="46A25784"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D9D9D9"/>
            <w:noWrap/>
            <w:vAlign w:val="center"/>
            <w:hideMark/>
          </w:tcPr>
          <w:p w14:paraId="0A4A6B29" w14:textId="77777777" w:rsidR="0068611D" w:rsidRPr="00C05E28" w:rsidRDefault="0068611D" w:rsidP="0068611D">
            <w:pPr>
              <w:rPr>
                <w:rFonts w:ascii="Aptos" w:hAnsi="Aptos"/>
                <w:sz w:val="18"/>
                <w:szCs w:val="18"/>
              </w:rPr>
            </w:pPr>
            <w:r w:rsidRPr="00C05E28">
              <w:rPr>
                <w:rFonts w:ascii="Aptos" w:hAnsi="Aptos"/>
                <w:sz w:val="18"/>
                <w:szCs w:val="18"/>
              </w:rPr>
              <w:t>Answer code: Y=YES, PY=PROBABLY YES, PN=PROBABLY NO, N=NO, NI=NO INFORMATION</w:t>
            </w:r>
          </w:p>
        </w:tc>
        <w:tc>
          <w:tcPr>
            <w:tcW w:w="405" w:type="pct"/>
            <w:tcBorders>
              <w:top w:val="nil"/>
              <w:left w:val="nil"/>
              <w:bottom w:val="single" w:sz="4" w:space="0" w:color="auto"/>
              <w:right w:val="single" w:sz="4" w:space="0" w:color="auto"/>
            </w:tcBorders>
            <w:shd w:val="clear" w:color="000000" w:fill="D9D9D9"/>
            <w:noWrap/>
            <w:vAlign w:val="center"/>
            <w:hideMark/>
          </w:tcPr>
          <w:p w14:paraId="63FDBF03" w14:textId="2FA5D3F1"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4359DA50" w14:textId="07C09C12"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7EB40BE4" w14:textId="03301803"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1736B048" w14:textId="6715EAC7"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595DCE8C" w14:textId="4EDCBD45"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noWrap/>
            <w:vAlign w:val="center"/>
            <w:hideMark/>
          </w:tcPr>
          <w:p w14:paraId="1CA0246E" w14:textId="0555DCE8" w:rsidR="0068611D" w:rsidRPr="00C05E28" w:rsidRDefault="0068611D" w:rsidP="00141E83">
            <w:pPr>
              <w:jc w:val="center"/>
              <w:rPr>
                <w:rFonts w:ascii="Aptos" w:hAnsi="Aptos"/>
                <w:sz w:val="18"/>
                <w:szCs w:val="18"/>
              </w:rPr>
            </w:pPr>
          </w:p>
        </w:tc>
      </w:tr>
      <w:tr w:rsidR="0068611D" w:rsidRPr="00C05E28" w14:paraId="293894F5"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2F2F2"/>
            <w:vAlign w:val="center"/>
            <w:hideMark/>
          </w:tcPr>
          <w:p w14:paraId="5D044EB3" w14:textId="77777777" w:rsidR="0068611D" w:rsidRPr="00C05E28" w:rsidRDefault="0068611D" w:rsidP="0068611D">
            <w:pPr>
              <w:rPr>
                <w:rFonts w:ascii="Aptos" w:hAnsi="Aptos"/>
                <w:sz w:val="18"/>
                <w:szCs w:val="18"/>
              </w:rPr>
            </w:pPr>
            <w:r w:rsidRPr="00C05E28">
              <w:rPr>
                <w:rFonts w:ascii="Aptos" w:hAnsi="Aptos"/>
                <w:sz w:val="18"/>
                <w:szCs w:val="18"/>
              </w:rPr>
              <w:t>Domain 1: Study eligibility criteria</w:t>
            </w:r>
          </w:p>
        </w:tc>
        <w:tc>
          <w:tcPr>
            <w:tcW w:w="405" w:type="pct"/>
            <w:tcBorders>
              <w:top w:val="nil"/>
              <w:left w:val="nil"/>
              <w:bottom w:val="single" w:sz="4" w:space="0" w:color="auto"/>
              <w:right w:val="single" w:sz="4" w:space="0" w:color="auto"/>
            </w:tcBorders>
            <w:shd w:val="clear" w:color="000000" w:fill="F2F2F2"/>
            <w:vAlign w:val="center"/>
            <w:hideMark/>
          </w:tcPr>
          <w:p w14:paraId="094C0A83" w14:textId="4A0865C8"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2A50E407" w14:textId="3F3577A8"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0B5FC795" w14:textId="013C453F"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46311F8D" w14:textId="003933DE"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02C1C1A0" w14:textId="2D87850C"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2034EB6E" w14:textId="4307E194" w:rsidR="0068611D" w:rsidRPr="00C05E28" w:rsidRDefault="0068611D" w:rsidP="00141E83">
            <w:pPr>
              <w:jc w:val="center"/>
              <w:rPr>
                <w:rFonts w:ascii="Aptos" w:hAnsi="Aptos"/>
                <w:sz w:val="18"/>
                <w:szCs w:val="18"/>
              </w:rPr>
            </w:pPr>
          </w:p>
        </w:tc>
      </w:tr>
      <w:tr w:rsidR="0068611D" w:rsidRPr="00C05E28" w14:paraId="05EAE6D2"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7AB7451B" w14:textId="77777777" w:rsidR="0068611D" w:rsidRPr="00C05E28" w:rsidRDefault="0068611D" w:rsidP="0068611D">
            <w:pPr>
              <w:rPr>
                <w:rFonts w:ascii="Aptos" w:hAnsi="Aptos"/>
                <w:sz w:val="18"/>
                <w:szCs w:val="18"/>
              </w:rPr>
            </w:pPr>
            <w:r w:rsidRPr="00C05E28">
              <w:rPr>
                <w:rFonts w:ascii="Aptos" w:hAnsi="Aptos"/>
                <w:sz w:val="18"/>
                <w:szCs w:val="18"/>
              </w:rPr>
              <w:t>Did the review adhere to pre</w:t>
            </w:r>
            <w:r w:rsidRPr="00C05E28">
              <w:rPr>
                <w:rFonts w:ascii="Cambria Math" w:hAnsi="Cambria Math" w:cs="Cambria Math"/>
                <w:sz w:val="18"/>
                <w:szCs w:val="18"/>
              </w:rPr>
              <w:t>‐</w:t>
            </w:r>
            <w:r w:rsidRPr="00C05E28">
              <w:rPr>
                <w:rFonts w:ascii="Aptos" w:hAnsi="Aptos"/>
                <w:sz w:val="18"/>
                <w:szCs w:val="18"/>
              </w:rPr>
              <w:t>defined objectives and eligibility criteria?</w:t>
            </w:r>
          </w:p>
        </w:tc>
        <w:tc>
          <w:tcPr>
            <w:tcW w:w="405" w:type="pct"/>
            <w:tcBorders>
              <w:top w:val="nil"/>
              <w:left w:val="nil"/>
              <w:bottom w:val="single" w:sz="4" w:space="0" w:color="auto"/>
              <w:right w:val="single" w:sz="4" w:space="0" w:color="auto"/>
            </w:tcBorders>
            <w:shd w:val="clear" w:color="000000" w:fill="FFFFFF"/>
            <w:vAlign w:val="center"/>
            <w:hideMark/>
          </w:tcPr>
          <w:p w14:paraId="63E30F4C"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F78D93D"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nil"/>
              <w:bottom w:val="single" w:sz="4" w:space="0" w:color="auto"/>
              <w:right w:val="single" w:sz="4" w:space="0" w:color="auto"/>
            </w:tcBorders>
            <w:shd w:val="clear" w:color="000000" w:fill="FFFFFF"/>
            <w:vAlign w:val="center"/>
            <w:hideMark/>
          </w:tcPr>
          <w:p w14:paraId="3A513E9F"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nil"/>
              <w:bottom w:val="single" w:sz="4" w:space="0" w:color="auto"/>
              <w:right w:val="single" w:sz="4" w:space="0" w:color="auto"/>
            </w:tcBorders>
            <w:shd w:val="clear" w:color="000000" w:fill="FFFFFF"/>
            <w:vAlign w:val="center"/>
            <w:hideMark/>
          </w:tcPr>
          <w:p w14:paraId="6F4CF145"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8FD4662"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0B0B3B5"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r>
      <w:tr w:rsidR="0068611D" w:rsidRPr="00C05E28" w14:paraId="3F604EB9"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1FA5C562" w14:textId="77777777" w:rsidR="0068611D" w:rsidRPr="00C05E28" w:rsidRDefault="0068611D" w:rsidP="0068611D">
            <w:pPr>
              <w:rPr>
                <w:rFonts w:ascii="Aptos" w:hAnsi="Aptos"/>
                <w:sz w:val="18"/>
                <w:szCs w:val="18"/>
              </w:rPr>
            </w:pPr>
            <w:r w:rsidRPr="00C05E28">
              <w:rPr>
                <w:rFonts w:ascii="Aptos" w:hAnsi="Aptos"/>
                <w:sz w:val="18"/>
                <w:szCs w:val="18"/>
              </w:rPr>
              <w:t>Were the eligibility criteria appropriate for the review question?</w:t>
            </w:r>
          </w:p>
        </w:tc>
        <w:tc>
          <w:tcPr>
            <w:tcW w:w="405" w:type="pct"/>
            <w:tcBorders>
              <w:top w:val="nil"/>
              <w:left w:val="nil"/>
              <w:bottom w:val="single" w:sz="4" w:space="0" w:color="auto"/>
              <w:right w:val="single" w:sz="4" w:space="0" w:color="auto"/>
            </w:tcBorders>
            <w:shd w:val="clear" w:color="000000" w:fill="FFFFFF"/>
            <w:vAlign w:val="center"/>
            <w:hideMark/>
          </w:tcPr>
          <w:p w14:paraId="3591F1D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94B8BD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B5761F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F599990"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0D7371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00AF4D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6F393D96"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6CB8EEE4" w14:textId="77777777" w:rsidR="0068611D" w:rsidRPr="00C05E28" w:rsidRDefault="0068611D" w:rsidP="0068611D">
            <w:pPr>
              <w:rPr>
                <w:rFonts w:ascii="Aptos" w:hAnsi="Aptos"/>
                <w:sz w:val="18"/>
                <w:szCs w:val="18"/>
              </w:rPr>
            </w:pPr>
            <w:r w:rsidRPr="00C05E28">
              <w:rPr>
                <w:rFonts w:ascii="Aptos" w:hAnsi="Aptos"/>
                <w:sz w:val="18"/>
                <w:szCs w:val="18"/>
              </w:rPr>
              <w:t>Were eligibility criteria unambiguous?</w:t>
            </w:r>
          </w:p>
        </w:tc>
        <w:tc>
          <w:tcPr>
            <w:tcW w:w="405" w:type="pct"/>
            <w:tcBorders>
              <w:top w:val="nil"/>
              <w:left w:val="nil"/>
              <w:bottom w:val="single" w:sz="4" w:space="0" w:color="auto"/>
              <w:right w:val="single" w:sz="4" w:space="0" w:color="auto"/>
            </w:tcBorders>
            <w:shd w:val="clear" w:color="000000" w:fill="FFFFFF"/>
            <w:vAlign w:val="center"/>
            <w:hideMark/>
          </w:tcPr>
          <w:p w14:paraId="0DB18696"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80EE0BF"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75A050D"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4D6954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03C136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0C63703"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09EC2B9F" w14:textId="77777777" w:rsidTr="00141E83">
        <w:trPr>
          <w:trHeight w:val="440"/>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01FC98FC" w14:textId="77777777" w:rsidR="0068611D" w:rsidRPr="00C05E28" w:rsidRDefault="0068611D" w:rsidP="0068611D">
            <w:pPr>
              <w:rPr>
                <w:rFonts w:ascii="Aptos" w:hAnsi="Aptos"/>
                <w:sz w:val="18"/>
                <w:szCs w:val="18"/>
              </w:rPr>
            </w:pPr>
            <w:r w:rsidRPr="00C05E28">
              <w:rPr>
                <w:rFonts w:ascii="Aptos" w:hAnsi="Aptos"/>
                <w:sz w:val="18"/>
                <w:szCs w:val="18"/>
              </w:rPr>
              <w:lastRenderedPageBreak/>
              <w:t>Were all restrictions in eligibility criteria based on study characteristics appropriate (e.g. date, sample size, study quality, outcomes measured)?</w:t>
            </w:r>
          </w:p>
        </w:tc>
        <w:tc>
          <w:tcPr>
            <w:tcW w:w="405" w:type="pct"/>
            <w:tcBorders>
              <w:top w:val="nil"/>
              <w:left w:val="nil"/>
              <w:bottom w:val="single" w:sz="4" w:space="0" w:color="auto"/>
              <w:right w:val="single" w:sz="4" w:space="0" w:color="auto"/>
            </w:tcBorders>
            <w:shd w:val="clear" w:color="000000" w:fill="FFFFFF"/>
            <w:vAlign w:val="center"/>
            <w:hideMark/>
          </w:tcPr>
          <w:p w14:paraId="5285A7D4"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C14C81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EC3D59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A4E375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83393E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AF1D10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273FC76A"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445229D6" w14:textId="77777777" w:rsidR="0068611D" w:rsidRPr="00C05E28" w:rsidRDefault="0068611D" w:rsidP="0068611D">
            <w:pPr>
              <w:rPr>
                <w:rFonts w:ascii="Aptos" w:hAnsi="Aptos"/>
                <w:sz w:val="18"/>
                <w:szCs w:val="18"/>
              </w:rPr>
            </w:pPr>
            <w:r w:rsidRPr="00C05E28">
              <w:rPr>
                <w:rFonts w:ascii="Aptos" w:hAnsi="Aptos"/>
                <w:sz w:val="18"/>
                <w:szCs w:val="18"/>
              </w:rPr>
              <w:t>Were any restrictions in eligibility criteria based on sources of information appropriate (publication status or format, language, availability of data)?</w:t>
            </w:r>
          </w:p>
        </w:tc>
        <w:tc>
          <w:tcPr>
            <w:tcW w:w="405" w:type="pct"/>
            <w:tcBorders>
              <w:top w:val="nil"/>
              <w:left w:val="nil"/>
              <w:bottom w:val="single" w:sz="4" w:space="0" w:color="auto"/>
              <w:right w:val="single" w:sz="4" w:space="0" w:color="auto"/>
            </w:tcBorders>
            <w:shd w:val="clear" w:color="000000" w:fill="FFFFFF"/>
            <w:vAlign w:val="center"/>
            <w:hideMark/>
          </w:tcPr>
          <w:p w14:paraId="1F1BBDA0"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83DAC8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F20B2F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4EA8FC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FCAF92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A6607A3"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3465E040"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54D2071F" w14:textId="77777777" w:rsidR="0068611D" w:rsidRPr="00C05E28" w:rsidRDefault="0068611D" w:rsidP="0068611D">
            <w:pPr>
              <w:rPr>
                <w:rFonts w:ascii="Aptos" w:hAnsi="Aptos"/>
                <w:sz w:val="18"/>
                <w:szCs w:val="18"/>
              </w:rPr>
            </w:pPr>
            <w:r w:rsidRPr="00C05E28">
              <w:rPr>
                <w:rFonts w:ascii="Aptos" w:hAnsi="Aptos"/>
                <w:sz w:val="18"/>
                <w:szCs w:val="18"/>
              </w:rPr>
              <w:t>Concerns regarding specification of study eligibility criteria LOW, HIGH, UNCLEAR</w:t>
            </w:r>
          </w:p>
        </w:tc>
        <w:tc>
          <w:tcPr>
            <w:tcW w:w="405" w:type="pct"/>
            <w:tcBorders>
              <w:top w:val="nil"/>
              <w:left w:val="nil"/>
              <w:bottom w:val="single" w:sz="4" w:space="0" w:color="auto"/>
              <w:right w:val="single" w:sz="4" w:space="0" w:color="auto"/>
            </w:tcBorders>
            <w:shd w:val="clear" w:color="000000" w:fill="E2EFDA"/>
            <w:vAlign w:val="center"/>
            <w:hideMark/>
          </w:tcPr>
          <w:p w14:paraId="18681365"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447AF7BB"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5F80358D"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2F0C8824"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4E6EA09D"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7E44E72F"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r>
      <w:tr w:rsidR="0068611D" w:rsidRPr="00C05E28" w14:paraId="567A15E5"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2F2F2"/>
            <w:vAlign w:val="center"/>
            <w:hideMark/>
          </w:tcPr>
          <w:p w14:paraId="4358B990" w14:textId="77777777" w:rsidR="0068611D" w:rsidRPr="00C05E28" w:rsidRDefault="0068611D" w:rsidP="0068611D">
            <w:pPr>
              <w:rPr>
                <w:rFonts w:ascii="Aptos" w:hAnsi="Aptos"/>
                <w:sz w:val="18"/>
                <w:szCs w:val="18"/>
              </w:rPr>
            </w:pPr>
            <w:r w:rsidRPr="00C05E28">
              <w:rPr>
                <w:rFonts w:ascii="Aptos" w:hAnsi="Aptos"/>
                <w:sz w:val="18"/>
                <w:szCs w:val="18"/>
              </w:rPr>
              <w:t>Domain 2: Identification and selection of studies</w:t>
            </w:r>
          </w:p>
        </w:tc>
        <w:tc>
          <w:tcPr>
            <w:tcW w:w="405" w:type="pct"/>
            <w:tcBorders>
              <w:top w:val="nil"/>
              <w:left w:val="nil"/>
              <w:bottom w:val="single" w:sz="4" w:space="0" w:color="auto"/>
              <w:right w:val="single" w:sz="4" w:space="0" w:color="auto"/>
            </w:tcBorders>
            <w:shd w:val="clear" w:color="000000" w:fill="F2F2F2"/>
            <w:vAlign w:val="center"/>
            <w:hideMark/>
          </w:tcPr>
          <w:p w14:paraId="3DD399A3" w14:textId="2065D265"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689DE961" w14:textId="7D45282E"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17565AAE" w14:textId="61237574"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7205536F" w14:textId="285DD003"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3D4647B4" w14:textId="3201DA02"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58447CF1" w14:textId="0C154D2E" w:rsidR="0068611D" w:rsidRPr="00C05E28" w:rsidRDefault="0068611D" w:rsidP="00141E83">
            <w:pPr>
              <w:jc w:val="center"/>
              <w:rPr>
                <w:rFonts w:ascii="Aptos" w:hAnsi="Aptos"/>
                <w:sz w:val="18"/>
                <w:szCs w:val="18"/>
              </w:rPr>
            </w:pPr>
          </w:p>
        </w:tc>
      </w:tr>
      <w:tr w:rsidR="0068611D" w:rsidRPr="00C05E28" w14:paraId="2A516DEC"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24A6E50F" w14:textId="77777777" w:rsidR="0068611D" w:rsidRPr="00C05E28" w:rsidRDefault="0068611D" w:rsidP="0068611D">
            <w:pPr>
              <w:rPr>
                <w:rFonts w:ascii="Aptos" w:hAnsi="Aptos"/>
                <w:sz w:val="18"/>
                <w:szCs w:val="18"/>
              </w:rPr>
            </w:pPr>
            <w:r w:rsidRPr="00C05E28">
              <w:rPr>
                <w:rFonts w:ascii="Aptos" w:hAnsi="Aptos"/>
                <w:sz w:val="18"/>
                <w:szCs w:val="18"/>
              </w:rPr>
              <w:t>Did the search include an appropriate range of databases/electronic sources for published and unpublished reports?</w:t>
            </w:r>
          </w:p>
        </w:tc>
        <w:tc>
          <w:tcPr>
            <w:tcW w:w="405" w:type="pct"/>
            <w:tcBorders>
              <w:top w:val="nil"/>
              <w:left w:val="nil"/>
              <w:bottom w:val="single" w:sz="4" w:space="0" w:color="auto"/>
              <w:right w:val="single" w:sz="4" w:space="0" w:color="auto"/>
            </w:tcBorders>
            <w:shd w:val="clear" w:color="000000" w:fill="FFFFFF"/>
            <w:vAlign w:val="center"/>
            <w:hideMark/>
          </w:tcPr>
          <w:p w14:paraId="31AE356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4FE1B7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4781A2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D79FAD0"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AB3C1A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0806FE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1DB7153C"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10F2C663" w14:textId="77777777" w:rsidR="0068611D" w:rsidRPr="00C05E28" w:rsidRDefault="0068611D" w:rsidP="0068611D">
            <w:pPr>
              <w:rPr>
                <w:rFonts w:ascii="Aptos" w:hAnsi="Aptos"/>
                <w:sz w:val="18"/>
                <w:szCs w:val="18"/>
              </w:rPr>
            </w:pPr>
            <w:r w:rsidRPr="00C05E28">
              <w:rPr>
                <w:rFonts w:ascii="Aptos" w:hAnsi="Aptos"/>
                <w:sz w:val="18"/>
                <w:szCs w:val="18"/>
              </w:rPr>
              <w:t>Were methods additional to database searching used to identify relevant reports?</w:t>
            </w:r>
          </w:p>
        </w:tc>
        <w:tc>
          <w:tcPr>
            <w:tcW w:w="405" w:type="pct"/>
            <w:tcBorders>
              <w:top w:val="nil"/>
              <w:left w:val="nil"/>
              <w:bottom w:val="single" w:sz="4" w:space="0" w:color="auto"/>
              <w:right w:val="single" w:sz="4" w:space="0" w:color="auto"/>
            </w:tcBorders>
            <w:shd w:val="clear" w:color="000000" w:fill="FFFFFF"/>
            <w:vAlign w:val="center"/>
            <w:hideMark/>
          </w:tcPr>
          <w:p w14:paraId="4CB17AA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A7C8AE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FE975D1"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064C900"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1983DB1"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42655D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0975CD5F"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13B65E44" w14:textId="77777777" w:rsidR="0068611D" w:rsidRPr="00C05E28" w:rsidRDefault="0068611D" w:rsidP="0068611D">
            <w:pPr>
              <w:rPr>
                <w:rFonts w:ascii="Aptos" w:hAnsi="Aptos"/>
                <w:sz w:val="18"/>
                <w:szCs w:val="18"/>
              </w:rPr>
            </w:pPr>
            <w:r w:rsidRPr="00C05E28">
              <w:rPr>
                <w:rFonts w:ascii="Aptos" w:hAnsi="Aptos"/>
                <w:sz w:val="18"/>
                <w:szCs w:val="18"/>
              </w:rPr>
              <w:t>Were the terms and structure of the search strategy likely to retrieve as many eligible studies as possible?</w:t>
            </w:r>
          </w:p>
        </w:tc>
        <w:tc>
          <w:tcPr>
            <w:tcW w:w="405" w:type="pct"/>
            <w:tcBorders>
              <w:top w:val="nil"/>
              <w:left w:val="nil"/>
              <w:bottom w:val="single" w:sz="4" w:space="0" w:color="auto"/>
              <w:right w:val="single" w:sz="4" w:space="0" w:color="auto"/>
            </w:tcBorders>
            <w:shd w:val="clear" w:color="000000" w:fill="FFFFFF"/>
            <w:vAlign w:val="center"/>
            <w:hideMark/>
          </w:tcPr>
          <w:p w14:paraId="564B0469"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067A76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30F58D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E149AE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A2646D0"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596137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4090FA39" w14:textId="77777777" w:rsidTr="00141E83">
        <w:trPr>
          <w:trHeight w:val="440"/>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075462C6" w14:textId="77777777" w:rsidR="0068611D" w:rsidRPr="00C05E28" w:rsidRDefault="0068611D" w:rsidP="0068611D">
            <w:pPr>
              <w:rPr>
                <w:rFonts w:ascii="Aptos" w:hAnsi="Aptos"/>
                <w:sz w:val="18"/>
                <w:szCs w:val="18"/>
              </w:rPr>
            </w:pPr>
            <w:r w:rsidRPr="00C05E28">
              <w:rPr>
                <w:rFonts w:ascii="Aptos" w:hAnsi="Aptos"/>
                <w:sz w:val="18"/>
                <w:szCs w:val="18"/>
              </w:rPr>
              <w:t>Were restrictions based on date, publication format, or language appropriate?</w:t>
            </w:r>
          </w:p>
        </w:tc>
        <w:tc>
          <w:tcPr>
            <w:tcW w:w="405" w:type="pct"/>
            <w:tcBorders>
              <w:top w:val="nil"/>
              <w:left w:val="nil"/>
              <w:bottom w:val="single" w:sz="4" w:space="0" w:color="auto"/>
              <w:right w:val="single" w:sz="4" w:space="0" w:color="auto"/>
            </w:tcBorders>
            <w:shd w:val="clear" w:color="000000" w:fill="FFFFFF"/>
            <w:vAlign w:val="center"/>
            <w:hideMark/>
          </w:tcPr>
          <w:p w14:paraId="4B5DEE51" w14:textId="77777777" w:rsidR="0068611D" w:rsidRPr="00C05E28" w:rsidRDefault="0068611D" w:rsidP="00141E83">
            <w:pPr>
              <w:jc w:val="center"/>
              <w:rPr>
                <w:rFonts w:ascii="Aptos" w:hAnsi="Aptos"/>
                <w:sz w:val="18"/>
                <w:szCs w:val="18"/>
              </w:rPr>
            </w:pPr>
            <w:r w:rsidRPr="00C05E28">
              <w:rPr>
                <w:rFonts w:ascii="Aptos" w:hAnsi="Aptos"/>
                <w:sz w:val="18"/>
                <w:szCs w:val="18"/>
              </w:rPr>
              <w:t>PN</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FA1EFB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36C21DD" w14:textId="77777777" w:rsidR="0068611D" w:rsidRPr="00C05E28" w:rsidRDefault="0068611D" w:rsidP="00141E83">
            <w:pPr>
              <w:jc w:val="center"/>
              <w:rPr>
                <w:rFonts w:ascii="Aptos" w:hAnsi="Aptos"/>
                <w:sz w:val="18"/>
                <w:szCs w:val="18"/>
              </w:rPr>
            </w:pPr>
            <w:r w:rsidRPr="00C05E28">
              <w:rPr>
                <w:rFonts w:ascii="Aptos" w:hAnsi="Aptos"/>
                <w:sz w:val="18"/>
                <w:szCs w:val="18"/>
              </w:rPr>
              <w:t>PN</w:t>
            </w:r>
          </w:p>
        </w:tc>
        <w:tc>
          <w:tcPr>
            <w:tcW w:w="405" w:type="pct"/>
            <w:tcBorders>
              <w:top w:val="nil"/>
              <w:left w:val="nil"/>
              <w:bottom w:val="single" w:sz="4" w:space="0" w:color="auto"/>
              <w:right w:val="single" w:sz="4" w:space="0" w:color="auto"/>
            </w:tcBorders>
            <w:shd w:val="clear" w:color="000000" w:fill="FFFFFF"/>
            <w:vAlign w:val="center"/>
            <w:hideMark/>
          </w:tcPr>
          <w:p w14:paraId="30FA1CBF" w14:textId="77777777" w:rsidR="0068611D" w:rsidRPr="00C05E28" w:rsidRDefault="0068611D" w:rsidP="00141E83">
            <w:pPr>
              <w:jc w:val="center"/>
              <w:rPr>
                <w:rFonts w:ascii="Aptos" w:hAnsi="Aptos"/>
                <w:sz w:val="18"/>
                <w:szCs w:val="18"/>
              </w:rPr>
            </w:pPr>
            <w:r w:rsidRPr="00C05E28">
              <w:rPr>
                <w:rFonts w:ascii="Aptos" w:hAnsi="Aptos"/>
                <w:sz w:val="18"/>
                <w:szCs w:val="18"/>
              </w:rPr>
              <w:t>NI</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E6DC7A9" w14:textId="77777777" w:rsidR="0068611D" w:rsidRPr="00C05E28" w:rsidRDefault="0068611D" w:rsidP="00141E83">
            <w:pPr>
              <w:jc w:val="center"/>
              <w:rPr>
                <w:rFonts w:ascii="Aptos" w:hAnsi="Aptos"/>
                <w:sz w:val="18"/>
                <w:szCs w:val="18"/>
              </w:rPr>
            </w:pPr>
            <w:r w:rsidRPr="00C05E28">
              <w:rPr>
                <w:rFonts w:ascii="Aptos" w:hAnsi="Aptos"/>
                <w:sz w:val="18"/>
                <w:szCs w:val="18"/>
              </w:rPr>
              <w:t>NI</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90C8683" w14:textId="77777777" w:rsidR="0068611D" w:rsidRPr="00C05E28" w:rsidRDefault="0068611D" w:rsidP="00141E83">
            <w:pPr>
              <w:jc w:val="center"/>
              <w:rPr>
                <w:rFonts w:ascii="Aptos" w:hAnsi="Aptos"/>
                <w:sz w:val="18"/>
                <w:szCs w:val="18"/>
              </w:rPr>
            </w:pPr>
            <w:r w:rsidRPr="00C05E28">
              <w:rPr>
                <w:rFonts w:ascii="Aptos" w:hAnsi="Aptos"/>
                <w:sz w:val="18"/>
                <w:szCs w:val="18"/>
              </w:rPr>
              <w:t>NI</w:t>
            </w:r>
          </w:p>
        </w:tc>
      </w:tr>
      <w:tr w:rsidR="0068611D" w:rsidRPr="00C05E28" w14:paraId="51D6641B"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14DC441C" w14:textId="77777777" w:rsidR="0068611D" w:rsidRPr="00C05E28" w:rsidRDefault="0068611D" w:rsidP="0068611D">
            <w:pPr>
              <w:rPr>
                <w:rFonts w:ascii="Aptos" w:hAnsi="Aptos"/>
                <w:sz w:val="18"/>
                <w:szCs w:val="18"/>
              </w:rPr>
            </w:pPr>
            <w:r w:rsidRPr="00C05E28">
              <w:rPr>
                <w:rFonts w:ascii="Aptos" w:hAnsi="Aptos"/>
                <w:sz w:val="18"/>
                <w:szCs w:val="18"/>
              </w:rPr>
              <w:t>Were efforts made to minimise error in selection of studies?</w:t>
            </w:r>
          </w:p>
        </w:tc>
        <w:tc>
          <w:tcPr>
            <w:tcW w:w="405" w:type="pct"/>
            <w:tcBorders>
              <w:top w:val="nil"/>
              <w:left w:val="nil"/>
              <w:bottom w:val="single" w:sz="4" w:space="0" w:color="auto"/>
              <w:right w:val="single" w:sz="4" w:space="0" w:color="auto"/>
            </w:tcBorders>
            <w:shd w:val="clear" w:color="000000" w:fill="FFFFFF"/>
            <w:vAlign w:val="center"/>
            <w:hideMark/>
          </w:tcPr>
          <w:p w14:paraId="612DB31F"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370610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4BE92AE"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8EB1DF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573A91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5F4F7E1"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6A0082FA"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28CB32E8" w14:textId="77777777" w:rsidR="0068611D" w:rsidRPr="00C05E28" w:rsidRDefault="0068611D" w:rsidP="0068611D">
            <w:pPr>
              <w:rPr>
                <w:rFonts w:ascii="Aptos" w:hAnsi="Aptos"/>
                <w:sz w:val="18"/>
                <w:szCs w:val="18"/>
              </w:rPr>
            </w:pPr>
            <w:r w:rsidRPr="00C05E28">
              <w:rPr>
                <w:rFonts w:ascii="Aptos" w:hAnsi="Aptos"/>
                <w:sz w:val="18"/>
                <w:szCs w:val="18"/>
              </w:rPr>
              <w:t>Concerns regarding methods used to identify and/or select studies: LOW, HIGH, UNCLEAR</w:t>
            </w:r>
          </w:p>
        </w:tc>
        <w:tc>
          <w:tcPr>
            <w:tcW w:w="405" w:type="pct"/>
            <w:tcBorders>
              <w:top w:val="nil"/>
              <w:left w:val="nil"/>
              <w:bottom w:val="single" w:sz="4" w:space="0" w:color="auto"/>
              <w:right w:val="single" w:sz="4" w:space="0" w:color="auto"/>
            </w:tcBorders>
            <w:shd w:val="clear" w:color="000000" w:fill="FFF2CC"/>
            <w:vAlign w:val="center"/>
            <w:hideMark/>
          </w:tcPr>
          <w:p w14:paraId="166CB29E" w14:textId="77777777" w:rsidR="0068611D" w:rsidRPr="00C05E28" w:rsidRDefault="0068611D" w:rsidP="00141E83">
            <w:pPr>
              <w:jc w:val="center"/>
              <w:rPr>
                <w:rFonts w:ascii="Aptos" w:hAnsi="Aptos"/>
                <w:sz w:val="18"/>
                <w:szCs w:val="18"/>
              </w:rPr>
            </w:pPr>
            <w:r w:rsidRPr="00C05E28">
              <w:rPr>
                <w:rFonts w:ascii="Aptos" w:hAnsi="Aptos"/>
                <w:sz w:val="18"/>
                <w:szCs w:val="18"/>
              </w:rPr>
              <w:t>Unclear</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0A2CD999"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FFF2CC"/>
            <w:vAlign w:val="center"/>
            <w:hideMark/>
          </w:tcPr>
          <w:p w14:paraId="40B6B61B" w14:textId="77777777" w:rsidR="0068611D" w:rsidRPr="00C05E28" w:rsidRDefault="0068611D" w:rsidP="00141E83">
            <w:pPr>
              <w:jc w:val="center"/>
              <w:rPr>
                <w:rFonts w:ascii="Aptos" w:hAnsi="Aptos"/>
                <w:sz w:val="18"/>
                <w:szCs w:val="18"/>
              </w:rPr>
            </w:pPr>
            <w:r w:rsidRPr="00C05E28">
              <w:rPr>
                <w:rFonts w:ascii="Aptos" w:hAnsi="Aptos"/>
                <w:sz w:val="18"/>
                <w:szCs w:val="18"/>
              </w:rPr>
              <w:t>Unclear</w:t>
            </w:r>
          </w:p>
        </w:tc>
        <w:tc>
          <w:tcPr>
            <w:tcW w:w="405" w:type="pct"/>
            <w:tcBorders>
              <w:top w:val="nil"/>
              <w:left w:val="single" w:sz="4" w:space="0" w:color="auto"/>
              <w:bottom w:val="single" w:sz="4" w:space="0" w:color="auto"/>
              <w:right w:val="single" w:sz="4" w:space="0" w:color="auto"/>
            </w:tcBorders>
            <w:shd w:val="clear" w:color="000000" w:fill="FFF2CC"/>
            <w:vAlign w:val="center"/>
            <w:hideMark/>
          </w:tcPr>
          <w:p w14:paraId="6EE356F1" w14:textId="77777777" w:rsidR="0068611D" w:rsidRPr="00C05E28" w:rsidRDefault="0068611D" w:rsidP="00141E83">
            <w:pPr>
              <w:jc w:val="center"/>
              <w:rPr>
                <w:rFonts w:ascii="Aptos" w:hAnsi="Aptos"/>
                <w:sz w:val="18"/>
                <w:szCs w:val="18"/>
              </w:rPr>
            </w:pPr>
            <w:r w:rsidRPr="00C05E28">
              <w:rPr>
                <w:rFonts w:ascii="Aptos" w:hAnsi="Aptos"/>
                <w:sz w:val="18"/>
                <w:szCs w:val="18"/>
              </w:rPr>
              <w:t>Unclear</w:t>
            </w:r>
          </w:p>
        </w:tc>
        <w:tc>
          <w:tcPr>
            <w:tcW w:w="405" w:type="pct"/>
            <w:tcBorders>
              <w:top w:val="nil"/>
              <w:left w:val="single" w:sz="4" w:space="0" w:color="auto"/>
              <w:bottom w:val="single" w:sz="4" w:space="0" w:color="auto"/>
              <w:right w:val="single" w:sz="4" w:space="0" w:color="auto"/>
            </w:tcBorders>
            <w:shd w:val="clear" w:color="000000" w:fill="FFF2CC"/>
            <w:vAlign w:val="center"/>
            <w:hideMark/>
          </w:tcPr>
          <w:p w14:paraId="54F02804" w14:textId="77777777" w:rsidR="0068611D" w:rsidRPr="00C05E28" w:rsidRDefault="0068611D" w:rsidP="00141E83">
            <w:pPr>
              <w:jc w:val="center"/>
              <w:rPr>
                <w:rFonts w:ascii="Aptos" w:hAnsi="Aptos"/>
                <w:sz w:val="18"/>
                <w:szCs w:val="18"/>
              </w:rPr>
            </w:pPr>
            <w:r w:rsidRPr="00C05E28">
              <w:rPr>
                <w:rFonts w:ascii="Aptos" w:hAnsi="Aptos"/>
                <w:sz w:val="18"/>
                <w:szCs w:val="18"/>
              </w:rPr>
              <w:t>Unclear</w:t>
            </w:r>
          </w:p>
        </w:tc>
        <w:tc>
          <w:tcPr>
            <w:tcW w:w="405" w:type="pct"/>
            <w:tcBorders>
              <w:top w:val="nil"/>
              <w:left w:val="single" w:sz="4" w:space="0" w:color="auto"/>
              <w:bottom w:val="single" w:sz="4" w:space="0" w:color="auto"/>
              <w:right w:val="single" w:sz="4" w:space="0" w:color="auto"/>
            </w:tcBorders>
            <w:shd w:val="clear" w:color="000000" w:fill="FFF2CC"/>
            <w:vAlign w:val="center"/>
            <w:hideMark/>
          </w:tcPr>
          <w:p w14:paraId="48546DAE" w14:textId="77777777" w:rsidR="0068611D" w:rsidRPr="00C05E28" w:rsidRDefault="0068611D" w:rsidP="00141E83">
            <w:pPr>
              <w:jc w:val="center"/>
              <w:rPr>
                <w:rFonts w:ascii="Aptos" w:hAnsi="Aptos"/>
                <w:sz w:val="18"/>
                <w:szCs w:val="18"/>
              </w:rPr>
            </w:pPr>
            <w:r w:rsidRPr="00C05E28">
              <w:rPr>
                <w:rFonts w:ascii="Aptos" w:hAnsi="Aptos"/>
                <w:sz w:val="18"/>
                <w:szCs w:val="18"/>
              </w:rPr>
              <w:t>Unclear</w:t>
            </w:r>
          </w:p>
        </w:tc>
      </w:tr>
      <w:tr w:rsidR="0068611D" w:rsidRPr="00C05E28" w14:paraId="1C9E66A4"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2F2F2"/>
            <w:vAlign w:val="center"/>
            <w:hideMark/>
          </w:tcPr>
          <w:p w14:paraId="30AD97B3" w14:textId="77777777" w:rsidR="0068611D" w:rsidRPr="00C05E28" w:rsidRDefault="0068611D" w:rsidP="0068611D">
            <w:pPr>
              <w:rPr>
                <w:rFonts w:ascii="Aptos" w:hAnsi="Aptos"/>
                <w:sz w:val="18"/>
                <w:szCs w:val="18"/>
              </w:rPr>
            </w:pPr>
            <w:r w:rsidRPr="00C05E28">
              <w:rPr>
                <w:rFonts w:ascii="Aptos" w:hAnsi="Aptos"/>
                <w:sz w:val="18"/>
                <w:szCs w:val="18"/>
              </w:rPr>
              <w:t>Domain 3: Data collection and study appraisal</w:t>
            </w:r>
          </w:p>
        </w:tc>
        <w:tc>
          <w:tcPr>
            <w:tcW w:w="405" w:type="pct"/>
            <w:tcBorders>
              <w:top w:val="nil"/>
              <w:left w:val="nil"/>
              <w:bottom w:val="single" w:sz="4" w:space="0" w:color="auto"/>
              <w:right w:val="single" w:sz="4" w:space="0" w:color="auto"/>
            </w:tcBorders>
            <w:shd w:val="clear" w:color="000000" w:fill="F2F2F2"/>
            <w:vAlign w:val="center"/>
            <w:hideMark/>
          </w:tcPr>
          <w:p w14:paraId="0EA17091" w14:textId="283E9802"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510E7C2E" w14:textId="045A4458"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3D38E92F" w14:textId="15FC9F9D"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501E3CE3" w14:textId="178413FE"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71975BEA" w14:textId="40FFB577"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6F4A9E0E" w14:textId="2CE166EE" w:rsidR="0068611D" w:rsidRPr="00C05E28" w:rsidRDefault="0068611D" w:rsidP="00141E83">
            <w:pPr>
              <w:jc w:val="center"/>
              <w:rPr>
                <w:rFonts w:ascii="Aptos" w:hAnsi="Aptos"/>
                <w:sz w:val="18"/>
                <w:szCs w:val="18"/>
              </w:rPr>
            </w:pPr>
          </w:p>
        </w:tc>
      </w:tr>
      <w:tr w:rsidR="0068611D" w:rsidRPr="00C05E28" w14:paraId="7B513884"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03D4561B" w14:textId="77777777" w:rsidR="0068611D" w:rsidRPr="00C05E28" w:rsidRDefault="0068611D" w:rsidP="0068611D">
            <w:pPr>
              <w:rPr>
                <w:rFonts w:ascii="Aptos" w:hAnsi="Aptos"/>
                <w:sz w:val="18"/>
                <w:szCs w:val="18"/>
              </w:rPr>
            </w:pPr>
            <w:r w:rsidRPr="00C05E28">
              <w:rPr>
                <w:rFonts w:ascii="Aptos" w:hAnsi="Aptos"/>
                <w:sz w:val="18"/>
                <w:szCs w:val="18"/>
              </w:rPr>
              <w:t>Were efforts made to minimise error in data collection?</w:t>
            </w:r>
          </w:p>
        </w:tc>
        <w:tc>
          <w:tcPr>
            <w:tcW w:w="405" w:type="pct"/>
            <w:tcBorders>
              <w:top w:val="nil"/>
              <w:left w:val="nil"/>
              <w:bottom w:val="single" w:sz="4" w:space="0" w:color="auto"/>
              <w:right w:val="single" w:sz="4" w:space="0" w:color="auto"/>
            </w:tcBorders>
            <w:shd w:val="clear" w:color="000000" w:fill="FFFFFF"/>
            <w:vAlign w:val="center"/>
            <w:hideMark/>
          </w:tcPr>
          <w:p w14:paraId="03F809F4"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C7C37B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A80A3A8"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075EE7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56B5B2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6043AD1"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35122889"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75F222ED" w14:textId="77777777" w:rsidR="0068611D" w:rsidRPr="00C05E28" w:rsidRDefault="0068611D" w:rsidP="0068611D">
            <w:pPr>
              <w:rPr>
                <w:rFonts w:ascii="Aptos" w:hAnsi="Aptos"/>
                <w:sz w:val="18"/>
                <w:szCs w:val="18"/>
              </w:rPr>
            </w:pPr>
            <w:r w:rsidRPr="00C05E28">
              <w:rPr>
                <w:rFonts w:ascii="Aptos" w:hAnsi="Aptos"/>
                <w:sz w:val="18"/>
                <w:szCs w:val="18"/>
              </w:rPr>
              <w:t>Were sufficient study characteristics available for both review authors and readers to be able to interpret the results?</w:t>
            </w:r>
          </w:p>
        </w:tc>
        <w:tc>
          <w:tcPr>
            <w:tcW w:w="405" w:type="pct"/>
            <w:tcBorders>
              <w:top w:val="nil"/>
              <w:left w:val="nil"/>
              <w:bottom w:val="single" w:sz="4" w:space="0" w:color="auto"/>
              <w:right w:val="single" w:sz="4" w:space="0" w:color="auto"/>
            </w:tcBorders>
            <w:shd w:val="clear" w:color="000000" w:fill="FFFFFF"/>
            <w:vAlign w:val="center"/>
            <w:hideMark/>
          </w:tcPr>
          <w:p w14:paraId="6532CB6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80993C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B6515C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C6369BF"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9FC02B8"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D8BBE5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755CCC49"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14A9DF32" w14:textId="77777777" w:rsidR="0068611D" w:rsidRPr="00C05E28" w:rsidRDefault="0068611D" w:rsidP="0068611D">
            <w:pPr>
              <w:rPr>
                <w:rFonts w:ascii="Aptos" w:hAnsi="Aptos"/>
                <w:sz w:val="18"/>
                <w:szCs w:val="18"/>
              </w:rPr>
            </w:pPr>
            <w:r w:rsidRPr="00C05E28">
              <w:rPr>
                <w:rFonts w:ascii="Aptos" w:hAnsi="Aptos"/>
                <w:sz w:val="18"/>
                <w:szCs w:val="18"/>
              </w:rPr>
              <w:t>Were all relevant study results collected for use in the synthesis?</w:t>
            </w:r>
          </w:p>
        </w:tc>
        <w:tc>
          <w:tcPr>
            <w:tcW w:w="405" w:type="pct"/>
            <w:tcBorders>
              <w:top w:val="nil"/>
              <w:left w:val="nil"/>
              <w:bottom w:val="single" w:sz="4" w:space="0" w:color="auto"/>
              <w:right w:val="single" w:sz="4" w:space="0" w:color="auto"/>
            </w:tcBorders>
            <w:shd w:val="clear" w:color="000000" w:fill="FFFFFF"/>
            <w:vAlign w:val="center"/>
            <w:hideMark/>
          </w:tcPr>
          <w:p w14:paraId="53E4495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D251F7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ABC564D"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6C0E71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28C42A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F0030C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52B0F57A"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041605FB" w14:textId="77777777" w:rsidR="0068611D" w:rsidRPr="00C05E28" w:rsidRDefault="0068611D" w:rsidP="0068611D">
            <w:pPr>
              <w:rPr>
                <w:rFonts w:ascii="Aptos" w:hAnsi="Aptos"/>
                <w:sz w:val="18"/>
                <w:szCs w:val="18"/>
              </w:rPr>
            </w:pPr>
            <w:r w:rsidRPr="00C05E28">
              <w:rPr>
                <w:rFonts w:ascii="Aptos" w:hAnsi="Aptos"/>
                <w:sz w:val="18"/>
                <w:szCs w:val="18"/>
              </w:rPr>
              <w:t>Was risk of bias (or methodological quality) formally assessed using appropriate criteria?</w:t>
            </w:r>
          </w:p>
        </w:tc>
        <w:tc>
          <w:tcPr>
            <w:tcW w:w="405" w:type="pct"/>
            <w:tcBorders>
              <w:top w:val="nil"/>
              <w:left w:val="nil"/>
              <w:bottom w:val="single" w:sz="4" w:space="0" w:color="auto"/>
              <w:right w:val="single" w:sz="4" w:space="0" w:color="auto"/>
            </w:tcBorders>
            <w:shd w:val="clear" w:color="000000" w:fill="FFFFFF"/>
            <w:vAlign w:val="center"/>
            <w:hideMark/>
          </w:tcPr>
          <w:p w14:paraId="5BF0329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2793AD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888EA11"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2BE44A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93A660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8C1178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4FBB32A5" w14:textId="77777777" w:rsidTr="00141E83">
        <w:trPr>
          <w:trHeight w:val="440"/>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69C63C2F" w14:textId="77777777" w:rsidR="0068611D" w:rsidRPr="00C05E28" w:rsidRDefault="0068611D" w:rsidP="0068611D">
            <w:pPr>
              <w:rPr>
                <w:rFonts w:ascii="Aptos" w:hAnsi="Aptos"/>
                <w:sz w:val="18"/>
                <w:szCs w:val="18"/>
              </w:rPr>
            </w:pPr>
            <w:r w:rsidRPr="00C05E28">
              <w:rPr>
                <w:rFonts w:ascii="Aptos" w:hAnsi="Aptos"/>
                <w:sz w:val="18"/>
                <w:szCs w:val="18"/>
              </w:rPr>
              <w:t>Were efforts made to minimise error in risk of bias assessment?</w:t>
            </w:r>
          </w:p>
        </w:tc>
        <w:tc>
          <w:tcPr>
            <w:tcW w:w="405" w:type="pct"/>
            <w:tcBorders>
              <w:top w:val="nil"/>
              <w:left w:val="nil"/>
              <w:bottom w:val="single" w:sz="4" w:space="0" w:color="auto"/>
              <w:right w:val="single" w:sz="4" w:space="0" w:color="auto"/>
            </w:tcBorders>
            <w:shd w:val="clear" w:color="000000" w:fill="FFFFFF"/>
            <w:vAlign w:val="center"/>
            <w:hideMark/>
          </w:tcPr>
          <w:p w14:paraId="74FFC25E"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6DF9733"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E2C529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69F2A74" w14:textId="77777777" w:rsidR="0068611D" w:rsidRPr="00C05E28" w:rsidRDefault="0068611D" w:rsidP="00141E83">
            <w:pPr>
              <w:jc w:val="center"/>
              <w:rPr>
                <w:rFonts w:ascii="Aptos" w:hAnsi="Aptos"/>
                <w:sz w:val="18"/>
                <w:szCs w:val="18"/>
              </w:rPr>
            </w:pPr>
            <w:r w:rsidRPr="00C05E28">
              <w:rPr>
                <w:rFonts w:ascii="Aptos" w:hAnsi="Aptos"/>
                <w:sz w:val="18"/>
                <w:szCs w:val="18"/>
              </w:rPr>
              <w:t>NI</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F1A5EA3" w14:textId="77777777" w:rsidR="0068611D" w:rsidRPr="00C05E28" w:rsidRDefault="0068611D" w:rsidP="00141E83">
            <w:pPr>
              <w:jc w:val="center"/>
              <w:rPr>
                <w:rFonts w:ascii="Aptos" w:hAnsi="Aptos"/>
                <w:sz w:val="18"/>
                <w:szCs w:val="18"/>
              </w:rPr>
            </w:pPr>
            <w:r w:rsidRPr="00C05E28">
              <w:rPr>
                <w:rFonts w:ascii="Aptos" w:hAnsi="Aptos"/>
                <w:sz w:val="18"/>
                <w:szCs w:val="18"/>
              </w:rPr>
              <w:t>NI</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579E10B" w14:textId="77777777" w:rsidR="0068611D" w:rsidRPr="00C05E28" w:rsidRDefault="0068611D" w:rsidP="00141E83">
            <w:pPr>
              <w:jc w:val="center"/>
              <w:rPr>
                <w:rFonts w:ascii="Aptos" w:hAnsi="Aptos"/>
                <w:sz w:val="18"/>
                <w:szCs w:val="18"/>
              </w:rPr>
            </w:pPr>
            <w:r w:rsidRPr="00C05E28">
              <w:rPr>
                <w:rFonts w:ascii="Aptos" w:hAnsi="Aptos"/>
                <w:sz w:val="18"/>
                <w:szCs w:val="18"/>
              </w:rPr>
              <w:t>NI</w:t>
            </w:r>
          </w:p>
        </w:tc>
      </w:tr>
      <w:tr w:rsidR="0068611D" w:rsidRPr="00C05E28" w14:paraId="23C38FE1"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5B92C100" w14:textId="77777777" w:rsidR="0068611D" w:rsidRPr="00C05E28" w:rsidRDefault="0068611D" w:rsidP="0068611D">
            <w:pPr>
              <w:rPr>
                <w:rFonts w:ascii="Aptos" w:hAnsi="Aptos"/>
                <w:sz w:val="18"/>
                <w:szCs w:val="18"/>
              </w:rPr>
            </w:pPr>
            <w:r w:rsidRPr="00C05E28">
              <w:rPr>
                <w:rFonts w:ascii="Aptos" w:hAnsi="Aptos"/>
                <w:sz w:val="18"/>
                <w:szCs w:val="18"/>
              </w:rPr>
              <w:t>Concerns regarding methods used to collect data and appraise studies: LOW, HIGH, UNCLEAR</w:t>
            </w:r>
          </w:p>
        </w:tc>
        <w:tc>
          <w:tcPr>
            <w:tcW w:w="405" w:type="pct"/>
            <w:tcBorders>
              <w:top w:val="nil"/>
              <w:left w:val="nil"/>
              <w:bottom w:val="single" w:sz="4" w:space="0" w:color="auto"/>
              <w:right w:val="single" w:sz="4" w:space="0" w:color="auto"/>
            </w:tcBorders>
            <w:shd w:val="clear" w:color="000000" w:fill="E2EFDA"/>
            <w:vAlign w:val="center"/>
            <w:hideMark/>
          </w:tcPr>
          <w:p w14:paraId="28030DC5"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1DF8A93A"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56B1C423"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2D2C8282"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10F9F7A6"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357D521A"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r>
      <w:tr w:rsidR="0068611D" w:rsidRPr="00C05E28" w14:paraId="4AC607F6"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2F2F2"/>
            <w:vAlign w:val="center"/>
            <w:hideMark/>
          </w:tcPr>
          <w:p w14:paraId="20737BD0" w14:textId="77777777" w:rsidR="0068611D" w:rsidRPr="00C05E28" w:rsidRDefault="0068611D" w:rsidP="0068611D">
            <w:pPr>
              <w:rPr>
                <w:rFonts w:ascii="Aptos" w:hAnsi="Aptos"/>
                <w:sz w:val="18"/>
                <w:szCs w:val="18"/>
              </w:rPr>
            </w:pPr>
            <w:r w:rsidRPr="00C05E28">
              <w:rPr>
                <w:rFonts w:ascii="Aptos" w:hAnsi="Aptos"/>
                <w:sz w:val="18"/>
                <w:szCs w:val="18"/>
              </w:rPr>
              <w:t>Domain 4: Synthesis and findings</w:t>
            </w:r>
          </w:p>
        </w:tc>
        <w:tc>
          <w:tcPr>
            <w:tcW w:w="405" w:type="pct"/>
            <w:tcBorders>
              <w:top w:val="nil"/>
              <w:left w:val="nil"/>
              <w:bottom w:val="single" w:sz="4" w:space="0" w:color="auto"/>
              <w:right w:val="single" w:sz="4" w:space="0" w:color="auto"/>
            </w:tcBorders>
            <w:shd w:val="clear" w:color="000000" w:fill="F2F2F2"/>
            <w:vAlign w:val="center"/>
            <w:hideMark/>
          </w:tcPr>
          <w:p w14:paraId="0961A292" w14:textId="5E3683FD"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6C1DCAC4" w14:textId="6C725E58"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5785D981" w14:textId="7A9A4336"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2F8564B5" w14:textId="0B116861"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4BE70C25" w14:textId="35DE0B29"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F2F2F2"/>
            <w:vAlign w:val="center"/>
            <w:hideMark/>
          </w:tcPr>
          <w:p w14:paraId="4ADAE668" w14:textId="225EE708" w:rsidR="0068611D" w:rsidRPr="00C05E28" w:rsidRDefault="0068611D" w:rsidP="00141E83">
            <w:pPr>
              <w:jc w:val="center"/>
              <w:rPr>
                <w:rFonts w:ascii="Aptos" w:hAnsi="Aptos"/>
                <w:sz w:val="18"/>
                <w:szCs w:val="18"/>
              </w:rPr>
            </w:pPr>
          </w:p>
        </w:tc>
      </w:tr>
      <w:tr w:rsidR="0068611D" w:rsidRPr="00C05E28" w14:paraId="62DF2D49"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2A2C3C97" w14:textId="77777777" w:rsidR="0068611D" w:rsidRPr="00C05E28" w:rsidRDefault="0068611D" w:rsidP="0068611D">
            <w:pPr>
              <w:rPr>
                <w:rFonts w:ascii="Aptos" w:hAnsi="Aptos"/>
                <w:sz w:val="18"/>
                <w:szCs w:val="18"/>
              </w:rPr>
            </w:pPr>
            <w:r w:rsidRPr="00C05E28">
              <w:rPr>
                <w:rFonts w:ascii="Aptos" w:hAnsi="Aptos"/>
                <w:sz w:val="18"/>
                <w:szCs w:val="18"/>
              </w:rPr>
              <w:t>Did the synthesis include all studies that it should?</w:t>
            </w:r>
          </w:p>
        </w:tc>
        <w:tc>
          <w:tcPr>
            <w:tcW w:w="405" w:type="pct"/>
            <w:tcBorders>
              <w:top w:val="nil"/>
              <w:left w:val="nil"/>
              <w:bottom w:val="single" w:sz="4" w:space="0" w:color="auto"/>
              <w:right w:val="single" w:sz="4" w:space="0" w:color="auto"/>
            </w:tcBorders>
            <w:shd w:val="clear" w:color="000000" w:fill="FFFFFF"/>
            <w:vAlign w:val="center"/>
            <w:hideMark/>
          </w:tcPr>
          <w:p w14:paraId="7E1D269F"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3176F6D"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8049217"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1E84D86"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8AC38E6"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E977138"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r>
      <w:tr w:rsidR="0068611D" w:rsidRPr="00C05E28" w14:paraId="3CC631F4"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26D92F59" w14:textId="77777777" w:rsidR="0068611D" w:rsidRPr="00C05E28" w:rsidRDefault="0068611D" w:rsidP="0068611D">
            <w:pPr>
              <w:rPr>
                <w:rFonts w:ascii="Aptos" w:hAnsi="Aptos"/>
                <w:sz w:val="18"/>
                <w:szCs w:val="18"/>
              </w:rPr>
            </w:pPr>
            <w:r w:rsidRPr="00C05E28">
              <w:rPr>
                <w:rFonts w:ascii="Aptos" w:hAnsi="Aptos"/>
                <w:sz w:val="18"/>
                <w:szCs w:val="18"/>
              </w:rPr>
              <w:t>Were all pre</w:t>
            </w:r>
            <w:r w:rsidRPr="00C05E28">
              <w:rPr>
                <w:rFonts w:ascii="Cambria Math" w:hAnsi="Cambria Math" w:cs="Cambria Math"/>
                <w:sz w:val="18"/>
                <w:szCs w:val="18"/>
              </w:rPr>
              <w:t>‐</w:t>
            </w:r>
            <w:r w:rsidRPr="00C05E28">
              <w:rPr>
                <w:rFonts w:ascii="Aptos" w:hAnsi="Aptos"/>
                <w:sz w:val="18"/>
                <w:szCs w:val="18"/>
              </w:rPr>
              <w:t>defined analyses reported or departures explained?</w:t>
            </w:r>
          </w:p>
        </w:tc>
        <w:tc>
          <w:tcPr>
            <w:tcW w:w="405" w:type="pct"/>
            <w:tcBorders>
              <w:top w:val="nil"/>
              <w:left w:val="nil"/>
              <w:bottom w:val="single" w:sz="4" w:space="0" w:color="auto"/>
              <w:right w:val="single" w:sz="4" w:space="0" w:color="auto"/>
            </w:tcBorders>
            <w:shd w:val="clear" w:color="000000" w:fill="FFFFFF"/>
            <w:vAlign w:val="center"/>
            <w:hideMark/>
          </w:tcPr>
          <w:p w14:paraId="74FA3D6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090ECE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D117C1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6166304"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D8BDBD1"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787B8B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77A36D42"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1A771F95" w14:textId="77777777" w:rsidR="0068611D" w:rsidRPr="00C05E28" w:rsidRDefault="0068611D" w:rsidP="0068611D">
            <w:pPr>
              <w:rPr>
                <w:rFonts w:ascii="Aptos" w:hAnsi="Aptos"/>
                <w:sz w:val="18"/>
                <w:szCs w:val="18"/>
              </w:rPr>
            </w:pPr>
            <w:r w:rsidRPr="00C05E28">
              <w:rPr>
                <w:rFonts w:ascii="Aptos" w:hAnsi="Aptos"/>
                <w:sz w:val="18"/>
                <w:szCs w:val="18"/>
              </w:rPr>
              <w:lastRenderedPageBreak/>
              <w:t>Was the synthesis appropriate given the nature and similarity in the research questions, study designs and outcomes across included studies?</w:t>
            </w:r>
          </w:p>
        </w:tc>
        <w:tc>
          <w:tcPr>
            <w:tcW w:w="405" w:type="pct"/>
            <w:tcBorders>
              <w:top w:val="nil"/>
              <w:left w:val="nil"/>
              <w:bottom w:val="single" w:sz="4" w:space="0" w:color="auto"/>
              <w:right w:val="single" w:sz="4" w:space="0" w:color="auto"/>
            </w:tcBorders>
            <w:shd w:val="clear" w:color="000000" w:fill="FFFFFF"/>
            <w:vAlign w:val="center"/>
            <w:hideMark/>
          </w:tcPr>
          <w:p w14:paraId="6703449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0227851"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3A546B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7CE350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5EAA81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5CD14C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2D8281ED"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53A3820C" w14:textId="77777777" w:rsidR="0068611D" w:rsidRPr="00C05E28" w:rsidRDefault="0068611D" w:rsidP="0068611D">
            <w:pPr>
              <w:rPr>
                <w:rFonts w:ascii="Aptos" w:hAnsi="Aptos"/>
                <w:sz w:val="18"/>
                <w:szCs w:val="18"/>
              </w:rPr>
            </w:pPr>
            <w:r w:rsidRPr="00C05E28">
              <w:rPr>
                <w:rFonts w:ascii="Aptos" w:hAnsi="Aptos"/>
                <w:sz w:val="18"/>
                <w:szCs w:val="18"/>
              </w:rPr>
              <w:t>Was between</w:t>
            </w:r>
            <w:r w:rsidRPr="00C05E28">
              <w:rPr>
                <w:rFonts w:ascii="Cambria Math" w:hAnsi="Cambria Math" w:cs="Cambria Math"/>
                <w:sz w:val="18"/>
                <w:szCs w:val="18"/>
              </w:rPr>
              <w:t>‐</w:t>
            </w:r>
            <w:r w:rsidRPr="00C05E28">
              <w:rPr>
                <w:rFonts w:ascii="Aptos" w:hAnsi="Aptos"/>
                <w:sz w:val="18"/>
                <w:szCs w:val="18"/>
              </w:rPr>
              <w:t>study variation (heterogeneity) minimal or addressed in the synthesis?</w:t>
            </w:r>
          </w:p>
        </w:tc>
        <w:tc>
          <w:tcPr>
            <w:tcW w:w="405" w:type="pct"/>
            <w:tcBorders>
              <w:top w:val="nil"/>
              <w:left w:val="nil"/>
              <w:bottom w:val="single" w:sz="4" w:space="0" w:color="auto"/>
              <w:right w:val="single" w:sz="4" w:space="0" w:color="auto"/>
            </w:tcBorders>
            <w:shd w:val="clear" w:color="000000" w:fill="FFFFFF"/>
            <w:vAlign w:val="center"/>
            <w:hideMark/>
          </w:tcPr>
          <w:p w14:paraId="42C0F6F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D74FAAD" w14:textId="77777777" w:rsidR="0068611D" w:rsidRPr="00C05E28" w:rsidRDefault="0068611D" w:rsidP="00141E83">
            <w:pPr>
              <w:jc w:val="center"/>
              <w:rPr>
                <w:rFonts w:ascii="Aptos" w:hAnsi="Aptos"/>
                <w:sz w:val="18"/>
                <w:szCs w:val="18"/>
              </w:rPr>
            </w:pPr>
            <w:r w:rsidRPr="00C05E28">
              <w:rPr>
                <w:rFonts w:ascii="Aptos" w:hAnsi="Aptos"/>
                <w:sz w:val="18"/>
                <w:szCs w:val="18"/>
              </w:rPr>
              <w:t>N</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0E27D62"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3141DC63" w14:textId="77777777" w:rsidR="0068611D" w:rsidRPr="00C05E28" w:rsidRDefault="0068611D" w:rsidP="00141E83">
            <w:pPr>
              <w:jc w:val="center"/>
              <w:rPr>
                <w:rFonts w:ascii="Aptos" w:hAnsi="Aptos"/>
                <w:sz w:val="18"/>
                <w:szCs w:val="18"/>
              </w:rPr>
            </w:pPr>
            <w:r w:rsidRPr="00C05E28">
              <w:rPr>
                <w:rFonts w:ascii="Aptos" w:hAnsi="Aptos"/>
                <w:sz w:val="18"/>
                <w:szCs w:val="18"/>
              </w:rPr>
              <w:t>N</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DAE2E17" w14:textId="77777777" w:rsidR="0068611D" w:rsidRPr="00C05E28" w:rsidRDefault="0068611D" w:rsidP="00141E83">
            <w:pPr>
              <w:jc w:val="center"/>
              <w:rPr>
                <w:rFonts w:ascii="Aptos" w:hAnsi="Aptos"/>
                <w:sz w:val="18"/>
                <w:szCs w:val="18"/>
              </w:rPr>
            </w:pPr>
            <w:r w:rsidRPr="00C05E28">
              <w:rPr>
                <w:rFonts w:ascii="Aptos" w:hAnsi="Aptos"/>
                <w:sz w:val="18"/>
                <w:szCs w:val="18"/>
              </w:rPr>
              <w:t>N</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78248EAD"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r>
      <w:tr w:rsidR="0068611D" w:rsidRPr="00C05E28" w14:paraId="0145EB75" w14:textId="77777777" w:rsidTr="00141E83">
        <w:trPr>
          <w:trHeight w:val="440"/>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02BF3D57" w14:textId="77777777" w:rsidR="0068611D" w:rsidRPr="00C05E28" w:rsidRDefault="0068611D" w:rsidP="0068611D">
            <w:pPr>
              <w:rPr>
                <w:rFonts w:ascii="Aptos" w:hAnsi="Aptos"/>
                <w:sz w:val="18"/>
                <w:szCs w:val="18"/>
              </w:rPr>
            </w:pPr>
            <w:r w:rsidRPr="00C05E28">
              <w:rPr>
                <w:rFonts w:ascii="Aptos" w:hAnsi="Aptos"/>
                <w:sz w:val="18"/>
                <w:szCs w:val="18"/>
              </w:rPr>
              <w:t>Were the findings robust, e.g. as demonstrated through funnel plot or sensitivity analyses?</w:t>
            </w:r>
          </w:p>
        </w:tc>
        <w:tc>
          <w:tcPr>
            <w:tcW w:w="405" w:type="pct"/>
            <w:tcBorders>
              <w:top w:val="nil"/>
              <w:left w:val="nil"/>
              <w:bottom w:val="single" w:sz="4" w:space="0" w:color="auto"/>
              <w:right w:val="single" w:sz="4" w:space="0" w:color="auto"/>
            </w:tcBorders>
            <w:shd w:val="clear" w:color="000000" w:fill="FFFFFF"/>
            <w:vAlign w:val="center"/>
            <w:hideMark/>
          </w:tcPr>
          <w:p w14:paraId="7DA0D6B8"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074EFFC8" w14:textId="77777777" w:rsidR="0068611D" w:rsidRPr="00C05E28" w:rsidRDefault="0068611D" w:rsidP="00141E83">
            <w:pPr>
              <w:jc w:val="center"/>
              <w:rPr>
                <w:rFonts w:ascii="Aptos" w:hAnsi="Aptos"/>
                <w:sz w:val="18"/>
                <w:szCs w:val="18"/>
              </w:rPr>
            </w:pPr>
            <w:r w:rsidRPr="00C05E28">
              <w:rPr>
                <w:rFonts w:ascii="Aptos" w:hAnsi="Aptos"/>
                <w:sz w:val="18"/>
                <w:szCs w:val="18"/>
              </w:rPr>
              <w:t>N</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2071EA2" w14:textId="77777777" w:rsidR="0068611D" w:rsidRPr="00C05E28" w:rsidRDefault="0068611D" w:rsidP="00141E83">
            <w:pPr>
              <w:jc w:val="center"/>
              <w:rPr>
                <w:rFonts w:ascii="Aptos" w:hAnsi="Aptos"/>
                <w:sz w:val="18"/>
                <w:szCs w:val="18"/>
              </w:rPr>
            </w:pPr>
            <w:r w:rsidRPr="00C05E28">
              <w:rPr>
                <w:rFonts w:ascii="Aptos" w:hAnsi="Aptos"/>
                <w:sz w:val="18"/>
                <w:szCs w:val="18"/>
              </w:rPr>
              <w:t>PY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3AAD6C9" w14:textId="77777777" w:rsidR="0068611D" w:rsidRPr="00C05E28" w:rsidRDefault="0068611D" w:rsidP="00141E83">
            <w:pPr>
              <w:jc w:val="center"/>
              <w:rPr>
                <w:rFonts w:ascii="Aptos" w:hAnsi="Aptos"/>
                <w:sz w:val="18"/>
                <w:szCs w:val="18"/>
              </w:rPr>
            </w:pPr>
            <w:r w:rsidRPr="00C05E28">
              <w:rPr>
                <w:rFonts w:ascii="Aptos" w:hAnsi="Aptos"/>
                <w:sz w:val="18"/>
                <w:szCs w:val="18"/>
              </w:rPr>
              <w:t>N</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574EAB2" w14:textId="77777777" w:rsidR="0068611D" w:rsidRPr="00C05E28" w:rsidRDefault="0068611D" w:rsidP="00141E83">
            <w:pPr>
              <w:jc w:val="center"/>
              <w:rPr>
                <w:rFonts w:ascii="Aptos" w:hAnsi="Aptos"/>
                <w:sz w:val="18"/>
                <w:szCs w:val="18"/>
              </w:rPr>
            </w:pPr>
            <w:r w:rsidRPr="00C05E28">
              <w:rPr>
                <w:rFonts w:ascii="Aptos" w:hAnsi="Aptos"/>
                <w:sz w:val="18"/>
                <w:szCs w:val="18"/>
              </w:rPr>
              <w:t>N</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92F2908" w14:textId="77777777" w:rsidR="0068611D" w:rsidRPr="00C05E28" w:rsidRDefault="0068611D" w:rsidP="00141E83">
            <w:pPr>
              <w:jc w:val="center"/>
              <w:rPr>
                <w:rFonts w:ascii="Aptos" w:hAnsi="Aptos"/>
                <w:sz w:val="18"/>
                <w:szCs w:val="18"/>
              </w:rPr>
            </w:pPr>
            <w:r w:rsidRPr="00C05E28">
              <w:rPr>
                <w:rFonts w:ascii="Aptos" w:hAnsi="Aptos"/>
                <w:sz w:val="18"/>
                <w:szCs w:val="18"/>
              </w:rPr>
              <w:t>NI</w:t>
            </w:r>
          </w:p>
        </w:tc>
      </w:tr>
      <w:tr w:rsidR="0068611D" w:rsidRPr="00C05E28" w14:paraId="112F3007"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72669462" w14:textId="77777777" w:rsidR="0068611D" w:rsidRPr="00C05E28" w:rsidRDefault="0068611D" w:rsidP="0068611D">
            <w:pPr>
              <w:rPr>
                <w:rFonts w:ascii="Aptos" w:hAnsi="Aptos"/>
                <w:sz w:val="18"/>
                <w:szCs w:val="18"/>
              </w:rPr>
            </w:pPr>
            <w:r w:rsidRPr="00C05E28">
              <w:rPr>
                <w:rFonts w:ascii="Aptos" w:hAnsi="Aptos"/>
                <w:sz w:val="18"/>
                <w:szCs w:val="18"/>
              </w:rPr>
              <w:t>Were biases in primary studies minimal or addressed in the synthesis?</w:t>
            </w:r>
          </w:p>
        </w:tc>
        <w:tc>
          <w:tcPr>
            <w:tcW w:w="405" w:type="pct"/>
            <w:tcBorders>
              <w:top w:val="nil"/>
              <w:left w:val="nil"/>
              <w:bottom w:val="single" w:sz="4" w:space="0" w:color="auto"/>
              <w:right w:val="single" w:sz="4" w:space="0" w:color="auto"/>
            </w:tcBorders>
            <w:shd w:val="clear" w:color="000000" w:fill="FFFFFF"/>
            <w:vAlign w:val="center"/>
            <w:hideMark/>
          </w:tcPr>
          <w:p w14:paraId="64576C3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BA274BF"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A8502D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6CF275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225C58F"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6B537E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41BF8088"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5A524778" w14:textId="77777777" w:rsidR="0068611D" w:rsidRPr="00C05E28" w:rsidRDefault="0068611D" w:rsidP="0068611D">
            <w:pPr>
              <w:rPr>
                <w:rFonts w:ascii="Aptos" w:hAnsi="Aptos"/>
                <w:sz w:val="18"/>
                <w:szCs w:val="18"/>
              </w:rPr>
            </w:pPr>
            <w:r w:rsidRPr="00C05E28">
              <w:rPr>
                <w:rFonts w:ascii="Aptos" w:hAnsi="Aptos"/>
                <w:sz w:val="18"/>
                <w:szCs w:val="18"/>
              </w:rPr>
              <w:t>Concerns regarding the synthesis and finding: LOW, HIGH, UNCLEAR</w:t>
            </w:r>
          </w:p>
        </w:tc>
        <w:tc>
          <w:tcPr>
            <w:tcW w:w="405" w:type="pct"/>
            <w:tcBorders>
              <w:top w:val="nil"/>
              <w:left w:val="nil"/>
              <w:bottom w:val="single" w:sz="4" w:space="0" w:color="auto"/>
              <w:right w:val="single" w:sz="4" w:space="0" w:color="auto"/>
            </w:tcBorders>
            <w:shd w:val="clear" w:color="000000" w:fill="E2EFDA"/>
            <w:vAlign w:val="center"/>
            <w:hideMark/>
          </w:tcPr>
          <w:p w14:paraId="218CB903" w14:textId="77777777" w:rsidR="0068611D" w:rsidRPr="00C05E28" w:rsidRDefault="0068611D" w:rsidP="00141E83">
            <w:pPr>
              <w:jc w:val="center"/>
              <w:rPr>
                <w:rFonts w:ascii="Aptos" w:hAnsi="Aptos"/>
                <w:sz w:val="18"/>
                <w:szCs w:val="18"/>
              </w:rPr>
            </w:pPr>
            <w:r w:rsidRPr="00C05E28">
              <w:rPr>
                <w:rFonts w:ascii="Aptos" w:hAnsi="Aptos"/>
                <w:sz w:val="18"/>
                <w:szCs w:val="18"/>
              </w:rPr>
              <w:t>Low</w:t>
            </w:r>
          </w:p>
        </w:tc>
        <w:tc>
          <w:tcPr>
            <w:tcW w:w="405" w:type="pct"/>
            <w:tcBorders>
              <w:top w:val="nil"/>
              <w:left w:val="single" w:sz="4" w:space="0" w:color="auto"/>
              <w:bottom w:val="single" w:sz="4" w:space="0" w:color="auto"/>
              <w:right w:val="single" w:sz="4" w:space="0" w:color="auto"/>
            </w:tcBorders>
            <w:shd w:val="clear" w:color="000000" w:fill="F8CBAD"/>
            <w:vAlign w:val="center"/>
            <w:hideMark/>
          </w:tcPr>
          <w:p w14:paraId="27B9232A" w14:textId="77777777" w:rsidR="0068611D" w:rsidRPr="00C05E28" w:rsidRDefault="0068611D" w:rsidP="00141E83">
            <w:pPr>
              <w:jc w:val="center"/>
              <w:rPr>
                <w:rFonts w:ascii="Aptos" w:hAnsi="Aptos"/>
                <w:sz w:val="18"/>
                <w:szCs w:val="18"/>
              </w:rPr>
            </w:pPr>
            <w:r w:rsidRPr="00C05E28">
              <w:rPr>
                <w:rFonts w:ascii="Aptos" w:hAnsi="Aptos"/>
                <w:sz w:val="18"/>
                <w:szCs w:val="18"/>
              </w:rPr>
              <w:t>High</w:t>
            </w:r>
          </w:p>
        </w:tc>
        <w:tc>
          <w:tcPr>
            <w:tcW w:w="405" w:type="pct"/>
            <w:tcBorders>
              <w:top w:val="nil"/>
              <w:left w:val="single" w:sz="4" w:space="0" w:color="auto"/>
              <w:bottom w:val="single" w:sz="4" w:space="0" w:color="auto"/>
              <w:right w:val="single" w:sz="4" w:space="0" w:color="auto"/>
            </w:tcBorders>
            <w:shd w:val="clear" w:color="000000" w:fill="FFF2CC"/>
            <w:vAlign w:val="center"/>
            <w:hideMark/>
          </w:tcPr>
          <w:p w14:paraId="4423E359" w14:textId="77777777" w:rsidR="0068611D" w:rsidRPr="00C05E28" w:rsidRDefault="0068611D" w:rsidP="00141E83">
            <w:pPr>
              <w:jc w:val="center"/>
              <w:rPr>
                <w:rFonts w:ascii="Aptos" w:hAnsi="Aptos"/>
                <w:sz w:val="18"/>
                <w:szCs w:val="18"/>
              </w:rPr>
            </w:pPr>
            <w:r w:rsidRPr="00C05E28">
              <w:rPr>
                <w:rFonts w:ascii="Aptos" w:hAnsi="Aptos"/>
                <w:sz w:val="18"/>
                <w:szCs w:val="18"/>
              </w:rPr>
              <w:t>Unclear</w:t>
            </w:r>
          </w:p>
        </w:tc>
        <w:tc>
          <w:tcPr>
            <w:tcW w:w="405" w:type="pct"/>
            <w:tcBorders>
              <w:top w:val="nil"/>
              <w:left w:val="single" w:sz="4" w:space="0" w:color="auto"/>
              <w:bottom w:val="single" w:sz="4" w:space="0" w:color="auto"/>
              <w:right w:val="single" w:sz="4" w:space="0" w:color="auto"/>
            </w:tcBorders>
            <w:shd w:val="clear" w:color="000000" w:fill="F8CBAD"/>
            <w:vAlign w:val="center"/>
            <w:hideMark/>
          </w:tcPr>
          <w:p w14:paraId="352A15C0" w14:textId="77777777" w:rsidR="0068611D" w:rsidRPr="00C05E28" w:rsidRDefault="0068611D" w:rsidP="00141E83">
            <w:pPr>
              <w:jc w:val="center"/>
              <w:rPr>
                <w:rFonts w:ascii="Aptos" w:hAnsi="Aptos"/>
                <w:sz w:val="18"/>
                <w:szCs w:val="18"/>
              </w:rPr>
            </w:pPr>
            <w:r w:rsidRPr="00C05E28">
              <w:rPr>
                <w:rFonts w:ascii="Aptos" w:hAnsi="Aptos"/>
                <w:sz w:val="18"/>
                <w:szCs w:val="18"/>
              </w:rPr>
              <w:t>High</w:t>
            </w:r>
          </w:p>
        </w:tc>
        <w:tc>
          <w:tcPr>
            <w:tcW w:w="405" w:type="pct"/>
            <w:tcBorders>
              <w:top w:val="nil"/>
              <w:left w:val="single" w:sz="4" w:space="0" w:color="auto"/>
              <w:bottom w:val="single" w:sz="4" w:space="0" w:color="auto"/>
              <w:right w:val="single" w:sz="4" w:space="0" w:color="auto"/>
            </w:tcBorders>
            <w:shd w:val="clear" w:color="000000" w:fill="F8CBAD"/>
            <w:vAlign w:val="center"/>
            <w:hideMark/>
          </w:tcPr>
          <w:p w14:paraId="1D76BFEC" w14:textId="77777777" w:rsidR="0068611D" w:rsidRPr="00C05E28" w:rsidRDefault="0068611D" w:rsidP="00141E83">
            <w:pPr>
              <w:jc w:val="center"/>
              <w:rPr>
                <w:rFonts w:ascii="Aptos" w:hAnsi="Aptos"/>
                <w:sz w:val="18"/>
                <w:szCs w:val="18"/>
              </w:rPr>
            </w:pPr>
            <w:r w:rsidRPr="00C05E28">
              <w:rPr>
                <w:rFonts w:ascii="Aptos" w:hAnsi="Aptos"/>
                <w:sz w:val="18"/>
                <w:szCs w:val="18"/>
              </w:rPr>
              <w:t>High</w:t>
            </w:r>
          </w:p>
        </w:tc>
        <w:tc>
          <w:tcPr>
            <w:tcW w:w="405" w:type="pct"/>
            <w:tcBorders>
              <w:top w:val="nil"/>
              <w:left w:val="single" w:sz="4" w:space="0" w:color="auto"/>
              <w:bottom w:val="single" w:sz="4" w:space="0" w:color="auto"/>
              <w:right w:val="single" w:sz="4" w:space="0" w:color="auto"/>
            </w:tcBorders>
            <w:shd w:val="clear" w:color="000000" w:fill="FFF2CC"/>
            <w:vAlign w:val="center"/>
            <w:hideMark/>
          </w:tcPr>
          <w:p w14:paraId="704C7F60" w14:textId="77777777" w:rsidR="0068611D" w:rsidRPr="00C05E28" w:rsidRDefault="0068611D" w:rsidP="00141E83">
            <w:pPr>
              <w:jc w:val="center"/>
              <w:rPr>
                <w:rFonts w:ascii="Aptos" w:hAnsi="Aptos"/>
                <w:sz w:val="18"/>
                <w:szCs w:val="18"/>
              </w:rPr>
            </w:pPr>
            <w:r w:rsidRPr="00C05E28">
              <w:rPr>
                <w:rFonts w:ascii="Aptos" w:hAnsi="Aptos"/>
                <w:sz w:val="18"/>
                <w:szCs w:val="18"/>
              </w:rPr>
              <w:t>Unclear</w:t>
            </w:r>
          </w:p>
        </w:tc>
      </w:tr>
      <w:tr w:rsidR="0068611D" w:rsidRPr="00C05E28" w14:paraId="7FA8CC37"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D9D9D9"/>
            <w:vAlign w:val="center"/>
            <w:hideMark/>
          </w:tcPr>
          <w:p w14:paraId="6AB2C895" w14:textId="77777777" w:rsidR="0068611D" w:rsidRPr="00C05E28" w:rsidRDefault="0068611D" w:rsidP="0068611D">
            <w:pPr>
              <w:rPr>
                <w:rFonts w:ascii="Aptos" w:hAnsi="Aptos"/>
                <w:sz w:val="18"/>
                <w:szCs w:val="18"/>
              </w:rPr>
            </w:pPr>
            <w:r w:rsidRPr="00C05E28">
              <w:rPr>
                <w:rFonts w:ascii="Aptos" w:hAnsi="Aptos"/>
                <w:sz w:val="18"/>
                <w:szCs w:val="18"/>
              </w:rPr>
              <w:t>Risk of bias in the review</w:t>
            </w:r>
          </w:p>
        </w:tc>
        <w:tc>
          <w:tcPr>
            <w:tcW w:w="405" w:type="pct"/>
            <w:tcBorders>
              <w:top w:val="nil"/>
              <w:left w:val="nil"/>
              <w:bottom w:val="single" w:sz="4" w:space="0" w:color="auto"/>
              <w:right w:val="single" w:sz="4" w:space="0" w:color="auto"/>
            </w:tcBorders>
            <w:shd w:val="clear" w:color="000000" w:fill="D9D9D9"/>
            <w:vAlign w:val="center"/>
            <w:hideMark/>
          </w:tcPr>
          <w:p w14:paraId="67C5DA89" w14:textId="2DD1EE28"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vAlign w:val="center"/>
            <w:hideMark/>
          </w:tcPr>
          <w:p w14:paraId="21F0DFED" w14:textId="69AA3C9C"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vAlign w:val="center"/>
            <w:hideMark/>
          </w:tcPr>
          <w:p w14:paraId="014217AE" w14:textId="42E422D5"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vAlign w:val="center"/>
            <w:hideMark/>
          </w:tcPr>
          <w:p w14:paraId="29C836E4" w14:textId="45193060"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vAlign w:val="center"/>
            <w:hideMark/>
          </w:tcPr>
          <w:p w14:paraId="59122346" w14:textId="7261BB66" w:rsidR="0068611D" w:rsidRPr="00C05E28" w:rsidRDefault="0068611D" w:rsidP="00141E83">
            <w:pPr>
              <w:jc w:val="center"/>
              <w:rPr>
                <w:rFonts w:ascii="Aptos" w:hAnsi="Aptos"/>
                <w:sz w:val="18"/>
                <w:szCs w:val="18"/>
              </w:rPr>
            </w:pPr>
          </w:p>
        </w:tc>
        <w:tc>
          <w:tcPr>
            <w:tcW w:w="405" w:type="pct"/>
            <w:tcBorders>
              <w:top w:val="nil"/>
              <w:left w:val="single" w:sz="4" w:space="0" w:color="auto"/>
              <w:bottom w:val="single" w:sz="4" w:space="0" w:color="auto"/>
              <w:right w:val="single" w:sz="4" w:space="0" w:color="auto"/>
            </w:tcBorders>
            <w:shd w:val="clear" w:color="000000" w:fill="D9D9D9"/>
            <w:vAlign w:val="center"/>
            <w:hideMark/>
          </w:tcPr>
          <w:p w14:paraId="59FAA56A" w14:textId="2A5F20CE" w:rsidR="0068611D" w:rsidRPr="00C05E28" w:rsidRDefault="0068611D" w:rsidP="00141E83">
            <w:pPr>
              <w:jc w:val="center"/>
              <w:rPr>
                <w:rFonts w:ascii="Aptos" w:hAnsi="Aptos"/>
                <w:sz w:val="18"/>
                <w:szCs w:val="18"/>
              </w:rPr>
            </w:pPr>
          </w:p>
        </w:tc>
      </w:tr>
      <w:tr w:rsidR="0068611D" w:rsidRPr="00C05E28" w14:paraId="1F2BE31A"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09AF4BBA" w14:textId="77777777" w:rsidR="0068611D" w:rsidRPr="00C05E28" w:rsidRDefault="0068611D" w:rsidP="0068611D">
            <w:pPr>
              <w:rPr>
                <w:rFonts w:ascii="Aptos" w:hAnsi="Aptos"/>
                <w:sz w:val="18"/>
                <w:szCs w:val="18"/>
              </w:rPr>
            </w:pPr>
            <w:r w:rsidRPr="00C05E28">
              <w:rPr>
                <w:rFonts w:ascii="Aptos" w:hAnsi="Aptos"/>
                <w:sz w:val="18"/>
                <w:szCs w:val="18"/>
              </w:rPr>
              <w:t>Did the interpretation of findings address all of the concerns identified in Domains 1</w:t>
            </w:r>
            <w:r w:rsidRPr="00C05E28">
              <w:rPr>
                <w:rFonts w:ascii="Cambria Math" w:hAnsi="Cambria Math" w:cs="Cambria Math"/>
                <w:sz w:val="18"/>
                <w:szCs w:val="18"/>
              </w:rPr>
              <w:t>‐</w:t>
            </w:r>
            <w:r w:rsidRPr="00C05E28">
              <w:rPr>
                <w:rFonts w:ascii="Aptos" w:hAnsi="Aptos"/>
                <w:sz w:val="18"/>
                <w:szCs w:val="18"/>
              </w:rPr>
              <w:t>4?</w:t>
            </w:r>
          </w:p>
        </w:tc>
        <w:tc>
          <w:tcPr>
            <w:tcW w:w="405" w:type="pct"/>
            <w:tcBorders>
              <w:top w:val="nil"/>
              <w:left w:val="nil"/>
              <w:bottom w:val="single" w:sz="4" w:space="0" w:color="auto"/>
              <w:right w:val="single" w:sz="4" w:space="0" w:color="auto"/>
            </w:tcBorders>
            <w:shd w:val="clear" w:color="000000" w:fill="FFFFFF"/>
            <w:vAlign w:val="center"/>
            <w:hideMark/>
          </w:tcPr>
          <w:p w14:paraId="24F8C7B5"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1433F63"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0C9657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D22064E"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03F60C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2A9487D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6635256B"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71B4256C" w14:textId="77777777" w:rsidR="0068611D" w:rsidRPr="00C05E28" w:rsidRDefault="0068611D" w:rsidP="0068611D">
            <w:pPr>
              <w:rPr>
                <w:rFonts w:ascii="Aptos" w:hAnsi="Aptos"/>
                <w:sz w:val="18"/>
                <w:szCs w:val="18"/>
              </w:rPr>
            </w:pPr>
            <w:r w:rsidRPr="00C05E28">
              <w:rPr>
                <w:rFonts w:ascii="Aptos" w:hAnsi="Aptos"/>
                <w:sz w:val="18"/>
                <w:szCs w:val="18"/>
              </w:rPr>
              <w:t>Was the relevance of identified studies to the review's research question appropriately considered?</w:t>
            </w:r>
          </w:p>
        </w:tc>
        <w:tc>
          <w:tcPr>
            <w:tcW w:w="405" w:type="pct"/>
            <w:tcBorders>
              <w:top w:val="nil"/>
              <w:left w:val="nil"/>
              <w:bottom w:val="single" w:sz="4" w:space="0" w:color="auto"/>
              <w:right w:val="single" w:sz="4" w:space="0" w:color="auto"/>
            </w:tcBorders>
            <w:shd w:val="clear" w:color="000000" w:fill="FFFFFF"/>
            <w:vAlign w:val="center"/>
            <w:hideMark/>
          </w:tcPr>
          <w:p w14:paraId="270C9D4B"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1D36B54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91954D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F986F9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71C245A"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535104E2"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12611617" w14:textId="77777777" w:rsidTr="00141E83">
        <w:trPr>
          <w:trHeight w:val="439"/>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1FE9797A" w14:textId="77777777" w:rsidR="0068611D" w:rsidRPr="00C05E28" w:rsidRDefault="0068611D" w:rsidP="0068611D">
            <w:pPr>
              <w:rPr>
                <w:rFonts w:ascii="Aptos" w:hAnsi="Aptos"/>
                <w:sz w:val="18"/>
                <w:szCs w:val="18"/>
              </w:rPr>
            </w:pPr>
            <w:r w:rsidRPr="00C05E28">
              <w:rPr>
                <w:rFonts w:ascii="Aptos" w:hAnsi="Aptos"/>
                <w:sz w:val="18"/>
                <w:szCs w:val="18"/>
              </w:rPr>
              <w:t>Did the reviewers avoid emphasizing results on the basis of their statistical significance?</w:t>
            </w:r>
          </w:p>
        </w:tc>
        <w:tc>
          <w:tcPr>
            <w:tcW w:w="405" w:type="pct"/>
            <w:tcBorders>
              <w:top w:val="nil"/>
              <w:left w:val="nil"/>
              <w:bottom w:val="single" w:sz="4" w:space="0" w:color="auto"/>
              <w:right w:val="single" w:sz="4" w:space="0" w:color="auto"/>
            </w:tcBorders>
            <w:shd w:val="clear" w:color="000000" w:fill="FFFFFF"/>
            <w:vAlign w:val="center"/>
            <w:hideMark/>
          </w:tcPr>
          <w:p w14:paraId="5AE5FD9C"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461F459"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6DFD557"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0C5A694"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4CCCD426"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c>
          <w:tcPr>
            <w:tcW w:w="405" w:type="pct"/>
            <w:tcBorders>
              <w:top w:val="nil"/>
              <w:left w:val="single" w:sz="4" w:space="0" w:color="auto"/>
              <w:bottom w:val="single" w:sz="4" w:space="0" w:color="auto"/>
              <w:right w:val="single" w:sz="4" w:space="0" w:color="auto"/>
            </w:tcBorders>
            <w:shd w:val="clear" w:color="000000" w:fill="FFFFFF"/>
            <w:vAlign w:val="center"/>
            <w:hideMark/>
          </w:tcPr>
          <w:p w14:paraId="64F1268F" w14:textId="77777777" w:rsidR="0068611D" w:rsidRPr="00C05E28" w:rsidRDefault="0068611D" w:rsidP="00141E83">
            <w:pPr>
              <w:jc w:val="center"/>
              <w:rPr>
                <w:rFonts w:ascii="Aptos" w:hAnsi="Aptos"/>
                <w:sz w:val="18"/>
                <w:szCs w:val="18"/>
              </w:rPr>
            </w:pPr>
            <w:r w:rsidRPr="00C05E28">
              <w:rPr>
                <w:rFonts w:ascii="Aptos" w:hAnsi="Aptos"/>
                <w:sz w:val="18"/>
                <w:szCs w:val="18"/>
              </w:rPr>
              <w:t>Y</w:t>
            </w:r>
          </w:p>
        </w:tc>
      </w:tr>
      <w:tr w:rsidR="0068611D" w:rsidRPr="00C05E28" w14:paraId="3CE26E1A" w14:textId="77777777" w:rsidTr="00141E83">
        <w:trPr>
          <w:trHeight w:val="440"/>
        </w:trPr>
        <w:tc>
          <w:tcPr>
            <w:tcW w:w="2568" w:type="pct"/>
            <w:tcBorders>
              <w:top w:val="nil"/>
              <w:left w:val="single" w:sz="4" w:space="0" w:color="auto"/>
              <w:bottom w:val="single" w:sz="4" w:space="0" w:color="auto"/>
              <w:right w:val="single" w:sz="4" w:space="0" w:color="auto"/>
            </w:tcBorders>
            <w:shd w:val="clear" w:color="000000" w:fill="FFFFFF"/>
            <w:vAlign w:val="center"/>
            <w:hideMark/>
          </w:tcPr>
          <w:p w14:paraId="3199378A" w14:textId="77777777" w:rsidR="0068611D" w:rsidRPr="00C05E28" w:rsidRDefault="0068611D" w:rsidP="0068611D">
            <w:pPr>
              <w:rPr>
                <w:rFonts w:ascii="Aptos" w:hAnsi="Aptos"/>
                <w:sz w:val="18"/>
                <w:szCs w:val="18"/>
              </w:rPr>
            </w:pPr>
            <w:r w:rsidRPr="00C05E28">
              <w:rPr>
                <w:rFonts w:ascii="Aptos" w:hAnsi="Aptos"/>
                <w:sz w:val="18"/>
                <w:szCs w:val="18"/>
              </w:rPr>
              <w:t>Overall risk of bias</w:t>
            </w:r>
          </w:p>
        </w:tc>
        <w:tc>
          <w:tcPr>
            <w:tcW w:w="405" w:type="pct"/>
            <w:tcBorders>
              <w:top w:val="nil"/>
              <w:left w:val="nil"/>
              <w:bottom w:val="single" w:sz="4" w:space="0" w:color="auto"/>
              <w:right w:val="single" w:sz="4" w:space="0" w:color="auto"/>
            </w:tcBorders>
            <w:shd w:val="clear" w:color="000000" w:fill="E2EFDA"/>
            <w:vAlign w:val="center"/>
            <w:hideMark/>
          </w:tcPr>
          <w:p w14:paraId="5DF47209" w14:textId="77777777" w:rsidR="0068611D" w:rsidRPr="00C05E28" w:rsidRDefault="0068611D" w:rsidP="00141E83">
            <w:pPr>
              <w:jc w:val="center"/>
              <w:rPr>
                <w:rFonts w:ascii="Aptos" w:hAnsi="Aptos"/>
                <w:sz w:val="18"/>
                <w:szCs w:val="18"/>
              </w:rPr>
            </w:pPr>
            <w:r w:rsidRPr="00C05E28">
              <w:rPr>
                <w:rFonts w:ascii="Aptos" w:hAnsi="Aptos"/>
                <w:sz w:val="18"/>
                <w:szCs w:val="18"/>
              </w:rPr>
              <w:t>Low risk</w:t>
            </w:r>
          </w:p>
        </w:tc>
        <w:tc>
          <w:tcPr>
            <w:tcW w:w="405" w:type="pct"/>
            <w:tcBorders>
              <w:top w:val="nil"/>
              <w:left w:val="single" w:sz="4" w:space="0" w:color="auto"/>
              <w:bottom w:val="single" w:sz="4" w:space="0" w:color="auto"/>
              <w:right w:val="single" w:sz="4" w:space="0" w:color="auto"/>
            </w:tcBorders>
            <w:shd w:val="clear" w:color="000000" w:fill="F8CBAD"/>
            <w:vAlign w:val="center"/>
            <w:hideMark/>
          </w:tcPr>
          <w:p w14:paraId="5A1EBC16" w14:textId="77777777" w:rsidR="0068611D" w:rsidRPr="00C05E28" w:rsidRDefault="0068611D" w:rsidP="00141E83">
            <w:pPr>
              <w:jc w:val="center"/>
              <w:rPr>
                <w:rFonts w:ascii="Aptos" w:hAnsi="Aptos"/>
                <w:sz w:val="18"/>
                <w:szCs w:val="18"/>
              </w:rPr>
            </w:pPr>
            <w:r w:rsidRPr="00C05E28">
              <w:rPr>
                <w:rFonts w:ascii="Aptos" w:hAnsi="Aptos"/>
                <w:sz w:val="18"/>
                <w:szCs w:val="18"/>
              </w:rPr>
              <w:t>High risk</w:t>
            </w:r>
          </w:p>
        </w:tc>
        <w:tc>
          <w:tcPr>
            <w:tcW w:w="405" w:type="pct"/>
            <w:tcBorders>
              <w:top w:val="nil"/>
              <w:left w:val="single" w:sz="4" w:space="0" w:color="auto"/>
              <w:bottom w:val="single" w:sz="4" w:space="0" w:color="auto"/>
              <w:right w:val="single" w:sz="4" w:space="0" w:color="auto"/>
            </w:tcBorders>
            <w:shd w:val="clear" w:color="000000" w:fill="FFF2CC"/>
            <w:vAlign w:val="center"/>
            <w:hideMark/>
          </w:tcPr>
          <w:p w14:paraId="0F474998" w14:textId="77777777" w:rsidR="0068611D" w:rsidRPr="00C05E28" w:rsidRDefault="0068611D" w:rsidP="00141E83">
            <w:pPr>
              <w:jc w:val="center"/>
              <w:rPr>
                <w:rFonts w:ascii="Aptos" w:hAnsi="Aptos"/>
                <w:sz w:val="18"/>
                <w:szCs w:val="18"/>
              </w:rPr>
            </w:pPr>
            <w:r w:rsidRPr="00C05E28">
              <w:rPr>
                <w:rFonts w:ascii="Aptos" w:hAnsi="Aptos"/>
                <w:sz w:val="18"/>
                <w:szCs w:val="18"/>
              </w:rPr>
              <w:t>Unclear risk</w:t>
            </w:r>
          </w:p>
        </w:tc>
        <w:tc>
          <w:tcPr>
            <w:tcW w:w="405" w:type="pct"/>
            <w:tcBorders>
              <w:top w:val="nil"/>
              <w:left w:val="single" w:sz="4" w:space="0" w:color="auto"/>
              <w:bottom w:val="single" w:sz="4" w:space="0" w:color="auto"/>
              <w:right w:val="single" w:sz="4" w:space="0" w:color="auto"/>
            </w:tcBorders>
            <w:shd w:val="clear" w:color="000000" w:fill="F8CBAD"/>
            <w:vAlign w:val="center"/>
            <w:hideMark/>
          </w:tcPr>
          <w:p w14:paraId="52297FA7" w14:textId="77777777" w:rsidR="0068611D" w:rsidRPr="00C05E28" w:rsidRDefault="0068611D" w:rsidP="00141E83">
            <w:pPr>
              <w:jc w:val="center"/>
              <w:rPr>
                <w:rFonts w:ascii="Aptos" w:hAnsi="Aptos"/>
                <w:sz w:val="18"/>
                <w:szCs w:val="18"/>
              </w:rPr>
            </w:pPr>
            <w:r w:rsidRPr="00C05E28">
              <w:rPr>
                <w:rFonts w:ascii="Aptos" w:hAnsi="Aptos"/>
                <w:sz w:val="18"/>
                <w:szCs w:val="18"/>
              </w:rPr>
              <w:t>High risk</w:t>
            </w:r>
          </w:p>
        </w:tc>
        <w:tc>
          <w:tcPr>
            <w:tcW w:w="405" w:type="pct"/>
            <w:tcBorders>
              <w:top w:val="nil"/>
              <w:left w:val="single" w:sz="4" w:space="0" w:color="auto"/>
              <w:bottom w:val="single" w:sz="4" w:space="0" w:color="auto"/>
              <w:right w:val="single" w:sz="4" w:space="0" w:color="auto"/>
            </w:tcBorders>
            <w:shd w:val="clear" w:color="000000" w:fill="F8CBAD"/>
            <w:vAlign w:val="center"/>
            <w:hideMark/>
          </w:tcPr>
          <w:p w14:paraId="00E15CB8" w14:textId="77777777" w:rsidR="0068611D" w:rsidRPr="00C05E28" w:rsidRDefault="0068611D" w:rsidP="00141E83">
            <w:pPr>
              <w:jc w:val="center"/>
              <w:rPr>
                <w:rFonts w:ascii="Aptos" w:hAnsi="Aptos"/>
                <w:sz w:val="18"/>
                <w:szCs w:val="18"/>
              </w:rPr>
            </w:pPr>
            <w:r w:rsidRPr="00C05E28">
              <w:rPr>
                <w:rFonts w:ascii="Aptos" w:hAnsi="Aptos"/>
                <w:sz w:val="18"/>
                <w:szCs w:val="18"/>
              </w:rPr>
              <w:t>High risk</w:t>
            </w:r>
          </w:p>
        </w:tc>
        <w:tc>
          <w:tcPr>
            <w:tcW w:w="405" w:type="pct"/>
            <w:tcBorders>
              <w:top w:val="nil"/>
              <w:left w:val="single" w:sz="4" w:space="0" w:color="auto"/>
              <w:bottom w:val="single" w:sz="4" w:space="0" w:color="auto"/>
              <w:right w:val="single" w:sz="4" w:space="0" w:color="auto"/>
            </w:tcBorders>
            <w:shd w:val="clear" w:color="000000" w:fill="E2EFDA"/>
            <w:vAlign w:val="center"/>
            <w:hideMark/>
          </w:tcPr>
          <w:p w14:paraId="25C2CA95" w14:textId="77777777" w:rsidR="0068611D" w:rsidRPr="00C05E28" w:rsidRDefault="0068611D" w:rsidP="00141E83">
            <w:pPr>
              <w:jc w:val="center"/>
              <w:rPr>
                <w:rFonts w:ascii="Aptos" w:hAnsi="Aptos"/>
                <w:sz w:val="18"/>
                <w:szCs w:val="18"/>
              </w:rPr>
            </w:pPr>
            <w:r w:rsidRPr="00C05E28">
              <w:rPr>
                <w:rFonts w:ascii="Aptos" w:hAnsi="Aptos"/>
                <w:sz w:val="18"/>
                <w:szCs w:val="18"/>
              </w:rPr>
              <w:t>Low risk</w:t>
            </w:r>
          </w:p>
        </w:tc>
      </w:tr>
    </w:tbl>
    <w:p w14:paraId="71B0CE2C" w14:textId="77777777" w:rsidR="00881574" w:rsidRPr="00D518FF" w:rsidRDefault="00881574" w:rsidP="00AA72BD">
      <w:pPr>
        <w:rPr>
          <w:rFonts w:ascii="Aptos" w:hAnsi="Aptos" w:cs="Arial"/>
          <w:sz w:val="16"/>
          <w:szCs w:val="16"/>
        </w:rPr>
      </w:pPr>
    </w:p>
    <w:p w14:paraId="26E25C95" w14:textId="78F3A65D" w:rsidR="00881574" w:rsidRPr="00D518FF" w:rsidRDefault="00DC4767" w:rsidP="00DC4767">
      <w:pPr>
        <w:pStyle w:val="Caption"/>
        <w:rPr>
          <w:rFonts w:ascii="Aptos" w:hAnsi="Aptos"/>
        </w:rPr>
      </w:pPr>
      <w:bookmarkStart w:id="224" w:name="_Toc185254600"/>
      <w:r w:rsidRPr="00AA694C">
        <w:rPr>
          <w:rFonts w:ascii="Aptos" w:hAnsi="Aptos"/>
        </w:rPr>
        <w:t xml:space="preserve">Table </w:t>
      </w:r>
      <w:r w:rsidRPr="00AA694C">
        <w:rPr>
          <w:rFonts w:ascii="Aptos" w:hAnsi="Aptos"/>
        </w:rPr>
        <w:fldChar w:fldCharType="begin" w:fldLock="1"/>
      </w:r>
      <w:r w:rsidRPr="00AA694C">
        <w:rPr>
          <w:rFonts w:ascii="Aptos" w:hAnsi="Aptos"/>
        </w:rPr>
        <w:instrText xml:space="preserve"> STYLEREF 1 \s </w:instrText>
      </w:r>
      <w:r w:rsidRPr="00AA694C">
        <w:rPr>
          <w:rFonts w:ascii="Aptos" w:hAnsi="Aptos"/>
        </w:rPr>
        <w:fldChar w:fldCharType="separate"/>
      </w:r>
      <w:r w:rsidRPr="00AA694C">
        <w:rPr>
          <w:rFonts w:ascii="Aptos" w:hAnsi="Aptos"/>
        </w:rPr>
        <w:t>F</w:t>
      </w:r>
      <w:r w:rsidRPr="00AA694C">
        <w:rPr>
          <w:rFonts w:ascii="Aptos" w:hAnsi="Aptos"/>
        </w:rPr>
        <w:fldChar w:fldCharType="end"/>
      </w:r>
      <w:r w:rsidRPr="00AA694C">
        <w:rPr>
          <w:rFonts w:ascii="Aptos" w:hAnsi="Aptos"/>
        </w:rPr>
        <w:noBreakHyphen/>
      </w:r>
      <w:r w:rsidR="003B0594" w:rsidRPr="00AA694C">
        <w:rPr>
          <w:rFonts w:ascii="Aptos" w:hAnsi="Aptos"/>
        </w:rPr>
        <w:fldChar w:fldCharType="begin"/>
      </w:r>
      <w:r w:rsidR="003B0594" w:rsidRPr="00AA694C">
        <w:rPr>
          <w:rFonts w:ascii="Aptos" w:hAnsi="Aptos"/>
        </w:rPr>
        <w:instrText xml:space="preserve"> SEQ Table \* ARABIC \s 1 </w:instrText>
      </w:r>
      <w:r w:rsidR="003B0594" w:rsidRPr="00AA694C">
        <w:rPr>
          <w:rFonts w:ascii="Aptos" w:hAnsi="Aptos"/>
        </w:rPr>
        <w:fldChar w:fldCharType="separate"/>
      </w:r>
      <w:r w:rsidR="00C426C6">
        <w:rPr>
          <w:rFonts w:ascii="Aptos" w:hAnsi="Aptos"/>
          <w:noProof/>
        </w:rPr>
        <w:t>8</w:t>
      </w:r>
      <w:r w:rsidR="003B0594" w:rsidRPr="00AA694C">
        <w:rPr>
          <w:rFonts w:ascii="Aptos" w:hAnsi="Aptos"/>
        </w:rPr>
        <w:fldChar w:fldCharType="end"/>
      </w:r>
      <w:r w:rsidR="00881574" w:rsidRPr="00D518FF">
        <w:rPr>
          <w:rFonts w:ascii="Aptos" w:hAnsi="Aptos"/>
        </w:rPr>
        <w:t>. Results of included reviews by outcome domain – hypertension, omega-3</w:t>
      </w:r>
      <w:r w:rsidR="00224D1F">
        <w:rPr>
          <w:rFonts w:ascii="Aptos" w:hAnsi="Aptos"/>
        </w:rPr>
        <w:t xml:space="preserve"> </w:t>
      </w:r>
      <w:r w:rsidR="00224D1F">
        <w:t>fatty acids</w:t>
      </w:r>
      <w:bookmarkEnd w:id="224"/>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8"/>
        <w:gridCol w:w="1539"/>
        <w:gridCol w:w="1539"/>
        <w:gridCol w:w="1536"/>
      </w:tblGrid>
      <w:tr w:rsidR="004C17C8" w:rsidRPr="00C05E28" w14:paraId="1A047DBB" w14:textId="77777777" w:rsidTr="006C6DF4">
        <w:trPr>
          <w:trHeight w:val="484"/>
        </w:trPr>
        <w:tc>
          <w:tcPr>
            <w:tcW w:w="3378" w:type="pct"/>
            <w:shd w:val="clear" w:color="000000" w:fill="D9D9D9"/>
            <w:vAlign w:val="center"/>
            <w:hideMark/>
          </w:tcPr>
          <w:p w14:paraId="3F85B0D5" w14:textId="77777777" w:rsidR="004C17C8" w:rsidRPr="00F849FD" w:rsidRDefault="004C17C8" w:rsidP="004C17C8">
            <w:pPr>
              <w:rPr>
                <w:rFonts w:ascii="Aptos" w:hAnsi="Aptos"/>
                <w:b/>
                <w:bCs/>
                <w:sz w:val="18"/>
                <w:szCs w:val="18"/>
              </w:rPr>
            </w:pPr>
            <w:r w:rsidRPr="00F849FD">
              <w:rPr>
                <w:rFonts w:ascii="Aptos" w:hAnsi="Aptos"/>
                <w:b/>
                <w:bCs/>
                <w:sz w:val="18"/>
                <w:szCs w:val="18"/>
              </w:rPr>
              <w:t>Review ID</w:t>
            </w:r>
          </w:p>
        </w:tc>
        <w:tc>
          <w:tcPr>
            <w:tcW w:w="541" w:type="pct"/>
            <w:shd w:val="clear" w:color="000000" w:fill="D9D9D9"/>
            <w:vAlign w:val="center"/>
            <w:hideMark/>
          </w:tcPr>
          <w:p w14:paraId="06DDBBAA" w14:textId="2BE345FB" w:rsidR="004C17C8" w:rsidRPr="00C05E28" w:rsidRDefault="004C17C8" w:rsidP="006C6DF4">
            <w:pPr>
              <w:jc w:val="center"/>
              <w:rPr>
                <w:rFonts w:ascii="Aptos" w:hAnsi="Aptos"/>
                <w:b/>
                <w:bCs/>
                <w:sz w:val="18"/>
                <w:szCs w:val="18"/>
              </w:rPr>
            </w:pPr>
            <w:r w:rsidRPr="00C05E28">
              <w:rPr>
                <w:rFonts w:ascii="Aptos" w:hAnsi="Aptos"/>
                <w:b/>
                <w:bCs/>
                <w:sz w:val="18"/>
                <w:szCs w:val="18"/>
              </w:rPr>
              <w:t>Campbell 2013</w:t>
            </w:r>
          </w:p>
        </w:tc>
        <w:tc>
          <w:tcPr>
            <w:tcW w:w="541" w:type="pct"/>
            <w:shd w:val="clear" w:color="000000" w:fill="D9D9D9"/>
            <w:vAlign w:val="center"/>
            <w:hideMark/>
          </w:tcPr>
          <w:p w14:paraId="401C53CD" w14:textId="34EABA4B" w:rsidR="004C17C8" w:rsidRPr="00C05E28" w:rsidRDefault="004C17C8" w:rsidP="006C6DF4">
            <w:pPr>
              <w:jc w:val="center"/>
              <w:rPr>
                <w:rFonts w:ascii="Aptos" w:hAnsi="Aptos"/>
                <w:b/>
                <w:bCs/>
                <w:sz w:val="18"/>
                <w:szCs w:val="18"/>
              </w:rPr>
            </w:pPr>
            <w:r w:rsidRPr="00C05E28">
              <w:rPr>
                <w:rFonts w:ascii="Aptos" w:hAnsi="Aptos"/>
                <w:b/>
                <w:bCs/>
                <w:sz w:val="18"/>
                <w:szCs w:val="18"/>
              </w:rPr>
              <w:t>Guo 2019</w:t>
            </w:r>
          </w:p>
        </w:tc>
        <w:tc>
          <w:tcPr>
            <w:tcW w:w="541" w:type="pct"/>
            <w:shd w:val="clear" w:color="auto" w:fill="D9D9D9" w:themeFill="background1" w:themeFillShade="D9"/>
            <w:vAlign w:val="center"/>
          </w:tcPr>
          <w:p w14:paraId="4DD93FCF" w14:textId="20380C70" w:rsidR="004C17C8" w:rsidRPr="00C05E28" w:rsidRDefault="004C17C8" w:rsidP="006C6DF4">
            <w:pPr>
              <w:jc w:val="center"/>
              <w:rPr>
                <w:rFonts w:ascii="Aptos" w:hAnsi="Aptos"/>
                <w:b/>
                <w:bCs/>
                <w:sz w:val="18"/>
                <w:szCs w:val="18"/>
              </w:rPr>
            </w:pPr>
            <w:r w:rsidRPr="00C05E28">
              <w:rPr>
                <w:rFonts w:ascii="Aptos" w:hAnsi="Aptos"/>
                <w:b/>
                <w:bCs/>
                <w:sz w:val="18"/>
                <w:szCs w:val="18"/>
              </w:rPr>
              <w:t>Radack 1989</w:t>
            </w:r>
          </w:p>
        </w:tc>
      </w:tr>
      <w:tr w:rsidR="004C17C8" w:rsidRPr="00C05E28" w14:paraId="4D13CE03" w14:textId="77777777" w:rsidTr="006C6DF4">
        <w:trPr>
          <w:trHeight w:val="484"/>
        </w:trPr>
        <w:tc>
          <w:tcPr>
            <w:tcW w:w="3378" w:type="pct"/>
            <w:shd w:val="clear" w:color="000000" w:fill="D9D9D9"/>
            <w:noWrap/>
            <w:vAlign w:val="center"/>
            <w:hideMark/>
          </w:tcPr>
          <w:p w14:paraId="39583F55" w14:textId="77777777" w:rsidR="004C17C8" w:rsidRPr="00C05E28" w:rsidRDefault="004C17C8" w:rsidP="004C17C8">
            <w:pPr>
              <w:rPr>
                <w:rFonts w:ascii="Aptos" w:hAnsi="Aptos"/>
                <w:sz w:val="18"/>
                <w:szCs w:val="18"/>
              </w:rPr>
            </w:pPr>
            <w:r w:rsidRPr="00C05E28">
              <w:rPr>
                <w:rFonts w:ascii="Aptos" w:hAnsi="Aptos"/>
                <w:sz w:val="18"/>
                <w:szCs w:val="18"/>
              </w:rPr>
              <w:t>ROBIS DOMAINS</w:t>
            </w:r>
          </w:p>
        </w:tc>
        <w:tc>
          <w:tcPr>
            <w:tcW w:w="541" w:type="pct"/>
            <w:shd w:val="clear" w:color="000000" w:fill="D9D9D9"/>
            <w:noWrap/>
            <w:vAlign w:val="center"/>
            <w:hideMark/>
          </w:tcPr>
          <w:p w14:paraId="098275E6" w14:textId="05F43A2D" w:rsidR="004C17C8" w:rsidRPr="00C05E28" w:rsidRDefault="004C17C8" w:rsidP="006C6DF4">
            <w:pPr>
              <w:jc w:val="center"/>
              <w:rPr>
                <w:rFonts w:ascii="Aptos" w:hAnsi="Aptos"/>
                <w:sz w:val="18"/>
                <w:szCs w:val="18"/>
              </w:rPr>
            </w:pPr>
          </w:p>
        </w:tc>
        <w:tc>
          <w:tcPr>
            <w:tcW w:w="541" w:type="pct"/>
            <w:shd w:val="clear" w:color="000000" w:fill="D9D9D9"/>
            <w:noWrap/>
            <w:vAlign w:val="center"/>
            <w:hideMark/>
          </w:tcPr>
          <w:p w14:paraId="033A7020" w14:textId="056896A2" w:rsidR="004C17C8" w:rsidRPr="00C05E28" w:rsidRDefault="004C17C8" w:rsidP="006C6DF4">
            <w:pPr>
              <w:jc w:val="center"/>
              <w:rPr>
                <w:rFonts w:ascii="Aptos" w:hAnsi="Aptos"/>
                <w:sz w:val="18"/>
                <w:szCs w:val="18"/>
              </w:rPr>
            </w:pPr>
          </w:p>
        </w:tc>
        <w:tc>
          <w:tcPr>
            <w:tcW w:w="541" w:type="pct"/>
            <w:shd w:val="clear" w:color="auto" w:fill="D9D9D9" w:themeFill="background1" w:themeFillShade="D9"/>
            <w:vAlign w:val="center"/>
          </w:tcPr>
          <w:p w14:paraId="5638872D" w14:textId="186786DE" w:rsidR="004C17C8" w:rsidRPr="00C05E28" w:rsidRDefault="004C17C8" w:rsidP="006C6DF4">
            <w:pPr>
              <w:jc w:val="center"/>
              <w:rPr>
                <w:rFonts w:ascii="Aptos" w:hAnsi="Aptos"/>
                <w:sz w:val="18"/>
                <w:szCs w:val="18"/>
              </w:rPr>
            </w:pPr>
          </w:p>
        </w:tc>
      </w:tr>
      <w:tr w:rsidR="004C17C8" w:rsidRPr="00C05E28" w14:paraId="05E605A5" w14:textId="77777777" w:rsidTr="006C6DF4">
        <w:trPr>
          <w:trHeight w:val="484"/>
        </w:trPr>
        <w:tc>
          <w:tcPr>
            <w:tcW w:w="3378" w:type="pct"/>
            <w:shd w:val="clear" w:color="000000" w:fill="D9D9D9"/>
            <w:noWrap/>
            <w:vAlign w:val="center"/>
            <w:hideMark/>
          </w:tcPr>
          <w:p w14:paraId="0BD32FD2" w14:textId="77777777" w:rsidR="004C17C8" w:rsidRPr="00C05E28" w:rsidRDefault="004C17C8" w:rsidP="004C17C8">
            <w:pPr>
              <w:rPr>
                <w:rFonts w:ascii="Aptos" w:hAnsi="Aptos"/>
                <w:sz w:val="18"/>
                <w:szCs w:val="18"/>
              </w:rPr>
            </w:pPr>
            <w:r w:rsidRPr="00C05E28">
              <w:rPr>
                <w:rFonts w:ascii="Aptos" w:hAnsi="Aptos"/>
                <w:sz w:val="18"/>
                <w:szCs w:val="18"/>
              </w:rPr>
              <w:t>Answer code: Y=YES, PY=PROBABLY YES, PN=PROBABLY NO, N=NO, NI=NO INFORMATION</w:t>
            </w:r>
          </w:p>
        </w:tc>
        <w:tc>
          <w:tcPr>
            <w:tcW w:w="541" w:type="pct"/>
            <w:shd w:val="clear" w:color="000000" w:fill="D9D9D9"/>
            <w:noWrap/>
            <w:vAlign w:val="center"/>
            <w:hideMark/>
          </w:tcPr>
          <w:p w14:paraId="3FDE3FE4" w14:textId="56ADA719" w:rsidR="004C17C8" w:rsidRPr="00C05E28" w:rsidRDefault="004C17C8" w:rsidP="006C6DF4">
            <w:pPr>
              <w:jc w:val="center"/>
              <w:rPr>
                <w:rFonts w:ascii="Aptos" w:hAnsi="Aptos"/>
                <w:sz w:val="18"/>
                <w:szCs w:val="18"/>
              </w:rPr>
            </w:pPr>
          </w:p>
        </w:tc>
        <w:tc>
          <w:tcPr>
            <w:tcW w:w="541" w:type="pct"/>
            <w:shd w:val="clear" w:color="000000" w:fill="D9D9D9"/>
            <w:noWrap/>
            <w:vAlign w:val="center"/>
            <w:hideMark/>
          </w:tcPr>
          <w:p w14:paraId="5F69EC0E" w14:textId="5EF0499D" w:rsidR="004C17C8" w:rsidRPr="00C05E28" w:rsidRDefault="004C17C8" w:rsidP="006C6DF4">
            <w:pPr>
              <w:jc w:val="center"/>
              <w:rPr>
                <w:rFonts w:ascii="Aptos" w:hAnsi="Aptos"/>
                <w:sz w:val="18"/>
                <w:szCs w:val="18"/>
              </w:rPr>
            </w:pPr>
          </w:p>
        </w:tc>
        <w:tc>
          <w:tcPr>
            <w:tcW w:w="541" w:type="pct"/>
            <w:shd w:val="clear" w:color="auto" w:fill="D9D9D9" w:themeFill="background1" w:themeFillShade="D9"/>
            <w:vAlign w:val="center"/>
          </w:tcPr>
          <w:p w14:paraId="20E72ED7" w14:textId="4344FC94" w:rsidR="004C17C8" w:rsidRPr="00C05E28" w:rsidRDefault="004C17C8" w:rsidP="006C6DF4">
            <w:pPr>
              <w:jc w:val="center"/>
              <w:rPr>
                <w:rFonts w:ascii="Aptos" w:hAnsi="Aptos"/>
                <w:sz w:val="18"/>
                <w:szCs w:val="18"/>
              </w:rPr>
            </w:pPr>
          </w:p>
        </w:tc>
      </w:tr>
      <w:tr w:rsidR="004C17C8" w:rsidRPr="00C05E28" w14:paraId="25C61769" w14:textId="77777777" w:rsidTr="006C6DF4">
        <w:trPr>
          <w:trHeight w:val="484"/>
        </w:trPr>
        <w:tc>
          <w:tcPr>
            <w:tcW w:w="3378" w:type="pct"/>
            <w:shd w:val="clear" w:color="000000" w:fill="F2F2F2"/>
            <w:vAlign w:val="center"/>
            <w:hideMark/>
          </w:tcPr>
          <w:p w14:paraId="64733E1E" w14:textId="77777777" w:rsidR="004C17C8" w:rsidRPr="00C05E28" w:rsidRDefault="004C17C8" w:rsidP="004C17C8">
            <w:pPr>
              <w:rPr>
                <w:rFonts w:ascii="Aptos" w:hAnsi="Aptos"/>
                <w:sz w:val="18"/>
                <w:szCs w:val="18"/>
              </w:rPr>
            </w:pPr>
            <w:r w:rsidRPr="00C05E28">
              <w:rPr>
                <w:rFonts w:ascii="Aptos" w:hAnsi="Aptos"/>
                <w:sz w:val="18"/>
                <w:szCs w:val="18"/>
              </w:rPr>
              <w:t>Domain 1: Study eligibility criteria</w:t>
            </w:r>
          </w:p>
        </w:tc>
        <w:tc>
          <w:tcPr>
            <w:tcW w:w="541" w:type="pct"/>
            <w:shd w:val="clear" w:color="000000" w:fill="F2F2F2"/>
            <w:vAlign w:val="center"/>
            <w:hideMark/>
          </w:tcPr>
          <w:p w14:paraId="3422E110" w14:textId="489A8CDC" w:rsidR="004C17C8" w:rsidRPr="00C05E28" w:rsidRDefault="004C17C8" w:rsidP="006C6DF4">
            <w:pPr>
              <w:jc w:val="center"/>
              <w:rPr>
                <w:rFonts w:ascii="Aptos" w:hAnsi="Aptos"/>
                <w:sz w:val="18"/>
                <w:szCs w:val="18"/>
              </w:rPr>
            </w:pPr>
          </w:p>
        </w:tc>
        <w:tc>
          <w:tcPr>
            <w:tcW w:w="541" w:type="pct"/>
            <w:shd w:val="clear" w:color="000000" w:fill="F2F2F2"/>
            <w:vAlign w:val="center"/>
            <w:hideMark/>
          </w:tcPr>
          <w:p w14:paraId="630F1013" w14:textId="6C1ABE9E" w:rsidR="004C17C8" w:rsidRPr="00C05E28" w:rsidRDefault="004C17C8" w:rsidP="006C6DF4">
            <w:pPr>
              <w:jc w:val="center"/>
              <w:rPr>
                <w:rFonts w:ascii="Aptos" w:hAnsi="Aptos"/>
                <w:sz w:val="18"/>
                <w:szCs w:val="18"/>
              </w:rPr>
            </w:pPr>
          </w:p>
        </w:tc>
        <w:tc>
          <w:tcPr>
            <w:tcW w:w="541" w:type="pct"/>
            <w:shd w:val="clear" w:color="auto" w:fill="F2F2F2" w:themeFill="background1" w:themeFillShade="F2"/>
            <w:vAlign w:val="center"/>
          </w:tcPr>
          <w:p w14:paraId="6F7545E3" w14:textId="590FA66A" w:rsidR="004C17C8" w:rsidRPr="00C05E28" w:rsidRDefault="004C17C8" w:rsidP="006C6DF4">
            <w:pPr>
              <w:jc w:val="center"/>
              <w:rPr>
                <w:rFonts w:ascii="Aptos" w:hAnsi="Aptos"/>
                <w:sz w:val="18"/>
                <w:szCs w:val="18"/>
              </w:rPr>
            </w:pPr>
          </w:p>
        </w:tc>
      </w:tr>
      <w:tr w:rsidR="004C17C8" w:rsidRPr="00C05E28" w14:paraId="0383128A" w14:textId="77777777" w:rsidTr="006C6DF4">
        <w:trPr>
          <w:trHeight w:val="484"/>
        </w:trPr>
        <w:tc>
          <w:tcPr>
            <w:tcW w:w="3378" w:type="pct"/>
            <w:shd w:val="clear" w:color="000000" w:fill="FFFFFF"/>
            <w:vAlign w:val="center"/>
            <w:hideMark/>
          </w:tcPr>
          <w:p w14:paraId="3B7CE419" w14:textId="77777777" w:rsidR="004C17C8" w:rsidRPr="00C05E28" w:rsidRDefault="004C17C8" w:rsidP="004C17C8">
            <w:pPr>
              <w:rPr>
                <w:rFonts w:ascii="Aptos" w:hAnsi="Aptos"/>
                <w:sz w:val="18"/>
                <w:szCs w:val="18"/>
              </w:rPr>
            </w:pPr>
            <w:r w:rsidRPr="00C05E28">
              <w:rPr>
                <w:rFonts w:ascii="Aptos" w:hAnsi="Aptos"/>
                <w:sz w:val="18"/>
                <w:szCs w:val="18"/>
              </w:rPr>
              <w:t>Did the review adhere to pre</w:t>
            </w:r>
            <w:r w:rsidRPr="00C05E28">
              <w:rPr>
                <w:rFonts w:ascii="Cambria Math" w:hAnsi="Cambria Math" w:cs="Cambria Math"/>
                <w:sz w:val="18"/>
                <w:szCs w:val="18"/>
              </w:rPr>
              <w:t>‐</w:t>
            </w:r>
            <w:r w:rsidRPr="00C05E28">
              <w:rPr>
                <w:rFonts w:ascii="Aptos" w:hAnsi="Aptos"/>
                <w:sz w:val="18"/>
                <w:szCs w:val="18"/>
              </w:rPr>
              <w:t>defined objectives and eligibility criteria?</w:t>
            </w:r>
          </w:p>
        </w:tc>
        <w:tc>
          <w:tcPr>
            <w:tcW w:w="541" w:type="pct"/>
            <w:shd w:val="clear" w:color="000000" w:fill="FFFFFF"/>
            <w:vAlign w:val="center"/>
            <w:hideMark/>
          </w:tcPr>
          <w:p w14:paraId="41475B77" w14:textId="77777777" w:rsidR="004C17C8" w:rsidRPr="00C05E28" w:rsidRDefault="004C17C8" w:rsidP="006C6DF4">
            <w:pPr>
              <w:jc w:val="center"/>
              <w:rPr>
                <w:rFonts w:ascii="Aptos" w:hAnsi="Aptos"/>
                <w:sz w:val="18"/>
                <w:szCs w:val="18"/>
              </w:rPr>
            </w:pPr>
            <w:r w:rsidRPr="00C05E28">
              <w:rPr>
                <w:rFonts w:ascii="Aptos" w:hAnsi="Aptos"/>
                <w:sz w:val="18"/>
                <w:szCs w:val="18"/>
              </w:rPr>
              <w:t>PY</w:t>
            </w:r>
          </w:p>
        </w:tc>
        <w:tc>
          <w:tcPr>
            <w:tcW w:w="541" w:type="pct"/>
            <w:shd w:val="clear" w:color="000000" w:fill="FFFFFF"/>
            <w:vAlign w:val="center"/>
            <w:hideMark/>
          </w:tcPr>
          <w:p w14:paraId="4FCE364A" w14:textId="77777777" w:rsidR="004C17C8" w:rsidRPr="00C05E28" w:rsidRDefault="004C17C8" w:rsidP="006C6DF4">
            <w:pPr>
              <w:jc w:val="center"/>
              <w:rPr>
                <w:rFonts w:ascii="Aptos" w:hAnsi="Aptos"/>
                <w:sz w:val="18"/>
                <w:szCs w:val="18"/>
              </w:rPr>
            </w:pPr>
            <w:r w:rsidRPr="00C05E28">
              <w:rPr>
                <w:rFonts w:ascii="Aptos" w:hAnsi="Aptos"/>
                <w:sz w:val="18"/>
                <w:szCs w:val="18"/>
              </w:rPr>
              <w:t>PY</w:t>
            </w:r>
          </w:p>
        </w:tc>
        <w:tc>
          <w:tcPr>
            <w:tcW w:w="541" w:type="pct"/>
            <w:vAlign w:val="center"/>
          </w:tcPr>
          <w:p w14:paraId="1ED2A210" w14:textId="6CA29792" w:rsidR="004C17C8" w:rsidRPr="00C05E28" w:rsidRDefault="004C17C8" w:rsidP="006C6DF4">
            <w:pPr>
              <w:jc w:val="center"/>
              <w:rPr>
                <w:rFonts w:ascii="Aptos" w:hAnsi="Aptos"/>
                <w:sz w:val="18"/>
                <w:szCs w:val="18"/>
              </w:rPr>
            </w:pPr>
            <w:r w:rsidRPr="00C05E28">
              <w:rPr>
                <w:rFonts w:ascii="Aptos" w:hAnsi="Aptos"/>
                <w:sz w:val="18"/>
                <w:szCs w:val="18"/>
              </w:rPr>
              <w:t>PY</w:t>
            </w:r>
          </w:p>
        </w:tc>
      </w:tr>
      <w:tr w:rsidR="004C17C8" w:rsidRPr="00C05E28" w14:paraId="1E22547E" w14:textId="77777777" w:rsidTr="006C6DF4">
        <w:trPr>
          <w:trHeight w:val="484"/>
        </w:trPr>
        <w:tc>
          <w:tcPr>
            <w:tcW w:w="3378" w:type="pct"/>
            <w:shd w:val="clear" w:color="000000" w:fill="FFFFFF"/>
            <w:vAlign w:val="center"/>
            <w:hideMark/>
          </w:tcPr>
          <w:p w14:paraId="566AF905" w14:textId="77777777" w:rsidR="004C17C8" w:rsidRPr="00C05E28" w:rsidRDefault="004C17C8" w:rsidP="004C17C8">
            <w:pPr>
              <w:rPr>
                <w:rFonts w:ascii="Aptos" w:hAnsi="Aptos"/>
                <w:sz w:val="18"/>
                <w:szCs w:val="18"/>
              </w:rPr>
            </w:pPr>
            <w:r w:rsidRPr="00C05E28">
              <w:rPr>
                <w:rFonts w:ascii="Aptos" w:hAnsi="Aptos"/>
                <w:sz w:val="18"/>
                <w:szCs w:val="18"/>
              </w:rPr>
              <w:t>Were the eligibility criteria appropriate for the review question?</w:t>
            </w:r>
          </w:p>
        </w:tc>
        <w:tc>
          <w:tcPr>
            <w:tcW w:w="541" w:type="pct"/>
            <w:shd w:val="clear" w:color="000000" w:fill="FFFFFF"/>
            <w:vAlign w:val="center"/>
            <w:hideMark/>
          </w:tcPr>
          <w:p w14:paraId="60E01A31"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43412621"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152B8B3D" w14:textId="349DB619"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60D4B33C" w14:textId="77777777" w:rsidTr="006C6DF4">
        <w:trPr>
          <w:trHeight w:val="484"/>
        </w:trPr>
        <w:tc>
          <w:tcPr>
            <w:tcW w:w="3378" w:type="pct"/>
            <w:shd w:val="clear" w:color="000000" w:fill="FFFFFF"/>
            <w:vAlign w:val="center"/>
            <w:hideMark/>
          </w:tcPr>
          <w:p w14:paraId="26103679" w14:textId="77777777" w:rsidR="004C17C8" w:rsidRPr="00C05E28" w:rsidRDefault="004C17C8" w:rsidP="004C17C8">
            <w:pPr>
              <w:rPr>
                <w:rFonts w:ascii="Aptos" w:hAnsi="Aptos"/>
                <w:sz w:val="18"/>
                <w:szCs w:val="18"/>
              </w:rPr>
            </w:pPr>
            <w:r w:rsidRPr="00C05E28">
              <w:rPr>
                <w:rFonts w:ascii="Aptos" w:hAnsi="Aptos"/>
                <w:sz w:val="18"/>
                <w:szCs w:val="18"/>
              </w:rPr>
              <w:t>Were eligibility criteria unambiguous?</w:t>
            </w:r>
          </w:p>
        </w:tc>
        <w:tc>
          <w:tcPr>
            <w:tcW w:w="541" w:type="pct"/>
            <w:shd w:val="clear" w:color="000000" w:fill="FFFFFF"/>
            <w:vAlign w:val="center"/>
            <w:hideMark/>
          </w:tcPr>
          <w:p w14:paraId="57068B7C"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17C91B9B"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1422CD4A" w14:textId="215FB2E1"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3A6A34D4" w14:textId="77777777" w:rsidTr="006C6DF4">
        <w:trPr>
          <w:trHeight w:val="484"/>
        </w:trPr>
        <w:tc>
          <w:tcPr>
            <w:tcW w:w="3378" w:type="pct"/>
            <w:shd w:val="clear" w:color="000000" w:fill="FFFFFF"/>
            <w:vAlign w:val="center"/>
            <w:hideMark/>
          </w:tcPr>
          <w:p w14:paraId="5AECE30E" w14:textId="77777777" w:rsidR="004C17C8" w:rsidRPr="00C05E28" w:rsidRDefault="004C17C8" w:rsidP="004C17C8">
            <w:pPr>
              <w:rPr>
                <w:rFonts w:ascii="Aptos" w:hAnsi="Aptos"/>
                <w:sz w:val="18"/>
                <w:szCs w:val="18"/>
              </w:rPr>
            </w:pPr>
            <w:r w:rsidRPr="00C05E28">
              <w:rPr>
                <w:rFonts w:ascii="Aptos" w:hAnsi="Aptos"/>
                <w:sz w:val="18"/>
                <w:szCs w:val="18"/>
              </w:rPr>
              <w:t>Were all restrictions in eligibility criteria based on study characteristics appropriate (e.g. date, sample size, study quality, outcomes measured)?</w:t>
            </w:r>
          </w:p>
        </w:tc>
        <w:tc>
          <w:tcPr>
            <w:tcW w:w="541" w:type="pct"/>
            <w:shd w:val="clear" w:color="000000" w:fill="FFFFFF"/>
            <w:vAlign w:val="center"/>
            <w:hideMark/>
          </w:tcPr>
          <w:p w14:paraId="4CCF7D42"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6E507F46"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2055141F" w14:textId="6F5E1463"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31218E64" w14:textId="77777777" w:rsidTr="006C6DF4">
        <w:trPr>
          <w:trHeight w:val="484"/>
        </w:trPr>
        <w:tc>
          <w:tcPr>
            <w:tcW w:w="3378" w:type="pct"/>
            <w:shd w:val="clear" w:color="000000" w:fill="FFFFFF"/>
            <w:vAlign w:val="center"/>
            <w:hideMark/>
          </w:tcPr>
          <w:p w14:paraId="177989AD" w14:textId="77777777" w:rsidR="004C17C8" w:rsidRPr="00C05E28" w:rsidRDefault="004C17C8" w:rsidP="004C17C8">
            <w:pPr>
              <w:rPr>
                <w:rFonts w:ascii="Aptos" w:hAnsi="Aptos"/>
                <w:sz w:val="18"/>
                <w:szCs w:val="18"/>
              </w:rPr>
            </w:pPr>
            <w:r w:rsidRPr="00C05E28">
              <w:rPr>
                <w:rFonts w:ascii="Aptos" w:hAnsi="Aptos"/>
                <w:sz w:val="18"/>
                <w:szCs w:val="18"/>
              </w:rPr>
              <w:lastRenderedPageBreak/>
              <w:t>Were any restrictions in eligibility criteria based on sources of information appropriate (publication status or format, language, availability of data)?</w:t>
            </w:r>
          </w:p>
        </w:tc>
        <w:tc>
          <w:tcPr>
            <w:tcW w:w="541" w:type="pct"/>
            <w:shd w:val="clear" w:color="000000" w:fill="FFFFFF"/>
            <w:vAlign w:val="center"/>
            <w:hideMark/>
          </w:tcPr>
          <w:p w14:paraId="2CA37177"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712A0DAF"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6E5DFFD3" w14:textId="07411214"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6020E782" w14:textId="77777777" w:rsidTr="006C6DF4">
        <w:trPr>
          <w:trHeight w:val="484"/>
        </w:trPr>
        <w:tc>
          <w:tcPr>
            <w:tcW w:w="3378" w:type="pct"/>
            <w:shd w:val="clear" w:color="000000" w:fill="FFFFFF"/>
            <w:vAlign w:val="center"/>
            <w:hideMark/>
          </w:tcPr>
          <w:p w14:paraId="6F606F3D" w14:textId="77777777" w:rsidR="004C17C8" w:rsidRPr="00C05E28" w:rsidRDefault="004C17C8" w:rsidP="004C17C8">
            <w:pPr>
              <w:rPr>
                <w:rFonts w:ascii="Aptos" w:hAnsi="Aptos"/>
                <w:sz w:val="18"/>
                <w:szCs w:val="18"/>
              </w:rPr>
            </w:pPr>
            <w:r w:rsidRPr="00C05E28">
              <w:rPr>
                <w:rFonts w:ascii="Aptos" w:hAnsi="Aptos"/>
                <w:sz w:val="18"/>
                <w:szCs w:val="18"/>
              </w:rPr>
              <w:t>Concerns regarding specification of study eligibility criteria LOW, HIGH, UNCLEAR</w:t>
            </w:r>
          </w:p>
        </w:tc>
        <w:tc>
          <w:tcPr>
            <w:tcW w:w="541" w:type="pct"/>
            <w:shd w:val="clear" w:color="000000" w:fill="E2EFDA"/>
            <w:vAlign w:val="center"/>
            <w:hideMark/>
          </w:tcPr>
          <w:p w14:paraId="619870FE" w14:textId="77777777" w:rsidR="004C17C8" w:rsidRPr="00C05E28" w:rsidRDefault="004C17C8" w:rsidP="006C6DF4">
            <w:pPr>
              <w:jc w:val="center"/>
              <w:rPr>
                <w:rFonts w:ascii="Aptos" w:hAnsi="Aptos"/>
                <w:sz w:val="18"/>
                <w:szCs w:val="18"/>
              </w:rPr>
            </w:pPr>
            <w:r w:rsidRPr="00C05E28">
              <w:rPr>
                <w:rFonts w:ascii="Aptos" w:hAnsi="Aptos"/>
                <w:sz w:val="18"/>
                <w:szCs w:val="18"/>
              </w:rPr>
              <w:t>Low</w:t>
            </w:r>
          </w:p>
        </w:tc>
        <w:tc>
          <w:tcPr>
            <w:tcW w:w="541" w:type="pct"/>
            <w:shd w:val="clear" w:color="000000" w:fill="E2EFDA"/>
            <w:vAlign w:val="center"/>
            <w:hideMark/>
          </w:tcPr>
          <w:p w14:paraId="636C8B0E" w14:textId="77777777" w:rsidR="004C17C8" w:rsidRPr="00C05E28" w:rsidRDefault="004C17C8" w:rsidP="006C6DF4">
            <w:pPr>
              <w:jc w:val="center"/>
              <w:rPr>
                <w:rFonts w:ascii="Aptos" w:hAnsi="Aptos"/>
                <w:sz w:val="18"/>
                <w:szCs w:val="18"/>
              </w:rPr>
            </w:pPr>
            <w:r w:rsidRPr="00C05E28">
              <w:rPr>
                <w:rFonts w:ascii="Aptos" w:hAnsi="Aptos"/>
                <w:sz w:val="18"/>
                <w:szCs w:val="18"/>
              </w:rPr>
              <w:t>Low</w:t>
            </w:r>
          </w:p>
        </w:tc>
        <w:tc>
          <w:tcPr>
            <w:tcW w:w="541" w:type="pct"/>
            <w:shd w:val="clear" w:color="auto" w:fill="E2EFD9" w:themeFill="accent6" w:themeFillTint="33"/>
            <w:vAlign w:val="center"/>
          </w:tcPr>
          <w:p w14:paraId="5848BA90" w14:textId="665F4355" w:rsidR="004C17C8" w:rsidRPr="00C05E28" w:rsidRDefault="004C17C8" w:rsidP="006C6DF4">
            <w:pPr>
              <w:jc w:val="center"/>
              <w:rPr>
                <w:rFonts w:ascii="Aptos" w:hAnsi="Aptos"/>
                <w:sz w:val="18"/>
                <w:szCs w:val="18"/>
              </w:rPr>
            </w:pPr>
            <w:r w:rsidRPr="00C05E28">
              <w:rPr>
                <w:rFonts w:ascii="Aptos" w:hAnsi="Aptos"/>
                <w:sz w:val="18"/>
                <w:szCs w:val="18"/>
              </w:rPr>
              <w:t>Low</w:t>
            </w:r>
          </w:p>
        </w:tc>
      </w:tr>
      <w:tr w:rsidR="004C17C8" w:rsidRPr="00C05E28" w14:paraId="49CC1BBB" w14:textId="77777777" w:rsidTr="006C6DF4">
        <w:trPr>
          <w:trHeight w:val="484"/>
        </w:trPr>
        <w:tc>
          <w:tcPr>
            <w:tcW w:w="3378" w:type="pct"/>
            <w:shd w:val="clear" w:color="000000" w:fill="F2F2F2"/>
            <w:vAlign w:val="center"/>
            <w:hideMark/>
          </w:tcPr>
          <w:p w14:paraId="695E52A5" w14:textId="77777777" w:rsidR="004C17C8" w:rsidRPr="00C05E28" w:rsidRDefault="004C17C8" w:rsidP="004C17C8">
            <w:pPr>
              <w:rPr>
                <w:rFonts w:ascii="Aptos" w:hAnsi="Aptos"/>
                <w:sz w:val="18"/>
                <w:szCs w:val="18"/>
              </w:rPr>
            </w:pPr>
            <w:r w:rsidRPr="00C05E28">
              <w:rPr>
                <w:rFonts w:ascii="Aptos" w:hAnsi="Aptos"/>
                <w:sz w:val="18"/>
                <w:szCs w:val="18"/>
              </w:rPr>
              <w:t>Domain 2: Identification and selection of studies</w:t>
            </w:r>
          </w:p>
        </w:tc>
        <w:tc>
          <w:tcPr>
            <w:tcW w:w="541" w:type="pct"/>
            <w:shd w:val="clear" w:color="000000" w:fill="F2F2F2"/>
            <w:vAlign w:val="center"/>
            <w:hideMark/>
          </w:tcPr>
          <w:p w14:paraId="62957DC6" w14:textId="48700374" w:rsidR="004C17C8" w:rsidRPr="00C05E28" w:rsidRDefault="004C17C8" w:rsidP="006C6DF4">
            <w:pPr>
              <w:jc w:val="center"/>
              <w:rPr>
                <w:rFonts w:ascii="Aptos" w:hAnsi="Aptos"/>
                <w:sz w:val="18"/>
                <w:szCs w:val="18"/>
              </w:rPr>
            </w:pPr>
          </w:p>
        </w:tc>
        <w:tc>
          <w:tcPr>
            <w:tcW w:w="541" w:type="pct"/>
            <w:shd w:val="clear" w:color="000000" w:fill="F2F2F2"/>
            <w:vAlign w:val="center"/>
            <w:hideMark/>
          </w:tcPr>
          <w:p w14:paraId="1B044037" w14:textId="0C4155E8" w:rsidR="004C17C8" w:rsidRPr="00C05E28" w:rsidRDefault="004C17C8" w:rsidP="006C6DF4">
            <w:pPr>
              <w:jc w:val="center"/>
              <w:rPr>
                <w:rFonts w:ascii="Aptos" w:hAnsi="Aptos"/>
                <w:sz w:val="18"/>
                <w:szCs w:val="18"/>
              </w:rPr>
            </w:pPr>
          </w:p>
        </w:tc>
        <w:tc>
          <w:tcPr>
            <w:tcW w:w="541" w:type="pct"/>
            <w:shd w:val="clear" w:color="auto" w:fill="EDEDED" w:themeFill="accent3" w:themeFillTint="33"/>
            <w:vAlign w:val="center"/>
          </w:tcPr>
          <w:p w14:paraId="49228829" w14:textId="418953D0" w:rsidR="004C17C8" w:rsidRPr="00C05E28" w:rsidRDefault="004C17C8" w:rsidP="006C6DF4">
            <w:pPr>
              <w:jc w:val="center"/>
              <w:rPr>
                <w:rFonts w:ascii="Aptos" w:hAnsi="Aptos"/>
                <w:sz w:val="18"/>
                <w:szCs w:val="18"/>
              </w:rPr>
            </w:pPr>
          </w:p>
        </w:tc>
      </w:tr>
      <w:tr w:rsidR="004C17C8" w:rsidRPr="00C05E28" w14:paraId="6D9D2BDB" w14:textId="77777777" w:rsidTr="006C6DF4">
        <w:trPr>
          <w:trHeight w:val="484"/>
        </w:trPr>
        <w:tc>
          <w:tcPr>
            <w:tcW w:w="3378" w:type="pct"/>
            <w:shd w:val="clear" w:color="000000" w:fill="FFFFFF"/>
            <w:vAlign w:val="center"/>
            <w:hideMark/>
          </w:tcPr>
          <w:p w14:paraId="3650AF4C" w14:textId="77777777" w:rsidR="004C17C8" w:rsidRPr="00C05E28" w:rsidRDefault="004C17C8" w:rsidP="004C17C8">
            <w:pPr>
              <w:rPr>
                <w:rFonts w:ascii="Aptos" w:hAnsi="Aptos"/>
                <w:sz w:val="18"/>
                <w:szCs w:val="18"/>
              </w:rPr>
            </w:pPr>
            <w:r w:rsidRPr="00C05E28">
              <w:rPr>
                <w:rFonts w:ascii="Aptos" w:hAnsi="Aptos"/>
                <w:sz w:val="18"/>
                <w:szCs w:val="18"/>
              </w:rPr>
              <w:t>Did the search include an appropriate range of databases/electronic sources for published and unpublished reports?</w:t>
            </w:r>
          </w:p>
        </w:tc>
        <w:tc>
          <w:tcPr>
            <w:tcW w:w="541" w:type="pct"/>
            <w:shd w:val="clear" w:color="000000" w:fill="FFFFFF"/>
            <w:vAlign w:val="center"/>
            <w:hideMark/>
          </w:tcPr>
          <w:p w14:paraId="5061D2B2"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7A243AA9"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14D7C5C1" w14:textId="7669EA6E"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7F2147BF" w14:textId="77777777" w:rsidTr="006C6DF4">
        <w:trPr>
          <w:trHeight w:val="484"/>
        </w:trPr>
        <w:tc>
          <w:tcPr>
            <w:tcW w:w="3378" w:type="pct"/>
            <w:shd w:val="clear" w:color="000000" w:fill="FFFFFF"/>
            <w:vAlign w:val="center"/>
            <w:hideMark/>
          </w:tcPr>
          <w:p w14:paraId="41A86B4B" w14:textId="77777777" w:rsidR="004C17C8" w:rsidRPr="00C05E28" w:rsidRDefault="004C17C8" w:rsidP="004C17C8">
            <w:pPr>
              <w:rPr>
                <w:rFonts w:ascii="Aptos" w:hAnsi="Aptos"/>
                <w:sz w:val="18"/>
                <w:szCs w:val="18"/>
              </w:rPr>
            </w:pPr>
            <w:r w:rsidRPr="00C05E28">
              <w:rPr>
                <w:rFonts w:ascii="Aptos" w:hAnsi="Aptos"/>
                <w:sz w:val="18"/>
                <w:szCs w:val="18"/>
              </w:rPr>
              <w:t>Were methods additional to database searching used to identify relevant reports?</w:t>
            </w:r>
          </w:p>
        </w:tc>
        <w:tc>
          <w:tcPr>
            <w:tcW w:w="541" w:type="pct"/>
            <w:shd w:val="clear" w:color="000000" w:fill="FFFFFF"/>
            <w:vAlign w:val="center"/>
            <w:hideMark/>
          </w:tcPr>
          <w:p w14:paraId="7528E3F3"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5148B003"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4F7843BF" w14:textId="58536D3A"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4E46B6ED" w14:textId="77777777" w:rsidTr="006C6DF4">
        <w:trPr>
          <w:trHeight w:val="484"/>
        </w:trPr>
        <w:tc>
          <w:tcPr>
            <w:tcW w:w="3378" w:type="pct"/>
            <w:shd w:val="clear" w:color="000000" w:fill="FFFFFF"/>
            <w:vAlign w:val="center"/>
            <w:hideMark/>
          </w:tcPr>
          <w:p w14:paraId="3ACA7887" w14:textId="77777777" w:rsidR="004C17C8" w:rsidRPr="00C05E28" w:rsidRDefault="004C17C8" w:rsidP="004C17C8">
            <w:pPr>
              <w:rPr>
                <w:rFonts w:ascii="Aptos" w:hAnsi="Aptos"/>
                <w:sz w:val="18"/>
                <w:szCs w:val="18"/>
              </w:rPr>
            </w:pPr>
            <w:r w:rsidRPr="00C05E28">
              <w:rPr>
                <w:rFonts w:ascii="Aptos" w:hAnsi="Aptos"/>
                <w:sz w:val="18"/>
                <w:szCs w:val="18"/>
              </w:rPr>
              <w:t>Were the terms and structure of the search strategy likely to retrieve as many eligible studies as possible?</w:t>
            </w:r>
          </w:p>
        </w:tc>
        <w:tc>
          <w:tcPr>
            <w:tcW w:w="541" w:type="pct"/>
            <w:shd w:val="clear" w:color="000000" w:fill="FFFFFF"/>
            <w:vAlign w:val="center"/>
            <w:hideMark/>
          </w:tcPr>
          <w:p w14:paraId="047E9C8D"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4A1F00A0" w14:textId="77777777" w:rsidR="004C17C8" w:rsidRPr="00C05E28" w:rsidRDefault="004C17C8" w:rsidP="006C6DF4">
            <w:pPr>
              <w:jc w:val="center"/>
              <w:rPr>
                <w:rFonts w:ascii="Aptos" w:hAnsi="Aptos"/>
                <w:sz w:val="18"/>
                <w:szCs w:val="18"/>
              </w:rPr>
            </w:pPr>
            <w:r w:rsidRPr="00C05E28">
              <w:rPr>
                <w:rFonts w:ascii="Aptos" w:hAnsi="Aptos"/>
                <w:sz w:val="18"/>
                <w:szCs w:val="18"/>
              </w:rPr>
              <w:t>PY</w:t>
            </w:r>
          </w:p>
        </w:tc>
        <w:tc>
          <w:tcPr>
            <w:tcW w:w="541" w:type="pct"/>
            <w:vAlign w:val="center"/>
          </w:tcPr>
          <w:p w14:paraId="46D607B8" w14:textId="1392403C" w:rsidR="004C17C8" w:rsidRPr="00C05E28" w:rsidRDefault="004C17C8" w:rsidP="006C6DF4">
            <w:pPr>
              <w:jc w:val="center"/>
              <w:rPr>
                <w:rFonts w:ascii="Aptos" w:hAnsi="Aptos"/>
                <w:sz w:val="18"/>
                <w:szCs w:val="18"/>
              </w:rPr>
            </w:pPr>
            <w:r w:rsidRPr="00C05E28">
              <w:rPr>
                <w:rFonts w:ascii="Aptos" w:hAnsi="Aptos"/>
                <w:sz w:val="18"/>
                <w:szCs w:val="18"/>
              </w:rPr>
              <w:t>PY</w:t>
            </w:r>
          </w:p>
        </w:tc>
      </w:tr>
      <w:tr w:rsidR="004C17C8" w:rsidRPr="00C05E28" w14:paraId="3644A9A1" w14:textId="77777777" w:rsidTr="006C6DF4">
        <w:trPr>
          <w:trHeight w:val="484"/>
        </w:trPr>
        <w:tc>
          <w:tcPr>
            <w:tcW w:w="3378" w:type="pct"/>
            <w:shd w:val="clear" w:color="000000" w:fill="FFFFFF"/>
            <w:vAlign w:val="center"/>
            <w:hideMark/>
          </w:tcPr>
          <w:p w14:paraId="09E475DF" w14:textId="77777777" w:rsidR="004C17C8" w:rsidRPr="00C05E28" w:rsidRDefault="004C17C8" w:rsidP="004C17C8">
            <w:pPr>
              <w:rPr>
                <w:rFonts w:ascii="Aptos" w:hAnsi="Aptos"/>
                <w:sz w:val="18"/>
                <w:szCs w:val="18"/>
              </w:rPr>
            </w:pPr>
            <w:r w:rsidRPr="00C05E28">
              <w:rPr>
                <w:rFonts w:ascii="Aptos" w:hAnsi="Aptos"/>
                <w:sz w:val="18"/>
                <w:szCs w:val="18"/>
              </w:rPr>
              <w:t>Were restrictions based on date, publication format, or language appropriate?</w:t>
            </w:r>
          </w:p>
        </w:tc>
        <w:tc>
          <w:tcPr>
            <w:tcW w:w="541" w:type="pct"/>
            <w:shd w:val="clear" w:color="000000" w:fill="FFFFFF"/>
            <w:vAlign w:val="center"/>
            <w:hideMark/>
          </w:tcPr>
          <w:p w14:paraId="1C8AA256" w14:textId="77777777" w:rsidR="004C17C8" w:rsidRPr="00C05E28" w:rsidRDefault="004C17C8" w:rsidP="006C6DF4">
            <w:pPr>
              <w:jc w:val="center"/>
              <w:rPr>
                <w:rFonts w:ascii="Aptos" w:hAnsi="Aptos"/>
                <w:sz w:val="18"/>
                <w:szCs w:val="18"/>
              </w:rPr>
            </w:pPr>
            <w:r w:rsidRPr="00C05E28">
              <w:rPr>
                <w:rFonts w:ascii="Aptos" w:hAnsi="Aptos"/>
                <w:sz w:val="18"/>
                <w:szCs w:val="18"/>
              </w:rPr>
              <w:t>PN</w:t>
            </w:r>
          </w:p>
        </w:tc>
        <w:tc>
          <w:tcPr>
            <w:tcW w:w="541" w:type="pct"/>
            <w:shd w:val="clear" w:color="000000" w:fill="FFFFFF"/>
            <w:vAlign w:val="center"/>
            <w:hideMark/>
          </w:tcPr>
          <w:p w14:paraId="79F5563E"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2EE55BDD" w14:textId="6CB7026E" w:rsidR="004C17C8" w:rsidRPr="00C05E28" w:rsidRDefault="004C17C8" w:rsidP="006C6DF4">
            <w:pPr>
              <w:jc w:val="center"/>
              <w:rPr>
                <w:rFonts w:ascii="Aptos" w:hAnsi="Aptos"/>
                <w:sz w:val="18"/>
                <w:szCs w:val="18"/>
              </w:rPr>
            </w:pPr>
            <w:r w:rsidRPr="00C05E28">
              <w:rPr>
                <w:rFonts w:ascii="Aptos" w:hAnsi="Aptos"/>
                <w:sz w:val="18"/>
                <w:szCs w:val="18"/>
              </w:rPr>
              <w:t>PN</w:t>
            </w:r>
          </w:p>
        </w:tc>
      </w:tr>
      <w:tr w:rsidR="004C17C8" w:rsidRPr="00C05E28" w14:paraId="0413E582" w14:textId="77777777" w:rsidTr="006C6DF4">
        <w:trPr>
          <w:trHeight w:val="484"/>
        </w:trPr>
        <w:tc>
          <w:tcPr>
            <w:tcW w:w="3378" w:type="pct"/>
            <w:shd w:val="clear" w:color="000000" w:fill="FFFFFF"/>
            <w:vAlign w:val="center"/>
            <w:hideMark/>
          </w:tcPr>
          <w:p w14:paraId="032C53DE" w14:textId="77777777" w:rsidR="004C17C8" w:rsidRPr="00C05E28" w:rsidRDefault="004C17C8" w:rsidP="004C17C8">
            <w:pPr>
              <w:rPr>
                <w:rFonts w:ascii="Aptos" w:hAnsi="Aptos"/>
                <w:sz w:val="18"/>
                <w:szCs w:val="18"/>
              </w:rPr>
            </w:pPr>
            <w:r w:rsidRPr="00C05E28">
              <w:rPr>
                <w:rFonts w:ascii="Aptos" w:hAnsi="Aptos"/>
                <w:sz w:val="18"/>
                <w:szCs w:val="18"/>
              </w:rPr>
              <w:t>Were efforts made to minimise error in selection of studies?</w:t>
            </w:r>
          </w:p>
        </w:tc>
        <w:tc>
          <w:tcPr>
            <w:tcW w:w="541" w:type="pct"/>
            <w:shd w:val="clear" w:color="000000" w:fill="FFFFFF"/>
            <w:vAlign w:val="center"/>
            <w:hideMark/>
          </w:tcPr>
          <w:p w14:paraId="569A1EF9" w14:textId="77777777" w:rsidR="004C17C8" w:rsidRPr="00C05E28" w:rsidRDefault="004C17C8" w:rsidP="006C6DF4">
            <w:pPr>
              <w:jc w:val="center"/>
              <w:rPr>
                <w:rFonts w:ascii="Aptos" w:hAnsi="Aptos"/>
                <w:sz w:val="18"/>
                <w:szCs w:val="18"/>
              </w:rPr>
            </w:pPr>
            <w:r w:rsidRPr="00C05E28">
              <w:rPr>
                <w:rFonts w:ascii="Aptos" w:hAnsi="Aptos"/>
                <w:sz w:val="18"/>
                <w:szCs w:val="18"/>
              </w:rPr>
              <w:t>PY</w:t>
            </w:r>
          </w:p>
        </w:tc>
        <w:tc>
          <w:tcPr>
            <w:tcW w:w="541" w:type="pct"/>
            <w:shd w:val="clear" w:color="000000" w:fill="FFFFFF"/>
            <w:vAlign w:val="center"/>
            <w:hideMark/>
          </w:tcPr>
          <w:p w14:paraId="645DEE10" w14:textId="77777777" w:rsidR="004C17C8" w:rsidRPr="00C05E28" w:rsidRDefault="004C17C8" w:rsidP="006C6DF4">
            <w:pPr>
              <w:jc w:val="center"/>
              <w:rPr>
                <w:rFonts w:ascii="Aptos" w:hAnsi="Aptos"/>
                <w:sz w:val="18"/>
                <w:szCs w:val="18"/>
              </w:rPr>
            </w:pPr>
            <w:r w:rsidRPr="00C05E28">
              <w:rPr>
                <w:rFonts w:ascii="Aptos" w:hAnsi="Aptos"/>
                <w:sz w:val="18"/>
                <w:szCs w:val="18"/>
              </w:rPr>
              <w:t>NI</w:t>
            </w:r>
          </w:p>
        </w:tc>
        <w:tc>
          <w:tcPr>
            <w:tcW w:w="541" w:type="pct"/>
            <w:vAlign w:val="center"/>
          </w:tcPr>
          <w:p w14:paraId="4B30F0FE" w14:textId="43E51E7C" w:rsidR="004C17C8" w:rsidRPr="00C05E28" w:rsidRDefault="004C17C8" w:rsidP="006C6DF4">
            <w:pPr>
              <w:jc w:val="center"/>
              <w:rPr>
                <w:rFonts w:ascii="Aptos" w:hAnsi="Aptos"/>
                <w:sz w:val="18"/>
                <w:szCs w:val="18"/>
              </w:rPr>
            </w:pPr>
            <w:r w:rsidRPr="00C05E28">
              <w:rPr>
                <w:rFonts w:ascii="Aptos" w:hAnsi="Aptos"/>
                <w:sz w:val="18"/>
                <w:szCs w:val="18"/>
              </w:rPr>
              <w:t>NI</w:t>
            </w:r>
          </w:p>
        </w:tc>
      </w:tr>
      <w:tr w:rsidR="004C17C8" w:rsidRPr="00C05E28" w14:paraId="30D5FC95" w14:textId="77777777" w:rsidTr="00B12A08">
        <w:trPr>
          <w:trHeight w:val="484"/>
        </w:trPr>
        <w:tc>
          <w:tcPr>
            <w:tcW w:w="3378" w:type="pct"/>
            <w:shd w:val="clear" w:color="000000" w:fill="FFFFFF"/>
            <w:vAlign w:val="center"/>
            <w:hideMark/>
          </w:tcPr>
          <w:p w14:paraId="0A58555E" w14:textId="77777777" w:rsidR="004C17C8" w:rsidRPr="00C05E28" w:rsidRDefault="004C17C8" w:rsidP="004C17C8">
            <w:pPr>
              <w:rPr>
                <w:rFonts w:ascii="Aptos" w:hAnsi="Aptos"/>
                <w:sz w:val="18"/>
                <w:szCs w:val="18"/>
              </w:rPr>
            </w:pPr>
            <w:r w:rsidRPr="00C05E28">
              <w:rPr>
                <w:rFonts w:ascii="Aptos" w:hAnsi="Aptos"/>
                <w:sz w:val="18"/>
                <w:szCs w:val="18"/>
              </w:rPr>
              <w:t>Concerns regarding methods used to identify and/or select studies: LOW, HIGH, UNCLEAR</w:t>
            </w:r>
          </w:p>
        </w:tc>
        <w:tc>
          <w:tcPr>
            <w:tcW w:w="541" w:type="pct"/>
            <w:shd w:val="clear" w:color="000000" w:fill="FFF2CC"/>
            <w:vAlign w:val="center"/>
            <w:hideMark/>
          </w:tcPr>
          <w:p w14:paraId="79CF9FE8" w14:textId="77777777" w:rsidR="004C17C8" w:rsidRPr="00C05E28" w:rsidRDefault="004C17C8" w:rsidP="006C6DF4">
            <w:pPr>
              <w:jc w:val="center"/>
              <w:rPr>
                <w:rFonts w:ascii="Aptos" w:hAnsi="Aptos"/>
                <w:sz w:val="18"/>
                <w:szCs w:val="18"/>
              </w:rPr>
            </w:pPr>
            <w:r w:rsidRPr="00C05E28">
              <w:rPr>
                <w:rFonts w:ascii="Aptos" w:hAnsi="Aptos"/>
                <w:sz w:val="18"/>
                <w:szCs w:val="18"/>
              </w:rPr>
              <w:t>Unclear</w:t>
            </w:r>
          </w:p>
        </w:tc>
        <w:tc>
          <w:tcPr>
            <w:tcW w:w="541" w:type="pct"/>
            <w:shd w:val="clear" w:color="auto" w:fill="FFF2CC" w:themeFill="accent4" w:themeFillTint="33"/>
            <w:vAlign w:val="center"/>
            <w:hideMark/>
          </w:tcPr>
          <w:p w14:paraId="4ED75BB6" w14:textId="128A0A97" w:rsidR="004C17C8" w:rsidRPr="00C05E28" w:rsidRDefault="00BD1E42" w:rsidP="006C6DF4">
            <w:pPr>
              <w:jc w:val="center"/>
              <w:rPr>
                <w:rFonts w:ascii="Aptos" w:hAnsi="Aptos"/>
                <w:sz w:val="18"/>
                <w:szCs w:val="18"/>
              </w:rPr>
            </w:pPr>
            <w:r>
              <w:rPr>
                <w:rFonts w:ascii="Aptos" w:hAnsi="Aptos"/>
                <w:sz w:val="18"/>
                <w:szCs w:val="18"/>
              </w:rPr>
              <w:t>Unclear</w:t>
            </w:r>
          </w:p>
        </w:tc>
        <w:tc>
          <w:tcPr>
            <w:tcW w:w="541" w:type="pct"/>
            <w:shd w:val="clear" w:color="auto" w:fill="FFF2CC" w:themeFill="accent4" w:themeFillTint="33"/>
            <w:vAlign w:val="center"/>
          </w:tcPr>
          <w:p w14:paraId="4057A090" w14:textId="47CF63DF" w:rsidR="004C17C8" w:rsidRPr="00C05E28" w:rsidRDefault="004C17C8" w:rsidP="006C6DF4">
            <w:pPr>
              <w:jc w:val="center"/>
              <w:rPr>
                <w:rFonts w:ascii="Aptos" w:hAnsi="Aptos"/>
                <w:sz w:val="18"/>
                <w:szCs w:val="18"/>
              </w:rPr>
            </w:pPr>
            <w:r w:rsidRPr="00C05E28">
              <w:rPr>
                <w:rFonts w:ascii="Aptos" w:hAnsi="Aptos"/>
                <w:sz w:val="18"/>
                <w:szCs w:val="18"/>
              </w:rPr>
              <w:t>Unclear</w:t>
            </w:r>
          </w:p>
        </w:tc>
      </w:tr>
      <w:tr w:rsidR="004C17C8" w:rsidRPr="00C05E28" w14:paraId="1DB965D2" w14:textId="77777777" w:rsidTr="006C6DF4">
        <w:trPr>
          <w:trHeight w:val="484"/>
        </w:trPr>
        <w:tc>
          <w:tcPr>
            <w:tcW w:w="3378" w:type="pct"/>
            <w:shd w:val="clear" w:color="000000" w:fill="F2F2F2"/>
            <w:vAlign w:val="center"/>
            <w:hideMark/>
          </w:tcPr>
          <w:p w14:paraId="1C47B6D3" w14:textId="77777777" w:rsidR="004C17C8" w:rsidRPr="00C05E28" w:rsidRDefault="004C17C8" w:rsidP="004C17C8">
            <w:pPr>
              <w:rPr>
                <w:rFonts w:ascii="Aptos" w:hAnsi="Aptos"/>
                <w:sz w:val="18"/>
                <w:szCs w:val="18"/>
              </w:rPr>
            </w:pPr>
            <w:r w:rsidRPr="00C05E28">
              <w:rPr>
                <w:rFonts w:ascii="Aptos" w:hAnsi="Aptos"/>
                <w:sz w:val="18"/>
                <w:szCs w:val="18"/>
              </w:rPr>
              <w:t>Domain 3: Data collection and study appraisal</w:t>
            </w:r>
          </w:p>
        </w:tc>
        <w:tc>
          <w:tcPr>
            <w:tcW w:w="541" w:type="pct"/>
            <w:shd w:val="clear" w:color="000000" w:fill="F2F2F2"/>
            <w:vAlign w:val="center"/>
            <w:hideMark/>
          </w:tcPr>
          <w:p w14:paraId="063D7633" w14:textId="4C6124AF" w:rsidR="004C17C8" w:rsidRPr="00C05E28" w:rsidRDefault="004C17C8" w:rsidP="006C6DF4">
            <w:pPr>
              <w:jc w:val="center"/>
              <w:rPr>
                <w:rFonts w:ascii="Aptos" w:hAnsi="Aptos"/>
                <w:sz w:val="18"/>
                <w:szCs w:val="18"/>
              </w:rPr>
            </w:pPr>
          </w:p>
        </w:tc>
        <w:tc>
          <w:tcPr>
            <w:tcW w:w="541" w:type="pct"/>
            <w:shd w:val="clear" w:color="000000" w:fill="F2F2F2"/>
            <w:vAlign w:val="center"/>
            <w:hideMark/>
          </w:tcPr>
          <w:p w14:paraId="425E2AFA" w14:textId="45C92A69" w:rsidR="004C17C8" w:rsidRPr="00C05E28" w:rsidRDefault="004C17C8" w:rsidP="006C6DF4">
            <w:pPr>
              <w:jc w:val="center"/>
              <w:rPr>
                <w:rFonts w:ascii="Aptos" w:hAnsi="Aptos"/>
                <w:sz w:val="18"/>
                <w:szCs w:val="18"/>
              </w:rPr>
            </w:pPr>
          </w:p>
        </w:tc>
        <w:tc>
          <w:tcPr>
            <w:tcW w:w="541" w:type="pct"/>
            <w:shd w:val="clear" w:color="auto" w:fill="EDEDED" w:themeFill="accent3" w:themeFillTint="33"/>
            <w:vAlign w:val="center"/>
          </w:tcPr>
          <w:p w14:paraId="74C5CEA3" w14:textId="516CDA02" w:rsidR="004C17C8" w:rsidRPr="00C05E28" w:rsidRDefault="004C17C8" w:rsidP="006C6DF4">
            <w:pPr>
              <w:jc w:val="center"/>
              <w:rPr>
                <w:rFonts w:ascii="Aptos" w:hAnsi="Aptos"/>
                <w:sz w:val="18"/>
                <w:szCs w:val="18"/>
              </w:rPr>
            </w:pPr>
          </w:p>
        </w:tc>
      </w:tr>
      <w:tr w:rsidR="004C17C8" w:rsidRPr="00C05E28" w14:paraId="57CBE9A0" w14:textId="77777777" w:rsidTr="006C6DF4">
        <w:trPr>
          <w:trHeight w:val="484"/>
        </w:trPr>
        <w:tc>
          <w:tcPr>
            <w:tcW w:w="3378" w:type="pct"/>
            <w:shd w:val="clear" w:color="000000" w:fill="FFFFFF"/>
            <w:vAlign w:val="center"/>
            <w:hideMark/>
          </w:tcPr>
          <w:p w14:paraId="6C83F5B7" w14:textId="77777777" w:rsidR="004C17C8" w:rsidRPr="00C05E28" w:rsidRDefault="004C17C8" w:rsidP="004C17C8">
            <w:pPr>
              <w:rPr>
                <w:rFonts w:ascii="Aptos" w:hAnsi="Aptos"/>
                <w:sz w:val="18"/>
                <w:szCs w:val="18"/>
              </w:rPr>
            </w:pPr>
            <w:r w:rsidRPr="00C05E28">
              <w:rPr>
                <w:rFonts w:ascii="Aptos" w:hAnsi="Aptos"/>
                <w:sz w:val="18"/>
                <w:szCs w:val="18"/>
              </w:rPr>
              <w:t>Were efforts made to minimise error in data collection?</w:t>
            </w:r>
          </w:p>
        </w:tc>
        <w:tc>
          <w:tcPr>
            <w:tcW w:w="541" w:type="pct"/>
            <w:shd w:val="clear" w:color="000000" w:fill="FFFFFF"/>
            <w:vAlign w:val="center"/>
            <w:hideMark/>
          </w:tcPr>
          <w:p w14:paraId="1D7651D0"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6A85A230" w14:textId="77777777" w:rsidR="004C17C8" w:rsidRPr="00C05E28" w:rsidRDefault="004C17C8" w:rsidP="006C6DF4">
            <w:pPr>
              <w:jc w:val="center"/>
              <w:rPr>
                <w:rFonts w:ascii="Aptos" w:hAnsi="Aptos"/>
                <w:sz w:val="18"/>
                <w:szCs w:val="18"/>
              </w:rPr>
            </w:pPr>
            <w:r w:rsidRPr="00C05E28">
              <w:rPr>
                <w:rFonts w:ascii="Aptos" w:hAnsi="Aptos"/>
                <w:sz w:val="18"/>
                <w:szCs w:val="18"/>
              </w:rPr>
              <w:t>NI</w:t>
            </w:r>
          </w:p>
        </w:tc>
        <w:tc>
          <w:tcPr>
            <w:tcW w:w="541" w:type="pct"/>
            <w:vAlign w:val="center"/>
          </w:tcPr>
          <w:p w14:paraId="4CC2D5CE" w14:textId="34A9843D" w:rsidR="004C17C8" w:rsidRPr="00C05E28" w:rsidRDefault="004C17C8" w:rsidP="006C6DF4">
            <w:pPr>
              <w:jc w:val="center"/>
              <w:rPr>
                <w:rFonts w:ascii="Aptos" w:hAnsi="Aptos"/>
                <w:sz w:val="18"/>
                <w:szCs w:val="18"/>
              </w:rPr>
            </w:pPr>
            <w:r w:rsidRPr="00C05E28">
              <w:rPr>
                <w:rFonts w:ascii="Aptos" w:hAnsi="Aptos"/>
                <w:sz w:val="18"/>
                <w:szCs w:val="18"/>
              </w:rPr>
              <w:t>NI</w:t>
            </w:r>
          </w:p>
        </w:tc>
      </w:tr>
      <w:tr w:rsidR="004C17C8" w:rsidRPr="00C05E28" w14:paraId="59E666D3" w14:textId="77777777" w:rsidTr="006C6DF4">
        <w:trPr>
          <w:trHeight w:val="484"/>
        </w:trPr>
        <w:tc>
          <w:tcPr>
            <w:tcW w:w="3378" w:type="pct"/>
            <w:shd w:val="clear" w:color="000000" w:fill="FFFFFF"/>
            <w:vAlign w:val="center"/>
            <w:hideMark/>
          </w:tcPr>
          <w:p w14:paraId="44CE8255" w14:textId="77777777" w:rsidR="004C17C8" w:rsidRPr="00C05E28" w:rsidRDefault="004C17C8" w:rsidP="004C17C8">
            <w:pPr>
              <w:rPr>
                <w:rFonts w:ascii="Aptos" w:hAnsi="Aptos"/>
                <w:sz w:val="18"/>
                <w:szCs w:val="18"/>
              </w:rPr>
            </w:pPr>
            <w:r w:rsidRPr="00C05E28">
              <w:rPr>
                <w:rFonts w:ascii="Aptos" w:hAnsi="Aptos"/>
                <w:sz w:val="18"/>
                <w:szCs w:val="18"/>
              </w:rPr>
              <w:t>Were sufficient study characteristics available for both review authors and readers to be able to interpret the results?</w:t>
            </w:r>
          </w:p>
        </w:tc>
        <w:tc>
          <w:tcPr>
            <w:tcW w:w="541" w:type="pct"/>
            <w:shd w:val="clear" w:color="000000" w:fill="FFFFFF"/>
            <w:vAlign w:val="center"/>
            <w:hideMark/>
          </w:tcPr>
          <w:p w14:paraId="416ABD3D"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6BBA5BAC"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52B8A812" w14:textId="6642E4A9"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164C2CB9" w14:textId="77777777" w:rsidTr="006C6DF4">
        <w:trPr>
          <w:trHeight w:val="484"/>
        </w:trPr>
        <w:tc>
          <w:tcPr>
            <w:tcW w:w="3378" w:type="pct"/>
            <w:shd w:val="clear" w:color="000000" w:fill="FFFFFF"/>
            <w:vAlign w:val="center"/>
            <w:hideMark/>
          </w:tcPr>
          <w:p w14:paraId="770380DE" w14:textId="77777777" w:rsidR="004C17C8" w:rsidRPr="00C05E28" w:rsidRDefault="004C17C8" w:rsidP="004C17C8">
            <w:pPr>
              <w:rPr>
                <w:rFonts w:ascii="Aptos" w:hAnsi="Aptos"/>
                <w:sz w:val="18"/>
                <w:szCs w:val="18"/>
              </w:rPr>
            </w:pPr>
            <w:r w:rsidRPr="00C05E28">
              <w:rPr>
                <w:rFonts w:ascii="Aptos" w:hAnsi="Aptos"/>
                <w:sz w:val="18"/>
                <w:szCs w:val="18"/>
              </w:rPr>
              <w:t>Were all relevant study results collected for use in the synthesis?</w:t>
            </w:r>
          </w:p>
        </w:tc>
        <w:tc>
          <w:tcPr>
            <w:tcW w:w="541" w:type="pct"/>
            <w:shd w:val="clear" w:color="000000" w:fill="FFFFFF"/>
            <w:vAlign w:val="center"/>
            <w:hideMark/>
          </w:tcPr>
          <w:p w14:paraId="5C73CB25"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67741655"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778F33FA" w14:textId="2F4B12B1"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6787FC3D" w14:textId="77777777" w:rsidTr="006C6DF4">
        <w:trPr>
          <w:trHeight w:val="484"/>
        </w:trPr>
        <w:tc>
          <w:tcPr>
            <w:tcW w:w="3378" w:type="pct"/>
            <w:shd w:val="clear" w:color="000000" w:fill="FFFFFF"/>
            <w:vAlign w:val="center"/>
            <w:hideMark/>
          </w:tcPr>
          <w:p w14:paraId="035C60BF" w14:textId="77777777" w:rsidR="004C17C8" w:rsidRPr="00C05E28" w:rsidRDefault="004C17C8" w:rsidP="004C17C8">
            <w:pPr>
              <w:rPr>
                <w:rFonts w:ascii="Aptos" w:hAnsi="Aptos"/>
                <w:sz w:val="18"/>
                <w:szCs w:val="18"/>
              </w:rPr>
            </w:pPr>
            <w:r w:rsidRPr="00C05E28">
              <w:rPr>
                <w:rFonts w:ascii="Aptos" w:hAnsi="Aptos"/>
                <w:sz w:val="18"/>
                <w:szCs w:val="18"/>
              </w:rPr>
              <w:t>Was risk of bias (or methodological quality) formally assessed using appropriate criteria?</w:t>
            </w:r>
          </w:p>
        </w:tc>
        <w:tc>
          <w:tcPr>
            <w:tcW w:w="541" w:type="pct"/>
            <w:shd w:val="clear" w:color="000000" w:fill="FFFFFF"/>
            <w:vAlign w:val="center"/>
            <w:hideMark/>
          </w:tcPr>
          <w:p w14:paraId="09F820F5"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753AE0F6"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3CD0947E" w14:textId="6E18EE55"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678F8A71" w14:textId="77777777" w:rsidTr="006C6DF4">
        <w:trPr>
          <w:trHeight w:val="484"/>
        </w:trPr>
        <w:tc>
          <w:tcPr>
            <w:tcW w:w="3378" w:type="pct"/>
            <w:shd w:val="clear" w:color="000000" w:fill="FFFFFF"/>
            <w:vAlign w:val="center"/>
            <w:hideMark/>
          </w:tcPr>
          <w:p w14:paraId="66E49BE8" w14:textId="77777777" w:rsidR="004C17C8" w:rsidRPr="00C05E28" w:rsidRDefault="004C17C8" w:rsidP="004C17C8">
            <w:pPr>
              <w:rPr>
                <w:rFonts w:ascii="Aptos" w:hAnsi="Aptos"/>
                <w:sz w:val="18"/>
                <w:szCs w:val="18"/>
              </w:rPr>
            </w:pPr>
            <w:r w:rsidRPr="00C05E28">
              <w:rPr>
                <w:rFonts w:ascii="Aptos" w:hAnsi="Aptos"/>
                <w:sz w:val="18"/>
                <w:szCs w:val="18"/>
              </w:rPr>
              <w:t>Were efforts made to minimise error in risk of bias assessment?</w:t>
            </w:r>
          </w:p>
        </w:tc>
        <w:tc>
          <w:tcPr>
            <w:tcW w:w="541" w:type="pct"/>
            <w:shd w:val="clear" w:color="000000" w:fill="FFFFFF"/>
            <w:vAlign w:val="center"/>
            <w:hideMark/>
          </w:tcPr>
          <w:p w14:paraId="6B3DF4C3" w14:textId="77777777" w:rsidR="004C17C8" w:rsidRPr="00C05E28" w:rsidRDefault="004C17C8" w:rsidP="006C6DF4">
            <w:pPr>
              <w:jc w:val="center"/>
              <w:rPr>
                <w:rFonts w:ascii="Aptos" w:hAnsi="Aptos"/>
                <w:sz w:val="18"/>
                <w:szCs w:val="18"/>
              </w:rPr>
            </w:pPr>
            <w:r w:rsidRPr="00C05E28">
              <w:rPr>
                <w:rFonts w:ascii="Aptos" w:hAnsi="Aptos"/>
                <w:sz w:val="18"/>
                <w:szCs w:val="18"/>
              </w:rPr>
              <w:t>NI</w:t>
            </w:r>
          </w:p>
        </w:tc>
        <w:tc>
          <w:tcPr>
            <w:tcW w:w="541" w:type="pct"/>
            <w:shd w:val="clear" w:color="000000" w:fill="FFFFFF"/>
            <w:vAlign w:val="center"/>
            <w:hideMark/>
          </w:tcPr>
          <w:p w14:paraId="02A3E72A" w14:textId="77777777" w:rsidR="004C17C8" w:rsidRPr="00C05E28" w:rsidRDefault="004C17C8" w:rsidP="006C6DF4">
            <w:pPr>
              <w:jc w:val="center"/>
              <w:rPr>
                <w:rFonts w:ascii="Aptos" w:hAnsi="Aptos"/>
                <w:sz w:val="18"/>
                <w:szCs w:val="18"/>
              </w:rPr>
            </w:pPr>
            <w:r w:rsidRPr="00C05E28">
              <w:rPr>
                <w:rFonts w:ascii="Aptos" w:hAnsi="Aptos"/>
                <w:sz w:val="18"/>
                <w:szCs w:val="18"/>
              </w:rPr>
              <w:t>NI</w:t>
            </w:r>
          </w:p>
        </w:tc>
        <w:tc>
          <w:tcPr>
            <w:tcW w:w="541" w:type="pct"/>
            <w:vAlign w:val="center"/>
          </w:tcPr>
          <w:p w14:paraId="5614E617" w14:textId="4D7C3182" w:rsidR="004C17C8" w:rsidRPr="00C05E28" w:rsidRDefault="004C17C8" w:rsidP="006C6DF4">
            <w:pPr>
              <w:jc w:val="center"/>
              <w:rPr>
                <w:rFonts w:ascii="Aptos" w:hAnsi="Aptos"/>
                <w:sz w:val="18"/>
                <w:szCs w:val="18"/>
              </w:rPr>
            </w:pPr>
            <w:r w:rsidRPr="00C05E28">
              <w:rPr>
                <w:rFonts w:ascii="Aptos" w:hAnsi="Aptos"/>
                <w:sz w:val="18"/>
                <w:szCs w:val="18"/>
              </w:rPr>
              <w:t>NI</w:t>
            </w:r>
          </w:p>
        </w:tc>
      </w:tr>
      <w:tr w:rsidR="004C17C8" w:rsidRPr="00C05E28" w14:paraId="0B41587D" w14:textId="77777777" w:rsidTr="00B12A08">
        <w:trPr>
          <w:trHeight w:val="484"/>
        </w:trPr>
        <w:tc>
          <w:tcPr>
            <w:tcW w:w="3378" w:type="pct"/>
            <w:shd w:val="clear" w:color="000000" w:fill="FFFFFF"/>
            <w:vAlign w:val="center"/>
            <w:hideMark/>
          </w:tcPr>
          <w:p w14:paraId="08BEEEF1" w14:textId="77777777" w:rsidR="004C17C8" w:rsidRPr="00C05E28" w:rsidRDefault="004C17C8" w:rsidP="004C17C8">
            <w:pPr>
              <w:rPr>
                <w:rFonts w:ascii="Aptos" w:hAnsi="Aptos"/>
                <w:sz w:val="18"/>
                <w:szCs w:val="18"/>
              </w:rPr>
            </w:pPr>
            <w:r w:rsidRPr="00C05E28">
              <w:rPr>
                <w:rFonts w:ascii="Aptos" w:hAnsi="Aptos"/>
                <w:sz w:val="18"/>
                <w:szCs w:val="18"/>
              </w:rPr>
              <w:t>Concerns regarding methods used to collect data and appraise studies: LOW, HIGH, UNCLEAR</w:t>
            </w:r>
          </w:p>
        </w:tc>
        <w:tc>
          <w:tcPr>
            <w:tcW w:w="541" w:type="pct"/>
            <w:shd w:val="clear" w:color="000000" w:fill="E2EFDA"/>
            <w:vAlign w:val="center"/>
            <w:hideMark/>
          </w:tcPr>
          <w:p w14:paraId="1FE13785" w14:textId="77777777" w:rsidR="004C17C8" w:rsidRPr="00C05E28" w:rsidRDefault="004C17C8" w:rsidP="006C6DF4">
            <w:pPr>
              <w:jc w:val="center"/>
              <w:rPr>
                <w:rFonts w:ascii="Aptos" w:hAnsi="Aptos"/>
                <w:sz w:val="18"/>
                <w:szCs w:val="18"/>
              </w:rPr>
            </w:pPr>
            <w:r w:rsidRPr="00C05E28">
              <w:rPr>
                <w:rFonts w:ascii="Aptos" w:hAnsi="Aptos"/>
                <w:sz w:val="18"/>
                <w:szCs w:val="18"/>
              </w:rPr>
              <w:t>Low</w:t>
            </w:r>
          </w:p>
        </w:tc>
        <w:tc>
          <w:tcPr>
            <w:tcW w:w="541" w:type="pct"/>
            <w:shd w:val="clear" w:color="auto" w:fill="E2EFD9" w:themeFill="accent6" w:themeFillTint="33"/>
            <w:vAlign w:val="center"/>
            <w:hideMark/>
          </w:tcPr>
          <w:p w14:paraId="5425C0DA" w14:textId="61F10668" w:rsidR="004C17C8" w:rsidRPr="00C05E28" w:rsidRDefault="00BD1E42" w:rsidP="006C6DF4">
            <w:pPr>
              <w:jc w:val="center"/>
              <w:rPr>
                <w:rFonts w:ascii="Aptos" w:hAnsi="Aptos"/>
                <w:sz w:val="18"/>
                <w:szCs w:val="18"/>
              </w:rPr>
            </w:pPr>
            <w:r>
              <w:rPr>
                <w:rFonts w:ascii="Aptos" w:hAnsi="Aptos"/>
                <w:sz w:val="18"/>
                <w:szCs w:val="18"/>
              </w:rPr>
              <w:t>Low</w:t>
            </w:r>
          </w:p>
        </w:tc>
        <w:tc>
          <w:tcPr>
            <w:tcW w:w="541" w:type="pct"/>
            <w:shd w:val="clear" w:color="auto" w:fill="FFF2CC" w:themeFill="accent4" w:themeFillTint="33"/>
            <w:vAlign w:val="center"/>
          </w:tcPr>
          <w:p w14:paraId="31C216C3" w14:textId="30842105" w:rsidR="004C17C8" w:rsidRPr="00C05E28" w:rsidRDefault="004C17C8" w:rsidP="006C6DF4">
            <w:pPr>
              <w:jc w:val="center"/>
              <w:rPr>
                <w:rFonts w:ascii="Aptos" w:hAnsi="Aptos"/>
                <w:sz w:val="18"/>
                <w:szCs w:val="18"/>
              </w:rPr>
            </w:pPr>
            <w:r w:rsidRPr="00C05E28">
              <w:rPr>
                <w:rFonts w:ascii="Aptos" w:hAnsi="Aptos"/>
                <w:sz w:val="18"/>
                <w:szCs w:val="18"/>
              </w:rPr>
              <w:t>Unclear</w:t>
            </w:r>
          </w:p>
        </w:tc>
      </w:tr>
      <w:tr w:rsidR="004C17C8" w:rsidRPr="00C05E28" w14:paraId="23E95EE4" w14:textId="77777777" w:rsidTr="006C6DF4">
        <w:trPr>
          <w:trHeight w:val="484"/>
        </w:trPr>
        <w:tc>
          <w:tcPr>
            <w:tcW w:w="3378" w:type="pct"/>
            <w:shd w:val="clear" w:color="000000" w:fill="F2F2F2"/>
            <w:vAlign w:val="center"/>
            <w:hideMark/>
          </w:tcPr>
          <w:p w14:paraId="64EC6C81" w14:textId="77777777" w:rsidR="004C17C8" w:rsidRPr="00C05E28" w:rsidRDefault="004C17C8" w:rsidP="004C17C8">
            <w:pPr>
              <w:rPr>
                <w:rFonts w:ascii="Aptos" w:hAnsi="Aptos"/>
                <w:sz w:val="18"/>
                <w:szCs w:val="18"/>
              </w:rPr>
            </w:pPr>
            <w:r w:rsidRPr="00C05E28">
              <w:rPr>
                <w:rFonts w:ascii="Aptos" w:hAnsi="Aptos"/>
                <w:sz w:val="18"/>
                <w:szCs w:val="18"/>
              </w:rPr>
              <w:t>Domain 4: Synthesis and findings</w:t>
            </w:r>
          </w:p>
        </w:tc>
        <w:tc>
          <w:tcPr>
            <w:tcW w:w="541" w:type="pct"/>
            <w:shd w:val="clear" w:color="000000" w:fill="F2F2F2"/>
            <w:vAlign w:val="center"/>
            <w:hideMark/>
          </w:tcPr>
          <w:p w14:paraId="5D0B7A70" w14:textId="57F44CBA" w:rsidR="004C17C8" w:rsidRPr="00C05E28" w:rsidRDefault="004C17C8" w:rsidP="006C6DF4">
            <w:pPr>
              <w:jc w:val="center"/>
              <w:rPr>
                <w:rFonts w:ascii="Aptos" w:hAnsi="Aptos"/>
                <w:sz w:val="18"/>
                <w:szCs w:val="18"/>
              </w:rPr>
            </w:pPr>
          </w:p>
        </w:tc>
        <w:tc>
          <w:tcPr>
            <w:tcW w:w="541" w:type="pct"/>
            <w:shd w:val="clear" w:color="000000" w:fill="F2F2F2"/>
            <w:vAlign w:val="center"/>
            <w:hideMark/>
          </w:tcPr>
          <w:p w14:paraId="0184D000" w14:textId="523058C8" w:rsidR="004C17C8" w:rsidRPr="00C05E28" w:rsidRDefault="004C17C8" w:rsidP="006C6DF4">
            <w:pPr>
              <w:jc w:val="center"/>
              <w:rPr>
                <w:rFonts w:ascii="Aptos" w:hAnsi="Aptos"/>
                <w:sz w:val="18"/>
                <w:szCs w:val="18"/>
              </w:rPr>
            </w:pPr>
          </w:p>
        </w:tc>
        <w:tc>
          <w:tcPr>
            <w:tcW w:w="541" w:type="pct"/>
            <w:shd w:val="clear" w:color="auto" w:fill="F2F2F2" w:themeFill="background1" w:themeFillShade="F2"/>
            <w:vAlign w:val="center"/>
          </w:tcPr>
          <w:p w14:paraId="31153DBF" w14:textId="23CAC900" w:rsidR="004C17C8" w:rsidRPr="00C05E28" w:rsidRDefault="004C17C8" w:rsidP="006C6DF4">
            <w:pPr>
              <w:jc w:val="center"/>
              <w:rPr>
                <w:rFonts w:ascii="Aptos" w:hAnsi="Aptos"/>
                <w:sz w:val="18"/>
                <w:szCs w:val="18"/>
              </w:rPr>
            </w:pPr>
          </w:p>
        </w:tc>
      </w:tr>
      <w:tr w:rsidR="004C17C8" w:rsidRPr="00C05E28" w14:paraId="22F72277" w14:textId="77777777" w:rsidTr="006C6DF4">
        <w:trPr>
          <w:trHeight w:val="484"/>
        </w:trPr>
        <w:tc>
          <w:tcPr>
            <w:tcW w:w="3378" w:type="pct"/>
            <w:shd w:val="clear" w:color="000000" w:fill="FFFFFF"/>
            <w:vAlign w:val="center"/>
            <w:hideMark/>
          </w:tcPr>
          <w:p w14:paraId="4AEA0EA5" w14:textId="77777777" w:rsidR="004C17C8" w:rsidRPr="00C05E28" w:rsidRDefault="004C17C8" w:rsidP="004C17C8">
            <w:pPr>
              <w:rPr>
                <w:rFonts w:ascii="Aptos" w:hAnsi="Aptos"/>
                <w:sz w:val="18"/>
                <w:szCs w:val="18"/>
              </w:rPr>
            </w:pPr>
            <w:r w:rsidRPr="00C05E28">
              <w:rPr>
                <w:rFonts w:ascii="Aptos" w:hAnsi="Aptos"/>
                <w:sz w:val="18"/>
                <w:szCs w:val="18"/>
              </w:rPr>
              <w:t>Did the synthesis include all studies that it should?</w:t>
            </w:r>
          </w:p>
        </w:tc>
        <w:tc>
          <w:tcPr>
            <w:tcW w:w="541" w:type="pct"/>
            <w:shd w:val="clear" w:color="000000" w:fill="FFFFFF"/>
            <w:vAlign w:val="center"/>
            <w:hideMark/>
          </w:tcPr>
          <w:p w14:paraId="1040A42A" w14:textId="77777777" w:rsidR="004C17C8" w:rsidRPr="00C05E28" w:rsidRDefault="004C17C8" w:rsidP="006C6DF4">
            <w:pPr>
              <w:jc w:val="center"/>
              <w:rPr>
                <w:rFonts w:ascii="Aptos" w:hAnsi="Aptos"/>
                <w:sz w:val="18"/>
                <w:szCs w:val="18"/>
              </w:rPr>
            </w:pPr>
            <w:r w:rsidRPr="00C05E28">
              <w:rPr>
                <w:rFonts w:ascii="Aptos" w:hAnsi="Aptos"/>
                <w:sz w:val="18"/>
                <w:szCs w:val="18"/>
              </w:rPr>
              <w:t>PY</w:t>
            </w:r>
          </w:p>
        </w:tc>
        <w:tc>
          <w:tcPr>
            <w:tcW w:w="541" w:type="pct"/>
            <w:shd w:val="clear" w:color="000000" w:fill="FFFFFF"/>
            <w:vAlign w:val="center"/>
            <w:hideMark/>
          </w:tcPr>
          <w:p w14:paraId="5DE2692D" w14:textId="77777777" w:rsidR="004C17C8" w:rsidRPr="00C05E28" w:rsidRDefault="004C17C8" w:rsidP="006C6DF4">
            <w:pPr>
              <w:jc w:val="center"/>
              <w:rPr>
                <w:rFonts w:ascii="Aptos" w:hAnsi="Aptos"/>
                <w:sz w:val="18"/>
                <w:szCs w:val="18"/>
              </w:rPr>
            </w:pPr>
            <w:r w:rsidRPr="00C05E28">
              <w:rPr>
                <w:rFonts w:ascii="Aptos" w:hAnsi="Aptos"/>
                <w:sz w:val="18"/>
                <w:szCs w:val="18"/>
              </w:rPr>
              <w:t>PY</w:t>
            </w:r>
          </w:p>
        </w:tc>
        <w:tc>
          <w:tcPr>
            <w:tcW w:w="541" w:type="pct"/>
            <w:vAlign w:val="center"/>
          </w:tcPr>
          <w:p w14:paraId="2F46A758" w14:textId="328F0EC1" w:rsidR="004C17C8" w:rsidRPr="00C05E28" w:rsidRDefault="004C17C8" w:rsidP="006C6DF4">
            <w:pPr>
              <w:jc w:val="center"/>
              <w:rPr>
                <w:rFonts w:ascii="Aptos" w:hAnsi="Aptos"/>
                <w:sz w:val="18"/>
                <w:szCs w:val="18"/>
              </w:rPr>
            </w:pPr>
            <w:r w:rsidRPr="00C05E28">
              <w:rPr>
                <w:rFonts w:ascii="Aptos" w:hAnsi="Aptos"/>
                <w:sz w:val="18"/>
                <w:szCs w:val="18"/>
              </w:rPr>
              <w:t>PY</w:t>
            </w:r>
          </w:p>
        </w:tc>
      </w:tr>
      <w:tr w:rsidR="004C17C8" w:rsidRPr="00C05E28" w14:paraId="7085867C" w14:textId="77777777" w:rsidTr="006C6DF4">
        <w:trPr>
          <w:trHeight w:val="484"/>
        </w:trPr>
        <w:tc>
          <w:tcPr>
            <w:tcW w:w="3378" w:type="pct"/>
            <w:shd w:val="clear" w:color="000000" w:fill="FFFFFF"/>
            <w:vAlign w:val="center"/>
            <w:hideMark/>
          </w:tcPr>
          <w:p w14:paraId="7DF1EB2B" w14:textId="77777777" w:rsidR="004C17C8" w:rsidRPr="00C05E28" w:rsidRDefault="004C17C8" w:rsidP="004C17C8">
            <w:pPr>
              <w:rPr>
                <w:rFonts w:ascii="Aptos" w:hAnsi="Aptos"/>
                <w:sz w:val="18"/>
                <w:szCs w:val="18"/>
              </w:rPr>
            </w:pPr>
            <w:r w:rsidRPr="00C05E28">
              <w:rPr>
                <w:rFonts w:ascii="Aptos" w:hAnsi="Aptos"/>
                <w:sz w:val="18"/>
                <w:szCs w:val="18"/>
              </w:rPr>
              <w:lastRenderedPageBreak/>
              <w:t>Were all pre</w:t>
            </w:r>
            <w:r w:rsidRPr="00C05E28">
              <w:rPr>
                <w:rFonts w:ascii="Cambria Math" w:hAnsi="Cambria Math" w:cs="Cambria Math"/>
                <w:sz w:val="18"/>
                <w:szCs w:val="18"/>
              </w:rPr>
              <w:t>‐</w:t>
            </w:r>
            <w:r w:rsidRPr="00C05E28">
              <w:rPr>
                <w:rFonts w:ascii="Aptos" w:hAnsi="Aptos"/>
                <w:sz w:val="18"/>
                <w:szCs w:val="18"/>
              </w:rPr>
              <w:t>defined analyses reported or departures explained?</w:t>
            </w:r>
          </w:p>
        </w:tc>
        <w:tc>
          <w:tcPr>
            <w:tcW w:w="541" w:type="pct"/>
            <w:shd w:val="clear" w:color="000000" w:fill="FFFFFF"/>
            <w:vAlign w:val="center"/>
            <w:hideMark/>
          </w:tcPr>
          <w:p w14:paraId="44D7DCD0"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5F77E4BE"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2B0EB923" w14:textId="3535CB18"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505000CC" w14:textId="77777777" w:rsidTr="006C6DF4">
        <w:trPr>
          <w:trHeight w:val="484"/>
        </w:trPr>
        <w:tc>
          <w:tcPr>
            <w:tcW w:w="3378" w:type="pct"/>
            <w:shd w:val="clear" w:color="000000" w:fill="FFFFFF"/>
            <w:vAlign w:val="center"/>
            <w:hideMark/>
          </w:tcPr>
          <w:p w14:paraId="4D853204" w14:textId="77777777" w:rsidR="004C17C8" w:rsidRPr="00C05E28" w:rsidRDefault="004C17C8" w:rsidP="004C17C8">
            <w:pPr>
              <w:rPr>
                <w:rFonts w:ascii="Aptos" w:hAnsi="Aptos"/>
                <w:sz w:val="18"/>
                <w:szCs w:val="18"/>
              </w:rPr>
            </w:pPr>
            <w:r w:rsidRPr="00C05E28">
              <w:rPr>
                <w:rFonts w:ascii="Aptos" w:hAnsi="Aptos"/>
                <w:sz w:val="18"/>
                <w:szCs w:val="18"/>
              </w:rPr>
              <w:t>Was the synthesis appropriate given the nature and similarity in the research questions, study designs and outcomes across included studies?</w:t>
            </w:r>
          </w:p>
        </w:tc>
        <w:tc>
          <w:tcPr>
            <w:tcW w:w="541" w:type="pct"/>
            <w:shd w:val="clear" w:color="000000" w:fill="FFFFFF"/>
            <w:vAlign w:val="center"/>
            <w:hideMark/>
          </w:tcPr>
          <w:p w14:paraId="09DC9DBF"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16C2A2C5"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65DB549B" w14:textId="6BBD2E69"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314C80A4" w14:textId="77777777" w:rsidTr="006C6DF4">
        <w:trPr>
          <w:trHeight w:val="484"/>
        </w:trPr>
        <w:tc>
          <w:tcPr>
            <w:tcW w:w="3378" w:type="pct"/>
            <w:shd w:val="clear" w:color="000000" w:fill="FFFFFF"/>
            <w:vAlign w:val="center"/>
            <w:hideMark/>
          </w:tcPr>
          <w:p w14:paraId="283B7AF0" w14:textId="77777777" w:rsidR="004C17C8" w:rsidRPr="00C05E28" w:rsidRDefault="004C17C8" w:rsidP="004C17C8">
            <w:pPr>
              <w:rPr>
                <w:rFonts w:ascii="Aptos" w:hAnsi="Aptos"/>
                <w:sz w:val="18"/>
                <w:szCs w:val="18"/>
              </w:rPr>
            </w:pPr>
            <w:r w:rsidRPr="00C05E28">
              <w:rPr>
                <w:rFonts w:ascii="Aptos" w:hAnsi="Aptos"/>
                <w:sz w:val="18"/>
                <w:szCs w:val="18"/>
              </w:rPr>
              <w:t>Was between</w:t>
            </w:r>
            <w:r w:rsidRPr="00C05E28">
              <w:rPr>
                <w:rFonts w:ascii="Cambria Math" w:hAnsi="Cambria Math" w:cs="Cambria Math"/>
                <w:sz w:val="18"/>
                <w:szCs w:val="18"/>
              </w:rPr>
              <w:t>‐</w:t>
            </w:r>
            <w:r w:rsidRPr="00C05E28">
              <w:rPr>
                <w:rFonts w:ascii="Aptos" w:hAnsi="Aptos"/>
                <w:sz w:val="18"/>
                <w:szCs w:val="18"/>
              </w:rPr>
              <w:t>study variation (heterogeneity) minimal or addressed in the synthesis?</w:t>
            </w:r>
          </w:p>
        </w:tc>
        <w:tc>
          <w:tcPr>
            <w:tcW w:w="541" w:type="pct"/>
            <w:shd w:val="clear" w:color="000000" w:fill="FFFFFF"/>
            <w:vAlign w:val="center"/>
            <w:hideMark/>
          </w:tcPr>
          <w:p w14:paraId="0CE80116"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42CE01BD"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325A7B7A" w14:textId="53AA520D"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3CFDC3ED" w14:textId="77777777" w:rsidTr="006C6DF4">
        <w:trPr>
          <w:trHeight w:val="484"/>
        </w:trPr>
        <w:tc>
          <w:tcPr>
            <w:tcW w:w="3378" w:type="pct"/>
            <w:shd w:val="clear" w:color="000000" w:fill="FFFFFF"/>
            <w:vAlign w:val="center"/>
            <w:hideMark/>
          </w:tcPr>
          <w:p w14:paraId="5EEFD24B" w14:textId="77777777" w:rsidR="004C17C8" w:rsidRPr="00C05E28" w:rsidRDefault="004C17C8" w:rsidP="004C17C8">
            <w:pPr>
              <w:rPr>
                <w:rFonts w:ascii="Aptos" w:hAnsi="Aptos"/>
                <w:sz w:val="18"/>
                <w:szCs w:val="18"/>
              </w:rPr>
            </w:pPr>
            <w:r w:rsidRPr="00C05E28">
              <w:rPr>
                <w:rFonts w:ascii="Aptos" w:hAnsi="Aptos"/>
                <w:sz w:val="18"/>
                <w:szCs w:val="18"/>
              </w:rPr>
              <w:t>Were the findings robust, e.g. as demonstrated through funnel plot or sensitivity analyses?</w:t>
            </w:r>
          </w:p>
        </w:tc>
        <w:tc>
          <w:tcPr>
            <w:tcW w:w="541" w:type="pct"/>
            <w:shd w:val="clear" w:color="000000" w:fill="FFFFFF"/>
            <w:vAlign w:val="center"/>
            <w:hideMark/>
          </w:tcPr>
          <w:p w14:paraId="3163625C"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73676FC7"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57D79CA0" w14:textId="481AA9BE" w:rsidR="004C17C8" w:rsidRPr="00C05E28" w:rsidRDefault="004C17C8" w:rsidP="006C6DF4">
            <w:pPr>
              <w:jc w:val="center"/>
              <w:rPr>
                <w:rFonts w:ascii="Aptos" w:hAnsi="Aptos"/>
                <w:sz w:val="18"/>
                <w:szCs w:val="18"/>
              </w:rPr>
            </w:pPr>
            <w:r w:rsidRPr="00C05E28">
              <w:rPr>
                <w:rFonts w:ascii="Aptos" w:hAnsi="Aptos"/>
                <w:sz w:val="18"/>
                <w:szCs w:val="18"/>
              </w:rPr>
              <w:t>PY</w:t>
            </w:r>
          </w:p>
        </w:tc>
      </w:tr>
      <w:tr w:rsidR="004C17C8" w:rsidRPr="00C05E28" w14:paraId="31C8D7AD" w14:textId="77777777" w:rsidTr="006C6DF4">
        <w:trPr>
          <w:trHeight w:val="484"/>
        </w:trPr>
        <w:tc>
          <w:tcPr>
            <w:tcW w:w="3378" w:type="pct"/>
            <w:shd w:val="clear" w:color="000000" w:fill="FFFFFF"/>
            <w:vAlign w:val="center"/>
            <w:hideMark/>
          </w:tcPr>
          <w:p w14:paraId="6E5222CD" w14:textId="77777777" w:rsidR="004C17C8" w:rsidRPr="00C05E28" w:rsidRDefault="004C17C8" w:rsidP="004C17C8">
            <w:pPr>
              <w:rPr>
                <w:rFonts w:ascii="Aptos" w:hAnsi="Aptos"/>
                <w:sz w:val="18"/>
                <w:szCs w:val="18"/>
              </w:rPr>
            </w:pPr>
            <w:r w:rsidRPr="00C05E28">
              <w:rPr>
                <w:rFonts w:ascii="Aptos" w:hAnsi="Aptos"/>
                <w:sz w:val="18"/>
                <w:szCs w:val="18"/>
              </w:rPr>
              <w:t>Were biases in primary studies minimal or addressed in the synthesis?</w:t>
            </w:r>
          </w:p>
        </w:tc>
        <w:tc>
          <w:tcPr>
            <w:tcW w:w="541" w:type="pct"/>
            <w:shd w:val="clear" w:color="000000" w:fill="FFFFFF"/>
            <w:vAlign w:val="center"/>
            <w:hideMark/>
          </w:tcPr>
          <w:p w14:paraId="600E0C28"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23F26E2D"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215C6E9E" w14:textId="41EEC2E1"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2FACDBDD" w14:textId="77777777" w:rsidTr="006C6DF4">
        <w:trPr>
          <w:trHeight w:val="484"/>
        </w:trPr>
        <w:tc>
          <w:tcPr>
            <w:tcW w:w="3378" w:type="pct"/>
            <w:shd w:val="clear" w:color="000000" w:fill="FFFFFF"/>
            <w:vAlign w:val="center"/>
            <w:hideMark/>
          </w:tcPr>
          <w:p w14:paraId="0106DD58" w14:textId="77777777" w:rsidR="004C17C8" w:rsidRPr="00C05E28" w:rsidRDefault="004C17C8" w:rsidP="004C17C8">
            <w:pPr>
              <w:rPr>
                <w:rFonts w:ascii="Aptos" w:hAnsi="Aptos"/>
                <w:sz w:val="18"/>
                <w:szCs w:val="18"/>
              </w:rPr>
            </w:pPr>
            <w:r w:rsidRPr="00C05E28">
              <w:rPr>
                <w:rFonts w:ascii="Aptos" w:hAnsi="Aptos"/>
                <w:sz w:val="18"/>
                <w:szCs w:val="18"/>
              </w:rPr>
              <w:t>Concerns regarding the synthesis and finding: LOW, HIGH, UNCLEAR</w:t>
            </w:r>
          </w:p>
        </w:tc>
        <w:tc>
          <w:tcPr>
            <w:tcW w:w="541" w:type="pct"/>
            <w:shd w:val="clear" w:color="000000" w:fill="E2EFDA"/>
            <w:vAlign w:val="center"/>
            <w:hideMark/>
          </w:tcPr>
          <w:p w14:paraId="7F66361B" w14:textId="77777777" w:rsidR="004C17C8" w:rsidRPr="00C05E28" w:rsidRDefault="004C17C8" w:rsidP="006C6DF4">
            <w:pPr>
              <w:jc w:val="center"/>
              <w:rPr>
                <w:rFonts w:ascii="Aptos" w:hAnsi="Aptos"/>
                <w:sz w:val="18"/>
                <w:szCs w:val="18"/>
              </w:rPr>
            </w:pPr>
            <w:r w:rsidRPr="00C05E28">
              <w:rPr>
                <w:rFonts w:ascii="Aptos" w:hAnsi="Aptos"/>
                <w:sz w:val="18"/>
                <w:szCs w:val="18"/>
              </w:rPr>
              <w:t>Low</w:t>
            </w:r>
          </w:p>
        </w:tc>
        <w:tc>
          <w:tcPr>
            <w:tcW w:w="541" w:type="pct"/>
            <w:shd w:val="clear" w:color="000000" w:fill="E2EFDA"/>
            <w:vAlign w:val="center"/>
            <w:hideMark/>
          </w:tcPr>
          <w:p w14:paraId="7336787F" w14:textId="77777777" w:rsidR="004C17C8" w:rsidRPr="00C05E28" w:rsidRDefault="004C17C8" w:rsidP="006C6DF4">
            <w:pPr>
              <w:jc w:val="center"/>
              <w:rPr>
                <w:rFonts w:ascii="Aptos" w:hAnsi="Aptos"/>
                <w:sz w:val="18"/>
                <w:szCs w:val="18"/>
              </w:rPr>
            </w:pPr>
            <w:r w:rsidRPr="00C05E28">
              <w:rPr>
                <w:rFonts w:ascii="Aptos" w:hAnsi="Aptos"/>
                <w:sz w:val="18"/>
                <w:szCs w:val="18"/>
              </w:rPr>
              <w:t>Low</w:t>
            </w:r>
          </w:p>
        </w:tc>
        <w:tc>
          <w:tcPr>
            <w:tcW w:w="541" w:type="pct"/>
            <w:shd w:val="clear" w:color="auto" w:fill="E2EFD9" w:themeFill="accent6" w:themeFillTint="33"/>
            <w:vAlign w:val="center"/>
          </w:tcPr>
          <w:p w14:paraId="5625A629" w14:textId="7FB6F7F1" w:rsidR="004C17C8" w:rsidRPr="00C05E28" w:rsidRDefault="004C17C8" w:rsidP="006C6DF4">
            <w:pPr>
              <w:jc w:val="center"/>
              <w:rPr>
                <w:rFonts w:ascii="Aptos" w:hAnsi="Aptos"/>
                <w:sz w:val="18"/>
                <w:szCs w:val="18"/>
              </w:rPr>
            </w:pPr>
            <w:r w:rsidRPr="00C05E28">
              <w:rPr>
                <w:rFonts w:ascii="Aptos" w:hAnsi="Aptos"/>
                <w:sz w:val="18"/>
                <w:szCs w:val="18"/>
              </w:rPr>
              <w:t>Low</w:t>
            </w:r>
          </w:p>
        </w:tc>
      </w:tr>
      <w:tr w:rsidR="004C17C8" w:rsidRPr="00C05E28" w14:paraId="7C118B65" w14:textId="77777777" w:rsidTr="006C6DF4">
        <w:trPr>
          <w:trHeight w:val="484"/>
        </w:trPr>
        <w:tc>
          <w:tcPr>
            <w:tcW w:w="3378" w:type="pct"/>
            <w:shd w:val="clear" w:color="000000" w:fill="D9D9D9"/>
            <w:vAlign w:val="center"/>
            <w:hideMark/>
          </w:tcPr>
          <w:p w14:paraId="157B772B" w14:textId="77777777" w:rsidR="004C17C8" w:rsidRPr="00C05E28" w:rsidRDefault="004C17C8" w:rsidP="004C17C8">
            <w:pPr>
              <w:rPr>
                <w:rFonts w:ascii="Aptos" w:hAnsi="Aptos"/>
                <w:sz w:val="18"/>
                <w:szCs w:val="18"/>
              </w:rPr>
            </w:pPr>
            <w:r w:rsidRPr="00C05E28">
              <w:rPr>
                <w:rFonts w:ascii="Aptos" w:hAnsi="Aptos"/>
                <w:sz w:val="18"/>
                <w:szCs w:val="18"/>
              </w:rPr>
              <w:t>Risk of bias in the review</w:t>
            </w:r>
          </w:p>
        </w:tc>
        <w:tc>
          <w:tcPr>
            <w:tcW w:w="541" w:type="pct"/>
            <w:shd w:val="clear" w:color="000000" w:fill="D9D9D9"/>
            <w:vAlign w:val="center"/>
            <w:hideMark/>
          </w:tcPr>
          <w:p w14:paraId="3C9763D8" w14:textId="358DBE65" w:rsidR="004C17C8" w:rsidRPr="00C05E28" w:rsidRDefault="004C17C8" w:rsidP="006C6DF4">
            <w:pPr>
              <w:jc w:val="center"/>
              <w:rPr>
                <w:rFonts w:ascii="Aptos" w:hAnsi="Aptos"/>
                <w:sz w:val="18"/>
                <w:szCs w:val="18"/>
              </w:rPr>
            </w:pPr>
          </w:p>
        </w:tc>
        <w:tc>
          <w:tcPr>
            <w:tcW w:w="541" w:type="pct"/>
            <w:shd w:val="clear" w:color="000000" w:fill="D9D9D9"/>
            <w:vAlign w:val="center"/>
            <w:hideMark/>
          </w:tcPr>
          <w:p w14:paraId="6E095978" w14:textId="19CE07C7" w:rsidR="004C17C8" w:rsidRPr="00C05E28" w:rsidRDefault="004C17C8" w:rsidP="006C6DF4">
            <w:pPr>
              <w:jc w:val="center"/>
              <w:rPr>
                <w:rFonts w:ascii="Aptos" w:hAnsi="Aptos"/>
                <w:sz w:val="18"/>
                <w:szCs w:val="18"/>
              </w:rPr>
            </w:pPr>
          </w:p>
        </w:tc>
        <w:tc>
          <w:tcPr>
            <w:tcW w:w="541" w:type="pct"/>
            <w:shd w:val="clear" w:color="auto" w:fill="D9D9D9" w:themeFill="background1" w:themeFillShade="D9"/>
            <w:vAlign w:val="center"/>
          </w:tcPr>
          <w:p w14:paraId="21AB6289" w14:textId="100D2407" w:rsidR="004C17C8" w:rsidRPr="00C05E28" w:rsidRDefault="004C17C8" w:rsidP="006C6DF4">
            <w:pPr>
              <w:jc w:val="center"/>
              <w:rPr>
                <w:rFonts w:ascii="Aptos" w:hAnsi="Aptos"/>
                <w:sz w:val="18"/>
                <w:szCs w:val="18"/>
              </w:rPr>
            </w:pPr>
          </w:p>
        </w:tc>
      </w:tr>
      <w:tr w:rsidR="004C17C8" w:rsidRPr="00C05E28" w14:paraId="63ECE8B9" w14:textId="77777777" w:rsidTr="006C6DF4">
        <w:trPr>
          <w:trHeight w:val="484"/>
        </w:trPr>
        <w:tc>
          <w:tcPr>
            <w:tcW w:w="3378" w:type="pct"/>
            <w:shd w:val="clear" w:color="000000" w:fill="FFFFFF"/>
            <w:vAlign w:val="center"/>
            <w:hideMark/>
          </w:tcPr>
          <w:p w14:paraId="481DA8C9" w14:textId="77777777" w:rsidR="004C17C8" w:rsidRPr="00C05E28" w:rsidRDefault="004C17C8" w:rsidP="004C17C8">
            <w:pPr>
              <w:rPr>
                <w:rFonts w:ascii="Aptos" w:hAnsi="Aptos"/>
                <w:sz w:val="18"/>
                <w:szCs w:val="18"/>
              </w:rPr>
            </w:pPr>
            <w:r w:rsidRPr="00C05E28">
              <w:rPr>
                <w:rFonts w:ascii="Aptos" w:hAnsi="Aptos"/>
                <w:sz w:val="18"/>
                <w:szCs w:val="18"/>
              </w:rPr>
              <w:t>Did the interpretation of findings address all of the concerns identified in Domains 1</w:t>
            </w:r>
            <w:r w:rsidRPr="00C05E28">
              <w:rPr>
                <w:rFonts w:ascii="Cambria Math" w:hAnsi="Cambria Math" w:cs="Cambria Math"/>
                <w:sz w:val="18"/>
                <w:szCs w:val="18"/>
              </w:rPr>
              <w:t>‐</w:t>
            </w:r>
            <w:r w:rsidRPr="00C05E28">
              <w:rPr>
                <w:rFonts w:ascii="Aptos" w:hAnsi="Aptos"/>
                <w:sz w:val="18"/>
                <w:szCs w:val="18"/>
              </w:rPr>
              <w:t>4?</w:t>
            </w:r>
          </w:p>
        </w:tc>
        <w:tc>
          <w:tcPr>
            <w:tcW w:w="541" w:type="pct"/>
            <w:shd w:val="clear" w:color="000000" w:fill="FFFFFF"/>
            <w:vAlign w:val="center"/>
            <w:hideMark/>
          </w:tcPr>
          <w:p w14:paraId="34E1140B"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661638CC"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4B601449" w14:textId="6B7488B9"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1D79AB7B" w14:textId="77777777" w:rsidTr="006C6DF4">
        <w:trPr>
          <w:trHeight w:val="484"/>
        </w:trPr>
        <w:tc>
          <w:tcPr>
            <w:tcW w:w="3378" w:type="pct"/>
            <w:shd w:val="clear" w:color="000000" w:fill="FFFFFF"/>
            <w:vAlign w:val="center"/>
            <w:hideMark/>
          </w:tcPr>
          <w:p w14:paraId="12A8F6C6" w14:textId="77777777" w:rsidR="004C17C8" w:rsidRPr="00C05E28" w:rsidRDefault="004C17C8" w:rsidP="004C17C8">
            <w:pPr>
              <w:rPr>
                <w:rFonts w:ascii="Aptos" w:hAnsi="Aptos"/>
                <w:sz w:val="18"/>
                <w:szCs w:val="18"/>
              </w:rPr>
            </w:pPr>
            <w:r w:rsidRPr="00C05E28">
              <w:rPr>
                <w:rFonts w:ascii="Aptos" w:hAnsi="Aptos"/>
                <w:sz w:val="18"/>
                <w:szCs w:val="18"/>
              </w:rPr>
              <w:t>Was the relevance of identified studies to the review's research question appropriately considered?</w:t>
            </w:r>
          </w:p>
        </w:tc>
        <w:tc>
          <w:tcPr>
            <w:tcW w:w="541" w:type="pct"/>
            <w:shd w:val="clear" w:color="000000" w:fill="FFFFFF"/>
            <w:vAlign w:val="center"/>
            <w:hideMark/>
          </w:tcPr>
          <w:p w14:paraId="770FBD2D"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74D035C4"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56EE0564" w14:textId="70AE005D"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163AFFA4" w14:textId="77777777" w:rsidTr="006C6DF4">
        <w:trPr>
          <w:trHeight w:val="484"/>
        </w:trPr>
        <w:tc>
          <w:tcPr>
            <w:tcW w:w="3378" w:type="pct"/>
            <w:shd w:val="clear" w:color="000000" w:fill="FFFFFF"/>
            <w:vAlign w:val="center"/>
            <w:hideMark/>
          </w:tcPr>
          <w:p w14:paraId="5FB4485A" w14:textId="77777777" w:rsidR="004C17C8" w:rsidRPr="00C05E28" w:rsidRDefault="004C17C8" w:rsidP="004C17C8">
            <w:pPr>
              <w:rPr>
                <w:rFonts w:ascii="Aptos" w:hAnsi="Aptos"/>
                <w:sz w:val="18"/>
                <w:szCs w:val="18"/>
              </w:rPr>
            </w:pPr>
            <w:r w:rsidRPr="00C05E28">
              <w:rPr>
                <w:rFonts w:ascii="Aptos" w:hAnsi="Aptos"/>
                <w:sz w:val="18"/>
                <w:szCs w:val="18"/>
              </w:rPr>
              <w:t>Did the reviewers avoid emphasizing results on the basis of their statistical significance?</w:t>
            </w:r>
          </w:p>
        </w:tc>
        <w:tc>
          <w:tcPr>
            <w:tcW w:w="541" w:type="pct"/>
            <w:shd w:val="clear" w:color="000000" w:fill="FFFFFF"/>
            <w:vAlign w:val="center"/>
            <w:hideMark/>
          </w:tcPr>
          <w:p w14:paraId="22488727"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shd w:val="clear" w:color="000000" w:fill="FFFFFF"/>
            <w:vAlign w:val="center"/>
            <w:hideMark/>
          </w:tcPr>
          <w:p w14:paraId="2773C414" w14:textId="77777777" w:rsidR="004C17C8" w:rsidRPr="00C05E28" w:rsidRDefault="004C17C8" w:rsidP="006C6DF4">
            <w:pPr>
              <w:jc w:val="center"/>
              <w:rPr>
                <w:rFonts w:ascii="Aptos" w:hAnsi="Aptos"/>
                <w:sz w:val="18"/>
                <w:szCs w:val="18"/>
              </w:rPr>
            </w:pPr>
            <w:r w:rsidRPr="00C05E28">
              <w:rPr>
                <w:rFonts w:ascii="Aptos" w:hAnsi="Aptos"/>
                <w:sz w:val="18"/>
                <w:szCs w:val="18"/>
              </w:rPr>
              <w:t>Y</w:t>
            </w:r>
          </w:p>
        </w:tc>
        <w:tc>
          <w:tcPr>
            <w:tcW w:w="541" w:type="pct"/>
            <w:vAlign w:val="center"/>
          </w:tcPr>
          <w:p w14:paraId="5016F495" w14:textId="5E50E3D9" w:rsidR="004C17C8" w:rsidRPr="00C05E28" w:rsidRDefault="004C17C8" w:rsidP="006C6DF4">
            <w:pPr>
              <w:jc w:val="center"/>
              <w:rPr>
                <w:rFonts w:ascii="Aptos" w:hAnsi="Aptos"/>
                <w:sz w:val="18"/>
                <w:szCs w:val="18"/>
              </w:rPr>
            </w:pPr>
            <w:r w:rsidRPr="00C05E28">
              <w:rPr>
                <w:rFonts w:ascii="Aptos" w:hAnsi="Aptos"/>
                <w:sz w:val="18"/>
                <w:szCs w:val="18"/>
              </w:rPr>
              <w:t>Y</w:t>
            </w:r>
          </w:p>
        </w:tc>
      </w:tr>
      <w:tr w:rsidR="004C17C8" w:rsidRPr="00C05E28" w14:paraId="69F85F3B" w14:textId="77777777" w:rsidTr="006C6DF4">
        <w:trPr>
          <w:trHeight w:val="484"/>
        </w:trPr>
        <w:tc>
          <w:tcPr>
            <w:tcW w:w="3378" w:type="pct"/>
            <w:shd w:val="clear" w:color="000000" w:fill="FFFFFF"/>
            <w:vAlign w:val="center"/>
            <w:hideMark/>
          </w:tcPr>
          <w:p w14:paraId="706DEFF8" w14:textId="77777777" w:rsidR="004C17C8" w:rsidRPr="00C05E28" w:rsidRDefault="004C17C8" w:rsidP="004C17C8">
            <w:pPr>
              <w:rPr>
                <w:rFonts w:ascii="Aptos" w:hAnsi="Aptos"/>
                <w:sz w:val="18"/>
                <w:szCs w:val="18"/>
              </w:rPr>
            </w:pPr>
            <w:r w:rsidRPr="00C05E28">
              <w:rPr>
                <w:rFonts w:ascii="Aptos" w:hAnsi="Aptos"/>
                <w:sz w:val="18"/>
                <w:szCs w:val="18"/>
              </w:rPr>
              <w:t>Overall risk of bias</w:t>
            </w:r>
          </w:p>
        </w:tc>
        <w:tc>
          <w:tcPr>
            <w:tcW w:w="541" w:type="pct"/>
            <w:shd w:val="clear" w:color="000000" w:fill="E2EFDA"/>
            <w:vAlign w:val="center"/>
            <w:hideMark/>
          </w:tcPr>
          <w:p w14:paraId="449C028B" w14:textId="77777777" w:rsidR="004C17C8" w:rsidRPr="00C05E28" w:rsidRDefault="004C17C8" w:rsidP="006C6DF4">
            <w:pPr>
              <w:jc w:val="center"/>
              <w:rPr>
                <w:rFonts w:ascii="Aptos" w:hAnsi="Aptos"/>
                <w:sz w:val="18"/>
                <w:szCs w:val="18"/>
              </w:rPr>
            </w:pPr>
            <w:r w:rsidRPr="00C05E28">
              <w:rPr>
                <w:rFonts w:ascii="Aptos" w:hAnsi="Aptos"/>
                <w:sz w:val="18"/>
                <w:szCs w:val="18"/>
              </w:rPr>
              <w:t>Low risk</w:t>
            </w:r>
          </w:p>
        </w:tc>
        <w:tc>
          <w:tcPr>
            <w:tcW w:w="541" w:type="pct"/>
            <w:shd w:val="clear" w:color="000000" w:fill="E2EFDA"/>
            <w:vAlign w:val="center"/>
            <w:hideMark/>
          </w:tcPr>
          <w:p w14:paraId="380B470E" w14:textId="77777777" w:rsidR="004C17C8" w:rsidRPr="00C05E28" w:rsidRDefault="004C17C8" w:rsidP="006C6DF4">
            <w:pPr>
              <w:jc w:val="center"/>
              <w:rPr>
                <w:rFonts w:ascii="Aptos" w:hAnsi="Aptos"/>
                <w:sz w:val="18"/>
                <w:szCs w:val="18"/>
              </w:rPr>
            </w:pPr>
            <w:r w:rsidRPr="00C05E28">
              <w:rPr>
                <w:rFonts w:ascii="Aptos" w:hAnsi="Aptos"/>
                <w:sz w:val="18"/>
                <w:szCs w:val="18"/>
              </w:rPr>
              <w:t>Low risk</w:t>
            </w:r>
          </w:p>
        </w:tc>
        <w:tc>
          <w:tcPr>
            <w:tcW w:w="541" w:type="pct"/>
            <w:shd w:val="clear" w:color="auto" w:fill="FFF2CC" w:themeFill="accent4" w:themeFillTint="33"/>
            <w:vAlign w:val="center"/>
          </w:tcPr>
          <w:p w14:paraId="59785384" w14:textId="6041E39B" w:rsidR="004C17C8" w:rsidRPr="00C05E28" w:rsidRDefault="004C17C8" w:rsidP="006C6DF4">
            <w:pPr>
              <w:jc w:val="center"/>
              <w:rPr>
                <w:rFonts w:ascii="Aptos" w:hAnsi="Aptos"/>
                <w:sz w:val="18"/>
                <w:szCs w:val="18"/>
              </w:rPr>
            </w:pPr>
            <w:r w:rsidRPr="00C05E28">
              <w:rPr>
                <w:rFonts w:ascii="Aptos" w:hAnsi="Aptos"/>
                <w:sz w:val="18"/>
                <w:szCs w:val="18"/>
              </w:rPr>
              <w:t>Unclear risk</w:t>
            </w:r>
          </w:p>
        </w:tc>
      </w:tr>
    </w:tbl>
    <w:p w14:paraId="3F090FC1" w14:textId="77777777" w:rsidR="00881574" w:rsidRPr="00D518FF" w:rsidRDefault="00881574" w:rsidP="00AA72BD">
      <w:pPr>
        <w:rPr>
          <w:rFonts w:ascii="Aptos" w:hAnsi="Aptos" w:cs="Arial"/>
          <w:sz w:val="16"/>
          <w:szCs w:val="16"/>
        </w:rPr>
      </w:pPr>
    </w:p>
    <w:p w14:paraId="59AE3A26" w14:textId="18F34B97" w:rsidR="00881574" w:rsidRPr="00D518FF" w:rsidRDefault="00DC4767" w:rsidP="00DC4767">
      <w:pPr>
        <w:pStyle w:val="Caption"/>
        <w:rPr>
          <w:rFonts w:ascii="Aptos" w:hAnsi="Aptos"/>
        </w:rPr>
      </w:pPr>
      <w:bookmarkStart w:id="225" w:name="_Toc185254601"/>
      <w:r w:rsidRPr="00AA694C">
        <w:rPr>
          <w:rFonts w:ascii="Aptos" w:hAnsi="Aptos"/>
        </w:rPr>
        <w:t xml:space="preserve">Table </w:t>
      </w:r>
      <w:r w:rsidRPr="00AA694C">
        <w:rPr>
          <w:rFonts w:ascii="Aptos" w:hAnsi="Aptos"/>
        </w:rPr>
        <w:fldChar w:fldCharType="begin" w:fldLock="1"/>
      </w:r>
      <w:r w:rsidRPr="00AA694C">
        <w:rPr>
          <w:rFonts w:ascii="Aptos" w:hAnsi="Aptos"/>
        </w:rPr>
        <w:instrText xml:space="preserve"> STYLEREF 1 \s </w:instrText>
      </w:r>
      <w:r w:rsidRPr="00AA694C">
        <w:rPr>
          <w:rFonts w:ascii="Aptos" w:hAnsi="Aptos"/>
        </w:rPr>
        <w:fldChar w:fldCharType="separate"/>
      </w:r>
      <w:r w:rsidRPr="00AA694C">
        <w:rPr>
          <w:rFonts w:ascii="Aptos" w:hAnsi="Aptos"/>
        </w:rPr>
        <w:t>F</w:t>
      </w:r>
      <w:r w:rsidRPr="00AA694C">
        <w:rPr>
          <w:rFonts w:ascii="Aptos" w:hAnsi="Aptos"/>
        </w:rPr>
        <w:fldChar w:fldCharType="end"/>
      </w:r>
      <w:r w:rsidRPr="00AA694C">
        <w:rPr>
          <w:rFonts w:ascii="Aptos" w:hAnsi="Aptos"/>
        </w:rPr>
        <w:noBreakHyphen/>
      </w:r>
      <w:r w:rsidR="003B0594" w:rsidRPr="00AA694C">
        <w:rPr>
          <w:rFonts w:ascii="Aptos" w:hAnsi="Aptos"/>
        </w:rPr>
        <w:fldChar w:fldCharType="begin"/>
      </w:r>
      <w:r w:rsidR="003B0594" w:rsidRPr="00AA694C">
        <w:rPr>
          <w:rFonts w:ascii="Aptos" w:hAnsi="Aptos"/>
        </w:rPr>
        <w:instrText xml:space="preserve"> SEQ Table \* ARABIC \s 1 </w:instrText>
      </w:r>
      <w:r w:rsidR="003B0594" w:rsidRPr="00AA694C">
        <w:rPr>
          <w:rFonts w:ascii="Aptos" w:hAnsi="Aptos"/>
        </w:rPr>
        <w:fldChar w:fldCharType="separate"/>
      </w:r>
      <w:r w:rsidR="00C426C6">
        <w:rPr>
          <w:rFonts w:ascii="Aptos" w:hAnsi="Aptos"/>
          <w:noProof/>
        </w:rPr>
        <w:t>9</w:t>
      </w:r>
      <w:r w:rsidR="003B0594" w:rsidRPr="00AA694C">
        <w:rPr>
          <w:rFonts w:ascii="Aptos" w:hAnsi="Aptos"/>
        </w:rPr>
        <w:fldChar w:fldCharType="end"/>
      </w:r>
      <w:r w:rsidR="00881574" w:rsidRPr="00D518FF">
        <w:rPr>
          <w:rFonts w:ascii="Aptos" w:hAnsi="Aptos"/>
        </w:rPr>
        <w:t>. Results of included reviews by outcome domain – fibromyalgia, magnesium</w:t>
      </w:r>
      <w:bookmarkEnd w:id="225"/>
    </w:p>
    <w:tbl>
      <w:tblPr>
        <w:tblW w:w="5000" w:type="pct"/>
        <w:tblCellMar>
          <w:left w:w="57" w:type="dxa"/>
          <w:right w:w="57" w:type="dxa"/>
        </w:tblCellMar>
        <w:tblLook w:val="04A0" w:firstRow="1" w:lastRow="0" w:firstColumn="1" w:lastColumn="0" w:noHBand="0" w:noVBand="1"/>
      </w:tblPr>
      <w:tblGrid>
        <w:gridCol w:w="10202"/>
        <w:gridCol w:w="1416"/>
        <w:gridCol w:w="1316"/>
        <w:gridCol w:w="1311"/>
      </w:tblGrid>
      <w:tr w:rsidR="008C1B8B" w:rsidRPr="00F849FD" w14:paraId="76648D07" w14:textId="77777777" w:rsidTr="006C6DF4">
        <w:trPr>
          <w:trHeight w:val="439"/>
        </w:trPr>
        <w:tc>
          <w:tcPr>
            <w:tcW w:w="358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9068CF6" w14:textId="77777777" w:rsidR="008C1B8B" w:rsidRPr="00F849FD" w:rsidRDefault="008C1B8B" w:rsidP="008C1B8B">
            <w:pPr>
              <w:rPr>
                <w:rFonts w:ascii="Aptos" w:hAnsi="Aptos"/>
                <w:b/>
                <w:bCs/>
                <w:sz w:val="18"/>
                <w:szCs w:val="18"/>
              </w:rPr>
            </w:pPr>
            <w:r w:rsidRPr="00F849FD">
              <w:rPr>
                <w:rFonts w:ascii="Aptos" w:hAnsi="Aptos"/>
                <w:b/>
                <w:bCs/>
                <w:sz w:val="18"/>
                <w:szCs w:val="18"/>
              </w:rPr>
              <w:t>Review ID</w:t>
            </w:r>
          </w:p>
        </w:tc>
        <w:tc>
          <w:tcPr>
            <w:tcW w:w="497" w:type="pct"/>
            <w:tcBorders>
              <w:top w:val="single" w:sz="4" w:space="0" w:color="auto"/>
              <w:left w:val="nil"/>
              <w:bottom w:val="single" w:sz="4" w:space="0" w:color="auto"/>
              <w:right w:val="single" w:sz="4" w:space="0" w:color="auto"/>
            </w:tcBorders>
            <w:shd w:val="clear" w:color="000000" w:fill="D9D9D9"/>
            <w:vAlign w:val="center"/>
            <w:hideMark/>
          </w:tcPr>
          <w:p w14:paraId="4B5A965A" w14:textId="77777777" w:rsidR="008C1B8B" w:rsidRPr="00F849FD" w:rsidRDefault="008C1B8B" w:rsidP="008C1B8B">
            <w:pPr>
              <w:rPr>
                <w:rFonts w:ascii="Aptos" w:hAnsi="Aptos"/>
                <w:b/>
                <w:bCs/>
                <w:sz w:val="18"/>
                <w:szCs w:val="18"/>
              </w:rPr>
            </w:pPr>
            <w:r w:rsidRPr="00F849FD">
              <w:rPr>
                <w:rFonts w:ascii="Aptos" w:hAnsi="Aptos"/>
                <w:b/>
                <w:bCs/>
                <w:sz w:val="18"/>
                <w:szCs w:val="18"/>
              </w:rPr>
              <w:t>Holdcraft 2003</w:t>
            </w:r>
          </w:p>
        </w:tc>
        <w:tc>
          <w:tcPr>
            <w:tcW w:w="462" w:type="pct"/>
            <w:tcBorders>
              <w:top w:val="single" w:sz="4" w:space="0" w:color="auto"/>
              <w:left w:val="nil"/>
              <w:bottom w:val="single" w:sz="4" w:space="0" w:color="auto"/>
              <w:right w:val="single" w:sz="4" w:space="0" w:color="auto"/>
            </w:tcBorders>
            <w:shd w:val="clear" w:color="000000" w:fill="D9D9D9"/>
            <w:vAlign w:val="center"/>
            <w:hideMark/>
          </w:tcPr>
          <w:p w14:paraId="53B8A1E5" w14:textId="77777777" w:rsidR="008C1B8B" w:rsidRPr="00F849FD" w:rsidRDefault="008C1B8B" w:rsidP="008C1B8B">
            <w:pPr>
              <w:rPr>
                <w:rFonts w:ascii="Aptos" w:hAnsi="Aptos"/>
                <w:b/>
                <w:bCs/>
                <w:sz w:val="18"/>
                <w:szCs w:val="18"/>
              </w:rPr>
            </w:pPr>
            <w:r w:rsidRPr="00F849FD">
              <w:rPr>
                <w:rFonts w:ascii="Aptos" w:hAnsi="Aptos"/>
                <w:b/>
                <w:bCs/>
                <w:sz w:val="18"/>
                <w:szCs w:val="18"/>
              </w:rPr>
              <w:t>Porter 2010</w:t>
            </w:r>
          </w:p>
        </w:tc>
        <w:tc>
          <w:tcPr>
            <w:tcW w:w="461" w:type="pct"/>
            <w:tcBorders>
              <w:top w:val="single" w:sz="4" w:space="0" w:color="auto"/>
              <w:left w:val="nil"/>
              <w:bottom w:val="single" w:sz="4" w:space="0" w:color="auto"/>
              <w:right w:val="single" w:sz="4" w:space="0" w:color="auto"/>
            </w:tcBorders>
            <w:shd w:val="clear" w:color="000000" w:fill="D9D9D9"/>
            <w:vAlign w:val="center"/>
            <w:hideMark/>
          </w:tcPr>
          <w:p w14:paraId="26070556" w14:textId="77777777" w:rsidR="008C1B8B" w:rsidRPr="00F849FD" w:rsidRDefault="008C1B8B" w:rsidP="008C1B8B">
            <w:pPr>
              <w:rPr>
                <w:rFonts w:ascii="Aptos" w:hAnsi="Aptos"/>
                <w:b/>
                <w:bCs/>
                <w:sz w:val="18"/>
                <w:szCs w:val="18"/>
              </w:rPr>
            </w:pPr>
            <w:r w:rsidRPr="00F849FD">
              <w:rPr>
                <w:rFonts w:ascii="Aptos" w:hAnsi="Aptos"/>
                <w:b/>
                <w:bCs/>
                <w:sz w:val="18"/>
                <w:szCs w:val="18"/>
              </w:rPr>
              <w:t>Thorpe 2018</w:t>
            </w:r>
          </w:p>
        </w:tc>
      </w:tr>
      <w:tr w:rsidR="008C1B8B" w:rsidRPr="00F849FD" w14:paraId="64ACDB34"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D9D9D9"/>
            <w:noWrap/>
            <w:vAlign w:val="center"/>
            <w:hideMark/>
          </w:tcPr>
          <w:p w14:paraId="0A834F1D" w14:textId="77777777" w:rsidR="008C1B8B" w:rsidRPr="00F849FD" w:rsidRDefault="008C1B8B" w:rsidP="008C1B8B">
            <w:pPr>
              <w:rPr>
                <w:rFonts w:ascii="Aptos" w:hAnsi="Aptos"/>
                <w:sz w:val="18"/>
                <w:szCs w:val="18"/>
              </w:rPr>
            </w:pPr>
            <w:r w:rsidRPr="00F849FD">
              <w:rPr>
                <w:rFonts w:ascii="Aptos" w:hAnsi="Aptos"/>
                <w:sz w:val="18"/>
                <w:szCs w:val="18"/>
              </w:rPr>
              <w:t>ROBIS DOMAINS</w:t>
            </w:r>
          </w:p>
        </w:tc>
        <w:tc>
          <w:tcPr>
            <w:tcW w:w="497" w:type="pct"/>
            <w:tcBorders>
              <w:top w:val="nil"/>
              <w:left w:val="nil"/>
              <w:bottom w:val="single" w:sz="4" w:space="0" w:color="auto"/>
              <w:right w:val="single" w:sz="4" w:space="0" w:color="auto"/>
            </w:tcBorders>
            <w:shd w:val="clear" w:color="000000" w:fill="D9D9D9"/>
            <w:noWrap/>
            <w:vAlign w:val="center"/>
            <w:hideMark/>
          </w:tcPr>
          <w:p w14:paraId="6A7ED1E4"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2" w:type="pct"/>
            <w:tcBorders>
              <w:top w:val="nil"/>
              <w:left w:val="single" w:sz="4" w:space="0" w:color="auto"/>
              <w:bottom w:val="single" w:sz="4" w:space="0" w:color="auto"/>
              <w:right w:val="single" w:sz="4" w:space="0" w:color="auto"/>
            </w:tcBorders>
            <w:shd w:val="clear" w:color="000000" w:fill="D9D9D9"/>
            <w:noWrap/>
            <w:vAlign w:val="center"/>
            <w:hideMark/>
          </w:tcPr>
          <w:p w14:paraId="25EAF9AE"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1" w:type="pct"/>
            <w:tcBorders>
              <w:top w:val="nil"/>
              <w:left w:val="single" w:sz="4" w:space="0" w:color="auto"/>
              <w:bottom w:val="single" w:sz="4" w:space="0" w:color="auto"/>
              <w:right w:val="single" w:sz="4" w:space="0" w:color="auto"/>
            </w:tcBorders>
            <w:shd w:val="clear" w:color="000000" w:fill="D9D9D9"/>
            <w:noWrap/>
            <w:vAlign w:val="center"/>
            <w:hideMark/>
          </w:tcPr>
          <w:p w14:paraId="40DC7622" w14:textId="77777777" w:rsidR="008C1B8B" w:rsidRPr="00F849FD" w:rsidRDefault="008C1B8B" w:rsidP="008C1B8B">
            <w:pPr>
              <w:rPr>
                <w:rFonts w:ascii="Aptos" w:hAnsi="Aptos"/>
                <w:sz w:val="18"/>
                <w:szCs w:val="18"/>
              </w:rPr>
            </w:pPr>
            <w:r w:rsidRPr="00F849FD">
              <w:rPr>
                <w:rFonts w:ascii="Aptos" w:hAnsi="Aptos"/>
                <w:sz w:val="18"/>
                <w:szCs w:val="18"/>
              </w:rPr>
              <w:t> </w:t>
            </w:r>
          </w:p>
        </w:tc>
      </w:tr>
      <w:tr w:rsidR="008C1B8B" w:rsidRPr="00F849FD" w14:paraId="7BDCAC1E"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D9D9D9"/>
            <w:noWrap/>
            <w:vAlign w:val="center"/>
            <w:hideMark/>
          </w:tcPr>
          <w:p w14:paraId="56624676" w14:textId="77777777" w:rsidR="008C1B8B" w:rsidRPr="00F849FD" w:rsidRDefault="008C1B8B" w:rsidP="008C1B8B">
            <w:pPr>
              <w:rPr>
                <w:rFonts w:ascii="Aptos" w:hAnsi="Aptos"/>
                <w:sz w:val="18"/>
                <w:szCs w:val="18"/>
              </w:rPr>
            </w:pPr>
            <w:r w:rsidRPr="00F849FD">
              <w:rPr>
                <w:rFonts w:ascii="Aptos" w:hAnsi="Aptos"/>
                <w:sz w:val="18"/>
                <w:szCs w:val="18"/>
              </w:rPr>
              <w:t>Answer code: Y=YES, PY=PROBABLY YES, PN=PROBABLY NO, N=NO, NI=NO INFORMATION</w:t>
            </w:r>
          </w:p>
        </w:tc>
        <w:tc>
          <w:tcPr>
            <w:tcW w:w="497" w:type="pct"/>
            <w:tcBorders>
              <w:top w:val="nil"/>
              <w:left w:val="nil"/>
              <w:bottom w:val="single" w:sz="4" w:space="0" w:color="auto"/>
              <w:right w:val="single" w:sz="4" w:space="0" w:color="auto"/>
            </w:tcBorders>
            <w:shd w:val="clear" w:color="000000" w:fill="D9D9D9"/>
            <w:noWrap/>
            <w:vAlign w:val="center"/>
            <w:hideMark/>
          </w:tcPr>
          <w:p w14:paraId="1335FE47"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2" w:type="pct"/>
            <w:tcBorders>
              <w:top w:val="nil"/>
              <w:left w:val="single" w:sz="4" w:space="0" w:color="auto"/>
              <w:bottom w:val="single" w:sz="4" w:space="0" w:color="auto"/>
              <w:right w:val="single" w:sz="4" w:space="0" w:color="auto"/>
            </w:tcBorders>
            <w:shd w:val="clear" w:color="000000" w:fill="D9D9D9"/>
            <w:noWrap/>
            <w:vAlign w:val="center"/>
            <w:hideMark/>
          </w:tcPr>
          <w:p w14:paraId="5E29A8F1"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1" w:type="pct"/>
            <w:tcBorders>
              <w:top w:val="nil"/>
              <w:left w:val="single" w:sz="4" w:space="0" w:color="auto"/>
              <w:bottom w:val="single" w:sz="4" w:space="0" w:color="auto"/>
              <w:right w:val="single" w:sz="4" w:space="0" w:color="auto"/>
            </w:tcBorders>
            <w:shd w:val="clear" w:color="000000" w:fill="D9D9D9"/>
            <w:noWrap/>
            <w:vAlign w:val="center"/>
            <w:hideMark/>
          </w:tcPr>
          <w:p w14:paraId="4C3A83BC" w14:textId="77777777" w:rsidR="008C1B8B" w:rsidRPr="00F849FD" w:rsidRDefault="008C1B8B" w:rsidP="008C1B8B">
            <w:pPr>
              <w:rPr>
                <w:rFonts w:ascii="Aptos" w:hAnsi="Aptos"/>
                <w:sz w:val="18"/>
                <w:szCs w:val="18"/>
              </w:rPr>
            </w:pPr>
            <w:r w:rsidRPr="00F849FD">
              <w:rPr>
                <w:rFonts w:ascii="Aptos" w:hAnsi="Aptos"/>
                <w:sz w:val="18"/>
                <w:szCs w:val="18"/>
              </w:rPr>
              <w:t> </w:t>
            </w:r>
          </w:p>
        </w:tc>
      </w:tr>
      <w:tr w:rsidR="008C1B8B" w:rsidRPr="00F849FD" w14:paraId="6845F6E5"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2F2F2"/>
            <w:vAlign w:val="center"/>
            <w:hideMark/>
          </w:tcPr>
          <w:p w14:paraId="5BC3FF85" w14:textId="77777777" w:rsidR="008C1B8B" w:rsidRPr="00F849FD" w:rsidRDefault="008C1B8B" w:rsidP="008C1B8B">
            <w:pPr>
              <w:rPr>
                <w:rFonts w:ascii="Aptos" w:hAnsi="Aptos"/>
                <w:sz w:val="18"/>
                <w:szCs w:val="18"/>
              </w:rPr>
            </w:pPr>
            <w:r w:rsidRPr="00F849FD">
              <w:rPr>
                <w:rFonts w:ascii="Aptos" w:hAnsi="Aptos"/>
                <w:sz w:val="18"/>
                <w:szCs w:val="18"/>
              </w:rPr>
              <w:t>Domain 1: Study eligibility criteria</w:t>
            </w:r>
          </w:p>
        </w:tc>
        <w:tc>
          <w:tcPr>
            <w:tcW w:w="497" w:type="pct"/>
            <w:tcBorders>
              <w:top w:val="nil"/>
              <w:left w:val="nil"/>
              <w:bottom w:val="single" w:sz="4" w:space="0" w:color="auto"/>
              <w:right w:val="single" w:sz="4" w:space="0" w:color="auto"/>
            </w:tcBorders>
            <w:shd w:val="clear" w:color="000000" w:fill="F2F2F2"/>
            <w:vAlign w:val="center"/>
            <w:hideMark/>
          </w:tcPr>
          <w:p w14:paraId="092E7E7E"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2" w:type="pct"/>
            <w:tcBorders>
              <w:top w:val="nil"/>
              <w:left w:val="single" w:sz="4" w:space="0" w:color="auto"/>
              <w:bottom w:val="single" w:sz="4" w:space="0" w:color="auto"/>
              <w:right w:val="single" w:sz="4" w:space="0" w:color="auto"/>
            </w:tcBorders>
            <w:shd w:val="clear" w:color="000000" w:fill="F2F2F2"/>
            <w:vAlign w:val="center"/>
            <w:hideMark/>
          </w:tcPr>
          <w:p w14:paraId="2E31EF13"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1" w:type="pct"/>
            <w:tcBorders>
              <w:top w:val="nil"/>
              <w:left w:val="single" w:sz="4" w:space="0" w:color="auto"/>
              <w:bottom w:val="single" w:sz="4" w:space="0" w:color="auto"/>
              <w:right w:val="single" w:sz="4" w:space="0" w:color="auto"/>
            </w:tcBorders>
            <w:shd w:val="clear" w:color="000000" w:fill="F2F2F2"/>
            <w:vAlign w:val="center"/>
            <w:hideMark/>
          </w:tcPr>
          <w:p w14:paraId="336FEF8E" w14:textId="77777777" w:rsidR="008C1B8B" w:rsidRPr="00F849FD" w:rsidRDefault="008C1B8B" w:rsidP="008C1B8B">
            <w:pPr>
              <w:rPr>
                <w:rFonts w:ascii="Aptos" w:hAnsi="Aptos"/>
                <w:sz w:val="18"/>
                <w:szCs w:val="18"/>
              </w:rPr>
            </w:pPr>
            <w:r w:rsidRPr="00F849FD">
              <w:rPr>
                <w:rFonts w:ascii="Aptos" w:hAnsi="Aptos"/>
                <w:sz w:val="18"/>
                <w:szCs w:val="18"/>
              </w:rPr>
              <w:t> </w:t>
            </w:r>
          </w:p>
        </w:tc>
      </w:tr>
      <w:tr w:rsidR="008C1B8B" w:rsidRPr="00F849FD" w14:paraId="56A027CF"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5F1DA700" w14:textId="77777777" w:rsidR="008C1B8B" w:rsidRPr="00F849FD" w:rsidRDefault="008C1B8B" w:rsidP="008C1B8B">
            <w:pPr>
              <w:rPr>
                <w:rFonts w:ascii="Aptos" w:hAnsi="Aptos"/>
                <w:sz w:val="18"/>
                <w:szCs w:val="18"/>
              </w:rPr>
            </w:pPr>
            <w:r w:rsidRPr="00F849FD">
              <w:rPr>
                <w:rFonts w:ascii="Aptos" w:hAnsi="Aptos"/>
                <w:sz w:val="18"/>
                <w:szCs w:val="18"/>
              </w:rPr>
              <w:t>Did the review adhere to pre</w:t>
            </w:r>
            <w:r w:rsidRPr="00F849FD">
              <w:rPr>
                <w:rFonts w:ascii="Cambria Math" w:hAnsi="Cambria Math" w:cs="Cambria Math"/>
                <w:sz w:val="18"/>
                <w:szCs w:val="18"/>
              </w:rPr>
              <w:t>‐</w:t>
            </w:r>
            <w:r w:rsidRPr="00F849FD">
              <w:rPr>
                <w:rFonts w:ascii="Aptos" w:hAnsi="Aptos"/>
                <w:sz w:val="18"/>
                <w:szCs w:val="18"/>
              </w:rPr>
              <w:t>defined objectives and eligibility criteria?</w:t>
            </w:r>
          </w:p>
        </w:tc>
        <w:tc>
          <w:tcPr>
            <w:tcW w:w="497" w:type="pct"/>
            <w:tcBorders>
              <w:top w:val="nil"/>
              <w:left w:val="nil"/>
              <w:bottom w:val="single" w:sz="4" w:space="0" w:color="auto"/>
              <w:right w:val="single" w:sz="4" w:space="0" w:color="auto"/>
            </w:tcBorders>
            <w:shd w:val="clear" w:color="000000" w:fill="FFFFFF"/>
            <w:vAlign w:val="center"/>
            <w:hideMark/>
          </w:tcPr>
          <w:p w14:paraId="0F9C95DA"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3DA479DD"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678E3BFC"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35CCF862"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5924144D" w14:textId="77777777" w:rsidR="008C1B8B" w:rsidRPr="00F849FD" w:rsidRDefault="008C1B8B" w:rsidP="008C1B8B">
            <w:pPr>
              <w:rPr>
                <w:rFonts w:ascii="Aptos" w:hAnsi="Aptos"/>
                <w:sz w:val="18"/>
                <w:szCs w:val="18"/>
              </w:rPr>
            </w:pPr>
            <w:r w:rsidRPr="00F849FD">
              <w:rPr>
                <w:rFonts w:ascii="Aptos" w:hAnsi="Aptos"/>
                <w:sz w:val="18"/>
                <w:szCs w:val="18"/>
              </w:rPr>
              <w:t>Were the eligibility criteria appropriate for the review question?</w:t>
            </w:r>
          </w:p>
        </w:tc>
        <w:tc>
          <w:tcPr>
            <w:tcW w:w="497" w:type="pct"/>
            <w:tcBorders>
              <w:top w:val="nil"/>
              <w:left w:val="nil"/>
              <w:bottom w:val="single" w:sz="4" w:space="0" w:color="auto"/>
              <w:right w:val="single" w:sz="4" w:space="0" w:color="auto"/>
            </w:tcBorders>
            <w:shd w:val="clear" w:color="000000" w:fill="FFFFFF"/>
            <w:vAlign w:val="center"/>
            <w:hideMark/>
          </w:tcPr>
          <w:p w14:paraId="582BC196"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3DCE2993"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769E6671"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006D1ABE"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1361A0B2" w14:textId="77777777" w:rsidR="008C1B8B" w:rsidRPr="00F849FD" w:rsidRDefault="008C1B8B" w:rsidP="008C1B8B">
            <w:pPr>
              <w:rPr>
                <w:rFonts w:ascii="Aptos" w:hAnsi="Aptos"/>
                <w:sz w:val="18"/>
                <w:szCs w:val="18"/>
              </w:rPr>
            </w:pPr>
            <w:r w:rsidRPr="00F849FD">
              <w:rPr>
                <w:rFonts w:ascii="Aptos" w:hAnsi="Aptos"/>
                <w:sz w:val="18"/>
                <w:szCs w:val="18"/>
              </w:rPr>
              <w:lastRenderedPageBreak/>
              <w:t>Were eligibility criteria unambiguous?</w:t>
            </w:r>
          </w:p>
        </w:tc>
        <w:tc>
          <w:tcPr>
            <w:tcW w:w="497" w:type="pct"/>
            <w:tcBorders>
              <w:top w:val="nil"/>
              <w:left w:val="nil"/>
              <w:bottom w:val="single" w:sz="4" w:space="0" w:color="auto"/>
              <w:right w:val="single" w:sz="4" w:space="0" w:color="auto"/>
            </w:tcBorders>
            <w:shd w:val="clear" w:color="000000" w:fill="FFFFFF"/>
            <w:vAlign w:val="center"/>
            <w:hideMark/>
          </w:tcPr>
          <w:p w14:paraId="235E7F05"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385D88C8"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191CC98E"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75D34ECC"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74A78971" w14:textId="77777777" w:rsidR="008C1B8B" w:rsidRPr="00F849FD" w:rsidRDefault="008C1B8B" w:rsidP="008C1B8B">
            <w:pPr>
              <w:rPr>
                <w:rFonts w:ascii="Aptos" w:hAnsi="Aptos"/>
                <w:sz w:val="18"/>
                <w:szCs w:val="18"/>
              </w:rPr>
            </w:pPr>
            <w:r w:rsidRPr="00F849FD">
              <w:rPr>
                <w:rFonts w:ascii="Aptos" w:hAnsi="Aptos"/>
                <w:sz w:val="18"/>
                <w:szCs w:val="18"/>
              </w:rPr>
              <w:t>Were all restrictions in eligibility criteria based on study characteristics appropriate (e.g. date, sample size, study quality, outcomes measured)?</w:t>
            </w:r>
          </w:p>
        </w:tc>
        <w:tc>
          <w:tcPr>
            <w:tcW w:w="497" w:type="pct"/>
            <w:tcBorders>
              <w:top w:val="nil"/>
              <w:left w:val="nil"/>
              <w:bottom w:val="single" w:sz="4" w:space="0" w:color="auto"/>
              <w:right w:val="single" w:sz="4" w:space="0" w:color="auto"/>
            </w:tcBorders>
            <w:shd w:val="clear" w:color="000000" w:fill="FFFFFF"/>
            <w:vAlign w:val="center"/>
            <w:hideMark/>
          </w:tcPr>
          <w:p w14:paraId="5A50AA83"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17BB1757"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304C2FD2"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39BD5D07"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4682DB33" w14:textId="77777777" w:rsidR="008C1B8B" w:rsidRPr="00F849FD" w:rsidRDefault="008C1B8B" w:rsidP="008C1B8B">
            <w:pPr>
              <w:rPr>
                <w:rFonts w:ascii="Aptos" w:hAnsi="Aptos"/>
                <w:sz w:val="18"/>
                <w:szCs w:val="18"/>
              </w:rPr>
            </w:pPr>
            <w:r w:rsidRPr="00F849FD">
              <w:rPr>
                <w:rFonts w:ascii="Aptos" w:hAnsi="Aptos"/>
                <w:sz w:val="18"/>
                <w:szCs w:val="18"/>
              </w:rPr>
              <w:t>Were any restrictions in eligibility criteria based on sources of information appropriate (publication status or format, language, availability of data)?</w:t>
            </w:r>
          </w:p>
        </w:tc>
        <w:tc>
          <w:tcPr>
            <w:tcW w:w="497" w:type="pct"/>
            <w:tcBorders>
              <w:top w:val="nil"/>
              <w:left w:val="nil"/>
              <w:bottom w:val="single" w:sz="4" w:space="0" w:color="auto"/>
              <w:right w:val="single" w:sz="4" w:space="0" w:color="auto"/>
            </w:tcBorders>
            <w:shd w:val="clear" w:color="000000" w:fill="FFFFFF"/>
            <w:vAlign w:val="center"/>
            <w:hideMark/>
          </w:tcPr>
          <w:p w14:paraId="25200D5E"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74FF71AD"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7FA00A70"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42225756"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30A6B66D" w14:textId="77777777" w:rsidR="008C1B8B" w:rsidRPr="00F849FD" w:rsidRDefault="008C1B8B" w:rsidP="008C1B8B">
            <w:pPr>
              <w:rPr>
                <w:rFonts w:ascii="Aptos" w:hAnsi="Aptos"/>
                <w:sz w:val="18"/>
                <w:szCs w:val="18"/>
              </w:rPr>
            </w:pPr>
            <w:r w:rsidRPr="00F849FD">
              <w:rPr>
                <w:rFonts w:ascii="Aptos" w:hAnsi="Aptos"/>
                <w:sz w:val="18"/>
                <w:szCs w:val="18"/>
              </w:rPr>
              <w:t>Concerns regarding specification of study eligibility criteria LOW, HIGH, UNCLEAR</w:t>
            </w:r>
          </w:p>
        </w:tc>
        <w:tc>
          <w:tcPr>
            <w:tcW w:w="497" w:type="pct"/>
            <w:tcBorders>
              <w:top w:val="nil"/>
              <w:left w:val="nil"/>
              <w:bottom w:val="single" w:sz="4" w:space="0" w:color="auto"/>
              <w:right w:val="single" w:sz="4" w:space="0" w:color="auto"/>
            </w:tcBorders>
            <w:shd w:val="clear" w:color="000000" w:fill="E2EFDA"/>
            <w:vAlign w:val="center"/>
            <w:hideMark/>
          </w:tcPr>
          <w:p w14:paraId="06B1481F" w14:textId="77777777" w:rsidR="008C1B8B" w:rsidRPr="00F849FD" w:rsidRDefault="008C1B8B" w:rsidP="008C1B8B">
            <w:pPr>
              <w:rPr>
                <w:rFonts w:ascii="Aptos" w:hAnsi="Aptos"/>
                <w:sz w:val="18"/>
                <w:szCs w:val="18"/>
              </w:rPr>
            </w:pPr>
            <w:r w:rsidRPr="00F849FD">
              <w:rPr>
                <w:rFonts w:ascii="Aptos" w:hAnsi="Aptos"/>
                <w:sz w:val="18"/>
                <w:szCs w:val="18"/>
              </w:rPr>
              <w:t>Low</w:t>
            </w:r>
          </w:p>
        </w:tc>
        <w:tc>
          <w:tcPr>
            <w:tcW w:w="462" w:type="pct"/>
            <w:tcBorders>
              <w:top w:val="nil"/>
              <w:left w:val="single" w:sz="4" w:space="0" w:color="auto"/>
              <w:bottom w:val="single" w:sz="4" w:space="0" w:color="auto"/>
              <w:right w:val="single" w:sz="4" w:space="0" w:color="auto"/>
            </w:tcBorders>
            <w:shd w:val="clear" w:color="000000" w:fill="E2EFDA"/>
            <w:vAlign w:val="center"/>
            <w:hideMark/>
          </w:tcPr>
          <w:p w14:paraId="5E3EAB93" w14:textId="77777777" w:rsidR="008C1B8B" w:rsidRPr="00F849FD" w:rsidRDefault="008C1B8B" w:rsidP="008C1B8B">
            <w:pPr>
              <w:rPr>
                <w:rFonts w:ascii="Aptos" w:hAnsi="Aptos"/>
                <w:sz w:val="18"/>
                <w:szCs w:val="18"/>
              </w:rPr>
            </w:pPr>
            <w:r w:rsidRPr="00F849FD">
              <w:rPr>
                <w:rFonts w:ascii="Aptos" w:hAnsi="Aptos"/>
                <w:sz w:val="18"/>
                <w:szCs w:val="18"/>
              </w:rPr>
              <w:t>Low</w:t>
            </w:r>
          </w:p>
        </w:tc>
        <w:tc>
          <w:tcPr>
            <w:tcW w:w="461" w:type="pct"/>
            <w:tcBorders>
              <w:top w:val="nil"/>
              <w:left w:val="single" w:sz="4" w:space="0" w:color="auto"/>
              <w:bottom w:val="single" w:sz="4" w:space="0" w:color="auto"/>
              <w:right w:val="single" w:sz="4" w:space="0" w:color="auto"/>
            </w:tcBorders>
            <w:shd w:val="clear" w:color="000000" w:fill="E2EFDA"/>
            <w:vAlign w:val="center"/>
            <w:hideMark/>
          </w:tcPr>
          <w:p w14:paraId="7CA0DBEF" w14:textId="77777777" w:rsidR="008C1B8B" w:rsidRPr="00F849FD" w:rsidRDefault="008C1B8B" w:rsidP="008C1B8B">
            <w:pPr>
              <w:rPr>
                <w:rFonts w:ascii="Aptos" w:hAnsi="Aptos"/>
                <w:sz w:val="18"/>
                <w:szCs w:val="18"/>
              </w:rPr>
            </w:pPr>
            <w:r w:rsidRPr="00F849FD">
              <w:rPr>
                <w:rFonts w:ascii="Aptos" w:hAnsi="Aptos"/>
                <w:sz w:val="18"/>
                <w:szCs w:val="18"/>
              </w:rPr>
              <w:t>Low</w:t>
            </w:r>
          </w:p>
        </w:tc>
      </w:tr>
      <w:tr w:rsidR="008C1B8B" w:rsidRPr="00F849FD" w14:paraId="002AEC43"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2F2F2"/>
            <w:vAlign w:val="center"/>
            <w:hideMark/>
          </w:tcPr>
          <w:p w14:paraId="3A7D4D4B" w14:textId="77777777" w:rsidR="008C1B8B" w:rsidRPr="00F849FD" w:rsidRDefault="008C1B8B" w:rsidP="008C1B8B">
            <w:pPr>
              <w:rPr>
                <w:rFonts w:ascii="Aptos" w:hAnsi="Aptos"/>
                <w:sz w:val="18"/>
                <w:szCs w:val="18"/>
              </w:rPr>
            </w:pPr>
            <w:r w:rsidRPr="00F849FD">
              <w:rPr>
                <w:rFonts w:ascii="Aptos" w:hAnsi="Aptos"/>
                <w:sz w:val="18"/>
                <w:szCs w:val="18"/>
              </w:rPr>
              <w:t>Domain 2: Identification and selection of studies</w:t>
            </w:r>
          </w:p>
        </w:tc>
        <w:tc>
          <w:tcPr>
            <w:tcW w:w="497" w:type="pct"/>
            <w:tcBorders>
              <w:top w:val="nil"/>
              <w:left w:val="nil"/>
              <w:bottom w:val="single" w:sz="4" w:space="0" w:color="auto"/>
              <w:right w:val="single" w:sz="4" w:space="0" w:color="auto"/>
            </w:tcBorders>
            <w:shd w:val="clear" w:color="000000" w:fill="F2F2F2"/>
            <w:vAlign w:val="center"/>
            <w:hideMark/>
          </w:tcPr>
          <w:p w14:paraId="740B01EC"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2" w:type="pct"/>
            <w:tcBorders>
              <w:top w:val="nil"/>
              <w:left w:val="single" w:sz="4" w:space="0" w:color="auto"/>
              <w:bottom w:val="single" w:sz="4" w:space="0" w:color="auto"/>
              <w:right w:val="single" w:sz="4" w:space="0" w:color="auto"/>
            </w:tcBorders>
            <w:shd w:val="clear" w:color="000000" w:fill="F2F2F2"/>
            <w:vAlign w:val="center"/>
            <w:hideMark/>
          </w:tcPr>
          <w:p w14:paraId="21D23EE4"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1" w:type="pct"/>
            <w:tcBorders>
              <w:top w:val="nil"/>
              <w:left w:val="single" w:sz="4" w:space="0" w:color="auto"/>
              <w:bottom w:val="single" w:sz="4" w:space="0" w:color="auto"/>
              <w:right w:val="single" w:sz="4" w:space="0" w:color="auto"/>
            </w:tcBorders>
            <w:shd w:val="clear" w:color="000000" w:fill="F2F2F2"/>
            <w:vAlign w:val="center"/>
            <w:hideMark/>
          </w:tcPr>
          <w:p w14:paraId="781CB3CE" w14:textId="77777777" w:rsidR="008C1B8B" w:rsidRPr="00F849FD" w:rsidRDefault="008C1B8B" w:rsidP="008C1B8B">
            <w:pPr>
              <w:rPr>
                <w:rFonts w:ascii="Aptos" w:hAnsi="Aptos"/>
                <w:sz w:val="18"/>
                <w:szCs w:val="18"/>
              </w:rPr>
            </w:pPr>
            <w:r w:rsidRPr="00F849FD">
              <w:rPr>
                <w:rFonts w:ascii="Aptos" w:hAnsi="Aptos"/>
                <w:sz w:val="18"/>
                <w:szCs w:val="18"/>
              </w:rPr>
              <w:t> </w:t>
            </w:r>
          </w:p>
        </w:tc>
      </w:tr>
      <w:tr w:rsidR="008C1B8B" w:rsidRPr="00F849FD" w14:paraId="361800B2"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09B67493" w14:textId="77777777" w:rsidR="008C1B8B" w:rsidRPr="00F849FD" w:rsidRDefault="008C1B8B" w:rsidP="008C1B8B">
            <w:pPr>
              <w:rPr>
                <w:rFonts w:ascii="Aptos" w:hAnsi="Aptos"/>
                <w:sz w:val="18"/>
                <w:szCs w:val="18"/>
              </w:rPr>
            </w:pPr>
            <w:r w:rsidRPr="00F849FD">
              <w:rPr>
                <w:rFonts w:ascii="Aptos" w:hAnsi="Aptos"/>
                <w:sz w:val="18"/>
                <w:szCs w:val="18"/>
              </w:rPr>
              <w:t>Did the search include an appropriate range of databases/electronic sources for published and unpublished reports?</w:t>
            </w:r>
          </w:p>
        </w:tc>
        <w:tc>
          <w:tcPr>
            <w:tcW w:w="497" w:type="pct"/>
            <w:tcBorders>
              <w:top w:val="nil"/>
              <w:left w:val="nil"/>
              <w:bottom w:val="single" w:sz="4" w:space="0" w:color="auto"/>
              <w:right w:val="single" w:sz="4" w:space="0" w:color="auto"/>
            </w:tcBorders>
            <w:shd w:val="clear" w:color="000000" w:fill="FFFFFF"/>
            <w:vAlign w:val="center"/>
            <w:hideMark/>
          </w:tcPr>
          <w:p w14:paraId="37A2E1A7"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647581A5"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6D50213D"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7418DAB7"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51DF76EB" w14:textId="77777777" w:rsidR="008C1B8B" w:rsidRPr="00F849FD" w:rsidRDefault="008C1B8B" w:rsidP="008C1B8B">
            <w:pPr>
              <w:rPr>
                <w:rFonts w:ascii="Aptos" w:hAnsi="Aptos"/>
                <w:sz w:val="18"/>
                <w:szCs w:val="18"/>
              </w:rPr>
            </w:pPr>
            <w:r w:rsidRPr="00F849FD">
              <w:rPr>
                <w:rFonts w:ascii="Aptos" w:hAnsi="Aptos"/>
                <w:sz w:val="18"/>
                <w:szCs w:val="18"/>
              </w:rPr>
              <w:t>Were methods additional to database searching used to identify relevant reports?</w:t>
            </w:r>
          </w:p>
        </w:tc>
        <w:tc>
          <w:tcPr>
            <w:tcW w:w="497" w:type="pct"/>
            <w:tcBorders>
              <w:top w:val="nil"/>
              <w:left w:val="nil"/>
              <w:bottom w:val="single" w:sz="4" w:space="0" w:color="auto"/>
              <w:right w:val="single" w:sz="4" w:space="0" w:color="auto"/>
            </w:tcBorders>
            <w:shd w:val="clear" w:color="000000" w:fill="FFFFFF"/>
            <w:vAlign w:val="center"/>
            <w:hideMark/>
          </w:tcPr>
          <w:p w14:paraId="04E1EF70"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4AF179F2"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29A9D9E4"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652219B9"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788B84FB" w14:textId="77777777" w:rsidR="008C1B8B" w:rsidRPr="00F849FD" w:rsidRDefault="008C1B8B" w:rsidP="008C1B8B">
            <w:pPr>
              <w:rPr>
                <w:rFonts w:ascii="Aptos" w:hAnsi="Aptos"/>
                <w:sz w:val="18"/>
                <w:szCs w:val="18"/>
              </w:rPr>
            </w:pPr>
            <w:r w:rsidRPr="00F849FD">
              <w:rPr>
                <w:rFonts w:ascii="Aptos" w:hAnsi="Aptos"/>
                <w:sz w:val="18"/>
                <w:szCs w:val="18"/>
              </w:rPr>
              <w:t>Were the terms and structure of the search strategy likely to retrieve as many eligible studies as possible?</w:t>
            </w:r>
          </w:p>
        </w:tc>
        <w:tc>
          <w:tcPr>
            <w:tcW w:w="497" w:type="pct"/>
            <w:tcBorders>
              <w:top w:val="nil"/>
              <w:left w:val="nil"/>
              <w:bottom w:val="single" w:sz="4" w:space="0" w:color="auto"/>
              <w:right w:val="single" w:sz="4" w:space="0" w:color="auto"/>
            </w:tcBorders>
            <w:shd w:val="clear" w:color="000000" w:fill="FFFFFF"/>
            <w:vAlign w:val="center"/>
            <w:hideMark/>
          </w:tcPr>
          <w:p w14:paraId="1B797D9B"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57E07757"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4B610C4F"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0FA71716"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6841C50B" w14:textId="77777777" w:rsidR="008C1B8B" w:rsidRPr="00F849FD" w:rsidRDefault="008C1B8B" w:rsidP="008C1B8B">
            <w:pPr>
              <w:rPr>
                <w:rFonts w:ascii="Aptos" w:hAnsi="Aptos"/>
                <w:sz w:val="18"/>
                <w:szCs w:val="18"/>
              </w:rPr>
            </w:pPr>
            <w:r w:rsidRPr="00F849FD">
              <w:rPr>
                <w:rFonts w:ascii="Aptos" w:hAnsi="Aptos"/>
                <w:sz w:val="18"/>
                <w:szCs w:val="18"/>
              </w:rPr>
              <w:t>Were restrictions based on date, publication format, or language appropriate?</w:t>
            </w:r>
          </w:p>
        </w:tc>
        <w:tc>
          <w:tcPr>
            <w:tcW w:w="497" w:type="pct"/>
            <w:tcBorders>
              <w:top w:val="nil"/>
              <w:left w:val="nil"/>
              <w:bottom w:val="single" w:sz="4" w:space="0" w:color="auto"/>
              <w:right w:val="single" w:sz="4" w:space="0" w:color="auto"/>
            </w:tcBorders>
            <w:shd w:val="clear" w:color="000000" w:fill="FFFFFF"/>
            <w:vAlign w:val="center"/>
            <w:hideMark/>
          </w:tcPr>
          <w:p w14:paraId="3E3113FC" w14:textId="77777777" w:rsidR="008C1B8B" w:rsidRPr="00F849FD" w:rsidRDefault="008C1B8B" w:rsidP="008C1B8B">
            <w:pPr>
              <w:rPr>
                <w:rFonts w:ascii="Aptos" w:hAnsi="Aptos"/>
                <w:sz w:val="18"/>
                <w:szCs w:val="18"/>
              </w:rPr>
            </w:pPr>
            <w:r w:rsidRPr="00F849FD">
              <w:rPr>
                <w:rFonts w:ascii="Aptos" w:hAnsi="Aptos"/>
                <w:sz w:val="18"/>
                <w:szCs w:val="18"/>
              </w:rPr>
              <w:t>NI</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3900224E" w14:textId="77777777" w:rsidR="008C1B8B" w:rsidRPr="00F849FD" w:rsidRDefault="008C1B8B" w:rsidP="008C1B8B">
            <w:pPr>
              <w:rPr>
                <w:rFonts w:ascii="Aptos" w:hAnsi="Aptos"/>
                <w:sz w:val="18"/>
                <w:szCs w:val="18"/>
              </w:rPr>
            </w:pPr>
            <w:r w:rsidRPr="00F849FD">
              <w:rPr>
                <w:rFonts w:ascii="Aptos" w:hAnsi="Aptos"/>
                <w:sz w:val="18"/>
                <w:szCs w:val="18"/>
              </w:rPr>
              <w:t>PN</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504F5CC7"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09829B2A"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182D63D6" w14:textId="77777777" w:rsidR="008C1B8B" w:rsidRPr="00F849FD" w:rsidRDefault="008C1B8B" w:rsidP="008C1B8B">
            <w:pPr>
              <w:rPr>
                <w:rFonts w:ascii="Aptos" w:hAnsi="Aptos"/>
                <w:sz w:val="18"/>
                <w:szCs w:val="18"/>
              </w:rPr>
            </w:pPr>
            <w:r w:rsidRPr="00F849FD">
              <w:rPr>
                <w:rFonts w:ascii="Aptos" w:hAnsi="Aptos"/>
                <w:sz w:val="18"/>
                <w:szCs w:val="18"/>
              </w:rPr>
              <w:t>Were efforts made to minimise error in selection of studies?</w:t>
            </w:r>
          </w:p>
        </w:tc>
        <w:tc>
          <w:tcPr>
            <w:tcW w:w="497" w:type="pct"/>
            <w:tcBorders>
              <w:top w:val="nil"/>
              <w:left w:val="nil"/>
              <w:bottom w:val="single" w:sz="4" w:space="0" w:color="auto"/>
              <w:right w:val="single" w:sz="4" w:space="0" w:color="auto"/>
            </w:tcBorders>
            <w:shd w:val="clear" w:color="000000" w:fill="FFFFFF"/>
            <w:vAlign w:val="center"/>
            <w:hideMark/>
          </w:tcPr>
          <w:p w14:paraId="205BCF1A" w14:textId="77777777" w:rsidR="008C1B8B" w:rsidRPr="00F849FD" w:rsidRDefault="008C1B8B" w:rsidP="008C1B8B">
            <w:pPr>
              <w:rPr>
                <w:rFonts w:ascii="Aptos" w:hAnsi="Aptos"/>
                <w:sz w:val="18"/>
                <w:szCs w:val="18"/>
              </w:rPr>
            </w:pPr>
            <w:r w:rsidRPr="00F849FD">
              <w:rPr>
                <w:rFonts w:ascii="Aptos" w:hAnsi="Aptos"/>
                <w:sz w:val="18"/>
                <w:szCs w:val="18"/>
              </w:rPr>
              <w:t>N</w:t>
            </w:r>
          </w:p>
        </w:tc>
        <w:tc>
          <w:tcPr>
            <w:tcW w:w="462" w:type="pct"/>
            <w:tcBorders>
              <w:top w:val="nil"/>
              <w:left w:val="single" w:sz="4" w:space="0" w:color="auto"/>
              <w:bottom w:val="nil"/>
              <w:right w:val="single" w:sz="4" w:space="0" w:color="auto"/>
            </w:tcBorders>
            <w:shd w:val="clear" w:color="000000" w:fill="FFFFFF"/>
            <w:vAlign w:val="center"/>
            <w:hideMark/>
          </w:tcPr>
          <w:p w14:paraId="0AE8E94B"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5D4A6146"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1D2D7E3C"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728760D6" w14:textId="77777777" w:rsidR="008C1B8B" w:rsidRPr="00F849FD" w:rsidRDefault="008C1B8B" w:rsidP="008C1B8B">
            <w:pPr>
              <w:rPr>
                <w:rFonts w:ascii="Aptos" w:hAnsi="Aptos"/>
                <w:sz w:val="18"/>
                <w:szCs w:val="18"/>
              </w:rPr>
            </w:pPr>
            <w:r w:rsidRPr="00F849FD">
              <w:rPr>
                <w:rFonts w:ascii="Aptos" w:hAnsi="Aptos"/>
                <w:sz w:val="18"/>
                <w:szCs w:val="18"/>
              </w:rPr>
              <w:t>Concerns regarding methods used to identify and/or select studies: LOW, HIGH, UNCLEAR</w:t>
            </w:r>
          </w:p>
        </w:tc>
        <w:tc>
          <w:tcPr>
            <w:tcW w:w="497" w:type="pct"/>
            <w:tcBorders>
              <w:top w:val="nil"/>
              <w:left w:val="nil"/>
              <w:bottom w:val="single" w:sz="4" w:space="0" w:color="auto"/>
              <w:right w:val="single" w:sz="4" w:space="0" w:color="auto"/>
            </w:tcBorders>
            <w:shd w:val="clear" w:color="000000" w:fill="FFF2CC"/>
            <w:vAlign w:val="center"/>
            <w:hideMark/>
          </w:tcPr>
          <w:p w14:paraId="4E9AF5FD" w14:textId="77777777" w:rsidR="008C1B8B" w:rsidRPr="00F849FD" w:rsidRDefault="008C1B8B" w:rsidP="008C1B8B">
            <w:pPr>
              <w:rPr>
                <w:rFonts w:ascii="Aptos" w:hAnsi="Aptos"/>
                <w:sz w:val="18"/>
                <w:szCs w:val="18"/>
              </w:rPr>
            </w:pPr>
            <w:r w:rsidRPr="00F849FD">
              <w:rPr>
                <w:rFonts w:ascii="Aptos" w:hAnsi="Aptos"/>
                <w:sz w:val="18"/>
                <w:szCs w:val="18"/>
              </w:rPr>
              <w:t>Unclear</w:t>
            </w:r>
          </w:p>
        </w:tc>
        <w:tc>
          <w:tcPr>
            <w:tcW w:w="462" w:type="pct"/>
            <w:tcBorders>
              <w:top w:val="single" w:sz="4" w:space="0" w:color="auto"/>
              <w:left w:val="single" w:sz="4" w:space="0" w:color="auto"/>
              <w:bottom w:val="single" w:sz="4" w:space="0" w:color="auto"/>
              <w:right w:val="single" w:sz="4" w:space="0" w:color="auto"/>
            </w:tcBorders>
            <w:shd w:val="clear" w:color="000000" w:fill="FFF2CC"/>
            <w:vAlign w:val="center"/>
            <w:hideMark/>
          </w:tcPr>
          <w:p w14:paraId="728763D8" w14:textId="77777777" w:rsidR="008C1B8B" w:rsidRPr="00F849FD" w:rsidRDefault="008C1B8B" w:rsidP="008C1B8B">
            <w:pPr>
              <w:rPr>
                <w:rFonts w:ascii="Aptos" w:hAnsi="Aptos"/>
                <w:sz w:val="18"/>
                <w:szCs w:val="18"/>
              </w:rPr>
            </w:pPr>
            <w:r w:rsidRPr="00F849FD">
              <w:rPr>
                <w:rFonts w:ascii="Aptos" w:hAnsi="Aptos"/>
                <w:sz w:val="18"/>
                <w:szCs w:val="18"/>
              </w:rPr>
              <w:t>Unclear</w:t>
            </w:r>
          </w:p>
        </w:tc>
        <w:tc>
          <w:tcPr>
            <w:tcW w:w="461" w:type="pct"/>
            <w:tcBorders>
              <w:top w:val="nil"/>
              <w:left w:val="single" w:sz="4" w:space="0" w:color="auto"/>
              <w:bottom w:val="single" w:sz="4" w:space="0" w:color="auto"/>
              <w:right w:val="single" w:sz="4" w:space="0" w:color="auto"/>
            </w:tcBorders>
            <w:shd w:val="clear" w:color="000000" w:fill="E2EFDA"/>
            <w:vAlign w:val="center"/>
            <w:hideMark/>
          </w:tcPr>
          <w:p w14:paraId="74A5F178" w14:textId="77777777" w:rsidR="008C1B8B" w:rsidRPr="00F849FD" w:rsidRDefault="008C1B8B" w:rsidP="008C1B8B">
            <w:pPr>
              <w:rPr>
                <w:rFonts w:ascii="Aptos" w:hAnsi="Aptos"/>
                <w:sz w:val="18"/>
                <w:szCs w:val="18"/>
              </w:rPr>
            </w:pPr>
            <w:r w:rsidRPr="00F849FD">
              <w:rPr>
                <w:rFonts w:ascii="Aptos" w:hAnsi="Aptos"/>
                <w:sz w:val="18"/>
                <w:szCs w:val="18"/>
              </w:rPr>
              <w:t>Low</w:t>
            </w:r>
          </w:p>
        </w:tc>
      </w:tr>
      <w:tr w:rsidR="008C1B8B" w:rsidRPr="00F849FD" w14:paraId="06411BFD"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2F2F2"/>
            <w:vAlign w:val="center"/>
            <w:hideMark/>
          </w:tcPr>
          <w:p w14:paraId="75507E03" w14:textId="77777777" w:rsidR="008C1B8B" w:rsidRPr="00F849FD" w:rsidRDefault="008C1B8B" w:rsidP="008C1B8B">
            <w:pPr>
              <w:rPr>
                <w:rFonts w:ascii="Aptos" w:hAnsi="Aptos"/>
                <w:sz w:val="18"/>
                <w:szCs w:val="18"/>
              </w:rPr>
            </w:pPr>
            <w:r w:rsidRPr="00F849FD">
              <w:rPr>
                <w:rFonts w:ascii="Aptos" w:hAnsi="Aptos"/>
                <w:sz w:val="18"/>
                <w:szCs w:val="18"/>
              </w:rPr>
              <w:t>Domain 3: Data collection and study appraisal</w:t>
            </w:r>
          </w:p>
        </w:tc>
        <w:tc>
          <w:tcPr>
            <w:tcW w:w="497" w:type="pct"/>
            <w:tcBorders>
              <w:top w:val="nil"/>
              <w:left w:val="nil"/>
              <w:bottom w:val="single" w:sz="4" w:space="0" w:color="auto"/>
              <w:right w:val="single" w:sz="4" w:space="0" w:color="auto"/>
            </w:tcBorders>
            <w:shd w:val="clear" w:color="000000" w:fill="F2F2F2"/>
            <w:vAlign w:val="center"/>
            <w:hideMark/>
          </w:tcPr>
          <w:p w14:paraId="2BFF3E77"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2" w:type="pct"/>
            <w:tcBorders>
              <w:top w:val="nil"/>
              <w:left w:val="single" w:sz="4" w:space="0" w:color="auto"/>
              <w:bottom w:val="single" w:sz="4" w:space="0" w:color="auto"/>
              <w:right w:val="single" w:sz="4" w:space="0" w:color="auto"/>
            </w:tcBorders>
            <w:shd w:val="clear" w:color="000000" w:fill="F2F2F2"/>
            <w:vAlign w:val="center"/>
            <w:hideMark/>
          </w:tcPr>
          <w:p w14:paraId="3D747237"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1" w:type="pct"/>
            <w:tcBorders>
              <w:top w:val="nil"/>
              <w:left w:val="single" w:sz="4" w:space="0" w:color="auto"/>
              <w:bottom w:val="single" w:sz="4" w:space="0" w:color="auto"/>
              <w:right w:val="single" w:sz="4" w:space="0" w:color="auto"/>
            </w:tcBorders>
            <w:shd w:val="clear" w:color="000000" w:fill="F2F2F2"/>
            <w:vAlign w:val="center"/>
            <w:hideMark/>
          </w:tcPr>
          <w:p w14:paraId="5BF94E63" w14:textId="77777777" w:rsidR="008C1B8B" w:rsidRPr="00F849FD" w:rsidRDefault="008C1B8B" w:rsidP="008C1B8B">
            <w:pPr>
              <w:rPr>
                <w:rFonts w:ascii="Aptos" w:hAnsi="Aptos"/>
                <w:sz w:val="18"/>
                <w:szCs w:val="18"/>
              </w:rPr>
            </w:pPr>
            <w:r w:rsidRPr="00F849FD">
              <w:rPr>
                <w:rFonts w:ascii="Aptos" w:hAnsi="Aptos"/>
                <w:sz w:val="18"/>
                <w:szCs w:val="18"/>
              </w:rPr>
              <w:t> </w:t>
            </w:r>
          </w:p>
        </w:tc>
      </w:tr>
      <w:tr w:rsidR="008C1B8B" w:rsidRPr="00F849FD" w14:paraId="209FC2F9"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0ADB5B3B" w14:textId="77777777" w:rsidR="008C1B8B" w:rsidRPr="00F849FD" w:rsidRDefault="008C1B8B" w:rsidP="008C1B8B">
            <w:pPr>
              <w:rPr>
                <w:rFonts w:ascii="Aptos" w:hAnsi="Aptos"/>
                <w:sz w:val="18"/>
                <w:szCs w:val="18"/>
              </w:rPr>
            </w:pPr>
            <w:r w:rsidRPr="00F849FD">
              <w:rPr>
                <w:rFonts w:ascii="Aptos" w:hAnsi="Aptos"/>
                <w:sz w:val="18"/>
                <w:szCs w:val="18"/>
              </w:rPr>
              <w:t>Were efforts made to minimise error in data collection?</w:t>
            </w:r>
          </w:p>
        </w:tc>
        <w:tc>
          <w:tcPr>
            <w:tcW w:w="497" w:type="pct"/>
            <w:tcBorders>
              <w:top w:val="nil"/>
              <w:left w:val="nil"/>
              <w:bottom w:val="single" w:sz="4" w:space="0" w:color="auto"/>
              <w:right w:val="single" w:sz="4" w:space="0" w:color="auto"/>
            </w:tcBorders>
            <w:shd w:val="clear" w:color="000000" w:fill="FFFFFF"/>
            <w:vAlign w:val="center"/>
            <w:hideMark/>
          </w:tcPr>
          <w:p w14:paraId="1C47A141" w14:textId="77777777" w:rsidR="008C1B8B" w:rsidRPr="00F849FD" w:rsidRDefault="008C1B8B" w:rsidP="008C1B8B">
            <w:pPr>
              <w:rPr>
                <w:rFonts w:ascii="Aptos" w:hAnsi="Aptos"/>
                <w:sz w:val="18"/>
                <w:szCs w:val="18"/>
              </w:rPr>
            </w:pPr>
            <w:r w:rsidRPr="00F849FD">
              <w:rPr>
                <w:rFonts w:ascii="Aptos" w:hAnsi="Aptos"/>
                <w:sz w:val="18"/>
                <w:szCs w:val="18"/>
              </w:rPr>
              <w:t>NI</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7F78F319"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18E83E03"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7A190C4E"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2C0781AE" w14:textId="77777777" w:rsidR="008C1B8B" w:rsidRPr="00F849FD" w:rsidRDefault="008C1B8B" w:rsidP="008C1B8B">
            <w:pPr>
              <w:rPr>
                <w:rFonts w:ascii="Aptos" w:hAnsi="Aptos"/>
                <w:sz w:val="18"/>
                <w:szCs w:val="18"/>
              </w:rPr>
            </w:pPr>
            <w:r w:rsidRPr="00F849FD">
              <w:rPr>
                <w:rFonts w:ascii="Aptos" w:hAnsi="Aptos"/>
                <w:sz w:val="18"/>
                <w:szCs w:val="18"/>
              </w:rPr>
              <w:t>Were sufficient study characteristics available for both review authors and readers to be able to interpret the results?</w:t>
            </w:r>
          </w:p>
        </w:tc>
        <w:tc>
          <w:tcPr>
            <w:tcW w:w="497" w:type="pct"/>
            <w:tcBorders>
              <w:top w:val="nil"/>
              <w:left w:val="nil"/>
              <w:bottom w:val="single" w:sz="4" w:space="0" w:color="auto"/>
              <w:right w:val="single" w:sz="4" w:space="0" w:color="auto"/>
            </w:tcBorders>
            <w:shd w:val="clear" w:color="000000" w:fill="FFFFFF"/>
            <w:vAlign w:val="center"/>
            <w:hideMark/>
          </w:tcPr>
          <w:p w14:paraId="3706C508" w14:textId="77777777" w:rsidR="008C1B8B" w:rsidRPr="00F849FD" w:rsidRDefault="008C1B8B" w:rsidP="008C1B8B">
            <w:pPr>
              <w:rPr>
                <w:rFonts w:ascii="Aptos" w:hAnsi="Aptos"/>
                <w:sz w:val="18"/>
                <w:szCs w:val="18"/>
              </w:rPr>
            </w:pPr>
            <w:r w:rsidRPr="00F849FD">
              <w:rPr>
                <w:rFonts w:ascii="Aptos" w:hAnsi="Aptos"/>
                <w:sz w:val="18"/>
                <w:szCs w:val="18"/>
              </w:rPr>
              <w:t>N</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319A1368" w14:textId="77777777" w:rsidR="008C1B8B" w:rsidRPr="00F849FD" w:rsidRDefault="008C1B8B" w:rsidP="008C1B8B">
            <w:pPr>
              <w:rPr>
                <w:rFonts w:ascii="Aptos" w:hAnsi="Aptos"/>
                <w:sz w:val="18"/>
                <w:szCs w:val="18"/>
              </w:rPr>
            </w:pPr>
            <w:r w:rsidRPr="00F849FD">
              <w:rPr>
                <w:rFonts w:ascii="Aptos" w:hAnsi="Aptos"/>
                <w:sz w:val="18"/>
                <w:szCs w:val="18"/>
              </w:rPr>
              <w:t>N</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0C322098"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2C7A9AC6"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2DFA092B" w14:textId="77777777" w:rsidR="008C1B8B" w:rsidRPr="00F849FD" w:rsidRDefault="008C1B8B" w:rsidP="008C1B8B">
            <w:pPr>
              <w:rPr>
                <w:rFonts w:ascii="Aptos" w:hAnsi="Aptos"/>
                <w:sz w:val="18"/>
                <w:szCs w:val="18"/>
              </w:rPr>
            </w:pPr>
            <w:r w:rsidRPr="00F849FD">
              <w:rPr>
                <w:rFonts w:ascii="Aptos" w:hAnsi="Aptos"/>
                <w:sz w:val="18"/>
                <w:szCs w:val="18"/>
              </w:rPr>
              <w:t>Were all relevant study results collected for use in the synthesis?</w:t>
            </w:r>
          </w:p>
        </w:tc>
        <w:tc>
          <w:tcPr>
            <w:tcW w:w="497" w:type="pct"/>
            <w:tcBorders>
              <w:top w:val="nil"/>
              <w:left w:val="nil"/>
              <w:bottom w:val="single" w:sz="4" w:space="0" w:color="auto"/>
              <w:right w:val="single" w:sz="4" w:space="0" w:color="auto"/>
            </w:tcBorders>
            <w:shd w:val="clear" w:color="000000" w:fill="FFFFFF"/>
            <w:vAlign w:val="center"/>
            <w:hideMark/>
          </w:tcPr>
          <w:p w14:paraId="6C3E819F"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4F2F312C" w14:textId="77777777" w:rsidR="008C1B8B" w:rsidRPr="00F849FD" w:rsidRDefault="008C1B8B" w:rsidP="008C1B8B">
            <w:pPr>
              <w:rPr>
                <w:rFonts w:ascii="Aptos" w:hAnsi="Aptos"/>
                <w:sz w:val="18"/>
                <w:szCs w:val="18"/>
              </w:rPr>
            </w:pPr>
            <w:r w:rsidRPr="00F849FD">
              <w:rPr>
                <w:rFonts w:ascii="Aptos" w:hAnsi="Aptos"/>
                <w:sz w:val="18"/>
                <w:szCs w:val="18"/>
              </w:rPr>
              <w:t>N</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64E125F8"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1A7DA42E"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7690652F" w14:textId="77777777" w:rsidR="008C1B8B" w:rsidRPr="00F849FD" w:rsidRDefault="008C1B8B" w:rsidP="008C1B8B">
            <w:pPr>
              <w:rPr>
                <w:rFonts w:ascii="Aptos" w:hAnsi="Aptos"/>
                <w:sz w:val="18"/>
                <w:szCs w:val="18"/>
              </w:rPr>
            </w:pPr>
            <w:r w:rsidRPr="00F849FD">
              <w:rPr>
                <w:rFonts w:ascii="Aptos" w:hAnsi="Aptos"/>
                <w:sz w:val="18"/>
                <w:szCs w:val="18"/>
              </w:rPr>
              <w:t>Was risk of bias (or methodological quality) formally assessed using appropriate criteria?</w:t>
            </w:r>
          </w:p>
        </w:tc>
        <w:tc>
          <w:tcPr>
            <w:tcW w:w="497" w:type="pct"/>
            <w:tcBorders>
              <w:top w:val="nil"/>
              <w:left w:val="nil"/>
              <w:bottom w:val="single" w:sz="4" w:space="0" w:color="auto"/>
              <w:right w:val="single" w:sz="4" w:space="0" w:color="auto"/>
            </w:tcBorders>
            <w:shd w:val="clear" w:color="000000" w:fill="FFFFFF"/>
            <w:vAlign w:val="center"/>
            <w:hideMark/>
          </w:tcPr>
          <w:p w14:paraId="1C86B250"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4602C829"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02E4B197"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097D8BBD"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611046A3" w14:textId="77777777" w:rsidR="008C1B8B" w:rsidRPr="00F849FD" w:rsidRDefault="008C1B8B" w:rsidP="008C1B8B">
            <w:pPr>
              <w:rPr>
                <w:rFonts w:ascii="Aptos" w:hAnsi="Aptos"/>
                <w:sz w:val="18"/>
                <w:szCs w:val="18"/>
              </w:rPr>
            </w:pPr>
            <w:r w:rsidRPr="00F849FD">
              <w:rPr>
                <w:rFonts w:ascii="Aptos" w:hAnsi="Aptos"/>
                <w:sz w:val="18"/>
                <w:szCs w:val="18"/>
              </w:rPr>
              <w:t>Were efforts made to minimise error in risk of bias assessment?</w:t>
            </w:r>
          </w:p>
        </w:tc>
        <w:tc>
          <w:tcPr>
            <w:tcW w:w="497" w:type="pct"/>
            <w:tcBorders>
              <w:top w:val="nil"/>
              <w:left w:val="nil"/>
              <w:bottom w:val="single" w:sz="4" w:space="0" w:color="auto"/>
              <w:right w:val="single" w:sz="4" w:space="0" w:color="auto"/>
            </w:tcBorders>
            <w:shd w:val="clear" w:color="000000" w:fill="FFFFFF"/>
            <w:vAlign w:val="center"/>
            <w:hideMark/>
          </w:tcPr>
          <w:p w14:paraId="4872C876" w14:textId="77777777" w:rsidR="008C1B8B" w:rsidRPr="00F849FD" w:rsidRDefault="008C1B8B" w:rsidP="008C1B8B">
            <w:pPr>
              <w:rPr>
                <w:rFonts w:ascii="Aptos" w:hAnsi="Aptos"/>
                <w:sz w:val="18"/>
                <w:szCs w:val="18"/>
              </w:rPr>
            </w:pPr>
            <w:r w:rsidRPr="00F849FD">
              <w:rPr>
                <w:rFonts w:ascii="Aptos" w:hAnsi="Aptos"/>
                <w:sz w:val="18"/>
                <w:szCs w:val="18"/>
              </w:rPr>
              <w:t>NI</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543F2C8C"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1A4CA5B3"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6D242B39"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30667E9E" w14:textId="77777777" w:rsidR="008C1B8B" w:rsidRPr="00F849FD" w:rsidRDefault="008C1B8B" w:rsidP="008C1B8B">
            <w:pPr>
              <w:rPr>
                <w:rFonts w:ascii="Aptos" w:hAnsi="Aptos"/>
                <w:sz w:val="18"/>
                <w:szCs w:val="18"/>
              </w:rPr>
            </w:pPr>
            <w:r w:rsidRPr="00F849FD">
              <w:rPr>
                <w:rFonts w:ascii="Aptos" w:hAnsi="Aptos"/>
                <w:sz w:val="18"/>
                <w:szCs w:val="18"/>
              </w:rPr>
              <w:t>Concerns regarding methods used to collect data and appraise studies: LOW, HIGH, UNCLEAR</w:t>
            </w:r>
          </w:p>
        </w:tc>
        <w:tc>
          <w:tcPr>
            <w:tcW w:w="497" w:type="pct"/>
            <w:tcBorders>
              <w:top w:val="nil"/>
              <w:left w:val="nil"/>
              <w:bottom w:val="single" w:sz="4" w:space="0" w:color="auto"/>
              <w:right w:val="single" w:sz="4" w:space="0" w:color="auto"/>
            </w:tcBorders>
            <w:shd w:val="clear" w:color="000000" w:fill="FFBBB2"/>
            <w:vAlign w:val="center"/>
            <w:hideMark/>
          </w:tcPr>
          <w:p w14:paraId="67144CA3" w14:textId="77777777" w:rsidR="008C1B8B" w:rsidRPr="00F849FD" w:rsidRDefault="008C1B8B" w:rsidP="008C1B8B">
            <w:pPr>
              <w:rPr>
                <w:rFonts w:ascii="Aptos" w:hAnsi="Aptos"/>
                <w:sz w:val="18"/>
                <w:szCs w:val="18"/>
              </w:rPr>
            </w:pPr>
            <w:r w:rsidRPr="00F849FD">
              <w:rPr>
                <w:rFonts w:ascii="Aptos" w:hAnsi="Aptos"/>
                <w:sz w:val="18"/>
                <w:szCs w:val="18"/>
              </w:rPr>
              <w:t>High</w:t>
            </w:r>
          </w:p>
        </w:tc>
        <w:tc>
          <w:tcPr>
            <w:tcW w:w="462" w:type="pct"/>
            <w:tcBorders>
              <w:top w:val="nil"/>
              <w:left w:val="single" w:sz="4" w:space="0" w:color="auto"/>
              <w:bottom w:val="single" w:sz="4" w:space="0" w:color="auto"/>
              <w:right w:val="single" w:sz="4" w:space="0" w:color="auto"/>
            </w:tcBorders>
            <w:shd w:val="clear" w:color="000000" w:fill="FFBBB2"/>
            <w:vAlign w:val="center"/>
            <w:hideMark/>
          </w:tcPr>
          <w:p w14:paraId="211AEBA5" w14:textId="77777777" w:rsidR="008C1B8B" w:rsidRPr="00F849FD" w:rsidRDefault="008C1B8B" w:rsidP="008C1B8B">
            <w:pPr>
              <w:rPr>
                <w:rFonts w:ascii="Aptos" w:hAnsi="Aptos"/>
                <w:sz w:val="18"/>
                <w:szCs w:val="18"/>
              </w:rPr>
            </w:pPr>
            <w:r w:rsidRPr="00F849FD">
              <w:rPr>
                <w:rFonts w:ascii="Aptos" w:hAnsi="Aptos"/>
                <w:sz w:val="18"/>
                <w:szCs w:val="18"/>
              </w:rPr>
              <w:t>High</w:t>
            </w:r>
          </w:p>
        </w:tc>
        <w:tc>
          <w:tcPr>
            <w:tcW w:w="461" w:type="pct"/>
            <w:tcBorders>
              <w:top w:val="nil"/>
              <w:left w:val="single" w:sz="4" w:space="0" w:color="auto"/>
              <w:bottom w:val="single" w:sz="4" w:space="0" w:color="auto"/>
              <w:right w:val="single" w:sz="4" w:space="0" w:color="auto"/>
            </w:tcBorders>
            <w:shd w:val="clear" w:color="000000" w:fill="E2EFDA"/>
            <w:vAlign w:val="center"/>
            <w:hideMark/>
          </w:tcPr>
          <w:p w14:paraId="3C142D8C" w14:textId="77777777" w:rsidR="008C1B8B" w:rsidRPr="00F849FD" w:rsidRDefault="008C1B8B" w:rsidP="008C1B8B">
            <w:pPr>
              <w:rPr>
                <w:rFonts w:ascii="Aptos" w:hAnsi="Aptos"/>
                <w:sz w:val="18"/>
                <w:szCs w:val="18"/>
              </w:rPr>
            </w:pPr>
            <w:r w:rsidRPr="00F849FD">
              <w:rPr>
                <w:rFonts w:ascii="Aptos" w:hAnsi="Aptos"/>
                <w:sz w:val="18"/>
                <w:szCs w:val="18"/>
              </w:rPr>
              <w:t>Low</w:t>
            </w:r>
          </w:p>
        </w:tc>
      </w:tr>
      <w:tr w:rsidR="008C1B8B" w:rsidRPr="00F849FD" w14:paraId="17E32289"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2F2F2"/>
            <w:vAlign w:val="center"/>
            <w:hideMark/>
          </w:tcPr>
          <w:p w14:paraId="1F9B21F8" w14:textId="77777777" w:rsidR="008C1B8B" w:rsidRPr="00F849FD" w:rsidRDefault="008C1B8B" w:rsidP="008C1B8B">
            <w:pPr>
              <w:rPr>
                <w:rFonts w:ascii="Aptos" w:hAnsi="Aptos"/>
                <w:sz w:val="18"/>
                <w:szCs w:val="18"/>
              </w:rPr>
            </w:pPr>
            <w:r w:rsidRPr="00F849FD">
              <w:rPr>
                <w:rFonts w:ascii="Aptos" w:hAnsi="Aptos"/>
                <w:sz w:val="18"/>
                <w:szCs w:val="18"/>
              </w:rPr>
              <w:t>Domain 4: Synthesis and findings</w:t>
            </w:r>
          </w:p>
        </w:tc>
        <w:tc>
          <w:tcPr>
            <w:tcW w:w="497" w:type="pct"/>
            <w:tcBorders>
              <w:top w:val="nil"/>
              <w:left w:val="nil"/>
              <w:bottom w:val="single" w:sz="4" w:space="0" w:color="auto"/>
              <w:right w:val="single" w:sz="4" w:space="0" w:color="auto"/>
            </w:tcBorders>
            <w:shd w:val="clear" w:color="000000" w:fill="F2F2F2"/>
            <w:vAlign w:val="center"/>
            <w:hideMark/>
          </w:tcPr>
          <w:p w14:paraId="1D72EF1A"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2" w:type="pct"/>
            <w:tcBorders>
              <w:top w:val="nil"/>
              <w:left w:val="single" w:sz="4" w:space="0" w:color="auto"/>
              <w:bottom w:val="single" w:sz="4" w:space="0" w:color="auto"/>
              <w:right w:val="single" w:sz="4" w:space="0" w:color="auto"/>
            </w:tcBorders>
            <w:shd w:val="clear" w:color="000000" w:fill="F2F2F2"/>
            <w:vAlign w:val="center"/>
            <w:hideMark/>
          </w:tcPr>
          <w:p w14:paraId="34AB498D"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1" w:type="pct"/>
            <w:tcBorders>
              <w:top w:val="nil"/>
              <w:left w:val="single" w:sz="4" w:space="0" w:color="auto"/>
              <w:bottom w:val="single" w:sz="4" w:space="0" w:color="auto"/>
              <w:right w:val="single" w:sz="4" w:space="0" w:color="auto"/>
            </w:tcBorders>
            <w:shd w:val="clear" w:color="000000" w:fill="F2F2F2"/>
            <w:vAlign w:val="center"/>
            <w:hideMark/>
          </w:tcPr>
          <w:p w14:paraId="447000FF" w14:textId="77777777" w:rsidR="008C1B8B" w:rsidRPr="00F849FD" w:rsidRDefault="008C1B8B" w:rsidP="008C1B8B">
            <w:pPr>
              <w:rPr>
                <w:rFonts w:ascii="Aptos" w:hAnsi="Aptos"/>
                <w:sz w:val="18"/>
                <w:szCs w:val="18"/>
              </w:rPr>
            </w:pPr>
            <w:r w:rsidRPr="00F849FD">
              <w:rPr>
                <w:rFonts w:ascii="Aptos" w:hAnsi="Aptos"/>
                <w:sz w:val="18"/>
                <w:szCs w:val="18"/>
              </w:rPr>
              <w:t> </w:t>
            </w:r>
          </w:p>
        </w:tc>
      </w:tr>
      <w:tr w:rsidR="008C1B8B" w:rsidRPr="00F849FD" w14:paraId="526AD7C0"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7FB0AAD2" w14:textId="77777777" w:rsidR="008C1B8B" w:rsidRPr="00F849FD" w:rsidRDefault="008C1B8B" w:rsidP="008C1B8B">
            <w:pPr>
              <w:rPr>
                <w:rFonts w:ascii="Aptos" w:hAnsi="Aptos"/>
                <w:sz w:val="18"/>
                <w:szCs w:val="18"/>
              </w:rPr>
            </w:pPr>
            <w:r w:rsidRPr="00F849FD">
              <w:rPr>
                <w:rFonts w:ascii="Aptos" w:hAnsi="Aptos"/>
                <w:sz w:val="18"/>
                <w:szCs w:val="18"/>
              </w:rPr>
              <w:t>Did the synthesis include all studies that it should?</w:t>
            </w:r>
          </w:p>
        </w:tc>
        <w:tc>
          <w:tcPr>
            <w:tcW w:w="497" w:type="pct"/>
            <w:tcBorders>
              <w:top w:val="nil"/>
              <w:left w:val="nil"/>
              <w:bottom w:val="single" w:sz="4" w:space="0" w:color="auto"/>
              <w:right w:val="single" w:sz="4" w:space="0" w:color="auto"/>
            </w:tcBorders>
            <w:shd w:val="clear" w:color="000000" w:fill="FFFFFF"/>
            <w:vAlign w:val="center"/>
            <w:hideMark/>
          </w:tcPr>
          <w:p w14:paraId="37963E50"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76009839"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244DA976" w14:textId="77777777" w:rsidR="008C1B8B" w:rsidRPr="00F849FD" w:rsidRDefault="008C1B8B" w:rsidP="008C1B8B">
            <w:pPr>
              <w:rPr>
                <w:rFonts w:ascii="Aptos" w:hAnsi="Aptos"/>
                <w:sz w:val="18"/>
                <w:szCs w:val="18"/>
              </w:rPr>
            </w:pPr>
            <w:r w:rsidRPr="00F849FD">
              <w:rPr>
                <w:rFonts w:ascii="Aptos" w:hAnsi="Aptos"/>
                <w:sz w:val="18"/>
                <w:szCs w:val="18"/>
              </w:rPr>
              <w:t>PY</w:t>
            </w:r>
          </w:p>
        </w:tc>
      </w:tr>
      <w:tr w:rsidR="008C1B8B" w:rsidRPr="00F849FD" w14:paraId="0A9F9DCA"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67E3D051" w14:textId="77777777" w:rsidR="008C1B8B" w:rsidRPr="00F849FD" w:rsidRDefault="008C1B8B" w:rsidP="008C1B8B">
            <w:pPr>
              <w:rPr>
                <w:rFonts w:ascii="Aptos" w:hAnsi="Aptos"/>
                <w:sz w:val="18"/>
                <w:szCs w:val="18"/>
              </w:rPr>
            </w:pPr>
            <w:r w:rsidRPr="00F849FD">
              <w:rPr>
                <w:rFonts w:ascii="Aptos" w:hAnsi="Aptos"/>
                <w:sz w:val="18"/>
                <w:szCs w:val="18"/>
              </w:rPr>
              <w:lastRenderedPageBreak/>
              <w:t>Were all pre</w:t>
            </w:r>
            <w:r w:rsidRPr="00F849FD">
              <w:rPr>
                <w:rFonts w:ascii="Cambria Math" w:hAnsi="Cambria Math" w:cs="Cambria Math"/>
                <w:sz w:val="18"/>
                <w:szCs w:val="18"/>
              </w:rPr>
              <w:t>‐</w:t>
            </w:r>
            <w:r w:rsidRPr="00F849FD">
              <w:rPr>
                <w:rFonts w:ascii="Aptos" w:hAnsi="Aptos"/>
                <w:sz w:val="18"/>
                <w:szCs w:val="18"/>
              </w:rPr>
              <w:t>defined analyses reported or departures explained?</w:t>
            </w:r>
          </w:p>
        </w:tc>
        <w:tc>
          <w:tcPr>
            <w:tcW w:w="497" w:type="pct"/>
            <w:tcBorders>
              <w:top w:val="nil"/>
              <w:left w:val="nil"/>
              <w:bottom w:val="single" w:sz="4" w:space="0" w:color="auto"/>
              <w:right w:val="single" w:sz="4" w:space="0" w:color="auto"/>
            </w:tcBorders>
            <w:shd w:val="clear" w:color="000000" w:fill="FFFFFF"/>
            <w:vAlign w:val="center"/>
            <w:hideMark/>
          </w:tcPr>
          <w:p w14:paraId="29BB9F06"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624DB35A"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75B061AA"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5A01E393"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2874F892" w14:textId="77777777" w:rsidR="008C1B8B" w:rsidRPr="00F849FD" w:rsidRDefault="008C1B8B" w:rsidP="008C1B8B">
            <w:pPr>
              <w:rPr>
                <w:rFonts w:ascii="Aptos" w:hAnsi="Aptos"/>
                <w:sz w:val="18"/>
                <w:szCs w:val="18"/>
              </w:rPr>
            </w:pPr>
            <w:r w:rsidRPr="00F849FD">
              <w:rPr>
                <w:rFonts w:ascii="Aptos" w:hAnsi="Aptos"/>
                <w:sz w:val="18"/>
                <w:szCs w:val="18"/>
              </w:rPr>
              <w:t>Was the synthesis appropriate given the nature and similarity in the research questions, study designs and outcomes across included studies?</w:t>
            </w:r>
          </w:p>
        </w:tc>
        <w:tc>
          <w:tcPr>
            <w:tcW w:w="497" w:type="pct"/>
            <w:tcBorders>
              <w:top w:val="nil"/>
              <w:left w:val="nil"/>
              <w:bottom w:val="single" w:sz="4" w:space="0" w:color="auto"/>
              <w:right w:val="single" w:sz="4" w:space="0" w:color="auto"/>
            </w:tcBorders>
            <w:shd w:val="clear" w:color="000000" w:fill="FFFFFF"/>
            <w:vAlign w:val="center"/>
            <w:hideMark/>
          </w:tcPr>
          <w:p w14:paraId="2A70B6A2"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49474BC1"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4D0BD547"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5B1C6D82"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158475FE" w14:textId="77777777" w:rsidR="008C1B8B" w:rsidRPr="00F849FD" w:rsidRDefault="008C1B8B" w:rsidP="008C1B8B">
            <w:pPr>
              <w:rPr>
                <w:rFonts w:ascii="Aptos" w:hAnsi="Aptos"/>
                <w:sz w:val="18"/>
                <w:szCs w:val="18"/>
              </w:rPr>
            </w:pPr>
            <w:r w:rsidRPr="00F849FD">
              <w:rPr>
                <w:rFonts w:ascii="Aptos" w:hAnsi="Aptos"/>
                <w:sz w:val="18"/>
                <w:szCs w:val="18"/>
              </w:rPr>
              <w:t>Was between</w:t>
            </w:r>
            <w:r w:rsidRPr="00F849FD">
              <w:rPr>
                <w:rFonts w:ascii="Cambria Math" w:hAnsi="Cambria Math" w:cs="Cambria Math"/>
                <w:sz w:val="18"/>
                <w:szCs w:val="18"/>
              </w:rPr>
              <w:t>‐</w:t>
            </w:r>
            <w:r w:rsidRPr="00F849FD">
              <w:rPr>
                <w:rFonts w:ascii="Aptos" w:hAnsi="Aptos"/>
                <w:sz w:val="18"/>
                <w:szCs w:val="18"/>
              </w:rPr>
              <w:t>study variation (heterogeneity) minimal or addressed in the synthesis?</w:t>
            </w:r>
          </w:p>
        </w:tc>
        <w:tc>
          <w:tcPr>
            <w:tcW w:w="497" w:type="pct"/>
            <w:tcBorders>
              <w:top w:val="nil"/>
              <w:left w:val="nil"/>
              <w:bottom w:val="single" w:sz="4" w:space="0" w:color="auto"/>
              <w:right w:val="single" w:sz="4" w:space="0" w:color="auto"/>
            </w:tcBorders>
            <w:shd w:val="clear" w:color="000000" w:fill="FFFFFF"/>
            <w:vAlign w:val="center"/>
            <w:hideMark/>
          </w:tcPr>
          <w:p w14:paraId="15AF40DB"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6725C54F" w14:textId="77777777" w:rsidR="008C1B8B" w:rsidRPr="00F849FD" w:rsidRDefault="008C1B8B" w:rsidP="008C1B8B">
            <w:pPr>
              <w:rPr>
                <w:rFonts w:ascii="Aptos" w:hAnsi="Aptos"/>
                <w:sz w:val="18"/>
                <w:szCs w:val="18"/>
              </w:rPr>
            </w:pPr>
            <w:r w:rsidRPr="00F849FD">
              <w:rPr>
                <w:rFonts w:ascii="Aptos" w:hAnsi="Aptos"/>
                <w:sz w:val="18"/>
                <w:szCs w:val="18"/>
              </w:rPr>
              <w:t>PY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786BD021" w14:textId="77777777" w:rsidR="008C1B8B" w:rsidRPr="00F849FD" w:rsidRDefault="008C1B8B" w:rsidP="008C1B8B">
            <w:pPr>
              <w:rPr>
                <w:rFonts w:ascii="Aptos" w:hAnsi="Aptos"/>
                <w:sz w:val="18"/>
                <w:szCs w:val="18"/>
              </w:rPr>
            </w:pPr>
            <w:r w:rsidRPr="00F849FD">
              <w:rPr>
                <w:rFonts w:ascii="Aptos" w:hAnsi="Aptos"/>
                <w:sz w:val="18"/>
                <w:szCs w:val="18"/>
              </w:rPr>
              <w:t>PY</w:t>
            </w:r>
          </w:p>
        </w:tc>
      </w:tr>
      <w:tr w:rsidR="008C1B8B" w:rsidRPr="00F849FD" w14:paraId="1F224BCE"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6CA2073D" w14:textId="77777777" w:rsidR="008C1B8B" w:rsidRPr="00F849FD" w:rsidRDefault="008C1B8B" w:rsidP="008C1B8B">
            <w:pPr>
              <w:rPr>
                <w:rFonts w:ascii="Aptos" w:hAnsi="Aptos"/>
                <w:sz w:val="18"/>
                <w:szCs w:val="18"/>
              </w:rPr>
            </w:pPr>
            <w:r w:rsidRPr="00F849FD">
              <w:rPr>
                <w:rFonts w:ascii="Aptos" w:hAnsi="Aptos"/>
                <w:sz w:val="18"/>
                <w:szCs w:val="18"/>
              </w:rPr>
              <w:t>Were the findings robust, e.g. as demonstrated through funnel plot or sensitivity analyses?</w:t>
            </w:r>
          </w:p>
        </w:tc>
        <w:tc>
          <w:tcPr>
            <w:tcW w:w="497" w:type="pct"/>
            <w:tcBorders>
              <w:top w:val="nil"/>
              <w:left w:val="nil"/>
              <w:bottom w:val="single" w:sz="4" w:space="0" w:color="auto"/>
              <w:right w:val="single" w:sz="4" w:space="0" w:color="auto"/>
            </w:tcBorders>
            <w:shd w:val="clear" w:color="000000" w:fill="FFFFFF"/>
            <w:vAlign w:val="center"/>
            <w:hideMark/>
          </w:tcPr>
          <w:p w14:paraId="1EFCA865" w14:textId="77777777" w:rsidR="008C1B8B" w:rsidRPr="00F849FD" w:rsidRDefault="008C1B8B" w:rsidP="008C1B8B">
            <w:pPr>
              <w:rPr>
                <w:rFonts w:ascii="Aptos" w:hAnsi="Aptos"/>
                <w:sz w:val="18"/>
                <w:szCs w:val="18"/>
              </w:rPr>
            </w:pPr>
            <w:r w:rsidRPr="00F849FD">
              <w:rPr>
                <w:rFonts w:ascii="Aptos" w:hAnsi="Aptos"/>
                <w:sz w:val="18"/>
                <w:szCs w:val="18"/>
              </w:rPr>
              <w:t>NI</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4F806E10" w14:textId="77777777" w:rsidR="008C1B8B" w:rsidRPr="00F849FD" w:rsidRDefault="008C1B8B" w:rsidP="008C1B8B">
            <w:pPr>
              <w:rPr>
                <w:rFonts w:ascii="Aptos" w:hAnsi="Aptos"/>
                <w:sz w:val="18"/>
                <w:szCs w:val="18"/>
              </w:rPr>
            </w:pPr>
            <w:r w:rsidRPr="00F849FD">
              <w:rPr>
                <w:rFonts w:ascii="Aptos" w:hAnsi="Aptos"/>
                <w:sz w:val="18"/>
                <w:szCs w:val="18"/>
              </w:rPr>
              <w:t>NI</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00DFA750" w14:textId="77777777" w:rsidR="008C1B8B" w:rsidRPr="00F849FD" w:rsidRDefault="008C1B8B" w:rsidP="008C1B8B">
            <w:pPr>
              <w:rPr>
                <w:rFonts w:ascii="Aptos" w:hAnsi="Aptos"/>
                <w:sz w:val="18"/>
                <w:szCs w:val="18"/>
              </w:rPr>
            </w:pPr>
            <w:r w:rsidRPr="00F849FD">
              <w:rPr>
                <w:rFonts w:ascii="Aptos" w:hAnsi="Aptos"/>
                <w:sz w:val="18"/>
                <w:szCs w:val="18"/>
              </w:rPr>
              <w:t>NI</w:t>
            </w:r>
          </w:p>
        </w:tc>
      </w:tr>
      <w:tr w:rsidR="008C1B8B" w:rsidRPr="00F849FD" w14:paraId="2DB3F46A"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01C2E9F8" w14:textId="77777777" w:rsidR="008C1B8B" w:rsidRPr="00F849FD" w:rsidRDefault="008C1B8B" w:rsidP="008C1B8B">
            <w:pPr>
              <w:rPr>
                <w:rFonts w:ascii="Aptos" w:hAnsi="Aptos"/>
                <w:sz w:val="18"/>
                <w:szCs w:val="18"/>
              </w:rPr>
            </w:pPr>
            <w:r w:rsidRPr="00F849FD">
              <w:rPr>
                <w:rFonts w:ascii="Aptos" w:hAnsi="Aptos"/>
                <w:sz w:val="18"/>
                <w:szCs w:val="18"/>
              </w:rPr>
              <w:t>Were biases in primary studies minimal or addressed in the synthesis?</w:t>
            </w:r>
          </w:p>
        </w:tc>
        <w:tc>
          <w:tcPr>
            <w:tcW w:w="497" w:type="pct"/>
            <w:tcBorders>
              <w:top w:val="nil"/>
              <w:left w:val="nil"/>
              <w:bottom w:val="single" w:sz="4" w:space="0" w:color="auto"/>
              <w:right w:val="single" w:sz="4" w:space="0" w:color="auto"/>
            </w:tcBorders>
            <w:shd w:val="clear" w:color="000000" w:fill="FFFFFF"/>
            <w:vAlign w:val="center"/>
            <w:hideMark/>
          </w:tcPr>
          <w:p w14:paraId="2D967CB0"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33BD7A18"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681CA35C"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4E36D044"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6BB440E0" w14:textId="77777777" w:rsidR="008C1B8B" w:rsidRPr="00F849FD" w:rsidRDefault="008C1B8B" w:rsidP="008C1B8B">
            <w:pPr>
              <w:rPr>
                <w:rFonts w:ascii="Aptos" w:hAnsi="Aptos"/>
                <w:sz w:val="18"/>
                <w:szCs w:val="18"/>
              </w:rPr>
            </w:pPr>
            <w:r w:rsidRPr="00F849FD">
              <w:rPr>
                <w:rFonts w:ascii="Aptos" w:hAnsi="Aptos"/>
                <w:sz w:val="18"/>
                <w:szCs w:val="18"/>
              </w:rPr>
              <w:t>Concerns regarding the synthesis and finding: LOW, HIGH, UNCLEAR</w:t>
            </w:r>
          </w:p>
        </w:tc>
        <w:tc>
          <w:tcPr>
            <w:tcW w:w="497" w:type="pct"/>
            <w:tcBorders>
              <w:top w:val="nil"/>
              <w:left w:val="nil"/>
              <w:bottom w:val="single" w:sz="4" w:space="0" w:color="auto"/>
              <w:right w:val="single" w:sz="4" w:space="0" w:color="auto"/>
            </w:tcBorders>
            <w:shd w:val="clear" w:color="000000" w:fill="FFF2CC"/>
            <w:vAlign w:val="center"/>
            <w:hideMark/>
          </w:tcPr>
          <w:p w14:paraId="7D29BE51" w14:textId="77777777" w:rsidR="008C1B8B" w:rsidRPr="00F849FD" w:rsidRDefault="008C1B8B" w:rsidP="008C1B8B">
            <w:pPr>
              <w:rPr>
                <w:rFonts w:ascii="Aptos" w:hAnsi="Aptos"/>
                <w:sz w:val="18"/>
                <w:szCs w:val="18"/>
              </w:rPr>
            </w:pPr>
            <w:r w:rsidRPr="00F849FD">
              <w:rPr>
                <w:rFonts w:ascii="Aptos" w:hAnsi="Aptos"/>
                <w:sz w:val="18"/>
                <w:szCs w:val="18"/>
              </w:rPr>
              <w:t>Unclear</w:t>
            </w:r>
          </w:p>
        </w:tc>
        <w:tc>
          <w:tcPr>
            <w:tcW w:w="462" w:type="pct"/>
            <w:tcBorders>
              <w:top w:val="nil"/>
              <w:left w:val="single" w:sz="4" w:space="0" w:color="auto"/>
              <w:bottom w:val="single" w:sz="4" w:space="0" w:color="auto"/>
              <w:right w:val="single" w:sz="4" w:space="0" w:color="auto"/>
            </w:tcBorders>
            <w:shd w:val="clear" w:color="000000" w:fill="FFF2CC"/>
            <w:vAlign w:val="center"/>
            <w:hideMark/>
          </w:tcPr>
          <w:p w14:paraId="08201041" w14:textId="77777777" w:rsidR="008C1B8B" w:rsidRPr="00F849FD" w:rsidRDefault="008C1B8B" w:rsidP="008C1B8B">
            <w:pPr>
              <w:rPr>
                <w:rFonts w:ascii="Aptos" w:hAnsi="Aptos"/>
                <w:sz w:val="18"/>
                <w:szCs w:val="18"/>
              </w:rPr>
            </w:pPr>
            <w:r w:rsidRPr="00F849FD">
              <w:rPr>
                <w:rFonts w:ascii="Aptos" w:hAnsi="Aptos"/>
                <w:sz w:val="18"/>
                <w:szCs w:val="18"/>
              </w:rPr>
              <w:t>Unclear</w:t>
            </w:r>
          </w:p>
        </w:tc>
        <w:tc>
          <w:tcPr>
            <w:tcW w:w="461" w:type="pct"/>
            <w:tcBorders>
              <w:top w:val="nil"/>
              <w:left w:val="single" w:sz="4" w:space="0" w:color="auto"/>
              <w:bottom w:val="single" w:sz="4" w:space="0" w:color="auto"/>
              <w:right w:val="single" w:sz="4" w:space="0" w:color="auto"/>
            </w:tcBorders>
            <w:shd w:val="clear" w:color="000000" w:fill="FFF2CC"/>
            <w:vAlign w:val="center"/>
            <w:hideMark/>
          </w:tcPr>
          <w:p w14:paraId="46192896" w14:textId="77777777" w:rsidR="008C1B8B" w:rsidRPr="00F849FD" w:rsidRDefault="008C1B8B" w:rsidP="008C1B8B">
            <w:pPr>
              <w:rPr>
                <w:rFonts w:ascii="Aptos" w:hAnsi="Aptos"/>
                <w:sz w:val="18"/>
                <w:szCs w:val="18"/>
              </w:rPr>
            </w:pPr>
            <w:r w:rsidRPr="00F849FD">
              <w:rPr>
                <w:rFonts w:ascii="Aptos" w:hAnsi="Aptos"/>
                <w:sz w:val="18"/>
                <w:szCs w:val="18"/>
              </w:rPr>
              <w:t>Unclear</w:t>
            </w:r>
          </w:p>
        </w:tc>
      </w:tr>
      <w:tr w:rsidR="008C1B8B" w:rsidRPr="00F849FD" w14:paraId="485F0AF6"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D9D9D9"/>
            <w:vAlign w:val="center"/>
            <w:hideMark/>
          </w:tcPr>
          <w:p w14:paraId="27E0AF60" w14:textId="77777777" w:rsidR="008C1B8B" w:rsidRPr="00F849FD" w:rsidRDefault="008C1B8B" w:rsidP="008C1B8B">
            <w:pPr>
              <w:rPr>
                <w:rFonts w:ascii="Aptos" w:hAnsi="Aptos"/>
                <w:sz w:val="18"/>
                <w:szCs w:val="18"/>
              </w:rPr>
            </w:pPr>
            <w:r w:rsidRPr="00F849FD">
              <w:rPr>
                <w:rFonts w:ascii="Aptos" w:hAnsi="Aptos"/>
                <w:sz w:val="18"/>
                <w:szCs w:val="18"/>
              </w:rPr>
              <w:t>Risk of bias in the review</w:t>
            </w:r>
          </w:p>
        </w:tc>
        <w:tc>
          <w:tcPr>
            <w:tcW w:w="497" w:type="pct"/>
            <w:tcBorders>
              <w:top w:val="nil"/>
              <w:left w:val="nil"/>
              <w:bottom w:val="single" w:sz="4" w:space="0" w:color="auto"/>
              <w:right w:val="single" w:sz="4" w:space="0" w:color="auto"/>
            </w:tcBorders>
            <w:shd w:val="clear" w:color="000000" w:fill="D9D9D9"/>
            <w:vAlign w:val="center"/>
            <w:hideMark/>
          </w:tcPr>
          <w:p w14:paraId="71B4B436"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2" w:type="pct"/>
            <w:tcBorders>
              <w:top w:val="nil"/>
              <w:left w:val="single" w:sz="4" w:space="0" w:color="auto"/>
              <w:bottom w:val="single" w:sz="4" w:space="0" w:color="auto"/>
              <w:right w:val="single" w:sz="4" w:space="0" w:color="auto"/>
            </w:tcBorders>
            <w:shd w:val="clear" w:color="000000" w:fill="D9D9D9"/>
            <w:vAlign w:val="center"/>
            <w:hideMark/>
          </w:tcPr>
          <w:p w14:paraId="0FBCF0C3" w14:textId="77777777" w:rsidR="008C1B8B" w:rsidRPr="00F849FD" w:rsidRDefault="008C1B8B" w:rsidP="008C1B8B">
            <w:pPr>
              <w:rPr>
                <w:rFonts w:ascii="Aptos" w:hAnsi="Aptos"/>
                <w:sz w:val="18"/>
                <w:szCs w:val="18"/>
              </w:rPr>
            </w:pPr>
            <w:r w:rsidRPr="00F849FD">
              <w:rPr>
                <w:rFonts w:ascii="Aptos" w:hAnsi="Aptos"/>
                <w:sz w:val="18"/>
                <w:szCs w:val="18"/>
              </w:rPr>
              <w:t> </w:t>
            </w:r>
          </w:p>
        </w:tc>
        <w:tc>
          <w:tcPr>
            <w:tcW w:w="461" w:type="pct"/>
            <w:tcBorders>
              <w:top w:val="nil"/>
              <w:left w:val="single" w:sz="4" w:space="0" w:color="auto"/>
              <w:bottom w:val="single" w:sz="4" w:space="0" w:color="auto"/>
              <w:right w:val="single" w:sz="4" w:space="0" w:color="auto"/>
            </w:tcBorders>
            <w:shd w:val="clear" w:color="000000" w:fill="D9D9D9"/>
            <w:vAlign w:val="center"/>
            <w:hideMark/>
          </w:tcPr>
          <w:p w14:paraId="1C962D92" w14:textId="77777777" w:rsidR="008C1B8B" w:rsidRPr="00F849FD" w:rsidRDefault="008C1B8B" w:rsidP="008C1B8B">
            <w:pPr>
              <w:rPr>
                <w:rFonts w:ascii="Aptos" w:hAnsi="Aptos"/>
                <w:sz w:val="18"/>
                <w:szCs w:val="18"/>
              </w:rPr>
            </w:pPr>
            <w:r w:rsidRPr="00F849FD">
              <w:rPr>
                <w:rFonts w:ascii="Aptos" w:hAnsi="Aptos"/>
                <w:sz w:val="18"/>
                <w:szCs w:val="18"/>
              </w:rPr>
              <w:t> </w:t>
            </w:r>
          </w:p>
        </w:tc>
      </w:tr>
      <w:tr w:rsidR="008C1B8B" w:rsidRPr="00F849FD" w14:paraId="1CF834EE"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01345FCE" w14:textId="77777777" w:rsidR="008C1B8B" w:rsidRPr="00F849FD" w:rsidRDefault="008C1B8B" w:rsidP="008C1B8B">
            <w:pPr>
              <w:rPr>
                <w:rFonts w:ascii="Aptos" w:hAnsi="Aptos"/>
                <w:sz w:val="18"/>
                <w:szCs w:val="18"/>
              </w:rPr>
            </w:pPr>
            <w:r w:rsidRPr="00F849FD">
              <w:rPr>
                <w:rFonts w:ascii="Aptos" w:hAnsi="Aptos"/>
                <w:sz w:val="18"/>
                <w:szCs w:val="18"/>
              </w:rPr>
              <w:t>Did the interpretation of findings address all of the concerns identified in Domains 1</w:t>
            </w:r>
            <w:r w:rsidRPr="00F849FD">
              <w:rPr>
                <w:rFonts w:ascii="Cambria Math" w:hAnsi="Cambria Math" w:cs="Cambria Math"/>
                <w:sz w:val="18"/>
                <w:szCs w:val="18"/>
              </w:rPr>
              <w:t>‐</w:t>
            </w:r>
            <w:r w:rsidRPr="00F849FD">
              <w:rPr>
                <w:rFonts w:ascii="Aptos" w:hAnsi="Aptos"/>
                <w:sz w:val="18"/>
                <w:szCs w:val="18"/>
              </w:rPr>
              <w:t>4?</w:t>
            </w:r>
          </w:p>
        </w:tc>
        <w:tc>
          <w:tcPr>
            <w:tcW w:w="497" w:type="pct"/>
            <w:tcBorders>
              <w:top w:val="nil"/>
              <w:left w:val="nil"/>
              <w:bottom w:val="single" w:sz="4" w:space="0" w:color="auto"/>
              <w:right w:val="single" w:sz="4" w:space="0" w:color="auto"/>
            </w:tcBorders>
            <w:shd w:val="clear" w:color="000000" w:fill="FFFFFF"/>
            <w:vAlign w:val="center"/>
            <w:hideMark/>
          </w:tcPr>
          <w:p w14:paraId="514C0C8B"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66CEFEF1"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4E9A9FFB"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66F802B2"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791352A4" w14:textId="77777777" w:rsidR="008C1B8B" w:rsidRPr="00F849FD" w:rsidRDefault="008C1B8B" w:rsidP="008C1B8B">
            <w:pPr>
              <w:rPr>
                <w:rFonts w:ascii="Aptos" w:hAnsi="Aptos"/>
                <w:sz w:val="18"/>
                <w:szCs w:val="18"/>
              </w:rPr>
            </w:pPr>
            <w:r w:rsidRPr="00F849FD">
              <w:rPr>
                <w:rFonts w:ascii="Aptos" w:hAnsi="Aptos"/>
                <w:sz w:val="18"/>
                <w:szCs w:val="18"/>
              </w:rPr>
              <w:t>Was the relevance of identified studies to the review's research question appropriately considered?</w:t>
            </w:r>
          </w:p>
        </w:tc>
        <w:tc>
          <w:tcPr>
            <w:tcW w:w="497" w:type="pct"/>
            <w:tcBorders>
              <w:top w:val="nil"/>
              <w:left w:val="nil"/>
              <w:bottom w:val="single" w:sz="4" w:space="0" w:color="auto"/>
              <w:right w:val="single" w:sz="4" w:space="0" w:color="auto"/>
            </w:tcBorders>
            <w:shd w:val="clear" w:color="000000" w:fill="FFFFFF"/>
            <w:vAlign w:val="center"/>
            <w:hideMark/>
          </w:tcPr>
          <w:p w14:paraId="75566904"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375DC273"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5C63426C"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726CEA59" w14:textId="77777777" w:rsidTr="006C6DF4">
        <w:trPr>
          <w:trHeight w:val="439"/>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538C6238" w14:textId="77777777" w:rsidR="008C1B8B" w:rsidRPr="00F849FD" w:rsidRDefault="008C1B8B" w:rsidP="008C1B8B">
            <w:pPr>
              <w:rPr>
                <w:rFonts w:ascii="Aptos" w:hAnsi="Aptos"/>
                <w:sz w:val="18"/>
                <w:szCs w:val="18"/>
              </w:rPr>
            </w:pPr>
            <w:r w:rsidRPr="00F849FD">
              <w:rPr>
                <w:rFonts w:ascii="Aptos" w:hAnsi="Aptos"/>
                <w:sz w:val="18"/>
                <w:szCs w:val="18"/>
              </w:rPr>
              <w:t>Did the reviewers avoid emphasizing results on the basis of their statistical significance?</w:t>
            </w:r>
          </w:p>
        </w:tc>
        <w:tc>
          <w:tcPr>
            <w:tcW w:w="497" w:type="pct"/>
            <w:tcBorders>
              <w:top w:val="nil"/>
              <w:left w:val="nil"/>
              <w:bottom w:val="single" w:sz="4" w:space="0" w:color="auto"/>
              <w:right w:val="single" w:sz="4" w:space="0" w:color="auto"/>
            </w:tcBorders>
            <w:shd w:val="clear" w:color="000000" w:fill="FFFFFF"/>
            <w:vAlign w:val="center"/>
            <w:hideMark/>
          </w:tcPr>
          <w:p w14:paraId="4BA0EC57"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2" w:type="pct"/>
            <w:tcBorders>
              <w:top w:val="nil"/>
              <w:left w:val="single" w:sz="4" w:space="0" w:color="auto"/>
              <w:bottom w:val="single" w:sz="4" w:space="0" w:color="auto"/>
              <w:right w:val="single" w:sz="4" w:space="0" w:color="auto"/>
            </w:tcBorders>
            <w:shd w:val="clear" w:color="000000" w:fill="FFFFFF"/>
            <w:vAlign w:val="center"/>
            <w:hideMark/>
          </w:tcPr>
          <w:p w14:paraId="0CC7415E" w14:textId="77777777" w:rsidR="008C1B8B" w:rsidRPr="00F849FD" w:rsidRDefault="008C1B8B" w:rsidP="008C1B8B">
            <w:pPr>
              <w:rPr>
                <w:rFonts w:ascii="Aptos" w:hAnsi="Aptos"/>
                <w:sz w:val="18"/>
                <w:szCs w:val="18"/>
              </w:rPr>
            </w:pPr>
            <w:r w:rsidRPr="00F849FD">
              <w:rPr>
                <w:rFonts w:ascii="Aptos" w:hAnsi="Aptos"/>
                <w:sz w:val="18"/>
                <w:szCs w:val="18"/>
              </w:rPr>
              <w:t>Y</w:t>
            </w:r>
          </w:p>
        </w:tc>
        <w:tc>
          <w:tcPr>
            <w:tcW w:w="461" w:type="pct"/>
            <w:tcBorders>
              <w:top w:val="nil"/>
              <w:left w:val="single" w:sz="4" w:space="0" w:color="auto"/>
              <w:bottom w:val="single" w:sz="4" w:space="0" w:color="auto"/>
              <w:right w:val="single" w:sz="4" w:space="0" w:color="auto"/>
            </w:tcBorders>
            <w:shd w:val="clear" w:color="000000" w:fill="FFFFFF"/>
            <w:vAlign w:val="center"/>
            <w:hideMark/>
          </w:tcPr>
          <w:p w14:paraId="12020455" w14:textId="77777777" w:rsidR="008C1B8B" w:rsidRPr="00F849FD" w:rsidRDefault="008C1B8B" w:rsidP="008C1B8B">
            <w:pPr>
              <w:rPr>
                <w:rFonts w:ascii="Aptos" w:hAnsi="Aptos"/>
                <w:sz w:val="18"/>
                <w:szCs w:val="18"/>
              </w:rPr>
            </w:pPr>
            <w:r w:rsidRPr="00F849FD">
              <w:rPr>
                <w:rFonts w:ascii="Aptos" w:hAnsi="Aptos"/>
                <w:sz w:val="18"/>
                <w:szCs w:val="18"/>
              </w:rPr>
              <w:t>Y</w:t>
            </w:r>
          </w:p>
        </w:tc>
      </w:tr>
      <w:tr w:rsidR="008C1B8B" w:rsidRPr="00F849FD" w14:paraId="0CBD07B9" w14:textId="77777777" w:rsidTr="006C6DF4">
        <w:trPr>
          <w:trHeight w:val="440"/>
        </w:trPr>
        <w:tc>
          <w:tcPr>
            <w:tcW w:w="3581" w:type="pct"/>
            <w:tcBorders>
              <w:top w:val="nil"/>
              <w:left w:val="single" w:sz="4" w:space="0" w:color="auto"/>
              <w:bottom w:val="single" w:sz="4" w:space="0" w:color="auto"/>
              <w:right w:val="single" w:sz="4" w:space="0" w:color="auto"/>
            </w:tcBorders>
            <w:shd w:val="clear" w:color="000000" w:fill="FFFFFF"/>
            <w:vAlign w:val="center"/>
            <w:hideMark/>
          </w:tcPr>
          <w:p w14:paraId="57673E62" w14:textId="77777777" w:rsidR="008C1B8B" w:rsidRPr="00F849FD" w:rsidRDefault="008C1B8B" w:rsidP="008C1B8B">
            <w:pPr>
              <w:rPr>
                <w:rFonts w:ascii="Aptos" w:hAnsi="Aptos"/>
                <w:sz w:val="18"/>
                <w:szCs w:val="18"/>
              </w:rPr>
            </w:pPr>
            <w:r w:rsidRPr="00F849FD">
              <w:rPr>
                <w:rFonts w:ascii="Aptos" w:hAnsi="Aptos"/>
                <w:sz w:val="18"/>
                <w:szCs w:val="18"/>
              </w:rPr>
              <w:t>Overall risk of bias</w:t>
            </w:r>
          </w:p>
        </w:tc>
        <w:tc>
          <w:tcPr>
            <w:tcW w:w="497" w:type="pct"/>
            <w:tcBorders>
              <w:top w:val="nil"/>
              <w:left w:val="nil"/>
              <w:bottom w:val="single" w:sz="4" w:space="0" w:color="auto"/>
              <w:right w:val="single" w:sz="4" w:space="0" w:color="auto"/>
            </w:tcBorders>
            <w:shd w:val="clear" w:color="000000" w:fill="FFBBB2"/>
            <w:vAlign w:val="center"/>
            <w:hideMark/>
          </w:tcPr>
          <w:p w14:paraId="2ED11E94" w14:textId="77777777" w:rsidR="008C1B8B" w:rsidRPr="00F849FD" w:rsidRDefault="008C1B8B" w:rsidP="008C1B8B">
            <w:pPr>
              <w:rPr>
                <w:rFonts w:ascii="Aptos" w:hAnsi="Aptos"/>
                <w:sz w:val="18"/>
                <w:szCs w:val="18"/>
              </w:rPr>
            </w:pPr>
            <w:r w:rsidRPr="00F849FD">
              <w:rPr>
                <w:rFonts w:ascii="Aptos" w:hAnsi="Aptos"/>
                <w:sz w:val="18"/>
                <w:szCs w:val="18"/>
              </w:rPr>
              <w:t>High risk</w:t>
            </w:r>
          </w:p>
        </w:tc>
        <w:tc>
          <w:tcPr>
            <w:tcW w:w="462" w:type="pct"/>
            <w:tcBorders>
              <w:top w:val="nil"/>
              <w:left w:val="single" w:sz="4" w:space="0" w:color="auto"/>
              <w:bottom w:val="single" w:sz="4" w:space="0" w:color="auto"/>
              <w:right w:val="single" w:sz="4" w:space="0" w:color="auto"/>
            </w:tcBorders>
            <w:shd w:val="clear" w:color="000000" w:fill="FFBBB2"/>
            <w:vAlign w:val="center"/>
            <w:hideMark/>
          </w:tcPr>
          <w:p w14:paraId="2E3EA783" w14:textId="77777777" w:rsidR="008C1B8B" w:rsidRPr="00F849FD" w:rsidRDefault="008C1B8B" w:rsidP="008C1B8B">
            <w:pPr>
              <w:rPr>
                <w:rFonts w:ascii="Aptos" w:hAnsi="Aptos"/>
                <w:sz w:val="18"/>
                <w:szCs w:val="18"/>
              </w:rPr>
            </w:pPr>
            <w:r w:rsidRPr="00F849FD">
              <w:rPr>
                <w:rFonts w:ascii="Aptos" w:hAnsi="Aptos"/>
                <w:sz w:val="18"/>
                <w:szCs w:val="18"/>
              </w:rPr>
              <w:t>High risk</w:t>
            </w:r>
          </w:p>
        </w:tc>
        <w:tc>
          <w:tcPr>
            <w:tcW w:w="461" w:type="pct"/>
            <w:tcBorders>
              <w:top w:val="nil"/>
              <w:left w:val="single" w:sz="4" w:space="0" w:color="auto"/>
              <w:bottom w:val="single" w:sz="4" w:space="0" w:color="auto"/>
              <w:right w:val="single" w:sz="4" w:space="0" w:color="auto"/>
            </w:tcBorders>
            <w:shd w:val="clear" w:color="000000" w:fill="E2EFDA"/>
            <w:vAlign w:val="center"/>
            <w:hideMark/>
          </w:tcPr>
          <w:p w14:paraId="6FC2517C" w14:textId="77777777" w:rsidR="008C1B8B" w:rsidRPr="00F849FD" w:rsidRDefault="008C1B8B" w:rsidP="008C1B8B">
            <w:pPr>
              <w:rPr>
                <w:rFonts w:ascii="Aptos" w:hAnsi="Aptos"/>
                <w:sz w:val="18"/>
                <w:szCs w:val="18"/>
              </w:rPr>
            </w:pPr>
            <w:r w:rsidRPr="00F849FD">
              <w:rPr>
                <w:rFonts w:ascii="Aptos" w:hAnsi="Aptos"/>
                <w:sz w:val="18"/>
                <w:szCs w:val="18"/>
              </w:rPr>
              <w:t>Low risk</w:t>
            </w:r>
          </w:p>
        </w:tc>
      </w:tr>
    </w:tbl>
    <w:p w14:paraId="116C6927" w14:textId="77777777" w:rsidR="00F67249" w:rsidRPr="00D518FF" w:rsidRDefault="00F67249" w:rsidP="00AA72BD">
      <w:pPr>
        <w:pStyle w:val="2024TABLECAPTION"/>
        <w:spacing w:before="120"/>
        <w:rPr>
          <w:rFonts w:ascii="Aptos" w:hAnsi="Aptos"/>
        </w:rPr>
      </w:pPr>
    </w:p>
    <w:p w14:paraId="2951B050" w14:textId="25930196" w:rsidR="00881574" w:rsidRPr="00D518FF" w:rsidRDefault="00DC4767" w:rsidP="00DC4767">
      <w:pPr>
        <w:pStyle w:val="Caption"/>
        <w:rPr>
          <w:rFonts w:ascii="Aptos" w:hAnsi="Aptos"/>
        </w:rPr>
      </w:pPr>
      <w:bookmarkStart w:id="226" w:name="_Toc185254602"/>
      <w:r w:rsidRPr="00AA694C">
        <w:rPr>
          <w:rFonts w:ascii="Aptos" w:hAnsi="Aptos"/>
        </w:rPr>
        <w:t xml:space="preserve">Table </w:t>
      </w:r>
      <w:r w:rsidRPr="00AA694C">
        <w:rPr>
          <w:rFonts w:ascii="Aptos" w:hAnsi="Aptos"/>
        </w:rPr>
        <w:fldChar w:fldCharType="begin" w:fldLock="1"/>
      </w:r>
      <w:r w:rsidRPr="00AA694C">
        <w:rPr>
          <w:rFonts w:ascii="Aptos" w:hAnsi="Aptos"/>
        </w:rPr>
        <w:instrText xml:space="preserve"> STYLEREF 1 \s </w:instrText>
      </w:r>
      <w:r w:rsidRPr="00AA694C">
        <w:rPr>
          <w:rFonts w:ascii="Aptos" w:hAnsi="Aptos"/>
        </w:rPr>
        <w:fldChar w:fldCharType="separate"/>
      </w:r>
      <w:r w:rsidRPr="00AA694C">
        <w:rPr>
          <w:rFonts w:ascii="Aptos" w:hAnsi="Aptos"/>
        </w:rPr>
        <w:t>F</w:t>
      </w:r>
      <w:r w:rsidRPr="00AA694C">
        <w:rPr>
          <w:rFonts w:ascii="Aptos" w:hAnsi="Aptos"/>
        </w:rPr>
        <w:fldChar w:fldCharType="end"/>
      </w:r>
      <w:r w:rsidRPr="00AA694C">
        <w:rPr>
          <w:rFonts w:ascii="Aptos" w:hAnsi="Aptos"/>
        </w:rPr>
        <w:noBreakHyphen/>
      </w:r>
      <w:r w:rsidR="003B0594" w:rsidRPr="00AA694C">
        <w:rPr>
          <w:rFonts w:ascii="Aptos" w:hAnsi="Aptos"/>
        </w:rPr>
        <w:fldChar w:fldCharType="begin"/>
      </w:r>
      <w:r w:rsidR="003B0594" w:rsidRPr="00AA694C">
        <w:rPr>
          <w:rFonts w:ascii="Aptos" w:hAnsi="Aptos"/>
        </w:rPr>
        <w:instrText xml:space="preserve"> SEQ Table \* ARABIC \s 1 </w:instrText>
      </w:r>
      <w:r w:rsidR="003B0594" w:rsidRPr="00AA694C">
        <w:rPr>
          <w:rFonts w:ascii="Aptos" w:hAnsi="Aptos"/>
        </w:rPr>
        <w:fldChar w:fldCharType="separate"/>
      </w:r>
      <w:r w:rsidR="00C426C6">
        <w:rPr>
          <w:rFonts w:ascii="Aptos" w:hAnsi="Aptos"/>
          <w:noProof/>
        </w:rPr>
        <w:t>10</w:t>
      </w:r>
      <w:r w:rsidR="003B0594" w:rsidRPr="00AA694C">
        <w:rPr>
          <w:rFonts w:ascii="Aptos" w:hAnsi="Aptos"/>
        </w:rPr>
        <w:fldChar w:fldCharType="end"/>
      </w:r>
      <w:r w:rsidR="00881574" w:rsidRPr="00D518FF">
        <w:rPr>
          <w:rFonts w:ascii="Aptos" w:hAnsi="Aptos"/>
        </w:rPr>
        <w:t>. Results of included reviews by outcome domain – recurrent infection/s (including urinary tract infections, cystitis, respiratory tract infection, otitis media in children), zinc</w:t>
      </w:r>
      <w:bookmarkEnd w:id="226"/>
    </w:p>
    <w:tbl>
      <w:tblPr>
        <w:tblW w:w="5000" w:type="pct"/>
        <w:tblCellMar>
          <w:left w:w="57" w:type="dxa"/>
          <w:right w:w="57" w:type="dxa"/>
        </w:tblCellMar>
        <w:tblLook w:val="04A0" w:firstRow="1" w:lastRow="0" w:firstColumn="1" w:lastColumn="0" w:noHBand="0" w:noVBand="1"/>
      </w:tblPr>
      <w:tblGrid>
        <w:gridCol w:w="9406"/>
        <w:gridCol w:w="1613"/>
        <w:gridCol w:w="1613"/>
        <w:gridCol w:w="1613"/>
      </w:tblGrid>
      <w:tr w:rsidR="00AA7200" w:rsidRPr="00AD0D5E" w14:paraId="5097AF28" w14:textId="77777777" w:rsidTr="006C6DF4">
        <w:trPr>
          <w:trHeight w:val="439"/>
        </w:trPr>
        <w:tc>
          <w:tcPr>
            <w:tcW w:w="3302"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79196BE" w14:textId="77777777" w:rsidR="00AA7200" w:rsidRPr="00AD0D5E" w:rsidRDefault="00AA7200" w:rsidP="00AA7200">
            <w:pPr>
              <w:rPr>
                <w:rFonts w:ascii="Aptos" w:hAnsi="Aptos"/>
                <w:b/>
                <w:bCs/>
                <w:sz w:val="18"/>
                <w:szCs w:val="18"/>
              </w:rPr>
            </w:pPr>
            <w:r w:rsidRPr="00AD0D5E">
              <w:rPr>
                <w:rFonts w:ascii="Aptos" w:hAnsi="Aptos"/>
                <w:b/>
                <w:bCs/>
                <w:sz w:val="18"/>
                <w:szCs w:val="18"/>
              </w:rPr>
              <w:t>Review ID</w:t>
            </w:r>
          </w:p>
        </w:tc>
        <w:tc>
          <w:tcPr>
            <w:tcW w:w="566" w:type="pct"/>
            <w:tcBorders>
              <w:top w:val="single" w:sz="4" w:space="0" w:color="auto"/>
              <w:left w:val="nil"/>
              <w:bottom w:val="single" w:sz="4" w:space="0" w:color="auto"/>
              <w:right w:val="single" w:sz="4" w:space="0" w:color="auto"/>
            </w:tcBorders>
            <w:shd w:val="clear" w:color="000000" w:fill="D9D9D9"/>
            <w:vAlign w:val="center"/>
            <w:hideMark/>
          </w:tcPr>
          <w:p w14:paraId="0750CE05" w14:textId="77777777" w:rsidR="00AA7200" w:rsidRPr="00AD0D5E" w:rsidRDefault="00AA7200" w:rsidP="006C6DF4">
            <w:pPr>
              <w:jc w:val="center"/>
              <w:rPr>
                <w:rFonts w:ascii="Aptos" w:hAnsi="Aptos"/>
                <w:b/>
                <w:bCs/>
                <w:sz w:val="18"/>
                <w:szCs w:val="18"/>
              </w:rPr>
            </w:pPr>
            <w:r w:rsidRPr="00AD0D5E">
              <w:rPr>
                <w:rFonts w:ascii="Aptos" w:hAnsi="Aptos"/>
                <w:b/>
                <w:bCs/>
                <w:sz w:val="18"/>
                <w:szCs w:val="18"/>
              </w:rPr>
              <w:t>Gulani 2014</w:t>
            </w:r>
          </w:p>
        </w:tc>
        <w:tc>
          <w:tcPr>
            <w:tcW w:w="566" w:type="pct"/>
            <w:tcBorders>
              <w:top w:val="single" w:sz="4" w:space="0" w:color="auto"/>
              <w:left w:val="nil"/>
              <w:bottom w:val="single" w:sz="4" w:space="0" w:color="auto"/>
              <w:right w:val="single" w:sz="4" w:space="0" w:color="auto"/>
            </w:tcBorders>
            <w:shd w:val="clear" w:color="000000" w:fill="D9D9D9"/>
            <w:vAlign w:val="center"/>
            <w:hideMark/>
          </w:tcPr>
          <w:p w14:paraId="05EAFB8D" w14:textId="77777777" w:rsidR="00AA7200" w:rsidRPr="00AD0D5E" w:rsidRDefault="00AA7200" w:rsidP="006C6DF4">
            <w:pPr>
              <w:jc w:val="center"/>
              <w:rPr>
                <w:rFonts w:ascii="Aptos" w:hAnsi="Aptos"/>
                <w:b/>
                <w:bCs/>
                <w:sz w:val="18"/>
                <w:szCs w:val="18"/>
              </w:rPr>
            </w:pPr>
            <w:r w:rsidRPr="00AD0D5E">
              <w:rPr>
                <w:rFonts w:ascii="Aptos" w:hAnsi="Aptos"/>
                <w:b/>
                <w:bCs/>
                <w:sz w:val="18"/>
                <w:szCs w:val="18"/>
              </w:rPr>
              <w:t>Hurley 2020</w:t>
            </w:r>
          </w:p>
        </w:tc>
        <w:tc>
          <w:tcPr>
            <w:tcW w:w="566" w:type="pct"/>
            <w:tcBorders>
              <w:top w:val="single" w:sz="4" w:space="0" w:color="auto"/>
              <w:left w:val="nil"/>
              <w:bottom w:val="single" w:sz="4" w:space="0" w:color="auto"/>
              <w:right w:val="single" w:sz="4" w:space="0" w:color="auto"/>
            </w:tcBorders>
            <w:shd w:val="clear" w:color="000000" w:fill="D9D9D9"/>
            <w:vAlign w:val="center"/>
            <w:hideMark/>
          </w:tcPr>
          <w:p w14:paraId="6397C61A" w14:textId="77777777" w:rsidR="00AA7200" w:rsidRPr="00AD0D5E" w:rsidRDefault="00AA7200" w:rsidP="006C6DF4">
            <w:pPr>
              <w:jc w:val="center"/>
              <w:rPr>
                <w:rFonts w:ascii="Aptos" w:hAnsi="Aptos"/>
                <w:b/>
                <w:bCs/>
                <w:sz w:val="18"/>
                <w:szCs w:val="18"/>
              </w:rPr>
            </w:pPr>
            <w:r w:rsidRPr="00AD0D5E">
              <w:rPr>
                <w:rFonts w:ascii="Aptos" w:hAnsi="Aptos"/>
                <w:b/>
                <w:bCs/>
                <w:sz w:val="18"/>
                <w:szCs w:val="18"/>
              </w:rPr>
              <w:t>Manikam 2016</w:t>
            </w:r>
          </w:p>
        </w:tc>
      </w:tr>
      <w:tr w:rsidR="00AA7200" w:rsidRPr="00AD0D5E" w14:paraId="6EE2CE78"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D9D9D9"/>
            <w:noWrap/>
            <w:vAlign w:val="center"/>
            <w:hideMark/>
          </w:tcPr>
          <w:p w14:paraId="662777F5" w14:textId="77777777" w:rsidR="00AA7200" w:rsidRPr="00AD0D5E" w:rsidRDefault="00AA7200" w:rsidP="00AA7200">
            <w:pPr>
              <w:rPr>
                <w:rFonts w:ascii="Aptos" w:hAnsi="Aptos"/>
                <w:sz w:val="18"/>
                <w:szCs w:val="18"/>
              </w:rPr>
            </w:pPr>
            <w:r w:rsidRPr="00AD0D5E">
              <w:rPr>
                <w:rFonts w:ascii="Aptos" w:hAnsi="Aptos"/>
                <w:sz w:val="18"/>
                <w:szCs w:val="18"/>
              </w:rPr>
              <w:t>ROBIS DOMAINS</w:t>
            </w:r>
          </w:p>
        </w:tc>
        <w:tc>
          <w:tcPr>
            <w:tcW w:w="566" w:type="pct"/>
            <w:tcBorders>
              <w:top w:val="nil"/>
              <w:left w:val="nil"/>
              <w:bottom w:val="single" w:sz="4" w:space="0" w:color="auto"/>
              <w:right w:val="single" w:sz="4" w:space="0" w:color="auto"/>
            </w:tcBorders>
            <w:shd w:val="clear" w:color="000000" w:fill="D9D9D9"/>
            <w:noWrap/>
            <w:vAlign w:val="center"/>
            <w:hideMark/>
          </w:tcPr>
          <w:p w14:paraId="1331D776" w14:textId="78C05F86"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D9D9D9"/>
            <w:noWrap/>
            <w:vAlign w:val="center"/>
            <w:hideMark/>
          </w:tcPr>
          <w:p w14:paraId="3E362E85" w14:textId="071D982F"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D9D9D9"/>
            <w:noWrap/>
            <w:vAlign w:val="center"/>
            <w:hideMark/>
          </w:tcPr>
          <w:p w14:paraId="7F62083B" w14:textId="15640A55" w:rsidR="00AA7200" w:rsidRPr="00AD0D5E" w:rsidRDefault="00AA7200" w:rsidP="006C6DF4">
            <w:pPr>
              <w:jc w:val="center"/>
              <w:rPr>
                <w:rFonts w:ascii="Aptos" w:hAnsi="Aptos"/>
                <w:sz w:val="18"/>
                <w:szCs w:val="18"/>
              </w:rPr>
            </w:pPr>
          </w:p>
        </w:tc>
      </w:tr>
      <w:tr w:rsidR="00AA7200" w:rsidRPr="00AD0D5E" w14:paraId="29C80B9E"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D9D9D9"/>
            <w:noWrap/>
            <w:vAlign w:val="center"/>
            <w:hideMark/>
          </w:tcPr>
          <w:p w14:paraId="0E17C85C" w14:textId="77777777" w:rsidR="00AA7200" w:rsidRPr="00AD0D5E" w:rsidRDefault="00AA7200" w:rsidP="00AA7200">
            <w:pPr>
              <w:rPr>
                <w:rFonts w:ascii="Aptos" w:hAnsi="Aptos"/>
                <w:sz w:val="18"/>
                <w:szCs w:val="18"/>
              </w:rPr>
            </w:pPr>
            <w:r w:rsidRPr="00AD0D5E">
              <w:rPr>
                <w:rFonts w:ascii="Aptos" w:hAnsi="Aptos"/>
                <w:sz w:val="18"/>
                <w:szCs w:val="18"/>
              </w:rPr>
              <w:t>Answer code: Y=YES, PY=PROBABLY YES, PN=PROBABLY NO, N=NO, NI=NO INFORMATION</w:t>
            </w:r>
          </w:p>
        </w:tc>
        <w:tc>
          <w:tcPr>
            <w:tcW w:w="566" w:type="pct"/>
            <w:tcBorders>
              <w:top w:val="nil"/>
              <w:left w:val="nil"/>
              <w:bottom w:val="single" w:sz="4" w:space="0" w:color="auto"/>
              <w:right w:val="single" w:sz="4" w:space="0" w:color="auto"/>
            </w:tcBorders>
            <w:shd w:val="clear" w:color="000000" w:fill="D9D9D9"/>
            <w:noWrap/>
            <w:vAlign w:val="center"/>
            <w:hideMark/>
          </w:tcPr>
          <w:p w14:paraId="416E2127" w14:textId="39ED2EC1"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D9D9D9"/>
            <w:noWrap/>
            <w:vAlign w:val="center"/>
            <w:hideMark/>
          </w:tcPr>
          <w:p w14:paraId="0266A4EE" w14:textId="5B276DB7"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D9D9D9"/>
            <w:noWrap/>
            <w:vAlign w:val="center"/>
            <w:hideMark/>
          </w:tcPr>
          <w:p w14:paraId="306EE806" w14:textId="12A8E9E3" w:rsidR="00AA7200" w:rsidRPr="00AD0D5E" w:rsidRDefault="00AA7200" w:rsidP="006C6DF4">
            <w:pPr>
              <w:jc w:val="center"/>
              <w:rPr>
                <w:rFonts w:ascii="Aptos" w:hAnsi="Aptos"/>
                <w:sz w:val="18"/>
                <w:szCs w:val="18"/>
              </w:rPr>
            </w:pPr>
          </w:p>
        </w:tc>
      </w:tr>
      <w:tr w:rsidR="00AA7200" w:rsidRPr="00AD0D5E" w14:paraId="6AE6845D"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2F2F2"/>
            <w:vAlign w:val="center"/>
            <w:hideMark/>
          </w:tcPr>
          <w:p w14:paraId="7A727347" w14:textId="77777777" w:rsidR="00AA7200" w:rsidRPr="00AD0D5E" w:rsidRDefault="00AA7200" w:rsidP="00AA7200">
            <w:pPr>
              <w:rPr>
                <w:rFonts w:ascii="Aptos" w:hAnsi="Aptos"/>
                <w:sz w:val="18"/>
                <w:szCs w:val="18"/>
              </w:rPr>
            </w:pPr>
            <w:r w:rsidRPr="00AD0D5E">
              <w:rPr>
                <w:rFonts w:ascii="Aptos" w:hAnsi="Aptos"/>
                <w:sz w:val="18"/>
                <w:szCs w:val="18"/>
              </w:rPr>
              <w:t>Domain 1: Study eligibility criteria</w:t>
            </w:r>
          </w:p>
        </w:tc>
        <w:tc>
          <w:tcPr>
            <w:tcW w:w="566" w:type="pct"/>
            <w:tcBorders>
              <w:top w:val="nil"/>
              <w:left w:val="nil"/>
              <w:bottom w:val="single" w:sz="4" w:space="0" w:color="auto"/>
              <w:right w:val="single" w:sz="4" w:space="0" w:color="auto"/>
            </w:tcBorders>
            <w:shd w:val="clear" w:color="000000" w:fill="F2F2F2"/>
            <w:vAlign w:val="center"/>
            <w:hideMark/>
          </w:tcPr>
          <w:p w14:paraId="13BD648E" w14:textId="75216C39"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71281F5C" w14:textId="1E41C0D8"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04A9386E" w14:textId="5B8FD4CA" w:rsidR="00AA7200" w:rsidRPr="00AD0D5E" w:rsidRDefault="00AA7200" w:rsidP="006C6DF4">
            <w:pPr>
              <w:jc w:val="center"/>
              <w:rPr>
                <w:rFonts w:ascii="Aptos" w:hAnsi="Aptos"/>
                <w:sz w:val="18"/>
                <w:szCs w:val="18"/>
              </w:rPr>
            </w:pPr>
          </w:p>
        </w:tc>
      </w:tr>
      <w:tr w:rsidR="00AA7200" w:rsidRPr="00AD0D5E" w14:paraId="2D886AA7"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2870CAAA" w14:textId="77777777" w:rsidR="00AA7200" w:rsidRPr="00AD0D5E" w:rsidRDefault="00AA7200" w:rsidP="00AA7200">
            <w:pPr>
              <w:rPr>
                <w:rFonts w:ascii="Aptos" w:hAnsi="Aptos"/>
                <w:sz w:val="18"/>
                <w:szCs w:val="18"/>
              </w:rPr>
            </w:pPr>
            <w:r w:rsidRPr="00AD0D5E">
              <w:rPr>
                <w:rFonts w:ascii="Aptos" w:hAnsi="Aptos"/>
                <w:sz w:val="18"/>
                <w:szCs w:val="18"/>
              </w:rPr>
              <w:t>Did the review adhere to pre</w:t>
            </w:r>
            <w:r w:rsidRPr="00AD0D5E">
              <w:rPr>
                <w:rFonts w:ascii="Cambria Math" w:hAnsi="Cambria Math" w:cs="Cambria Math"/>
                <w:sz w:val="18"/>
                <w:szCs w:val="18"/>
              </w:rPr>
              <w:t>‐</w:t>
            </w:r>
            <w:r w:rsidRPr="00AD0D5E">
              <w:rPr>
                <w:rFonts w:ascii="Aptos" w:hAnsi="Aptos"/>
                <w:sz w:val="18"/>
                <w:szCs w:val="18"/>
              </w:rPr>
              <w:t>defined objectives and eligibility criteria?</w:t>
            </w:r>
          </w:p>
        </w:tc>
        <w:tc>
          <w:tcPr>
            <w:tcW w:w="566" w:type="pct"/>
            <w:tcBorders>
              <w:top w:val="nil"/>
              <w:left w:val="nil"/>
              <w:bottom w:val="single" w:sz="4" w:space="0" w:color="auto"/>
              <w:right w:val="single" w:sz="4" w:space="0" w:color="auto"/>
            </w:tcBorders>
            <w:shd w:val="clear" w:color="000000" w:fill="FFFFFF"/>
            <w:vAlign w:val="center"/>
            <w:hideMark/>
          </w:tcPr>
          <w:p w14:paraId="0A1B9E5F"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B8ADCE6"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57DF5338"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33524AA6"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6570644E" w14:textId="77777777" w:rsidR="00AA7200" w:rsidRPr="00AD0D5E" w:rsidRDefault="00AA7200" w:rsidP="00AA7200">
            <w:pPr>
              <w:rPr>
                <w:rFonts w:ascii="Aptos" w:hAnsi="Aptos"/>
                <w:sz w:val="18"/>
                <w:szCs w:val="18"/>
              </w:rPr>
            </w:pPr>
            <w:r w:rsidRPr="00AD0D5E">
              <w:rPr>
                <w:rFonts w:ascii="Aptos" w:hAnsi="Aptos"/>
                <w:sz w:val="18"/>
                <w:szCs w:val="18"/>
              </w:rPr>
              <w:t>Were the eligibility criteria appropriate for the review question?</w:t>
            </w:r>
          </w:p>
        </w:tc>
        <w:tc>
          <w:tcPr>
            <w:tcW w:w="566" w:type="pct"/>
            <w:tcBorders>
              <w:top w:val="nil"/>
              <w:left w:val="nil"/>
              <w:bottom w:val="single" w:sz="4" w:space="0" w:color="auto"/>
              <w:right w:val="single" w:sz="4" w:space="0" w:color="auto"/>
            </w:tcBorders>
            <w:shd w:val="clear" w:color="000000" w:fill="FFFFFF"/>
            <w:vAlign w:val="center"/>
            <w:hideMark/>
          </w:tcPr>
          <w:p w14:paraId="23C4E3CC"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36A23D02"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0EB0E51D"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50C8E306"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77069639" w14:textId="77777777" w:rsidR="00AA7200" w:rsidRPr="00AD0D5E" w:rsidRDefault="00AA7200" w:rsidP="00AA7200">
            <w:pPr>
              <w:rPr>
                <w:rFonts w:ascii="Aptos" w:hAnsi="Aptos"/>
                <w:sz w:val="18"/>
                <w:szCs w:val="18"/>
              </w:rPr>
            </w:pPr>
            <w:r w:rsidRPr="00AD0D5E">
              <w:rPr>
                <w:rFonts w:ascii="Aptos" w:hAnsi="Aptos"/>
                <w:sz w:val="18"/>
                <w:szCs w:val="18"/>
              </w:rPr>
              <w:t>Were eligibility criteria unambiguous?</w:t>
            </w:r>
          </w:p>
        </w:tc>
        <w:tc>
          <w:tcPr>
            <w:tcW w:w="566" w:type="pct"/>
            <w:tcBorders>
              <w:top w:val="nil"/>
              <w:left w:val="nil"/>
              <w:bottom w:val="single" w:sz="4" w:space="0" w:color="auto"/>
              <w:right w:val="single" w:sz="4" w:space="0" w:color="auto"/>
            </w:tcBorders>
            <w:shd w:val="clear" w:color="000000" w:fill="FFFFFF"/>
            <w:vAlign w:val="center"/>
            <w:hideMark/>
          </w:tcPr>
          <w:p w14:paraId="52BDF354"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3D40502D"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B0959DB"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1C452211"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45BA4D6C" w14:textId="77777777" w:rsidR="00AA7200" w:rsidRPr="00AD0D5E" w:rsidRDefault="00AA7200" w:rsidP="00AA7200">
            <w:pPr>
              <w:rPr>
                <w:rFonts w:ascii="Aptos" w:hAnsi="Aptos"/>
                <w:sz w:val="18"/>
                <w:szCs w:val="18"/>
              </w:rPr>
            </w:pPr>
            <w:r w:rsidRPr="00AD0D5E">
              <w:rPr>
                <w:rFonts w:ascii="Aptos" w:hAnsi="Aptos"/>
                <w:sz w:val="18"/>
                <w:szCs w:val="18"/>
              </w:rPr>
              <w:lastRenderedPageBreak/>
              <w:t>Were all restrictions in eligibility criteria based on study characteristics appropriate (e.g. date, sample size, study quality, outcomes measured)?</w:t>
            </w:r>
          </w:p>
        </w:tc>
        <w:tc>
          <w:tcPr>
            <w:tcW w:w="566" w:type="pct"/>
            <w:tcBorders>
              <w:top w:val="nil"/>
              <w:left w:val="nil"/>
              <w:bottom w:val="single" w:sz="4" w:space="0" w:color="auto"/>
              <w:right w:val="single" w:sz="4" w:space="0" w:color="auto"/>
            </w:tcBorders>
            <w:shd w:val="clear" w:color="000000" w:fill="FFFFFF"/>
            <w:vAlign w:val="center"/>
            <w:hideMark/>
          </w:tcPr>
          <w:p w14:paraId="173905D3"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D0CE354"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64FEC129"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3D616BE8"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2338B215" w14:textId="77777777" w:rsidR="00AA7200" w:rsidRPr="00AD0D5E" w:rsidRDefault="00AA7200" w:rsidP="00AA7200">
            <w:pPr>
              <w:rPr>
                <w:rFonts w:ascii="Aptos" w:hAnsi="Aptos"/>
                <w:sz w:val="18"/>
                <w:szCs w:val="18"/>
              </w:rPr>
            </w:pPr>
            <w:r w:rsidRPr="00AD0D5E">
              <w:rPr>
                <w:rFonts w:ascii="Aptos" w:hAnsi="Aptos"/>
                <w:sz w:val="18"/>
                <w:szCs w:val="18"/>
              </w:rPr>
              <w:t>Were any restrictions in eligibility criteria based on sources of information appropriate (publication status or format, language, availability of data)?</w:t>
            </w:r>
          </w:p>
        </w:tc>
        <w:tc>
          <w:tcPr>
            <w:tcW w:w="566" w:type="pct"/>
            <w:tcBorders>
              <w:top w:val="nil"/>
              <w:left w:val="nil"/>
              <w:bottom w:val="single" w:sz="4" w:space="0" w:color="auto"/>
              <w:right w:val="single" w:sz="4" w:space="0" w:color="auto"/>
            </w:tcBorders>
            <w:shd w:val="clear" w:color="000000" w:fill="FFFFFF"/>
            <w:vAlign w:val="center"/>
            <w:hideMark/>
          </w:tcPr>
          <w:p w14:paraId="5114832E"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6A25D5F6"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2540C1D"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4CEE40E8"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5D758609" w14:textId="77777777" w:rsidR="00AA7200" w:rsidRPr="00AD0D5E" w:rsidRDefault="00AA7200" w:rsidP="00AA7200">
            <w:pPr>
              <w:rPr>
                <w:rFonts w:ascii="Aptos" w:hAnsi="Aptos"/>
                <w:sz w:val="18"/>
                <w:szCs w:val="18"/>
              </w:rPr>
            </w:pPr>
            <w:r w:rsidRPr="00AD0D5E">
              <w:rPr>
                <w:rFonts w:ascii="Aptos" w:hAnsi="Aptos"/>
                <w:sz w:val="18"/>
                <w:szCs w:val="18"/>
              </w:rPr>
              <w:t>Concerns regarding specification of study eligibility criteria LOW, HIGH, UNCLEAR</w:t>
            </w:r>
          </w:p>
        </w:tc>
        <w:tc>
          <w:tcPr>
            <w:tcW w:w="566" w:type="pct"/>
            <w:tcBorders>
              <w:top w:val="nil"/>
              <w:left w:val="nil"/>
              <w:bottom w:val="single" w:sz="4" w:space="0" w:color="auto"/>
              <w:right w:val="single" w:sz="4" w:space="0" w:color="auto"/>
            </w:tcBorders>
            <w:shd w:val="clear" w:color="000000" w:fill="E2EFDA"/>
            <w:vAlign w:val="center"/>
            <w:hideMark/>
          </w:tcPr>
          <w:p w14:paraId="00A3F08C"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c>
          <w:tcPr>
            <w:tcW w:w="566" w:type="pct"/>
            <w:tcBorders>
              <w:top w:val="nil"/>
              <w:left w:val="single" w:sz="4" w:space="0" w:color="auto"/>
              <w:bottom w:val="single" w:sz="4" w:space="0" w:color="auto"/>
              <w:right w:val="single" w:sz="4" w:space="0" w:color="auto"/>
            </w:tcBorders>
            <w:shd w:val="clear" w:color="000000" w:fill="E2EFDA"/>
            <w:vAlign w:val="center"/>
            <w:hideMark/>
          </w:tcPr>
          <w:p w14:paraId="103F2D57"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c>
          <w:tcPr>
            <w:tcW w:w="566" w:type="pct"/>
            <w:tcBorders>
              <w:top w:val="nil"/>
              <w:left w:val="single" w:sz="4" w:space="0" w:color="auto"/>
              <w:bottom w:val="single" w:sz="4" w:space="0" w:color="auto"/>
              <w:right w:val="single" w:sz="4" w:space="0" w:color="auto"/>
            </w:tcBorders>
            <w:shd w:val="clear" w:color="000000" w:fill="E2EFDA"/>
            <w:vAlign w:val="center"/>
            <w:hideMark/>
          </w:tcPr>
          <w:p w14:paraId="3E57E4B8"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r>
      <w:tr w:rsidR="00AA7200" w:rsidRPr="00AD0D5E" w14:paraId="6F208387"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2F2F2"/>
            <w:vAlign w:val="center"/>
            <w:hideMark/>
          </w:tcPr>
          <w:p w14:paraId="6B3CEADB" w14:textId="77777777" w:rsidR="00AA7200" w:rsidRPr="00AD0D5E" w:rsidRDefault="00AA7200" w:rsidP="00AA7200">
            <w:pPr>
              <w:rPr>
                <w:rFonts w:ascii="Aptos" w:hAnsi="Aptos"/>
                <w:sz w:val="18"/>
                <w:szCs w:val="18"/>
              </w:rPr>
            </w:pPr>
            <w:r w:rsidRPr="00AD0D5E">
              <w:rPr>
                <w:rFonts w:ascii="Aptos" w:hAnsi="Aptos"/>
                <w:sz w:val="18"/>
                <w:szCs w:val="18"/>
              </w:rPr>
              <w:t>Domain 2: Identification and selection of studies</w:t>
            </w:r>
          </w:p>
        </w:tc>
        <w:tc>
          <w:tcPr>
            <w:tcW w:w="566" w:type="pct"/>
            <w:tcBorders>
              <w:top w:val="nil"/>
              <w:left w:val="nil"/>
              <w:bottom w:val="single" w:sz="4" w:space="0" w:color="auto"/>
              <w:right w:val="single" w:sz="4" w:space="0" w:color="auto"/>
            </w:tcBorders>
            <w:shd w:val="clear" w:color="000000" w:fill="F2F2F2"/>
            <w:vAlign w:val="center"/>
            <w:hideMark/>
          </w:tcPr>
          <w:p w14:paraId="1B0AC6F3" w14:textId="37E33DAC"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34200CAD" w14:textId="23C1C5BB"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43CEC9CD" w14:textId="5BCB4D08" w:rsidR="00AA7200" w:rsidRPr="00AD0D5E" w:rsidRDefault="00AA7200" w:rsidP="006C6DF4">
            <w:pPr>
              <w:jc w:val="center"/>
              <w:rPr>
                <w:rFonts w:ascii="Aptos" w:hAnsi="Aptos"/>
                <w:sz w:val="18"/>
                <w:szCs w:val="18"/>
              </w:rPr>
            </w:pPr>
          </w:p>
        </w:tc>
      </w:tr>
      <w:tr w:rsidR="00AA7200" w:rsidRPr="00AD0D5E" w14:paraId="1623F346"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4D62CBE0" w14:textId="77777777" w:rsidR="00AA7200" w:rsidRPr="00AD0D5E" w:rsidRDefault="00AA7200" w:rsidP="00AA7200">
            <w:pPr>
              <w:rPr>
                <w:rFonts w:ascii="Aptos" w:hAnsi="Aptos"/>
                <w:sz w:val="18"/>
                <w:szCs w:val="18"/>
              </w:rPr>
            </w:pPr>
            <w:r w:rsidRPr="00AD0D5E">
              <w:rPr>
                <w:rFonts w:ascii="Aptos" w:hAnsi="Aptos"/>
                <w:sz w:val="18"/>
                <w:szCs w:val="18"/>
              </w:rPr>
              <w:t>Did the search include an appropriate range of databases/electronic sources for published and unpublished reports?</w:t>
            </w:r>
          </w:p>
        </w:tc>
        <w:tc>
          <w:tcPr>
            <w:tcW w:w="566" w:type="pct"/>
            <w:tcBorders>
              <w:top w:val="nil"/>
              <w:left w:val="nil"/>
              <w:bottom w:val="single" w:sz="4" w:space="0" w:color="auto"/>
              <w:right w:val="single" w:sz="4" w:space="0" w:color="auto"/>
            </w:tcBorders>
            <w:shd w:val="clear" w:color="000000" w:fill="FFFFFF"/>
            <w:vAlign w:val="center"/>
            <w:hideMark/>
          </w:tcPr>
          <w:p w14:paraId="6234378D"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32F2ED99"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701CA647"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151B3405"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7C38731B" w14:textId="77777777" w:rsidR="00AA7200" w:rsidRPr="00AD0D5E" w:rsidRDefault="00AA7200" w:rsidP="00AA7200">
            <w:pPr>
              <w:rPr>
                <w:rFonts w:ascii="Aptos" w:hAnsi="Aptos"/>
                <w:sz w:val="18"/>
                <w:szCs w:val="18"/>
              </w:rPr>
            </w:pPr>
            <w:r w:rsidRPr="00AD0D5E">
              <w:rPr>
                <w:rFonts w:ascii="Aptos" w:hAnsi="Aptos"/>
                <w:sz w:val="18"/>
                <w:szCs w:val="18"/>
              </w:rPr>
              <w:t>Were methods additional to database searching used to identify relevant reports?</w:t>
            </w:r>
          </w:p>
        </w:tc>
        <w:tc>
          <w:tcPr>
            <w:tcW w:w="566" w:type="pct"/>
            <w:tcBorders>
              <w:top w:val="nil"/>
              <w:left w:val="nil"/>
              <w:bottom w:val="single" w:sz="4" w:space="0" w:color="auto"/>
              <w:right w:val="single" w:sz="4" w:space="0" w:color="auto"/>
            </w:tcBorders>
            <w:shd w:val="clear" w:color="000000" w:fill="FFFFFF"/>
            <w:vAlign w:val="center"/>
            <w:hideMark/>
          </w:tcPr>
          <w:p w14:paraId="1CA4D93C"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4218C628"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3D09CC7"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34DD5143"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4FA7605C" w14:textId="77777777" w:rsidR="00AA7200" w:rsidRPr="00AD0D5E" w:rsidRDefault="00AA7200" w:rsidP="00AA7200">
            <w:pPr>
              <w:rPr>
                <w:rFonts w:ascii="Aptos" w:hAnsi="Aptos"/>
                <w:sz w:val="18"/>
                <w:szCs w:val="18"/>
              </w:rPr>
            </w:pPr>
            <w:r w:rsidRPr="00AD0D5E">
              <w:rPr>
                <w:rFonts w:ascii="Aptos" w:hAnsi="Aptos"/>
                <w:sz w:val="18"/>
                <w:szCs w:val="18"/>
              </w:rPr>
              <w:t>Were the terms and structure of the search strategy likely to retrieve as many eligible studies as possible?</w:t>
            </w:r>
          </w:p>
        </w:tc>
        <w:tc>
          <w:tcPr>
            <w:tcW w:w="566" w:type="pct"/>
            <w:tcBorders>
              <w:top w:val="nil"/>
              <w:left w:val="nil"/>
              <w:bottom w:val="single" w:sz="4" w:space="0" w:color="auto"/>
              <w:right w:val="single" w:sz="4" w:space="0" w:color="auto"/>
            </w:tcBorders>
            <w:shd w:val="clear" w:color="000000" w:fill="FFFFFF"/>
            <w:vAlign w:val="center"/>
            <w:hideMark/>
          </w:tcPr>
          <w:p w14:paraId="63287A45"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687709A"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7B2791F"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6675A04B"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29833741" w14:textId="77777777" w:rsidR="00AA7200" w:rsidRPr="00AD0D5E" w:rsidRDefault="00AA7200" w:rsidP="00AA7200">
            <w:pPr>
              <w:rPr>
                <w:rFonts w:ascii="Aptos" w:hAnsi="Aptos"/>
                <w:sz w:val="18"/>
                <w:szCs w:val="18"/>
              </w:rPr>
            </w:pPr>
            <w:r w:rsidRPr="00AD0D5E">
              <w:rPr>
                <w:rFonts w:ascii="Aptos" w:hAnsi="Aptos"/>
                <w:sz w:val="18"/>
                <w:szCs w:val="18"/>
              </w:rPr>
              <w:t>Were restrictions based on date, publication format, or language appropriate?</w:t>
            </w:r>
          </w:p>
        </w:tc>
        <w:tc>
          <w:tcPr>
            <w:tcW w:w="566" w:type="pct"/>
            <w:tcBorders>
              <w:top w:val="nil"/>
              <w:left w:val="nil"/>
              <w:bottom w:val="single" w:sz="4" w:space="0" w:color="auto"/>
              <w:right w:val="single" w:sz="4" w:space="0" w:color="auto"/>
            </w:tcBorders>
            <w:shd w:val="clear" w:color="000000" w:fill="FFFFFF"/>
            <w:vAlign w:val="center"/>
            <w:hideMark/>
          </w:tcPr>
          <w:p w14:paraId="29EB9022"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58EF5B57"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3C9976F6"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0730BE60"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499350C9" w14:textId="77777777" w:rsidR="00AA7200" w:rsidRPr="00AD0D5E" w:rsidRDefault="00AA7200" w:rsidP="00AA7200">
            <w:pPr>
              <w:rPr>
                <w:rFonts w:ascii="Aptos" w:hAnsi="Aptos"/>
                <w:sz w:val="18"/>
                <w:szCs w:val="18"/>
              </w:rPr>
            </w:pPr>
            <w:r w:rsidRPr="00AD0D5E">
              <w:rPr>
                <w:rFonts w:ascii="Aptos" w:hAnsi="Aptos"/>
                <w:sz w:val="18"/>
                <w:szCs w:val="18"/>
              </w:rPr>
              <w:t>Were efforts made to minimise error in selection of studies?</w:t>
            </w:r>
          </w:p>
        </w:tc>
        <w:tc>
          <w:tcPr>
            <w:tcW w:w="566" w:type="pct"/>
            <w:tcBorders>
              <w:top w:val="nil"/>
              <w:left w:val="nil"/>
              <w:bottom w:val="single" w:sz="4" w:space="0" w:color="auto"/>
              <w:right w:val="single" w:sz="4" w:space="0" w:color="auto"/>
            </w:tcBorders>
            <w:shd w:val="clear" w:color="000000" w:fill="FFFFFF"/>
            <w:vAlign w:val="center"/>
            <w:hideMark/>
          </w:tcPr>
          <w:p w14:paraId="338F0C4E"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377F495"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F11C149"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0FDA0F05"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74042CD5" w14:textId="77777777" w:rsidR="00AA7200" w:rsidRPr="00AD0D5E" w:rsidRDefault="00AA7200" w:rsidP="00AA7200">
            <w:pPr>
              <w:rPr>
                <w:rFonts w:ascii="Aptos" w:hAnsi="Aptos"/>
                <w:sz w:val="18"/>
                <w:szCs w:val="18"/>
              </w:rPr>
            </w:pPr>
            <w:r w:rsidRPr="00AD0D5E">
              <w:rPr>
                <w:rFonts w:ascii="Aptos" w:hAnsi="Aptos"/>
                <w:sz w:val="18"/>
                <w:szCs w:val="18"/>
              </w:rPr>
              <w:t>Concerns regarding methods used to identify and/or select studies: LOW, HIGH, UNCLEAR</w:t>
            </w:r>
          </w:p>
        </w:tc>
        <w:tc>
          <w:tcPr>
            <w:tcW w:w="566" w:type="pct"/>
            <w:tcBorders>
              <w:top w:val="nil"/>
              <w:left w:val="nil"/>
              <w:bottom w:val="single" w:sz="4" w:space="0" w:color="auto"/>
              <w:right w:val="single" w:sz="4" w:space="0" w:color="auto"/>
            </w:tcBorders>
            <w:shd w:val="clear" w:color="000000" w:fill="E2EFDA"/>
            <w:vAlign w:val="center"/>
            <w:hideMark/>
          </w:tcPr>
          <w:p w14:paraId="5F38DDEA"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c>
          <w:tcPr>
            <w:tcW w:w="566" w:type="pct"/>
            <w:tcBorders>
              <w:top w:val="nil"/>
              <w:left w:val="single" w:sz="4" w:space="0" w:color="auto"/>
              <w:bottom w:val="single" w:sz="4" w:space="0" w:color="auto"/>
              <w:right w:val="single" w:sz="4" w:space="0" w:color="auto"/>
            </w:tcBorders>
            <w:shd w:val="clear" w:color="000000" w:fill="E2EFDA"/>
            <w:vAlign w:val="center"/>
            <w:hideMark/>
          </w:tcPr>
          <w:p w14:paraId="3C2B05F8"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c>
          <w:tcPr>
            <w:tcW w:w="566" w:type="pct"/>
            <w:tcBorders>
              <w:top w:val="nil"/>
              <w:left w:val="single" w:sz="4" w:space="0" w:color="auto"/>
              <w:bottom w:val="single" w:sz="4" w:space="0" w:color="auto"/>
              <w:right w:val="single" w:sz="4" w:space="0" w:color="auto"/>
            </w:tcBorders>
            <w:shd w:val="clear" w:color="000000" w:fill="E2EFDA"/>
            <w:vAlign w:val="center"/>
            <w:hideMark/>
          </w:tcPr>
          <w:p w14:paraId="2109CBBE"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r>
      <w:tr w:rsidR="00AA7200" w:rsidRPr="00AD0D5E" w14:paraId="21832C76"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2F2F2"/>
            <w:vAlign w:val="center"/>
            <w:hideMark/>
          </w:tcPr>
          <w:p w14:paraId="3B7EE1DF" w14:textId="77777777" w:rsidR="00AA7200" w:rsidRPr="00AD0D5E" w:rsidRDefault="00AA7200" w:rsidP="00AA7200">
            <w:pPr>
              <w:rPr>
                <w:rFonts w:ascii="Aptos" w:hAnsi="Aptos"/>
                <w:sz w:val="18"/>
                <w:szCs w:val="18"/>
              </w:rPr>
            </w:pPr>
            <w:r w:rsidRPr="00AD0D5E">
              <w:rPr>
                <w:rFonts w:ascii="Aptos" w:hAnsi="Aptos"/>
                <w:sz w:val="18"/>
                <w:szCs w:val="18"/>
              </w:rPr>
              <w:t>Domain 3: Data collection and study appraisal</w:t>
            </w:r>
          </w:p>
        </w:tc>
        <w:tc>
          <w:tcPr>
            <w:tcW w:w="566" w:type="pct"/>
            <w:tcBorders>
              <w:top w:val="nil"/>
              <w:left w:val="nil"/>
              <w:bottom w:val="single" w:sz="4" w:space="0" w:color="auto"/>
              <w:right w:val="single" w:sz="4" w:space="0" w:color="auto"/>
            </w:tcBorders>
            <w:shd w:val="clear" w:color="000000" w:fill="F2F2F2"/>
            <w:vAlign w:val="center"/>
            <w:hideMark/>
          </w:tcPr>
          <w:p w14:paraId="0DAC048D" w14:textId="21570B4B"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34CCD71A" w14:textId="2358F87E"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055ED0F6" w14:textId="2741AEC0" w:rsidR="00AA7200" w:rsidRPr="00AD0D5E" w:rsidRDefault="00AA7200" w:rsidP="006C6DF4">
            <w:pPr>
              <w:jc w:val="center"/>
              <w:rPr>
                <w:rFonts w:ascii="Aptos" w:hAnsi="Aptos"/>
                <w:sz w:val="18"/>
                <w:szCs w:val="18"/>
              </w:rPr>
            </w:pPr>
          </w:p>
        </w:tc>
      </w:tr>
      <w:tr w:rsidR="00AA7200" w:rsidRPr="00AD0D5E" w14:paraId="0A9E8A69"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404D5C18" w14:textId="77777777" w:rsidR="00AA7200" w:rsidRPr="00AD0D5E" w:rsidRDefault="00AA7200" w:rsidP="00AA7200">
            <w:pPr>
              <w:rPr>
                <w:rFonts w:ascii="Aptos" w:hAnsi="Aptos"/>
                <w:sz w:val="18"/>
                <w:szCs w:val="18"/>
              </w:rPr>
            </w:pPr>
            <w:r w:rsidRPr="00AD0D5E">
              <w:rPr>
                <w:rFonts w:ascii="Aptos" w:hAnsi="Aptos"/>
                <w:sz w:val="18"/>
                <w:szCs w:val="18"/>
              </w:rPr>
              <w:t>Were efforts made to minimise error in data collection?</w:t>
            </w:r>
          </w:p>
        </w:tc>
        <w:tc>
          <w:tcPr>
            <w:tcW w:w="566" w:type="pct"/>
            <w:tcBorders>
              <w:top w:val="nil"/>
              <w:left w:val="nil"/>
              <w:bottom w:val="single" w:sz="4" w:space="0" w:color="auto"/>
              <w:right w:val="single" w:sz="4" w:space="0" w:color="auto"/>
            </w:tcBorders>
            <w:shd w:val="clear" w:color="000000" w:fill="FFFFFF"/>
            <w:vAlign w:val="center"/>
            <w:hideMark/>
          </w:tcPr>
          <w:p w14:paraId="72D2EB85"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08FB6D51"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05F7F2C" w14:textId="77777777" w:rsidR="00AA7200" w:rsidRPr="00AD0D5E" w:rsidRDefault="00AA7200" w:rsidP="006C6DF4">
            <w:pPr>
              <w:jc w:val="center"/>
              <w:rPr>
                <w:rFonts w:ascii="Aptos" w:hAnsi="Aptos"/>
                <w:sz w:val="18"/>
                <w:szCs w:val="18"/>
              </w:rPr>
            </w:pPr>
            <w:r w:rsidRPr="00AD0D5E">
              <w:rPr>
                <w:rFonts w:ascii="Aptos" w:hAnsi="Aptos"/>
                <w:sz w:val="18"/>
                <w:szCs w:val="18"/>
              </w:rPr>
              <w:t>PY</w:t>
            </w:r>
          </w:p>
        </w:tc>
      </w:tr>
      <w:tr w:rsidR="00AA7200" w:rsidRPr="00AD0D5E" w14:paraId="1BDC9B68"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7F30A64C" w14:textId="77777777" w:rsidR="00AA7200" w:rsidRPr="00AD0D5E" w:rsidRDefault="00AA7200" w:rsidP="00AA7200">
            <w:pPr>
              <w:rPr>
                <w:rFonts w:ascii="Aptos" w:hAnsi="Aptos"/>
                <w:sz w:val="18"/>
                <w:szCs w:val="18"/>
              </w:rPr>
            </w:pPr>
            <w:r w:rsidRPr="00AD0D5E">
              <w:rPr>
                <w:rFonts w:ascii="Aptos" w:hAnsi="Aptos"/>
                <w:sz w:val="18"/>
                <w:szCs w:val="18"/>
              </w:rPr>
              <w:t>Were sufficient study characteristics available for both review authors and readers to be able to interpret the results?</w:t>
            </w:r>
          </w:p>
        </w:tc>
        <w:tc>
          <w:tcPr>
            <w:tcW w:w="566" w:type="pct"/>
            <w:tcBorders>
              <w:top w:val="nil"/>
              <w:left w:val="nil"/>
              <w:bottom w:val="single" w:sz="4" w:space="0" w:color="auto"/>
              <w:right w:val="single" w:sz="4" w:space="0" w:color="auto"/>
            </w:tcBorders>
            <w:shd w:val="clear" w:color="000000" w:fill="FFFFFF"/>
            <w:vAlign w:val="center"/>
            <w:hideMark/>
          </w:tcPr>
          <w:p w14:paraId="0868AEBE"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4C37C3AB"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F95AB62"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0E7E2C6D"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79429F39" w14:textId="77777777" w:rsidR="00AA7200" w:rsidRPr="00AD0D5E" w:rsidRDefault="00AA7200" w:rsidP="00AA7200">
            <w:pPr>
              <w:rPr>
                <w:rFonts w:ascii="Aptos" w:hAnsi="Aptos"/>
                <w:sz w:val="18"/>
                <w:szCs w:val="18"/>
              </w:rPr>
            </w:pPr>
            <w:r w:rsidRPr="00AD0D5E">
              <w:rPr>
                <w:rFonts w:ascii="Aptos" w:hAnsi="Aptos"/>
                <w:sz w:val="18"/>
                <w:szCs w:val="18"/>
              </w:rPr>
              <w:t>Were all relevant study results collected for use in the synthesis?</w:t>
            </w:r>
          </w:p>
        </w:tc>
        <w:tc>
          <w:tcPr>
            <w:tcW w:w="566" w:type="pct"/>
            <w:tcBorders>
              <w:top w:val="nil"/>
              <w:left w:val="nil"/>
              <w:bottom w:val="single" w:sz="4" w:space="0" w:color="auto"/>
              <w:right w:val="single" w:sz="4" w:space="0" w:color="auto"/>
            </w:tcBorders>
            <w:shd w:val="clear" w:color="000000" w:fill="FFFFFF"/>
            <w:vAlign w:val="center"/>
            <w:hideMark/>
          </w:tcPr>
          <w:p w14:paraId="0BE341A0"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048FC79F"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722009C"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1B56699C"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197B1D94" w14:textId="77777777" w:rsidR="00AA7200" w:rsidRPr="00AD0D5E" w:rsidRDefault="00AA7200" w:rsidP="00AA7200">
            <w:pPr>
              <w:rPr>
                <w:rFonts w:ascii="Aptos" w:hAnsi="Aptos"/>
                <w:sz w:val="18"/>
                <w:szCs w:val="18"/>
              </w:rPr>
            </w:pPr>
            <w:r w:rsidRPr="00AD0D5E">
              <w:rPr>
                <w:rFonts w:ascii="Aptos" w:hAnsi="Aptos"/>
                <w:sz w:val="18"/>
                <w:szCs w:val="18"/>
              </w:rPr>
              <w:t>Was risk of bias (or methodological quality) formally assessed using appropriate criteria?</w:t>
            </w:r>
          </w:p>
        </w:tc>
        <w:tc>
          <w:tcPr>
            <w:tcW w:w="566" w:type="pct"/>
            <w:tcBorders>
              <w:top w:val="nil"/>
              <w:left w:val="nil"/>
              <w:bottom w:val="single" w:sz="4" w:space="0" w:color="auto"/>
              <w:right w:val="single" w:sz="4" w:space="0" w:color="auto"/>
            </w:tcBorders>
            <w:shd w:val="clear" w:color="000000" w:fill="FFFFFF"/>
            <w:vAlign w:val="center"/>
            <w:hideMark/>
          </w:tcPr>
          <w:p w14:paraId="232A7149"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3AAE9F47"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0C831201"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32590A53"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5D1E56D1" w14:textId="77777777" w:rsidR="00AA7200" w:rsidRPr="00AD0D5E" w:rsidRDefault="00AA7200" w:rsidP="00AA7200">
            <w:pPr>
              <w:rPr>
                <w:rFonts w:ascii="Aptos" w:hAnsi="Aptos"/>
                <w:sz w:val="18"/>
                <w:szCs w:val="18"/>
              </w:rPr>
            </w:pPr>
            <w:r w:rsidRPr="00AD0D5E">
              <w:rPr>
                <w:rFonts w:ascii="Aptos" w:hAnsi="Aptos"/>
                <w:sz w:val="18"/>
                <w:szCs w:val="18"/>
              </w:rPr>
              <w:t>Were efforts made to minimise error in risk of bias assessment?</w:t>
            </w:r>
          </w:p>
        </w:tc>
        <w:tc>
          <w:tcPr>
            <w:tcW w:w="566" w:type="pct"/>
            <w:tcBorders>
              <w:top w:val="nil"/>
              <w:left w:val="nil"/>
              <w:bottom w:val="single" w:sz="4" w:space="0" w:color="auto"/>
              <w:right w:val="single" w:sz="4" w:space="0" w:color="auto"/>
            </w:tcBorders>
            <w:shd w:val="clear" w:color="000000" w:fill="FFFFFF"/>
            <w:vAlign w:val="center"/>
            <w:hideMark/>
          </w:tcPr>
          <w:p w14:paraId="6FF58543"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40C819B7"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E98AE07"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378C4541"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1CEDEC72" w14:textId="77777777" w:rsidR="00AA7200" w:rsidRPr="00AD0D5E" w:rsidRDefault="00AA7200" w:rsidP="00AA7200">
            <w:pPr>
              <w:rPr>
                <w:rFonts w:ascii="Aptos" w:hAnsi="Aptos"/>
                <w:sz w:val="18"/>
                <w:szCs w:val="18"/>
              </w:rPr>
            </w:pPr>
            <w:r w:rsidRPr="00AD0D5E">
              <w:rPr>
                <w:rFonts w:ascii="Aptos" w:hAnsi="Aptos"/>
                <w:sz w:val="18"/>
                <w:szCs w:val="18"/>
              </w:rPr>
              <w:t>Concerns regarding methods used to collect data and appraise studies: LOW, HIGH, UNCLEAR</w:t>
            </w:r>
          </w:p>
        </w:tc>
        <w:tc>
          <w:tcPr>
            <w:tcW w:w="566" w:type="pct"/>
            <w:tcBorders>
              <w:top w:val="nil"/>
              <w:left w:val="nil"/>
              <w:bottom w:val="single" w:sz="4" w:space="0" w:color="auto"/>
              <w:right w:val="single" w:sz="4" w:space="0" w:color="auto"/>
            </w:tcBorders>
            <w:shd w:val="clear" w:color="000000" w:fill="E2EFDA"/>
            <w:vAlign w:val="center"/>
            <w:hideMark/>
          </w:tcPr>
          <w:p w14:paraId="6E94802B"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c>
          <w:tcPr>
            <w:tcW w:w="566" w:type="pct"/>
            <w:tcBorders>
              <w:top w:val="nil"/>
              <w:left w:val="single" w:sz="4" w:space="0" w:color="auto"/>
              <w:bottom w:val="single" w:sz="4" w:space="0" w:color="auto"/>
              <w:right w:val="single" w:sz="4" w:space="0" w:color="auto"/>
            </w:tcBorders>
            <w:shd w:val="clear" w:color="000000" w:fill="E2EFDA"/>
            <w:vAlign w:val="center"/>
            <w:hideMark/>
          </w:tcPr>
          <w:p w14:paraId="455528DA"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c>
          <w:tcPr>
            <w:tcW w:w="566" w:type="pct"/>
            <w:tcBorders>
              <w:top w:val="nil"/>
              <w:left w:val="single" w:sz="4" w:space="0" w:color="auto"/>
              <w:bottom w:val="single" w:sz="4" w:space="0" w:color="auto"/>
              <w:right w:val="single" w:sz="4" w:space="0" w:color="auto"/>
            </w:tcBorders>
            <w:shd w:val="clear" w:color="000000" w:fill="E2EFDA"/>
            <w:vAlign w:val="center"/>
            <w:hideMark/>
          </w:tcPr>
          <w:p w14:paraId="643DF27B" w14:textId="77777777" w:rsidR="00AA7200" w:rsidRPr="00AD0D5E" w:rsidRDefault="00AA7200" w:rsidP="006C6DF4">
            <w:pPr>
              <w:jc w:val="center"/>
              <w:rPr>
                <w:rFonts w:ascii="Aptos" w:hAnsi="Aptos"/>
                <w:sz w:val="18"/>
                <w:szCs w:val="18"/>
              </w:rPr>
            </w:pPr>
            <w:r w:rsidRPr="00AD0D5E">
              <w:rPr>
                <w:rFonts w:ascii="Aptos" w:hAnsi="Aptos"/>
                <w:sz w:val="18"/>
                <w:szCs w:val="18"/>
              </w:rPr>
              <w:t>Low</w:t>
            </w:r>
          </w:p>
        </w:tc>
      </w:tr>
      <w:tr w:rsidR="00AA7200" w:rsidRPr="00AD0D5E" w14:paraId="32568B2D"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2F2F2"/>
            <w:vAlign w:val="center"/>
            <w:hideMark/>
          </w:tcPr>
          <w:p w14:paraId="1B49B006" w14:textId="77777777" w:rsidR="00AA7200" w:rsidRPr="00AD0D5E" w:rsidRDefault="00AA7200" w:rsidP="00AA7200">
            <w:pPr>
              <w:rPr>
                <w:rFonts w:ascii="Aptos" w:hAnsi="Aptos"/>
                <w:sz w:val="18"/>
                <w:szCs w:val="18"/>
              </w:rPr>
            </w:pPr>
            <w:r w:rsidRPr="00AD0D5E">
              <w:rPr>
                <w:rFonts w:ascii="Aptos" w:hAnsi="Aptos"/>
                <w:sz w:val="18"/>
                <w:szCs w:val="18"/>
              </w:rPr>
              <w:t>Domain 4: Synthesis and findings</w:t>
            </w:r>
          </w:p>
        </w:tc>
        <w:tc>
          <w:tcPr>
            <w:tcW w:w="566" w:type="pct"/>
            <w:tcBorders>
              <w:top w:val="nil"/>
              <w:left w:val="nil"/>
              <w:bottom w:val="single" w:sz="4" w:space="0" w:color="auto"/>
              <w:right w:val="single" w:sz="4" w:space="0" w:color="auto"/>
            </w:tcBorders>
            <w:shd w:val="clear" w:color="000000" w:fill="F2F2F2"/>
            <w:vAlign w:val="center"/>
            <w:hideMark/>
          </w:tcPr>
          <w:p w14:paraId="74F28EBF" w14:textId="1DD9BF56"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7EEFCA57" w14:textId="458E19F0"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F2F2F2"/>
            <w:vAlign w:val="center"/>
            <w:hideMark/>
          </w:tcPr>
          <w:p w14:paraId="3B727DF2" w14:textId="7785E1E7" w:rsidR="00AA7200" w:rsidRPr="00AD0D5E" w:rsidRDefault="00AA7200" w:rsidP="006C6DF4">
            <w:pPr>
              <w:jc w:val="center"/>
              <w:rPr>
                <w:rFonts w:ascii="Aptos" w:hAnsi="Aptos"/>
                <w:sz w:val="18"/>
                <w:szCs w:val="18"/>
              </w:rPr>
            </w:pPr>
          </w:p>
        </w:tc>
      </w:tr>
      <w:tr w:rsidR="00AA7200" w:rsidRPr="00AD0D5E" w14:paraId="4807F4E7"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3D260428" w14:textId="77777777" w:rsidR="00AA7200" w:rsidRPr="00AD0D5E" w:rsidRDefault="00AA7200" w:rsidP="00AA7200">
            <w:pPr>
              <w:rPr>
                <w:rFonts w:ascii="Aptos" w:hAnsi="Aptos"/>
                <w:sz w:val="18"/>
                <w:szCs w:val="18"/>
              </w:rPr>
            </w:pPr>
            <w:r w:rsidRPr="00AD0D5E">
              <w:rPr>
                <w:rFonts w:ascii="Aptos" w:hAnsi="Aptos"/>
                <w:sz w:val="18"/>
                <w:szCs w:val="18"/>
              </w:rPr>
              <w:t>Did the synthesis include all studies that it should?</w:t>
            </w:r>
          </w:p>
        </w:tc>
        <w:tc>
          <w:tcPr>
            <w:tcW w:w="566" w:type="pct"/>
            <w:tcBorders>
              <w:top w:val="nil"/>
              <w:left w:val="nil"/>
              <w:bottom w:val="single" w:sz="4" w:space="0" w:color="auto"/>
              <w:right w:val="single" w:sz="4" w:space="0" w:color="auto"/>
            </w:tcBorders>
            <w:shd w:val="clear" w:color="000000" w:fill="FFFFFF"/>
            <w:vAlign w:val="center"/>
            <w:hideMark/>
          </w:tcPr>
          <w:p w14:paraId="767A3EF5" w14:textId="77777777" w:rsidR="00AA7200" w:rsidRPr="00AD0D5E" w:rsidRDefault="00AA7200" w:rsidP="006C6DF4">
            <w:pPr>
              <w:jc w:val="center"/>
              <w:rPr>
                <w:rFonts w:ascii="Aptos" w:hAnsi="Aptos"/>
                <w:sz w:val="18"/>
                <w:szCs w:val="18"/>
              </w:rPr>
            </w:pPr>
            <w:r w:rsidRPr="00AD0D5E">
              <w:rPr>
                <w:rFonts w:ascii="Aptos" w:hAnsi="Aptos"/>
                <w:sz w:val="18"/>
                <w:szCs w:val="18"/>
              </w:rPr>
              <w:t>PY</w:t>
            </w:r>
          </w:p>
        </w:tc>
        <w:tc>
          <w:tcPr>
            <w:tcW w:w="566" w:type="pct"/>
            <w:tcBorders>
              <w:top w:val="nil"/>
              <w:left w:val="nil"/>
              <w:bottom w:val="single" w:sz="4" w:space="0" w:color="auto"/>
              <w:right w:val="single" w:sz="4" w:space="0" w:color="auto"/>
            </w:tcBorders>
            <w:shd w:val="clear" w:color="000000" w:fill="FFFFFF"/>
            <w:vAlign w:val="center"/>
            <w:hideMark/>
          </w:tcPr>
          <w:p w14:paraId="60E19C1C" w14:textId="77777777" w:rsidR="00AA7200" w:rsidRPr="00AD0D5E" w:rsidRDefault="00AA7200" w:rsidP="006C6DF4">
            <w:pPr>
              <w:jc w:val="center"/>
              <w:rPr>
                <w:rFonts w:ascii="Aptos" w:hAnsi="Aptos"/>
                <w:sz w:val="18"/>
                <w:szCs w:val="18"/>
              </w:rPr>
            </w:pPr>
            <w:r w:rsidRPr="00AD0D5E">
              <w:rPr>
                <w:rFonts w:ascii="Aptos" w:hAnsi="Aptos"/>
                <w:sz w:val="18"/>
                <w:szCs w:val="18"/>
              </w:rPr>
              <w:t>PY</w:t>
            </w:r>
          </w:p>
        </w:tc>
        <w:tc>
          <w:tcPr>
            <w:tcW w:w="566" w:type="pct"/>
            <w:tcBorders>
              <w:top w:val="nil"/>
              <w:left w:val="nil"/>
              <w:bottom w:val="single" w:sz="4" w:space="0" w:color="auto"/>
              <w:right w:val="single" w:sz="4" w:space="0" w:color="auto"/>
            </w:tcBorders>
            <w:shd w:val="clear" w:color="000000" w:fill="FFFFFF"/>
            <w:vAlign w:val="center"/>
            <w:hideMark/>
          </w:tcPr>
          <w:p w14:paraId="7E16B418" w14:textId="77777777" w:rsidR="00AA7200" w:rsidRPr="00AD0D5E" w:rsidRDefault="00AA7200" w:rsidP="006C6DF4">
            <w:pPr>
              <w:jc w:val="center"/>
              <w:rPr>
                <w:rFonts w:ascii="Aptos" w:hAnsi="Aptos"/>
                <w:sz w:val="18"/>
                <w:szCs w:val="18"/>
              </w:rPr>
            </w:pPr>
            <w:r w:rsidRPr="00AD0D5E">
              <w:rPr>
                <w:rFonts w:ascii="Aptos" w:hAnsi="Aptos"/>
                <w:sz w:val="18"/>
                <w:szCs w:val="18"/>
              </w:rPr>
              <w:t>PY</w:t>
            </w:r>
          </w:p>
        </w:tc>
      </w:tr>
      <w:tr w:rsidR="00AA7200" w:rsidRPr="00AD0D5E" w14:paraId="5A887680"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744B293E" w14:textId="77777777" w:rsidR="00AA7200" w:rsidRPr="00AD0D5E" w:rsidRDefault="00AA7200" w:rsidP="00AA7200">
            <w:pPr>
              <w:rPr>
                <w:rFonts w:ascii="Aptos" w:hAnsi="Aptos"/>
                <w:sz w:val="18"/>
                <w:szCs w:val="18"/>
              </w:rPr>
            </w:pPr>
            <w:r w:rsidRPr="00AD0D5E">
              <w:rPr>
                <w:rFonts w:ascii="Aptos" w:hAnsi="Aptos"/>
                <w:sz w:val="18"/>
                <w:szCs w:val="18"/>
              </w:rPr>
              <w:t>Were all pre</w:t>
            </w:r>
            <w:r w:rsidRPr="00AD0D5E">
              <w:rPr>
                <w:rFonts w:ascii="Cambria Math" w:hAnsi="Cambria Math" w:cs="Cambria Math"/>
                <w:sz w:val="18"/>
                <w:szCs w:val="18"/>
              </w:rPr>
              <w:t>‐</w:t>
            </w:r>
            <w:r w:rsidRPr="00AD0D5E">
              <w:rPr>
                <w:rFonts w:ascii="Aptos" w:hAnsi="Aptos"/>
                <w:sz w:val="18"/>
                <w:szCs w:val="18"/>
              </w:rPr>
              <w:t>defined analyses reported or departures explained?</w:t>
            </w:r>
          </w:p>
        </w:tc>
        <w:tc>
          <w:tcPr>
            <w:tcW w:w="566" w:type="pct"/>
            <w:tcBorders>
              <w:top w:val="nil"/>
              <w:left w:val="nil"/>
              <w:bottom w:val="single" w:sz="4" w:space="0" w:color="auto"/>
              <w:right w:val="single" w:sz="4" w:space="0" w:color="auto"/>
            </w:tcBorders>
            <w:shd w:val="clear" w:color="000000" w:fill="FFFFFF"/>
            <w:vAlign w:val="center"/>
            <w:hideMark/>
          </w:tcPr>
          <w:p w14:paraId="027A1BE0"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3E2BAE4"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3A7CA310"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60201842"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4036F699" w14:textId="77777777" w:rsidR="00AA7200" w:rsidRPr="00AD0D5E" w:rsidRDefault="00AA7200" w:rsidP="00AA7200">
            <w:pPr>
              <w:rPr>
                <w:rFonts w:ascii="Aptos" w:hAnsi="Aptos"/>
                <w:sz w:val="18"/>
                <w:szCs w:val="18"/>
              </w:rPr>
            </w:pPr>
            <w:r w:rsidRPr="00AD0D5E">
              <w:rPr>
                <w:rFonts w:ascii="Aptos" w:hAnsi="Aptos"/>
                <w:sz w:val="18"/>
                <w:szCs w:val="18"/>
              </w:rPr>
              <w:lastRenderedPageBreak/>
              <w:t>Was the synthesis appropriate given the nature and similarity in the research questions, study designs and outcomes across included studies?</w:t>
            </w:r>
          </w:p>
        </w:tc>
        <w:tc>
          <w:tcPr>
            <w:tcW w:w="566" w:type="pct"/>
            <w:tcBorders>
              <w:top w:val="nil"/>
              <w:left w:val="nil"/>
              <w:bottom w:val="single" w:sz="4" w:space="0" w:color="auto"/>
              <w:right w:val="single" w:sz="4" w:space="0" w:color="auto"/>
            </w:tcBorders>
            <w:shd w:val="clear" w:color="000000" w:fill="FFFFFF"/>
            <w:vAlign w:val="center"/>
            <w:hideMark/>
          </w:tcPr>
          <w:p w14:paraId="179F2D37"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3498AF4D"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627CE3F"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2BC3CE4D"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4A4F7FDB" w14:textId="77777777" w:rsidR="00AA7200" w:rsidRPr="00AD0D5E" w:rsidRDefault="00AA7200" w:rsidP="00AA7200">
            <w:pPr>
              <w:rPr>
                <w:rFonts w:ascii="Aptos" w:hAnsi="Aptos"/>
                <w:sz w:val="18"/>
                <w:szCs w:val="18"/>
              </w:rPr>
            </w:pPr>
            <w:r w:rsidRPr="00AD0D5E">
              <w:rPr>
                <w:rFonts w:ascii="Aptos" w:hAnsi="Aptos"/>
                <w:sz w:val="18"/>
                <w:szCs w:val="18"/>
              </w:rPr>
              <w:t>Was between</w:t>
            </w:r>
            <w:r w:rsidRPr="00AD0D5E">
              <w:rPr>
                <w:rFonts w:ascii="Cambria Math" w:hAnsi="Cambria Math" w:cs="Cambria Math"/>
                <w:sz w:val="18"/>
                <w:szCs w:val="18"/>
              </w:rPr>
              <w:t>‐</w:t>
            </w:r>
            <w:r w:rsidRPr="00AD0D5E">
              <w:rPr>
                <w:rFonts w:ascii="Aptos" w:hAnsi="Aptos"/>
                <w:sz w:val="18"/>
                <w:szCs w:val="18"/>
              </w:rPr>
              <w:t>study variation (heterogeneity) minimal or addressed in the synthesis?</w:t>
            </w:r>
          </w:p>
        </w:tc>
        <w:tc>
          <w:tcPr>
            <w:tcW w:w="566" w:type="pct"/>
            <w:tcBorders>
              <w:top w:val="nil"/>
              <w:left w:val="nil"/>
              <w:bottom w:val="single" w:sz="4" w:space="0" w:color="auto"/>
              <w:right w:val="single" w:sz="4" w:space="0" w:color="auto"/>
            </w:tcBorders>
            <w:shd w:val="clear" w:color="000000" w:fill="FFFFFF"/>
            <w:vAlign w:val="center"/>
            <w:hideMark/>
          </w:tcPr>
          <w:p w14:paraId="66E8D344" w14:textId="77777777" w:rsidR="00AA7200" w:rsidRPr="00AD0D5E" w:rsidRDefault="00AA7200" w:rsidP="006C6DF4">
            <w:pPr>
              <w:jc w:val="center"/>
              <w:rPr>
                <w:rFonts w:ascii="Aptos" w:hAnsi="Aptos"/>
                <w:sz w:val="18"/>
                <w:szCs w:val="18"/>
              </w:rPr>
            </w:pPr>
            <w:r w:rsidRPr="00AD0D5E">
              <w:rPr>
                <w:rFonts w:ascii="Aptos" w:hAnsi="Aptos"/>
                <w:sz w:val="18"/>
                <w:szCs w:val="18"/>
              </w:rPr>
              <w:t>PY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7EFACBD9" w14:textId="77777777" w:rsidR="00AA7200" w:rsidRPr="00AD0D5E" w:rsidRDefault="00AA7200" w:rsidP="006C6DF4">
            <w:pPr>
              <w:jc w:val="center"/>
              <w:rPr>
                <w:rFonts w:ascii="Aptos" w:hAnsi="Aptos"/>
                <w:sz w:val="18"/>
                <w:szCs w:val="18"/>
              </w:rPr>
            </w:pPr>
            <w:r w:rsidRPr="00AD0D5E">
              <w:rPr>
                <w:rFonts w:ascii="Aptos" w:hAnsi="Aptos"/>
                <w:sz w:val="18"/>
                <w:szCs w:val="18"/>
              </w:rPr>
              <w:t>PY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0E068909" w14:textId="77777777" w:rsidR="00AA7200" w:rsidRPr="00AD0D5E" w:rsidRDefault="00AA7200" w:rsidP="006C6DF4">
            <w:pPr>
              <w:jc w:val="center"/>
              <w:rPr>
                <w:rFonts w:ascii="Aptos" w:hAnsi="Aptos"/>
                <w:sz w:val="18"/>
                <w:szCs w:val="18"/>
              </w:rPr>
            </w:pPr>
            <w:r w:rsidRPr="00AD0D5E">
              <w:rPr>
                <w:rFonts w:ascii="Aptos" w:hAnsi="Aptos"/>
                <w:sz w:val="18"/>
                <w:szCs w:val="18"/>
              </w:rPr>
              <w:t>NI</w:t>
            </w:r>
          </w:p>
        </w:tc>
      </w:tr>
      <w:tr w:rsidR="00AA7200" w:rsidRPr="00AD0D5E" w14:paraId="5869409C"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11CE2403" w14:textId="77777777" w:rsidR="00AA7200" w:rsidRPr="00AD0D5E" w:rsidRDefault="00AA7200" w:rsidP="00AA7200">
            <w:pPr>
              <w:rPr>
                <w:rFonts w:ascii="Aptos" w:hAnsi="Aptos"/>
                <w:sz w:val="18"/>
                <w:szCs w:val="18"/>
              </w:rPr>
            </w:pPr>
            <w:r w:rsidRPr="00AD0D5E">
              <w:rPr>
                <w:rFonts w:ascii="Aptos" w:hAnsi="Aptos"/>
                <w:sz w:val="18"/>
                <w:szCs w:val="18"/>
              </w:rPr>
              <w:t>Were the findings robust, e.g. as demonstrated through funnel plot or sensitivity analyses?</w:t>
            </w:r>
          </w:p>
        </w:tc>
        <w:tc>
          <w:tcPr>
            <w:tcW w:w="566" w:type="pct"/>
            <w:tcBorders>
              <w:top w:val="nil"/>
              <w:left w:val="nil"/>
              <w:bottom w:val="single" w:sz="4" w:space="0" w:color="auto"/>
              <w:right w:val="single" w:sz="4" w:space="0" w:color="auto"/>
            </w:tcBorders>
            <w:shd w:val="clear" w:color="000000" w:fill="FFFFFF"/>
            <w:vAlign w:val="center"/>
            <w:hideMark/>
          </w:tcPr>
          <w:p w14:paraId="2C4837DF" w14:textId="77777777" w:rsidR="00AA7200" w:rsidRPr="00AD0D5E" w:rsidRDefault="00AA7200" w:rsidP="006C6DF4">
            <w:pPr>
              <w:jc w:val="center"/>
              <w:rPr>
                <w:rFonts w:ascii="Aptos" w:hAnsi="Aptos"/>
                <w:sz w:val="18"/>
                <w:szCs w:val="18"/>
              </w:rPr>
            </w:pPr>
            <w:r w:rsidRPr="00AD0D5E">
              <w:rPr>
                <w:rFonts w:ascii="Aptos" w:hAnsi="Aptos"/>
                <w:sz w:val="18"/>
                <w:szCs w:val="18"/>
              </w:rPr>
              <w:t>NI</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730FB1A8" w14:textId="77777777" w:rsidR="00AA7200" w:rsidRPr="00AD0D5E" w:rsidRDefault="00AA7200" w:rsidP="006C6DF4">
            <w:pPr>
              <w:jc w:val="center"/>
              <w:rPr>
                <w:rFonts w:ascii="Aptos" w:hAnsi="Aptos"/>
                <w:sz w:val="18"/>
                <w:szCs w:val="18"/>
              </w:rPr>
            </w:pPr>
            <w:r w:rsidRPr="00AD0D5E">
              <w:rPr>
                <w:rFonts w:ascii="Aptos" w:hAnsi="Aptos"/>
                <w:sz w:val="18"/>
                <w:szCs w:val="18"/>
              </w:rPr>
              <w:t>NI</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1ADE2CCC" w14:textId="77777777" w:rsidR="00AA7200" w:rsidRPr="00AD0D5E" w:rsidRDefault="00AA7200" w:rsidP="006C6DF4">
            <w:pPr>
              <w:jc w:val="center"/>
              <w:rPr>
                <w:rFonts w:ascii="Aptos" w:hAnsi="Aptos"/>
                <w:sz w:val="18"/>
                <w:szCs w:val="18"/>
              </w:rPr>
            </w:pPr>
            <w:r w:rsidRPr="00AD0D5E">
              <w:rPr>
                <w:rFonts w:ascii="Aptos" w:hAnsi="Aptos"/>
                <w:sz w:val="18"/>
                <w:szCs w:val="18"/>
              </w:rPr>
              <w:t>NI</w:t>
            </w:r>
          </w:p>
        </w:tc>
      </w:tr>
      <w:tr w:rsidR="00AA7200" w:rsidRPr="00AD0D5E" w14:paraId="170410B7"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58E08AD8" w14:textId="77777777" w:rsidR="00AA7200" w:rsidRPr="00AD0D5E" w:rsidRDefault="00AA7200" w:rsidP="00AA7200">
            <w:pPr>
              <w:rPr>
                <w:rFonts w:ascii="Aptos" w:hAnsi="Aptos"/>
                <w:sz w:val="18"/>
                <w:szCs w:val="18"/>
              </w:rPr>
            </w:pPr>
            <w:r w:rsidRPr="00AD0D5E">
              <w:rPr>
                <w:rFonts w:ascii="Aptos" w:hAnsi="Aptos"/>
                <w:sz w:val="18"/>
                <w:szCs w:val="18"/>
              </w:rPr>
              <w:t>Were biases in primary studies minimal or addressed in the synthesis?</w:t>
            </w:r>
          </w:p>
        </w:tc>
        <w:tc>
          <w:tcPr>
            <w:tcW w:w="566" w:type="pct"/>
            <w:tcBorders>
              <w:top w:val="nil"/>
              <w:left w:val="nil"/>
              <w:bottom w:val="single" w:sz="4" w:space="0" w:color="auto"/>
              <w:right w:val="single" w:sz="4" w:space="0" w:color="auto"/>
            </w:tcBorders>
            <w:shd w:val="clear" w:color="000000" w:fill="FFFFFF"/>
            <w:vAlign w:val="center"/>
            <w:hideMark/>
          </w:tcPr>
          <w:p w14:paraId="393B6912"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5F3B445C"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E448DE3"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5813B7A5"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1201E864" w14:textId="77777777" w:rsidR="00AA7200" w:rsidRPr="00AD0D5E" w:rsidRDefault="00AA7200" w:rsidP="00AA7200">
            <w:pPr>
              <w:rPr>
                <w:rFonts w:ascii="Aptos" w:hAnsi="Aptos"/>
                <w:sz w:val="18"/>
                <w:szCs w:val="18"/>
              </w:rPr>
            </w:pPr>
            <w:r w:rsidRPr="00AD0D5E">
              <w:rPr>
                <w:rFonts w:ascii="Aptos" w:hAnsi="Aptos"/>
                <w:sz w:val="18"/>
                <w:szCs w:val="18"/>
              </w:rPr>
              <w:t>Concerns regarding the synthesis and finding: LOW, HIGH, UNCLEAR</w:t>
            </w:r>
          </w:p>
        </w:tc>
        <w:tc>
          <w:tcPr>
            <w:tcW w:w="566" w:type="pct"/>
            <w:tcBorders>
              <w:top w:val="nil"/>
              <w:left w:val="nil"/>
              <w:bottom w:val="single" w:sz="4" w:space="0" w:color="auto"/>
              <w:right w:val="single" w:sz="4" w:space="0" w:color="auto"/>
            </w:tcBorders>
            <w:shd w:val="clear" w:color="000000" w:fill="FFF2CC"/>
            <w:vAlign w:val="center"/>
            <w:hideMark/>
          </w:tcPr>
          <w:p w14:paraId="6E3D08BC" w14:textId="77777777" w:rsidR="00AA7200" w:rsidRPr="00AD0D5E" w:rsidRDefault="00AA7200" w:rsidP="006C6DF4">
            <w:pPr>
              <w:jc w:val="center"/>
              <w:rPr>
                <w:rFonts w:ascii="Aptos" w:hAnsi="Aptos"/>
                <w:sz w:val="18"/>
                <w:szCs w:val="18"/>
              </w:rPr>
            </w:pPr>
            <w:r w:rsidRPr="00AD0D5E">
              <w:rPr>
                <w:rFonts w:ascii="Aptos" w:hAnsi="Aptos"/>
                <w:sz w:val="18"/>
                <w:szCs w:val="18"/>
              </w:rPr>
              <w:t>Unclear</w:t>
            </w:r>
          </w:p>
        </w:tc>
        <w:tc>
          <w:tcPr>
            <w:tcW w:w="566" w:type="pct"/>
            <w:tcBorders>
              <w:top w:val="nil"/>
              <w:left w:val="single" w:sz="4" w:space="0" w:color="auto"/>
              <w:bottom w:val="single" w:sz="4" w:space="0" w:color="auto"/>
              <w:right w:val="single" w:sz="4" w:space="0" w:color="auto"/>
            </w:tcBorders>
            <w:shd w:val="clear" w:color="000000" w:fill="FFF2CC"/>
            <w:vAlign w:val="center"/>
            <w:hideMark/>
          </w:tcPr>
          <w:p w14:paraId="2981AEE8" w14:textId="77777777" w:rsidR="00AA7200" w:rsidRPr="00AD0D5E" w:rsidRDefault="00AA7200" w:rsidP="006C6DF4">
            <w:pPr>
              <w:jc w:val="center"/>
              <w:rPr>
                <w:rFonts w:ascii="Aptos" w:hAnsi="Aptos"/>
                <w:sz w:val="18"/>
                <w:szCs w:val="18"/>
              </w:rPr>
            </w:pPr>
            <w:r w:rsidRPr="00AD0D5E">
              <w:rPr>
                <w:rFonts w:ascii="Aptos" w:hAnsi="Aptos"/>
                <w:sz w:val="18"/>
                <w:szCs w:val="18"/>
              </w:rPr>
              <w:t>Unclear</w:t>
            </w:r>
          </w:p>
        </w:tc>
        <w:tc>
          <w:tcPr>
            <w:tcW w:w="566" w:type="pct"/>
            <w:tcBorders>
              <w:top w:val="nil"/>
              <w:left w:val="single" w:sz="4" w:space="0" w:color="auto"/>
              <w:bottom w:val="single" w:sz="4" w:space="0" w:color="auto"/>
              <w:right w:val="single" w:sz="4" w:space="0" w:color="auto"/>
            </w:tcBorders>
            <w:shd w:val="clear" w:color="000000" w:fill="FFF2CC"/>
            <w:vAlign w:val="center"/>
            <w:hideMark/>
          </w:tcPr>
          <w:p w14:paraId="328CA146" w14:textId="77777777" w:rsidR="00AA7200" w:rsidRPr="00AD0D5E" w:rsidRDefault="00AA7200" w:rsidP="006C6DF4">
            <w:pPr>
              <w:jc w:val="center"/>
              <w:rPr>
                <w:rFonts w:ascii="Aptos" w:hAnsi="Aptos"/>
                <w:sz w:val="18"/>
                <w:szCs w:val="18"/>
              </w:rPr>
            </w:pPr>
            <w:r w:rsidRPr="00AD0D5E">
              <w:rPr>
                <w:rFonts w:ascii="Aptos" w:hAnsi="Aptos"/>
                <w:sz w:val="18"/>
                <w:szCs w:val="18"/>
              </w:rPr>
              <w:t>Unclear</w:t>
            </w:r>
          </w:p>
        </w:tc>
      </w:tr>
      <w:tr w:rsidR="00AA7200" w:rsidRPr="00AD0D5E" w14:paraId="602DD970"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D9D9D9"/>
            <w:vAlign w:val="center"/>
            <w:hideMark/>
          </w:tcPr>
          <w:p w14:paraId="07791E25" w14:textId="77777777" w:rsidR="00AA7200" w:rsidRPr="00AD0D5E" w:rsidRDefault="00AA7200" w:rsidP="00AA7200">
            <w:pPr>
              <w:rPr>
                <w:rFonts w:ascii="Aptos" w:hAnsi="Aptos"/>
                <w:sz w:val="18"/>
                <w:szCs w:val="18"/>
              </w:rPr>
            </w:pPr>
            <w:r w:rsidRPr="00AD0D5E">
              <w:rPr>
                <w:rFonts w:ascii="Aptos" w:hAnsi="Aptos"/>
                <w:sz w:val="18"/>
                <w:szCs w:val="18"/>
              </w:rPr>
              <w:t>Risk of bias in the review</w:t>
            </w:r>
          </w:p>
        </w:tc>
        <w:tc>
          <w:tcPr>
            <w:tcW w:w="566" w:type="pct"/>
            <w:tcBorders>
              <w:top w:val="nil"/>
              <w:left w:val="nil"/>
              <w:bottom w:val="single" w:sz="4" w:space="0" w:color="auto"/>
              <w:right w:val="single" w:sz="4" w:space="0" w:color="auto"/>
            </w:tcBorders>
            <w:shd w:val="clear" w:color="000000" w:fill="D9D9D9"/>
            <w:vAlign w:val="center"/>
            <w:hideMark/>
          </w:tcPr>
          <w:p w14:paraId="4C8625D1" w14:textId="66385353"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D9D9D9"/>
            <w:vAlign w:val="center"/>
            <w:hideMark/>
          </w:tcPr>
          <w:p w14:paraId="420AFF13" w14:textId="19E19376" w:rsidR="00AA7200" w:rsidRPr="00AD0D5E" w:rsidRDefault="00AA7200" w:rsidP="006C6DF4">
            <w:pPr>
              <w:jc w:val="center"/>
              <w:rPr>
                <w:rFonts w:ascii="Aptos" w:hAnsi="Aptos"/>
                <w:sz w:val="18"/>
                <w:szCs w:val="18"/>
              </w:rPr>
            </w:pPr>
          </w:p>
        </w:tc>
        <w:tc>
          <w:tcPr>
            <w:tcW w:w="566" w:type="pct"/>
            <w:tcBorders>
              <w:top w:val="nil"/>
              <w:left w:val="single" w:sz="4" w:space="0" w:color="auto"/>
              <w:bottom w:val="single" w:sz="4" w:space="0" w:color="auto"/>
              <w:right w:val="single" w:sz="4" w:space="0" w:color="auto"/>
            </w:tcBorders>
            <w:shd w:val="clear" w:color="000000" w:fill="D9D9D9"/>
            <w:vAlign w:val="center"/>
            <w:hideMark/>
          </w:tcPr>
          <w:p w14:paraId="7D1D17FA" w14:textId="7DE2D674" w:rsidR="00AA7200" w:rsidRPr="00AD0D5E" w:rsidRDefault="00AA7200" w:rsidP="006C6DF4">
            <w:pPr>
              <w:jc w:val="center"/>
              <w:rPr>
                <w:rFonts w:ascii="Aptos" w:hAnsi="Aptos"/>
                <w:sz w:val="18"/>
                <w:szCs w:val="18"/>
              </w:rPr>
            </w:pPr>
          </w:p>
        </w:tc>
      </w:tr>
      <w:tr w:rsidR="00AA7200" w:rsidRPr="00AD0D5E" w14:paraId="61950127"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59FB950C" w14:textId="77777777" w:rsidR="00AA7200" w:rsidRPr="00AD0D5E" w:rsidRDefault="00AA7200" w:rsidP="00AA7200">
            <w:pPr>
              <w:rPr>
                <w:rFonts w:ascii="Aptos" w:hAnsi="Aptos"/>
                <w:sz w:val="18"/>
                <w:szCs w:val="18"/>
              </w:rPr>
            </w:pPr>
            <w:r w:rsidRPr="00AD0D5E">
              <w:rPr>
                <w:rFonts w:ascii="Aptos" w:hAnsi="Aptos"/>
                <w:sz w:val="18"/>
                <w:szCs w:val="18"/>
              </w:rPr>
              <w:t>Did the interpretation of findings address all of the concerns identified in Domains 1</w:t>
            </w:r>
            <w:r w:rsidRPr="00AD0D5E">
              <w:rPr>
                <w:rFonts w:ascii="Cambria Math" w:hAnsi="Cambria Math" w:cs="Cambria Math"/>
                <w:sz w:val="18"/>
                <w:szCs w:val="18"/>
              </w:rPr>
              <w:t>‐</w:t>
            </w:r>
            <w:r w:rsidRPr="00AD0D5E">
              <w:rPr>
                <w:rFonts w:ascii="Aptos" w:hAnsi="Aptos"/>
                <w:sz w:val="18"/>
                <w:szCs w:val="18"/>
              </w:rPr>
              <w:t>4?</w:t>
            </w:r>
          </w:p>
        </w:tc>
        <w:tc>
          <w:tcPr>
            <w:tcW w:w="566" w:type="pct"/>
            <w:tcBorders>
              <w:top w:val="nil"/>
              <w:left w:val="nil"/>
              <w:bottom w:val="single" w:sz="4" w:space="0" w:color="auto"/>
              <w:right w:val="single" w:sz="4" w:space="0" w:color="auto"/>
            </w:tcBorders>
            <w:shd w:val="clear" w:color="000000" w:fill="FFFFFF"/>
            <w:vAlign w:val="center"/>
            <w:hideMark/>
          </w:tcPr>
          <w:p w14:paraId="2391D4C3"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79307920"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4915BA33"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12C967BB"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2C5A3213" w14:textId="77777777" w:rsidR="00AA7200" w:rsidRPr="00AD0D5E" w:rsidRDefault="00AA7200" w:rsidP="00AA7200">
            <w:pPr>
              <w:rPr>
                <w:rFonts w:ascii="Aptos" w:hAnsi="Aptos"/>
                <w:sz w:val="18"/>
                <w:szCs w:val="18"/>
              </w:rPr>
            </w:pPr>
            <w:r w:rsidRPr="00AD0D5E">
              <w:rPr>
                <w:rFonts w:ascii="Aptos" w:hAnsi="Aptos"/>
                <w:sz w:val="18"/>
                <w:szCs w:val="18"/>
              </w:rPr>
              <w:t>Was the relevance of identified studies to the review's research question appropriately considered?</w:t>
            </w:r>
          </w:p>
        </w:tc>
        <w:tc>
          <w:tcPr>
            <w:tcW w:w="566" w:type="pct"/>
            <w:tcBorders>
              <w:top w:val="nil"/>
              <w:left w:val="nil"/>
              <w:bottom w:val="single" w:sz="4" w:space="0" w:color="auto"/>
              <w:right w:val="single" w:sz="4" w:space="0" w:color="auto"/>
            </w:tcBorders>
            <w:shd w:val="clear" w:color="000000" w:fill="FFFFFF"/>
            <w:vAlign w:val="center"/>
            <w:hideMark/>
          </w:tcPr>
          <w:p w14:paraId="1B3FD4E0"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0DD1B58A"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200FA213"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0BA7AB0F" w14:textId="77777777" w:rsidTr="006C6DF4">
        <w:trPr>
          <w:trHeight w:val="439"/>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539D2695" w14:textId="77777777" w:rsidR="00AA7200" w:rsidRPr="00AD0D5E" w:rsidRDefault="00AA7200" w:rsidP="00AA7200">
            <w:pPr>
              <w:rPr>
                <w:rFonts w:ascii="Aptos" w:hAnsi="Aptos"/>
                <w:sz w:val="18"/>
                <w:szCs w:val="18"/>
              </w:rPr>
            </w:pPr>
            <w:r w:rsidRPr="00AD0D5E">
              <w:rPr>
                <w:rFonts w:ascii="Aptos" w:hAnsi="Aptos"/>
                <w:sz w:val="18"/>
                <w:szCs w:val="18"/>
              </w:rPr>
              <w:t>Did the reviewers avoid emphasizing results on the basis of their statistical significance?</w:t>
            </w:r>
          </w:p>
        </w:tc>
        <w:tc>
          <w:tcPr>
            <w:tcW w:w="566" w:type="pct"/>
            <w:tcBorders>
              <w:top w:val="nil"/>
              <w:left w:val="nil"/>
              <w:bottom w:val="single" w:sz="4" w:space="0" w:color="auto"/>
              <w:right w:val="single" w:sz="4" w:space="0" w:color="auto"/>
            </w:tcBorders>
            <w:shd w:val="clear" w:color="000000" w:fill="FFFFFF"/>
            <w:vAlign w:val="center"/>
            <w:hideMark/>
          </w:tcPr>
          <w:p w14:paraId="4EDDFE11"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0AE10F89"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c>
          <w:tcPr>
            <w:tcW w:w="566" w:type="pct"/>
            <w:tcBorders>
              <w:top w:val="nil"/>
              <w:left w:val="single" w:sz="4" w:space="0" w:color="auto"/>
              <w:bottom w:val="single" w:sz="4" w:space="0" w:color="auto"/>
              <w:right w:val="single" w:sz="4" w:space="0" w:color="auto"/>
            </w:tcBorders>
            <w:shd w:val="clear" w:color="000000" w:fill="FFFFFF"/>
            <w:vAlign w:val="center"/>
            <w:hideMark/>
          </w:tcPr>
          <w:p w14:paraId="48875A80" w14:textId="77777777" w:rsidR="00AA7200" w:rsidRPr="00AD0D5E" w:rsidRDefault="00AA7200" w:rsidP="006C6DF4">
            <w:pPr>
              <w:jc w:val="center"/>
              <w:rPr>
                <w:rFonts w:ascii="Aptos" w:hAnsi="Aptos"/>
                <w:sz w:val="18"/>
                <w:szCs w:val="18"/>
              </w:rPr>
            </w:pPr>
            <w:r w:rsidRPr="00AD0D5E">
              <w:rPr>
                <w:rFonts w:ascii="Aptos" w:hAnsi="Aptos"/>
                <w:sz w:val="18"/>
                <w:szCs w:val="18"/>
              </w:rPr>
              <w:t>Y</w:t>
            </w:r>
          </w:p>
        </w:tc>
      </w:tr>
      <w:tr w:rsidR="00AA7200" w:rsidRPr="00AD0D5E" w14:paraId="5B35833A" w14:textId="77777777" w:rsidTr="006C6DF4">
        <w:trPr>
          <w:trHeight w:val="440"/>
        </w:trPr>
        <w:tc>
          <w:tcPr>
            <w:tcW w:w="3302" w:type="pct"/>
            <w:tcBorders>
              <w:top w:val="nil"/>
              <w:left w:val="single" w:sz="4" w:space="0" w:color="auto"/>
              <w:bottom w:val="single" w:sz="4" w:space="0" w:color="auto"/>
              <w:right w:val="single" w:sz="4" w:space="0" w:color="auto"/>
            </w:tcBorders>
            <w:shd w:val="clear" w:color="000000" w:fill="FFFFFF"/>
            <w:vAlign w:val="center"/>
            <w:hideMark/>
          </w:tcPr>
          <w:p w14:paraId="3A5A07A9" w14:textId="77777777" w:rsidR="00AA7200" w:rsidRPr="00AD0D5E" w:rsidRDefault="00AA7200" w:rsidP="00AA7200">
            <w:pPr>
              <w:rPr>
                <w:rFonts w:ascii="Aptos" w:hAnsi="Aptos"/>
                <w:sz w:val="18"/>
                <w:szCs w:val="18"/>
              </w:rPr>
            </w:pPr>
            <w:r w:rsidRPr="00AD0D5E">
              <w:rPr>
                <w:rFonts w:ascii="Aptos" w:hAnsi="Aptos"/>
                <w:sz w:val="18"/>
                <w:szCs w:val="18"/>
              </w:rPr>
              <w:t>Overall risk of bias</w:t>
            </w:r>
          </w:p>
        </w:tc>
        <w:tc>
          <w:tcPr>
            <w:tcW w:w="566" w:type="pct"/>
            <w:tcBorders>
              <w:top w:val="nil"/>
              <w:left w:val="nil"/>
              <w:bottom w:val="single" w:sz="4" w:space="0" w:color="auto"/>
              <w:right w:val="single" w:sz="4" w:space="0" w:color="auto"/>
            </w:tcBorders>
            <w:shd w:val="clear" w:color="000000" w:fill="E2EFDA"/>
            <w:vAlign w:val="center"/>
            <w:hideMark/>
          </w:tcPr>
          <w:p w14:paraId="2AE4B47D" w14:textId="77777777" w:rsidR="00AA7200" w:rsidRPr="00AD0D5E" w:rsidRDefault="00AA7200" w:rsidP="006C6DF4">
            <w:pPr>
              <w:jc w:val="center"/>
              <w:rPr>
                <w:rFonts w:ascii="Aptos" w:hAnsi="Aptos"/>
                <w:sz w:val="18"/>
                <w:szCs w:val="18"/>
              </w:rPr>
            </w:pPr>
            <w:r w:rsidRPr="00AD0D5E">
              <w:rPr>
                <w:rFonts w:ascii="Aptos" w:hAnsi="Aptos"/>
                <w:sz w:val="18"/>
                <w:szCs w:val="18"/>
              </w:rPr>
              <w:t>Low risk</w:t>
            </w:r>
          </w:p>
        </w:tc>
        <w:tc>
          <w:tcPr>
            <w:tcW w:w="566" w:type="pct"/>
            <w:tcBorders>
              <w:top w:val="nil"/>
              <w:left w:val="single" w:sz="4" w:space="0" w:color="auto"/>
              <w:bottom w:val="single" w:sz="4" w:space="0" w:color="auto"/>
              <w:right w:val="single" w:sz="4" w:space="0" w:color="auto"/>
            </w:tcBorders>
            <w:shd w:val="clear" w:color="000000" w:fill="E2EFDA"/>
            <w:vAlign w:val="center"/>
            <w:hideMark/>
          </w:tcPr>
          <w:p w14:paraId="7670D172" w14:textId="77777777" w:rsidR="00AA7200" w:rsidRPr="00AD0D5E" w:rsidRDefault="00AA7200" w:rsidP="006C6DF4">
            <w:pPr>
              <w:jc w:val="center"/>
              <w:rPr>
                <w:rFonts w:ascii="Aptos" w:hAnsi="Aptos"/>
                <w:sz w:val="18"/>
                <w:szCs w:val="18"/>
              </w:rPr>
            </w:pPr>
            <w:r w:rsidRPr="00AD0D5E">
              <w:rPr>
                <w:rFonts w:ascii="Aptos" w:hAnsi="Aptos"/>
                <w:sz w:val="18"/>
                <w:szCs w:val="18"/>
              </w:rPr>
              <w:t>Low risk</w:t>
            </w:r>
          </w:p>
        </w:tc>
        <w:tc>
          <w:tcPr>
            <w:tcW w:w="566" w:type="pct"/>
            <w:tcBorders>
              <w:top w:val="nil"/>
              <w:left w:val="single" w:sz="4" w:space="0" w:color="auto"/>
              <w:bottom w:val="single" w:sz="4" w:space="0" w:color="auto"/>
              <w:right w:val="single" w:sz="4" w:space="0" w:color="auto"/>
            </w:tcBorders>
            <w:shd w:val="clear" w:color="000000" w:fill="FFF2CC"/>
            <w:vAlign w:val="center"/>
            <w:hideMark/>
          </w:tcPr>
          <w:p w14:paraId="2544CB3C" w14:textId="77777777" w:rsidR="00AA7200" w:rsidRPr="00AD0D5E" w:rsidRDefault="00AA7200" w:rsidP="006C6DF4">
            <w:pPr>
              <w:jc w:val="center"/>
              <w:rPr>
                <w:rFonts w:ascii="Aptos" w:hAnsi="Aptos"/>
                <w:sz w:val="18"/>
                <w:szCs w:val="18"/>
              </w:rPr>
            </w:pPr>
            <w:r w:rsidRPr="00AD0D5E">
              <w:rPr>
                <w:rFonts w:ascii="Aptos" w:hAnsi="Aptos"/>
                <w:sz w:val="18"/>
                <w:szCs w:val="18"/>
              </w:rPr>
              <w:t>Unclear risk</w:t>
            </w:r>
          </w:p>
        </w:tc>
      </w:tr>
    </w:tbl>
    <w:p w14:paraId="745A8E9B" w14:textId="77777777" w:rsidR="00DC4767" w:rsidRDefault="00DC4767" w:rsidP="00AA72BD">
      <w:pPr>
        <w:pStyle w:val="2024TABLECAPTION"/>
        <w:spacing w:before="120"/>
        <w:rPr>
          <w:rFonts w:ascii="Aptos" w:hAnsi="Aptos"/>
        </w:rPr>
      </w:pPr>
    </w:p>
    <w:p w14:paraId="4769CD5C" w14:textId="48CBB801" w:rsidR="00881574" w:rsidRPr="00D518FF" w:rsidRDefault="00DC4767" w:rsidP="00DC4767">
      <w:pPr>
        <w:pStyle w:val="Caption"/>
        <w:rPr>
          <w:rFonts w:ascii="Aptos" w:hAnsi="Aptos"/>
        </w:rPr>
      </w:pPr>
      <w:bookmarkStart w:id="227" w:name="_Toc185254603"/>
      <w:r w:rsidRPr="00AA694C">
        <w:rPr>
          <w:rFonts w:ascii="Aptos" w:hAnsi="Aptos"/>
        </w:rPr>
        <w:t xml:space="preserve">Table </w:t>
      </w:r>
      <w:r w:rsidRPr="00AA694C">
        <w:rPr>
          <w:rFonts w:ascii="Aptos" w:hAnsi="Aptos"/>
        </w:rPr>
        <w:fldChar w:fldCharType="begin" w:fldLock="1"/>
      </w:r>
      <w:r w:rsidRPr="00AA694C">
        <w:rPr>
          <w:rFonts w:ascii="Aptos" w:hAnsi="Aptos"/>
        </w:rPr>
        <w:instrText xml:space="preserve"> STYLEREF 1 \s </w:instrText>
      </w:r>
      <w:r w:rsidRPr="00AA694C">
        <w:rPr>
          <w:rFonts w:ascii="Aptos" w:hAnsi="Aptos"/>
        </w:rPr>
        <w:fldChar w:fldCharType="separate"/>
      </w:r>
      <w:r w:rsidRPr="00AA694C">
        <w:rPr>
          <w:rFonts w:ascii="Aptos" w:hAnsi="Aptos"/>
        </w:rPr>
        <w:t>F</w:t>
      </w:r>
      <w:r w:rsidRPr="00AA694C">
        <w:rPr>
          <w:rFonts w:ascii="Aptos" w:hAnsi="Aptos"/>
        </w:rPr>
        <w:fldChar w:fldCharType="end"/>
      </w:r>
      <w:r w:rsidRPr="00AA694C">
        <w:rPr>
          <w:rFonts w:ascii="Aptos" w:hAnsi="Aptos"/>
        </w:rPr>
        <w:noBreakHyphen/>
      </w:r>
      <w:r w:rsidR="003B0594" w:rsidRPr="00AA694C">
        <w:rPr>
          <w:rFonts w:ascii="Aptos" w:hAnsi="Aptos"/>
        </w:rPr>
        <w:fldChar w:fldCharType="begin"/>
      </w:r>
      <w:r w:rsidR="003B0594" w:rsidRPr="00AA694C">
        <w:rPr>
          <w:rFonts w:ascii="Aptos" w:hAnsi="Aptos"/>
        </w:rPr>
        <w:instrText xml:space="preserve"> SEQ Table \* ARABIC \s 1 </w:instrText>
      </w:r>
      <w:r w:rsidR="003B0594" w:rsidRPr="00AA694C">
        <w:rPr>
          <w:rFonts w:ascii="Aptos" w:hAnsi="Aptos"/>
        </w:rPr>
        <w:fldChar w:fldCharType="separate"/>
      </w:r>
      <w:r w:rsidR="00C426C6">
        <w:rPr>
          <w:rFonts w:ascii="Aptos" w:hAnsi="Aptos"/>
          <w:noProof/>
        </w:rPr>
        <w:t>11</w:t>
      </w:r>
      <w:r w:rsidR="003B0594" w:rsidRPr="00AA694C">
        <w:rPr>
          <w:rFonts w:ascii="Aptos" w:hAnsi="Aptos"/>
        </w:rPr>
        <w:fldChar w:fldCharType="end"/>
      </w:r>
      <w:r w:rsidR="00881574" w:rsidRPr="00D518FF">
        <w:rPr>
          <w:rFonts w:ascii="Aptos" w:hAnsi="Aptos"/>
        </w:rPr>
        <w:t>. Results of included reviews by outcome domain – diabetes (Type II) (including metabolic syndrome), antioxidants (specifically coq10 and alpha-lipoic acid)</w:t>
      </w:r>
      <w:bookmarkEnd w:id="227"/>
    </w:p>
    <w:tbl>
      <w:tblPr>
        <w:tblW w:w="5000" w:type="pct"/>
        <w:tblLayout w:type="fixed"/>
        <w:tblCellMar>
          <w:left w:w="57" w:type="dxa"/>
          <w:right w:w="57" w:type="dxa"/>
        </w:tblCellMar>
        <w:tblLook w:val="04A0" w:firstRow="1" w:lastRow="0" w:firstColumn="1" w:lastColumn="0" w:noHBand="0" w:noVBand="1"/>
      </w:tblPr>
      <w:tblGrid>
        <w:gridCol w:w="6520"/>
        <w:gridCol w:w="773"/>
        <w:gridCol w:w="773"/>
        <w:gridCol w:w="773"/>
        <w:gridCol w:w="773"/>
        <w:gridCol w:w="773"/>
        <w:gridCol w:w="772"/>
        <w:gridCol w:w="772"/>
        <w:gridCol w:w="772"/>
        <w:gridCol w:w="772"/>
        <w:gridCol w:w="772"/>
      </w:tblGrid>
      <w:tr w:rsidR="008B625F" w:rsidRPr="00AD0D5E" w14:paraId="0C913A3C" w14:textId="77777777" w:rsidTr="00AA62BB">
        <w:trPr>
          <w:cantSplit/>
          <w:trHeight w:val="1391"/>
        </w:trPr>
        <w:tc>
          <w:tcPr>
            <w:tcW w:w="2287"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8ABFC61" w14:textId="77777777" w:rsidR="00615981" w:rsidRPr="00AD0D5E" w:rsidRDefault="00615981" w:rsidP="00A71E7E">
            <w:pPr>
              <w:rPr>
                <w:rFonts w:ascii="Aptos" w:hAnsi="Aptos"/>
                <w:b/>
                <w:bCs/>
                <w:sz w:val="18"/>
                <w:szCs w:val="18"/>
              </w:rPr>
            </w:pPr>
            <w:r w:rsidRPr="00AD0D5E">
              <w:rPr>
                <w:rFonts w:ascii="Aptos" w:hAnsi="Aptos"/>
                <w:b/>
                <w:bCs/>
                <w:sz w:val="18"/>
                <w:szCs w:val="18"/>
              </w:rPr>
              <w:t>Review ID</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68FDEB7B"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Araújo 2022</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556F2CD3"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Dludla 2020</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11300830"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Dludla 2023</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78662C9C"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Huang 2018</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280952BF"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Huo 2022</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1B3DC732"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Jibril 2022</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690AF2CD"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Kim 2022</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0F730860"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Rhimlou 2019</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7DE7A5F4"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Wang 2022</w:t>
            </w:r>
          </w:p>
        </w:tc>
        <w:tc>
          <w:tcPr>
            <w:tcW w:w="271" w:type="pct"/>
            <w:tcBorders>
              <w:top w:val="single" w:sz="4" w:space="0" w:color="auto"/>
              <w:left w:val="nil"/>
              <w:bottom w:val="single" w:sz="4" w:space="0" w:color="auto"/>
              <w:right w:val="single" w:sz="4" w:space="0" w:color="auto"/>
            </w:tcBorders>
            <w:shd w:val="clear" w:color="000000" w:fill="D9D9D9"/>
            <w:textDirection w:val="btLr"/>
            <w:vAlign w:val="center"/>
            <w:hideMark/>
          </w:tcPr>
          <w:p w14:paraId="4FEFE7DB" w14:textId="77777777" w:rsidR="00615981" w:rsidRPr="00AD0D5E" w:rsidRDefault="00615981" w:rsidP="006C6DF4">
            <w:pPr>
              <w:ind w:left="113" w:right="113"/>
              <w:jc w:val="center"/>
              <w:rPr>
                <w:rFonts w:ascii="Aptos" w:hAnsi="Aptos"/>
                <w:b/>
                <w:bCs/>
                <w:sz w:val="18"/>
                <w:szCs w:val="18"/>
              </w:rPr>
            </w:pPr>
            <w:r w:rsidRPr="00AD0D5E">
              <w:rPr>
                <w:rFonts w:ascii="Aptos" w:hAnsi="Aptos"/>
                <w:b/>
                <w:bCs/>
                <w:sz w:val="18"/>
                <w:szCs w:val="18"/>
              </w:rPr>
              <w:t>Zhang 2018</w:t>
            </w:r>
          </w:p>
        </w:tc>
      </w:tr>
      <w:tr w:rsidR="00AD0D5E" w:rsidRPr="00AD0D5E" w14:paraId="11B67ED5"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D9D9D9"/>
            <w:noWrap/>
            <w:vAlign w:val="center"/>
            <w:hideMark/>
          </w:tcPr>
          <w:p w14:paraId="3A73CA9E" w14:textId="77777777" w:rsidR="00615981" w:rsidRPr="00AD0D5E" w:rsidRDefault="00615981" w:rsidP="00A71E7E">
            <w:pPr>
              <w:rPr>
                <w:rFonts w:ascii="Aptos" w:hAnsi="Aptos"/>
                <w:sz w:val="18"/>
                <w:szCs w:val="18"/>
              </w:rPr>
            </w:pPr>
            <w:r w:rsidRPr="00AD0D5E">
              <w:rPr>
                <w:rFonts w:ascii="Aptos" w:hAnsi="Aptos"/>
                <w:sz w:val="18"/>
                <w:szCs w:val="18"/>
              </w:rPr>
              <w:t>ROBIS DOMAINS</w:t>
            </w:r>
          </w:p>
        </w:tc>
        <w:tc>
          <w:tcPr>
            <w:tcW w:w="271" w:type="pct"/>
            <w:tcBorders>
              <w:top w:val="nil"/>
              <w:left w:val="nil"/>
              <w:bottom w:val="single" w:sz="4" w:space="0" w:color="auto"/>
              <w:right w:val="single" w:sz="4" w:space="0" w:color="auto"/>
            </w:tcBorders>
            <w:shd w:val="clear" w:color="000000" w:fill="D9D9D9"/>
            <w:noWrap/>
            <w:vAlign w:val="center"/>
            <w:hideMark/>
          </w:tcPr>
          <w:p w14:paraId="0730D96E" w14:textId="670E3AC7"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68E76FD6" w14:textId="27F1C2C8"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34A8C1A4" w14:textId="00CA2802"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1D3C8486" w14:textId="666D94CA"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7343E973" w14:textId="14F1EED7"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68E595C8" w14:textId="20646AC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5CF76B78" w14:textId="4761F2E5"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07B4E68A" w14:textId="13B00C6B"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224CC525" w14:textId="63D91473"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3E1DCC23" w14:textId="19F266BB" w:rsidR="00615981" w:rsidRPr="00AD0D5E" w:rsidRDefault="00615981" w:rsidP="006C6DF4">
            <w:pPr>
              <w:jc w:val="center"/>
              <w:rPr>
                <w:rFonts w:ascii="Aptos" w:hAnsi="Aptos"/>
                <w:sz w:val="18"/>
                <w:szCs w:val="18"/>
              </w:rPr>
            </w:pPr>
          </w:p>
        </w:tc>
      </w:tr>
      <w:tr w:rsidR="00AD0D5E" w:rsidRPr="00AD0D5E" w14:paraId="08FC3B6E"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D9D9D9"/>
            <w:noWrap/>
            <w:vAlign w:val="center"/>
            <w:hideMark/>
          </w:tcPr>
          <w:p w14:paraId="212C7B43" w14:textId="77777777" w:rsidR="00615981" w:rsidRPr="00AD0D5E" w:rsidRDefault="00615981" w:rsidP="00A71E7E">
            <w:pPr>
              <w:rPr>
                <w:rFonts w:ascii="Aptos" w:hAnsi="Aptos"/>
                <w:sz w:val="18"/>
                <w:szCs w:val="18"/>
              </w:rPr>
            </w:pPr>
            <w:r w:rsidRPr="00AD0D5E">
              <w:rPr>
                <w:rFonts w:ascii="Aptos" w:hAnsi="Aptos"/>
                <w:sz w:val="18"/>
                <w:szCs w:val="18"/>
              </w:rPr>
              <w:t>Answer code: Y=YES, PY=PROBABLY YES, PN=PROBABLY NO, N=NO, NI=NO INFORMATION</w:t>
            </w:r>
          </w:p>
        </w:tc>
        <w:tc>
          <w:tcPr>
            <w:tcW w:w="271" w:type="pct"/>
            <w:tcBorders>
              <w:top w:val="nil"/>
              <w:left w:val="nil"/>
              <w:bottom w:val="single" w:sz="4" w:space="0" w:color="auto"/>
              <w:right w:val="single" w:sz="4" w:space="0" w:color="auto"/>
            </w:tcBorders>
            <w:shd w:val="clear" w:color="000000" w:fill="D9D9D9"/>
            <w:noWrap/>
            <w:vAlign w:val="center"/>
            <w:hideMark/>
          </w:tcPr>
          <w:p w14:paraId="42817090" w14:textId="035BDD71"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6978F881" w14:textId="764AF2CB"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64D32CA5" w14:textId="34513F2C"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2374B0BE" w14:textId="2BF14457"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6278C8AE" w14:textId="61D790C6"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745F3F92" w14:textId="25D9ED99"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565665FA" w14:textId="347CCF1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649640D4" w14:textId="33225EC8"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433FD003" w14:textId="489AF0E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noWrap/>
            <w:vAlign w:val="center"/>
            <w:hideMark/>
          </w:tcPr>
          <w:p w14:paraId="0236A54B" w14:textId="7B199EDE" w:rsidR="00615981" w:rsidRPr="00AD0D5E" w:rsidRDefault="00615981" w:rsidP="006C6DF4">
            <w:pPr>
              <w:jc w:val="center"/>
              <w:rPr>
                <w:rFonts w:ascii="Aptos" w:hAnsi="Aptos"/>
                <w:sz w:val="18"/>
                <w:szCs w:val="18"/>
              </w:rPr>
            </w:pPr>
          </w:p>
        </w:tc>
      </w:tr>
      <w:tr w:rsidR="00AD0D5E" w:rsidRPr="00AD0D5E" w14:paraId="2CC0B5F5"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2F2F2"/>
            <w:vAlign w:val="center"/>
            <w:hideMark/>
          </w:tcPr>
          <w:p w14:paraId="4F809B1A" w14:textId="77777777" w:rsidR="00615981" w:rsidRPr="00AD0D5E" w:rsidRDefault="00615981" w:rsidP="00A71E7E">
            <w:pPr>
              <w:rPr>
                <w:rFonts w:ascii="Aptos" w:hAnsi="Aptos"/>
                <w:sz w:val="18"/>
                <w:szCs w:val="18"/>
              </w:rPr>
            </w:pPr>
            <w:r w:rsidRPr="00AD0D5E">
              <w:rPr>
                <w:rFonts w:ascii="Aptos" w:hAnsi="Aptos"/>
                <w:sz w:val="18"/>
                <w:szCs w:val="18"/>
              </w:rPr>
              <w:t>Domain 1: Study eligibility criteria</w:t>
            </w:r>
          </w:p>
        </w:tc>
        <w:tc>
          <w:tcPr>
            <w:tcW w:w="271" w:type="pct"/>
            <w:tcBorders>
              <w:top w:val="nil"/>
              <w:left w:val="nil"/>
              <w:bottom w:val="single" w:sz="4" w:space="0" w:color="auto"/>
              <w:right w:val="single" w:sz="4" w:space="0" w:color="auto"/>
            </w:tcBorders>
            <w:shd w:val="clear" w:color="000000" w:fill="F2F2F2"/>
            <w:vAlign w:val="center"/>
            <w:hideMark/>
          </w:tcPr>
          <w:p w14:paraId="13CB161E" w14:textId="20F0A4A2"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630552B3" w14:textId="4AE8A99A"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37C86975" w14:textId="5ABF4F1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5AA0FCAB" w14:textId="784AE106"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36372D29" w14:textId="6BA7AD0C"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1F4F4703" w14:textId="1AA68798"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798A4A15" w14:textId="01AC8ACB"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138A3370" w14:textId="5355468A"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1405518" w14:textId="09801034"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06094999" w14:textId="10FA4CDF" w:rsidR="00615981" w:rsidRPr="00AD0D5E" w:rsidRDefault="00615981" w:rsidP="006C6DF4">
            <w:pPr>
              <w:jc w:val="center"/>
              <w:rPr>
                <w:rFonts w:ascii="Aptos" w:hAnsi="Aptos"/>
                <w:sz w:val="18"/>
                <w:szCs w:val="18"/>
              </w:rPr>
            </w:pPr>
          </w:p>
        </w:tc>
      </w:tr>
      <w:tr w:rsidR="00AD0D5E" w:rsidRPr="00AD0D5E" w14:paraId="4B64E024"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7811518A" w14:textId="77777777" w:rsidR="00615981" w:rsidRPr="00AD0D5E" w:rsidRDefault="00615981" w:rsidP="00A71E7E">
            <w:pPr>
              <w:rPr>
                <w:rFonts w:ascii="Aptos" w:hAnsi="Aptos"/>
                <w:sz w:val="18"/>
                <w:szCs w:val="18"/>
              </w:rPr>
            </w:pPr>
            <w:r w:rsidRPr="00AD0D5E">
              <w:rPr>
                <w:rFonts w:ascii="Aptos" w:hAnsi="Aptos"/>
                <w:sz w:val="18"/>
                <w:szCs w:val="18"/>
              </w:rPr>
              <w:t>Did the review adhere to pre</w:t>
            </w:r>
            <w:r w:rsidRPr="00AD0D5E">
              <w:rPr>
                <w:rFonts w:ascii="Cambria Math" w:hAnsi="Cambria Math" w:cs="Cambria Math"/>
                <w:sz w:val="18"/>
                <w:szCs w:val="18"/>
              </w:rPr>
              <w:t>‐</w:t>
            </w:r>
            <w:r w:rsidRPr="00AD0D5E">
              <w:rPr>
                <w:rFonts w:ascii="Aptos" w:hAnsi="Aptos"/>
                <w:sz w:val="18"/>
                <w:szCs w:val="18"/>
              </w:rPr>
              <w:t>defined objectives and eligibility criteria?</w:t>
            </w:r>
          </w:p>
        </w:tc>
        <w:tc>
          <w:tcPr>
            <w:tcW w:w="271" w:type="pct"/>
            <w:tcBorders>
              <w:top w:val="nil"/>
              <w:left w:val="nil"/>
              <w:bottom w:val="single" w:sz="4" w:space="0" w:color="auto"/>
              <w:right w:val="single" w:sz="4" w:space="0" w:color="auto"/>
            </w:tcBorders>
            <w:shd w:val="clear" w:color="000000" w:fill="FFFFFF"/>
            <w:vAlign w:val="center"/>
            <w:hideMark/>
          </w:tcPr>
          <w:p w14:paraId="4B721DA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E4B540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4B64E5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604593F"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2AAEA4E"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E0CB57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90F2D6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E55BDB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9DDBB25"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17290C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10A1D6F6"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77F79EEA" w14:textId="77777777" w:rsidR="00615981" w:rsidRPr="00AD0D5E" w:rsidRDefault="00615981" w:rsidP="00A71E7E">
            <w:pPr>
              <w:rPr>
                <w:rFonts w:ascii="Aptos" w:hAnsi="Aptos"/>
                <w:sz w:val="18"/>
                <w:szCs w:val="18"/>
              </w:rPr>
            </w:pPr>
            <w:r w:rsidRPr="00AD0D5E">
              <w:rPr>
                <w:rFonts w:ascii="Aptos" w:hAnsi="Aptos"/>
                <w:sz w:val="18"/>
                <w:szCs w:val="18"/>
              </w:rPr>
              <w:t>Were the eligibility criteria appropriate for the review question?</w:t>
            </w:r>
          </w:p>
        </w:tc>
        <w:tc>
          <w:tcPr>
            <w:tcW w:w="271" w:type="pct"/>
            <w:tcBorders>
              <w:top w:val="nil"/>
              <w:left w:val="nil"/>
              <w:bottom w:val="single" w:sz="4" w:space="0" w:color="auto"/>
              <w:right w:val="single" w:sz="4" w:space="0" w:color="auto"/>
            </w:tcBorders>
            <w:shd w:val="clear" w:color="000000" w:fill="FFFFFF"/>
            <w:vAlign w:val="center"/>
            <w:hideMark/>
          </w:tcPr>
          <w:p w14:paraId="71986F0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1DBEE4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351F25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336787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1F41F0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1438BD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6E9AC9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9014B0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1F856A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41D692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5B902DBA"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2BC0501E" w14:textId="77777777" w:rsidR="00615981" w:rsidRPr="00AD0D5E" w:rsidRDefault="00615981" w:rsidP="00A71E7E">
            <w:pPr>
              <w:rPr>
                <w:rFonts w:ascii="Aptos" w:hAnsi="Aptos"/>
                <w:sz w:val="18"/>
                <w:szCs w:val="18"/>
              </w:rPr>
            </w:pPr>
            <w:r w:rsidRPr="00AD0D5E">
              <w:rPr>
                <w:rFonts w:ascii="Aptos" w:hAnsi="Aptos"/>
                <w:sz w:val="18"/>
                <w:szCs w:val="18"/>
              </w:rPr>
              <w:t>Were eligibility criteria unambiguous?</w:t>
            </w:r>
          </w:p>
        </w:tc>
        <w:tc>
          <w:tcPr>
            <w:tcW w:w="271" w:type="pct"/>
            <w:tcBorders>
              <w:top w:val="nil"/>
              <w:left w:val="nil"/>
              <w:bottom w:val="single" w:sz="4" w:space="0" w:color="auto"/>
              <w:right w:val="single" w:sz="4" w:space="0" w:color="auto"/>
            </w:tcBorders>
            <w:shd w:val="clear" w:color="000000" w:fill="FFFFFF"/>
            <w:vAlign w:val="center"/>
            <w:hideMark/>
          </w:tcPr>
          <w:p w14:paraId="0BCE63F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2A0D94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5E6046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8B8881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365B72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6F8D40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0FC711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29EA46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2DDF7D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8AE690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0E682325"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45371256" w14:textId="77777777" w:rsidR="00615981" w:rsidRPr="00AD0D5E" w:rsidRDefault="00615981" w:rsidP="00A71E7E">
            <w:pPr>
              <w:rPr>
                <w:rFonts w:ascii="Aptos" w:hAnsi="Aptos"/>
                <w:sz w:val="18"/>
                <w:szCs w:val="18"/>
              </w:rPr>
            </w:pPr>
            <w:r w:rsidRPr="00AD0D5E">
              <w:rPr>
                <w:rFonts w:ascii="Aptos" w:hAnsi="Aptos"/>
                <w:sz w:val="18"/>
                <w:szCs w:val="18"/>
              </w:rPr>
              <w:lastRenderedPageBreak/>
              <w:t>Were all restrictions in eligibility criteria based on study characteristics appropriate (e.g. date, sample size, study quality, outcomes measured)?</w:t>
            </w:r>
          </w:p>
        </w:tc>
        <w:tc>
          <w:tcPr>
            <w:tcW w:w="271" w:type="pct"/>
            <w:tcBorders>
              <w:top w:val="nil"/>
              <w:left w:val="nil"/>
              <w:bottom w:val="single" w:sz="4" w:space="0" w:color="auto"/>
              <w:right w:val="single" w:sz="4" w:space="0" w:color="auto"/>
            </w:tcBorders>
            <w:shd w:val="clear" w:color="000000" w:fill="FFFFFF"/>
            <w:vAlign w:val="center"/>
            <w:hideMark/>
          </w:tcPr>
          <w:p w14:paraId="6CC737F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BE14F7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6D4D94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35ABD5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F18766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8ABBDC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4AFB94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E69EA9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50B9F1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EFCFCB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3D65B05"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4C18FA30" w14:textId="77777777" w:rsidR="00615981" w:rsidRPr="00AD0D5E" w:rsidRDefault="00615981" w:rsidP="00A71E7E">
            <w:pPr>
              <w:rPr>
                <w:rFonts w:ascii="Aptos" w:hAnsi="Aptos"/>
                <w:sz w:val="18"/>
                <w:szCs w:val="18"/>
              </w:rPr>
            </w:pPr>
            <w:r w:rsidRPr="00AD0D5E">
              <w:rPr>
                <w:rFonts w:ascii="Aptos" w:hAnsi="Aptos"/>
                <w:sz w:val="18"/>
                <w:szCs w:val="18"/>
              </w:rPr>
              <w:t>Were any restrictions in eligibility criteria based on sources of information appropriate (publication status or format, language, availability of data)?</w:t>
            </w:r>
          </w:p>
        </w:tc>
        <w:tc>
          <w:tcPr>
            <w:tcW w:w="271" w:type="pct"/>
            <w:tcBorders>
              <w:top w:val="nil"/>
              <w:left w:val="nil"/>
              <w:bottom w:val="single" w:sz="4" w:space="0" w:color="auto"/>
              <w:right w:val="single" w:sz="4" w:space="0" w:color="auto"/>
            </w:tcBorders>
            <w:shd w:val="clear" w:color="000000" w:fill="FFFFFF"/>
            <w:vAlign w:val="center"/>
            <w:hideMark/>
          </w:tcPr>
          <w:p w14:paraId="7542E2A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3787CB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48F193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1DA000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E7FDF7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05D0DE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BEC95A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817E7A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26684D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75E2A4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5BF6C16A"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316EBB8A" w14:textId="77777777" w:rsidR="00615981" w:rsidRPr="00AD0D5E" w:rsidRDefault="00615981" w:rsidP="00A71E7E">
            <w:pPr>
              <w:rPr>
                <w:rFonts w:ascii="Aptos" w:hAnsi="Aptos"/>
                <w:sz w:val="18"/>
                <w:szCs w:val="18"/>
              </w:rPr>
            </w:pPr>
            <w:r w:rsidRPr="00AD0D5E">
              <w:rPr>
                <w:rFonts w:ascii="Aptos" w:hAnsi="Aptos"/>
                <w:sz w:val="18"/>
                <w:szCs w:val="18"/>
              </w:rPr>
              <w:t>Concerns regarding specification of study eligibility criteria LOW, HIGH, UNCLEAR</w:t>
            </w:r>
          </w:p>
        </w:tc>
        <w:tc>
          <w:tcPr>
            <w:tcW w:w="271" w:type="pct"/>
            <w:tcBorders>
              <w:top w:val="nil"/>
              <w:left w:val="nil"/>
              <w:bottom w:val="single" w:sz="4" w:space="0" w:color="auto"/>
              <w:right w:val="single" w:sz="4" w:space="0" w:color="auto"/>
            </w:tcBorders>
            <w:shd w:val="clear" w:color="000000" w:fill="E2EFDA"/>
            <w:vAlign w:val="center"/>
            <w:hideMark/>
          </w:tcPr>
          <w:p w14:paraId="001D661E"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62B0B9FA"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75AAC91C"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05268525"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59B3BBBA"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2A4DE184"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5E23BD7C"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70CB0285"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466C71F2"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715F4E95"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r>
      <w:tr w:rsidR="00AD0D5E" w:rsidRPr="00AD0D5E" w14:paraId="3CBAD144"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2F2F2"/>
            <w:vAlign w:val="center"/>
            <w:hideMark/>
          </w:tcPr>
          <w:p w14:paraId="2466E81C" w14:textId="77777777" w:rsidR="00615981" w:rsidRPr="00AD0D5E" w:rsidRDefault="00615981" w:rsidP="00A71E7E">
            <w:pPr>
              <w:rPr>
                <w:rFonts w:ascii="Aptos" w:hAnsi="Aptos"/>
                <w:sz w:val="18"/>
                <w:szCs w:val="18"/>
              </w:rPr>
            </w:pPr>
            <w:r w:rsidRPr="00AD0D5E">
              <w:rPr>
                <w:rFonts w:ascii="Aptos" w:hAnsi="Aptos"/>
                <w:sz w:val="18"/>
                <w:szCs w:val="18"/>
              </w:rPr>
              <w:t>Domain 2: Identification and selection of studies</w:t>
            </w:r>
          </w:p>
        </w:tc>
        <w:tc>
          <w:tcPr>
            <w:tcW w:w="271" w:type="pct"/>
            <w:tcBorders>
              <w:top w:val="nil"/>
              <w:left w:val="nil"/>
              <w:bottom w:val="single" w:sz="4" w:space="0" w:color="auto"/>
              <w:right w:val="single" w:sz="4" w:space="0" w:color="auto"/>
            </w:tcBorders>
            <w:shd w:val="clear" w:color="000000" w:fill="F2F2F2"/>
            <w:vAlign w:val="center"/>
            <w:hideMark/>
          </w:tcPr>
          <w:p w14:paraId="1AE34387" w14:textId="6D63C068"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011BA49" w14:textId="26D934DE"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226004F8" w14:textId="75CDEF74"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068BA33A" w14:textId="786827E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762961FF" w14:textId="4ED0B9CA"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536FB45" w14:textId="38745C9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1A891E2F" w14:textId="6311D1E4"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56A3351A" w14:textId="3DAE1662"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7F6D386A" w14:textId="5A9D7F6C"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36F77685" w14:textId="672E398F" w:rsidR="00615981" w:rsidRPr="00AD0D5E" w:rsidRDefault="00615981" w:rsidP="006C6DF4">
            <w:pPr>
              <w:jc w:val="center"/>
              <w:rPr>
                <w:rFonts w:ascii="Aptos" w:hAnsi="Aptos"/>
                <w:sz w:val="18"/>
                <w:szCs w:val="18"/>
              </w:rPr>
            </w:pPr>
          </w:p>
        </w:tc>
      </w:tr>
      <w:tr w:rsidR="00AD0D5E" w:rsidRPr="00AD0D5E" w14:paraId="08A6FBFA"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65FAE88E" w14:textId="77777777" w:rsidR="00615981" w:rsidRPr="00AD0D5E" w:rsidRDefault="00615981" w:rsidP="00A71E7E">
            <w:pPr>
              <w:rPr>
                <w:rFonts w:ascii="Aptos" w:hAnsi="Aptos"/>
                <w:sz w:val="18"/>
                <w:szCs w:val="18"/>
              </w:rPr>
            </w:pPr>
            <w:r w:rsidRPr="00AD0D5E">
              <w:rPr>
                <w:rFonts w:ascii="Aptos" w:hAnsi="Aptos"/>
                <w:sz w:val="18"/>
                <w:szCs w:val="18"/>
              </w:rPr>
              <w:t>Did the search include an appropriate range of databases/electronic sources for published and unpublished reports?</w:t>
            </w:r>
          </w:p>
        </w:tc>
        <w:tc>
          <w:tcPr>
            <w:tcW w:w="271" w:type="pct"/>
            <w:tcBorders>
              <w:top w:val="nil"/>
              <w:left w:val="nil"/>
              <w:bottom w:val="single" w:sz="4" w:space="0" w:color="auto"/>
              <w:right w:val="single" w:sz="4" w:space="0" w:color="auto"/>
            </w:tcBorders>
            <w:shd w:val="clear" w:color="000000" w:fill="FFFFFF"/>
            <w:vAlign w:val="center"/>
            <w:hideMark/>
          </w:tcPr>
          <w:p w14:paraId="65B87B0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D6B00C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012EF6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724FC7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133B3F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D2E91B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A884B3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2FF865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B8B119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7152B2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AAB7F91"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091D539C" w14:textId="77777777" w:rsidR="00615981" w:rsidRPr="00AD0D5E" w:rsidRDefault="00615981" w:rsidP="00A71E7E">
            <w:pPr>
              <w:rPr>
                <w:rFonts w:ascii="Aptos" w:hAnsi="Aptos"/>
                <w:sz w:val="18"/>
                <w:szCs w:val="18"/>
              </w:rPr>
            </w:pPr>
            <w:r w:rsidRPr="00AD0D5E">
              <w:rPr>
                <w:rFonts w:ascii="Aptos" w:hAnsi="Aptos"/>
                <w:sz w:val="18"/>
                <w:szCs w:val="18"/>
              </w:rPr>
              <w:t>Were methods additional to database searching used to identify relevant reports?</w:t>
            </w:r>
          </w:p>
        </w:tc>
        <w:tc>
          <w:tcPr>
            <w:tcW w:w="271" w:type="pct"/>
            <w:tcBorders>
              <w:top w:val="nil"/>
              <w:left w:val="nil"/>
              <w:bottom w:val="single" w:sz="4" w:space="0" w:color="auto"/>
              <w:right w:val="single" w:sz="4" w:space="0" w:color="auto"/>
            </w:tcBorders>
            <w:shd w:val="clear" w:color="000000" w:fill="FFFFFF"/>
            <w:vAlign w:val="center"/>
            <w:hideMark/>
          </w:tcPr>
          <w:p w14:paraId="451D2B1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127B9E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A3E8C1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68053C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D2F411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325FDC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1169C6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B63DDC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61231F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5BD3DC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DD5AE0B"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5049DC14" w14:textId="77777777" w:rsidR="00615981" w:rsidRPr="00AD0D5E" w:rsidRDefault="00615981" w:rsidP="00A71E7E">
            <w:pPr>
              <w:rPr>
                <w:rFonts w:ascii="Aptos" w:hAnsi="Aptos"/>
                <w:sz w:val="18"/>
                <w:szCs w:val="18"/>
              </w:rPr>
            </w:pPr>
            <w:r w:rsidRPr="00AD0D5E">
              <w:rPr>
                <w:rFonts w:ascii="Aptos" w:hAnsi="Aptos"/>
                <w:sz w:val="18"/>
                <w:szCs w:val="18"/>
              </w:rPr>
              <w:t>Were the terms and structure of the search strategy likely to retrieve as many eligible studies as possible?</w:t>
            </w:r>
          </w:p>
        </w:tc>
        <w:tc>
          <w:tcPr>
            <w:tcW w:w="271" w:type="pct"/>
            <w:tcBorders>
              <w:top w:val="nil"/>
              <w:left w:val="nil"/>
              <w:bottom w:val="single" w:sz="4" w:space="0" w:color="auto"/>
              <w:right w:val="single" w:sz="4" w:space="0" w:color="auto"/>
            </w:tcBorders>
            <w:shd w:val="clear" w:color="000000" w:fill="FFFFFF"/>
            <w:vAlign w:val="center"/>
            <w:hideMark/>
          </w:tcPr>
          <w:p w14:paraId="3C8CD58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A41D421"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7076B8F"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E9F5E69"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95057AD"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0752B3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0EF673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9C51EC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C3A84E8"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8036C3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783CFBD"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3982D0BC" w14:textId="77777777" w:rsidR="00615981" w:rsidRPr="00AD0D5E" w:rsidRDefault="00615981" w:rsidP="00A71E7E">
            <w:pPr>
              <w:rPr>
                <w:rFonts w:ascii="Aptos" w:hAnsi="Aptos"/>
                <w:sz w:val="18"/>
                <w:szCs w:val="18"/>
              </w:rPr>
            </w:pPr>
            <w:r w:rsidRPr="00AD0D5E">
              <w:rPr>
                <w:rFonts w:ascii="Aptos" w:hAnsi="Aptos"/>
                <w:sz w:val="18"/>
                <w:szCs w:val="18"/>
              </w:rPr>
              <w:t>Were restrictions based on date, publication format, or language appropriate?</w:t>
            </w:r>
          </w:p>
        </w:tc>
        <w:tc>
          <w:tcPr>
            <w:tcW w:w="271" w:type="pct"/>
            <w:tcBorders>
              <w:top w:val="nil"/>
              <w:left w:val="nil"/>
              <w:bottom w:val="single" w:sz="4" w:space="0" w:color="auto"/>
              <w:right w:val="single" w:sz="4" w:space="0" w:color="auto"/>
            </w:tcBorders>
            <w:shd w:val="clear" w:color="000000" w:fill="FFFFFF"/>
            <w:vAlign w:val="center"/>
            <w:hideMark/>
          </w:tcPr>
          <w:p w14:paraId="6A8E95F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B30719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DC62768"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73C2FBF" w14:textId="77777777" w:rsidR="00615981" w:rsidRPr="00AD0D5E" w:rsidRDefault="00615981" w:rsidP="006C6DF4">
            <w:pPr>
              <w:jc w:val="center"/>
              <w:rPr>
                <w:rFonts w:ascii="Aptos" w:hAnsi="Aptos"/>
                <w:sz w:val="18"/>
                <w:szCs w:val="18"/>
              </w:rPr>
            </w:pPr>
            <w:r w:rsidRPr="00AD0D5E">
              <w:rPr>
                <w:rFonts w:ascii="Aptos" w:hAnsi="Aptos"/>
                <w:sz w:val="18"/>
                <w:szCs w:val="18"/>
              </w:rPr>
              <w:t>PN</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013131B"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F5F7AFB" w14:textId="77777777" w:rsidR="00615981" w:rsidRPr="00AD0D5E" w:rsidRDefault="00615981" w:rsidP="006C6DF4">
            <w:pPr>
              <w:jc w:val="center"/>
              <w:rPr>
                <w:rFonts w:ascii="Aptos" w:hAnsi="Aptos"/>
                <w:sz w:val="18"/>
                <w:szCs w:val="18"/>
              </w:rPr>
            </w:pPr>
            <w:r w:rsidRPr="00AD0D5E">
              <w:rPr>
                <w:rFonts w:ascii="Aptos" w:hAnsi="Aptos"/>
                <w:sz w:val="18"/>
                <w:szCs w:val="18"/>
              </w:rPr>
              <w:t>PN</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137E44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6C45F3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7E91FC8" w14:textId="77777777" w:rsidR="00615981" w:rsidRPr="00AD0D5E" w:rsidRDefault="00615981" w:rsidP="006C6DF4">
            <w:pPr>
              <w:jc w:val="center"/>
              <w:rPr>
                <w:rFonts w:ascii="Aptos" w:hAnsi="Aptos"/>
                <w:sz w:val="18"/>
                <w:szCs w:val="18"/>
              </w:rPr>
            </w:pPr>
            <w:r w:rsidRPr="00AD0D5E">
              <w:rPr>
                <w:rFonts w:ascii="Aptos" w:hAnsi="Aptos"/>
                <w:sz w:val="18"/>
                <w:szCs w:val="18"/>
              </w:rPr>
              <w:t>PN</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A6CDC5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05D8ABC"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46C584BD" w14:textId="77777777" w:rsidR="00615981" w:rsidRPr="00AD0D5E" w:rsidRDefault="00615981" w:rsidP="00A71E7E">
            <w:pPr>
              <w:rPr>
                <w:rFonts w:ascii="Aptos" w:hAnsi="Aptos"/>
                <w:sz w:val="18"/>
                <w:szCs w:val="18"/>
              </w:rPr>
            </w:pPr>
            <w:r w:rsidRPr="00AD0D5E">
              <w:rPr>
                <w:rFonts w:ascii="Aptos" w:hAnsi="Aptos"/>
                <w:sz w:val="18"/>
                <w:szCs w:val="18"/>
              </w:rPr>
              <w:t>Were efforts made to minimise error in selection of studies?</w:t>
            </w:r>
          </w:p>
        </w:tc>
        <w:tc>
          <w:tcPr>
            <w:tcW w:w="271" w:type="pct"/>
            <w:tcBorders>
              <w:top w:val="nil"/>
              <w:left w:val="nil"/>
              <w:bottom w:val="single" w:sz="4" w:space="0" w:color="auto"/>
              <w:right w:val="single" w:sz="4" w:space="0" w:color="auto"/>
            </w:tcBorders>
            <w:shd w:val="clear" w:color="000000" w:fill="FFFFFF"/>
            <w:vAlign w:val="center"/>
            <w:hideMark/>
          </w:tcPr>
          <w:p w14:paraId="228222E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84BCDE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BC222E0"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DD0315D"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656EC7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0E3366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710DC3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538E13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8DD3B4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48B2ED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0BE72174"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7FA02DD4" w14:textId="77777777" w:rsidR="00615981" w:rsidRPr="00AD0D5E" w:rsidRDefault="00615981" w:rsidP="00A71E7E">
            <w:pPr>
              <w:rPr>
                <w:rFonts w:ascii="Aptos" w:hAnsi="Aptos"/>
                <w:sz w:val="18"/>
                <w:szCs w:val="18"/>
              </w:rPr>
            </w:pPr>
            <w:r w:rsidRPr="00AD0D5E">
              <w:rPr>
                <w:rFonts w:ascii="Aptos" w:hAnsi="Aptos"/>
                <w:sz w:val="18"/>
                <w:szCs w:val="18"/>
              </w:rPr>
              <w:t>Concerns regarding methods used to identify and/or select studies: LOW, HIGH, UNCLEAR</w:t>
            </w:r>
          </w:p>
        </w:tc>
        <w:tc>
          <w:tcPr>
            <w:tcW w:w="271" w:type="pct"/>
            <w:tcBorders>
              <w:top w:val="nil"/>
              <w:left w:val="nil"/>
              <w:bottom w:val="single" w:sz="4" w:space="0" w:color="auto"/>
              <w:right w:val="single" w:sz="4" w:space="0" w:color="auto"/>
            </w:tcBorders>
            <w:shd w:val="clear" w:color="000000" w:fill="E2EFDA"/>
            <w:vAlign w:val="center"/>
            <w:hideMark/>
          </w:tcPr>
          <w:p w14:paraId="3F0B0E8F"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272A2BB2"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4B40AE4C" w14:textId="66FEF79A"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5B2869E5" w14:textId="77777777"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3E362D86"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4192A8FE" w14:textId="77777777"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24F5DA28"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699634D6"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41946028" w14:textId="77777777"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6506EA52"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r>
      <w:tr w:rsidR="00AD0D5E" w:rsidRPr="00AD0D5E" w14:paraId="0385F961"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2F2F2"/>
            <w:vAlign w:val="center"/>
            <w:hideMark/>
          </w:tcPr>
          <w:p w14:paraId="3CFB0BF3" w14:textId="77777777" w:rsidR="00615981" w:rsidRPr="00AD0D5E" w:rsidRDefault="00615981" w:rsidP="00A71E7E">
            <w:pPr>
              <w:rPr>
                <w:rFonts w:ascii="Aptos" w:hAnsi="Aptos"/>
                <w:sz w:val="18"/>
                <w:szCs w:val="18"/>
              </w:rPr>
            </w:pPr>
            <w:r w:rsidRPr="00AD0D5E">
              <w:rPr>
                <w:rFonts w:ascii="Aptos" w:hAnsi="Aptos"/>
                <w:sz w:val="18"/>
                <w:szCs w:val="18"/>
              </w:rPr>
              <w:t>Domain 3: Data collection and study appraisal</w:t>
            </w:r>
          </w:p>
        </w:tc>
        <w:tc>
          <w:tcPr>
            <w:tcW w:w="271" w:type="pct"/>
            <w:tcBorders>
              <w:top w:val="nil"/>
              <w:left w:val="nil"/>
              <w:bottom w:val="single" w:sz="4" w:space="0" w:color="auto"/>
              <w:right w:val="single" w:sz="4" w:space="0" w:color="auto"/>
            </w:tcBorders>
            <w:shd w:val="clear" w:color="000000" w:fill="F2F2F2"/>
            <w:vAlign w:val="center"/>
            <w:hideMark/>
          </w:tcPr>
          <w:p w14:paraId="06063496" w14:textId="73630F4B"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85226A4" w14:textId="3A4EA31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D4EF69B" w14:textId="75D4548B"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01A42584" w14:textId="6DBC3D7F"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5DD0D8F3" w14:textId="69902BA4"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EFA7017" w14:textId="5AE7322E"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54DBA1D7" w14:textId="727CF55C"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12AF1135" w14:textId="3EDDC4C8"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1C6EFFB2" w14:textId="5CD2F7F5"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567F53F5" w14:textId="247F60E6" w:rsidR="00615981" w:rsidRPr="00AD0D5E" w:rsidRDefault="00615981" w:rsidP="006C6DF4">
            <w:pPr>
              <w:jc w:val="center"/>
              <w:rPr>
                <w:rFonts w:ascii="Aptos" w:hAnsi="Aptos"/>
                <w:sz w:val="18"/>
                <w:szCs w:val="18"/>
              </w:rPr>
            </w:pPr>
          </w:p>
        </w:tc>
      </w:tr>
      <w:tr w:rsidR="00AD0D5E" w:rsidRPr="00AD0D5E" w14:paraId="696D253B"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45BCC1D3" w14:textId="77777777" w:rsidR="00615981" w:rsidRPr="00AD0D5E" w:rsidRDefault="00615981" w:rsidP="00A71E7E">
            <w:pPr>
              <w:rPr>
                <w:rFonts w:ascii="Aptos" w:hAnsi="Aptos"/>
                <w:sz w:val="18"/>
                <w:szCs w:val="18"/>
              </w:rPr>
            </w:pPr>
            <w:r w:rsidRPr="00AD0D5E">
              <w:rPr>
                <w:rFonts w:ascii="Aptos" w:hAnsi="Aptos"/>
                <w:sz w:val="18"/>
                <w:szCs w:val="18"/>
              </w:rPr>
              <w:t>Were efforts made to minimise error in data collection?</w:t>
            </w:r>
          </w:p>
        </w:tc>
        <w:tc>
          <w:tcPr>
            <w:tcW w:w="271" w:type="pct"/>
            <w:tcBorders>
              <w:top w:val="nil"/>
              <w:left w:val="nil"/>
              <w:bottom w:val="single" w:sz="4" w:space="0" w:color="auto"/>
              <w:right w:val="single" w:sz="4" w:space="0" w:color="auto"/>
            </w:tcBorders>
            <w:shd w:val="clear" w:color="000000" w:fill="FFFFFF"/>
            <w:vAlign w:val="center"/>
            <w:hideMark/>
          </w:tcPr>
          <w:p w14:paraId="75648F5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0A007C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ED31050"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D7B7D40"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69B2B4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237628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3DD12D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E14DDFA"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9066609"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710BEF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CA18C86"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1B3A456B" w14:textId="77777777" w:rsidR="00615981" w:rsidRPr="00AD0D5E" w:rsidRDefault="00615981" w:rsidP="00A71E7E">
            <w:pPr>
              <w:rPr>
                <w:rFonts w:ascii="Aptos" w:hAnsi="Aptos"/>
                <w:sz w:val="18"/>
                <w:szCs w:val="18"/>
              </w:rPr>
            </w:pPr>
            <w:r w:rsidRPr="00AD0D5E">
              <w:rPr>
                <w:rFonts w:ascii="Aptos" w:hAnsi="Aptos"/>
                <w:sz w:val="18"/>
                <w:szCs w:val="18"/>
              </w:rPr>
              <w:t>Were sufficient study characteristics available for both review authors and readers to be able to interpret the results?</w:t>
            </w:r>
          </w:p>
        </w:tc>
        <w:tc>
          <w:tcPr>
            <w:tcW w:w="271" w:type="pct"/>
            <w:tcBorders>
              <w:top w:val="nil"/>
              <w:left w:val="nil"/>
              <w:bottom w:val="single" w:sz="4" w:space="0" w:color="auto"/>
              <w:right w:val="single" w:sz="4" w:space="0" w:color="auto"/>
            </w:tcBorders>
            <w:shd w:val="clear" w:color="000000" w:fill="FFFFFF"/>
            <w:vAlign w:val="center"/>
            <w:hideMark/>
          </w:tcPr>
          <w:p w14:paraId="2585CC7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B97861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845AAE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30A3BD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7DFD34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A20C06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C47B8B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4204C2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44194A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D6F5E7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3DC3175B"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0C98ED5D" w14:textId="77777777" w:rsidR="00615981" w:rsidRPr="00AD0D5E" w:rsidRDefault="00615981" w:rsidP="00A71E7E">
            <w:pPr>
              <w:rPr>
                <w:rFonts w:ascii="Aptos" w:hAnsi="Aptos"/>
                <w:sz w:val="18"/>
                <w:szCs w:val="18"/>
              </w:rPr>
            </w:pPr>
            <w:r w:rsidRPr="00AD0D5E">
              <w:rPr>
                <w:rFonts w:ascii="Aptos" w:hAnsi="Aptos"/>
                <w:sz w:val="18"/>
                <w:szCs w:val="18"/>
              </w:rPr>
              <w:t>Were all relevant study results collected for use in the synthesis?</w:t>
            </w:r>
          </w:p>
        </w:tc>
        <w:tc>
          <w:tcPr>
            <w:tcW w:w="271" w:type="pct"/>
            <w:tcBorders>
              <w:top w:val="nil"/>
              <w:left w:val="nil"/>
              <w:bottom w:val="single" w:sz="4" w:space="0" w:color="auto"/>
              <w:right w:val="single" w:sz="4" w:space="0" w:color="auto"/>
            </w:tcBorders>
            <w:shd w:val="clear" w:color="000000" w:fill="FFFFFF"/>
            <w:vAlign w:val="center"/>
            <w:hideMark/>
          </w:tcPr>
          <w:p w14:paraId="61D6C5D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89DC67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8AEA5A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6F9E8F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F8E28C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7C5BB2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211652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79F9B8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B4E40F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85FAF6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0296402D" w14:textId="77777777" w:rsidTr="00E77295">
        <w:trPr>
          <w:trHeight w:val="34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0063C89E" w14:textId="77777777" w:rsidR="00615981" w:rsidRPr="00AD0D5E" w:rsidRDefault="00615981" w:rsidP="00A71E7E">
            <w:pPr>
              <w:rPr>
                <w:rFonts w:ascii="Aptos" w:hAnsi="Aptos"/>
                <w:sz w:val="18"/>
                <w:szCs w:val="18"/>
              </w:rPr>
            </w:pPr>
            <w:r w:rsidRPr="00AD0D5E">
              <w:rPr>
                <w:rFonts w:ascii="Aptos" w:hAnsi="Aptos"/>
                <w:sz w:val="18"/>
                <w:szCs w:val="18"/>
              </w:rPr>
              <w:t>Was risk of bias (or methodological quality) formally assessed using appropriate criteria?</w:t>
            </w:r>
          </w:p>
        </w:tc>
        <w:tc>
          <w:tcPr>
            <w:tcW w:w="271" w:type="pct"/>
            <w:tcBorders>
              <w:top w:val="nil"/>
              <w:left w:val="nil"/>
              <w:bottom w:val="single" w:sz="4" w:space="0" w:color="auto"/>
              <w:right w:val="single" w:sz="4" w:space="0" w:color="auto"/>
            </w:tcBorders>
            <w:shd w:val="clear" w:color="000000" w:fill="FFFFFF"/>
            <w:vAlign w:val="center"/>
            <w:hideMark/>
          </w:tcPr>
          <w:p w14:paraId="0F13FE9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28E481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86C3C8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91CAB1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E12937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9A6C86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2FFEE9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C5E641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05CFC3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56A437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5259FC1B"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5928C321" w14:textId="77777777" w:rsidR="00615981" w:rsidRPr="00AD0D5E" w:rsidRDefault="00615981" w:rsidP="00A71E7E">
            <w:pPr>
              <w:rPr>
                <w:rFonts w:ascii="Aptos" w:hAnsi="Aptos"/>
                <w:sz w:val="18"/>
                <w:szCs w:val="18"/>
              </w:rPr>
            </w:pPr>
            <w:r w:rsidRPr="00AD0D5E">
              <w:rPr>
                <w:rFonts w:ascii="Aptos" w:hAnsi="Aptos"/>
                <w:sz w:val="18"/>
                <w:szCs w:val="18"/>
              </w:rPr>
              <w:t>Were efforts made to minimise error in risk of bias assessment?</w:t>
            </w:r>
          </w:p>
        </w:tc>
        <w:tc>
          <w:tcPr>
            <w:tcW w:w="271" w:type="pct"/>
            <w:tcBorders>
              <w:top w:val="nil"/>
              <w:left w:val="nil"/>
              <w:bottom w:val="single" w:sz="4" w:space="0" w:color="auto"/>
              <w:right w:val="single" w:sz="4" w:space="0" w:color="auto"/>
            </w:tcBorders>
            <w:shd w:val="clear" w:color="000000" w:fill="FFFFFF"/>
            <w:vAlign w:val="center"/>
            <w:hideMark/>
          </w:tcPr>
          <w:p w14:paraId="0BD2BF7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11D63D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3D416FC"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D0551F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DF2BFF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132BD3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DC9AD1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62BC2E7"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FB80255"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F40EDC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1CDC68BA"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6129667B" w14:textId="77777777" w:rsidR="00615981" w:rsidRPr="00AD0D5E" w:rsidRDefault="00615981" w:rsidP="00A71E7E">
            <w:pPr>
              <w:rPr>
                <w:rFonts w:ascii="Aptos" w:hAnsi="Aptos"/>
                <w:sz w:val="18"/>
                <w:szCs w:val="18"/>
              </w:rPr>
            </w:pPr>
            <w:r w:rsidRPr="00AD0D5E">
              <w:rPr>
                <w:rFonts w:ascii="Aptos" w:hAnsi="Aptos"/>
                <w:sz w:val="18"/>
                <w:szCs w:val="18"/>
              </w:rPr>
              <w:t>Concerns regarding methods used to collect data and appraise studies: LOW, HIGH, UNCLEAR</w:t>
            </w:r>
          </w:p>
        </w:tc>
        <w:tc>
          <w:tcPr>
            <w:tcW w:w="271" w:type="pct"/>
            <w:tcBorders>
              <w:top w:val="nil"/>
              <w:left w:val="nil"/>
              <w:bottom w:val="single" w:sz="4" w:space="0" w:color="auto"/>
              <w:right w:val="single" w:sz="4" w:space="0" w:color="auto"/>
            </w:tcBorders>
            <w:shd w:val="clear" w:color="000000" w:fill="E2EFDA"/>
            <w:vAlign w:val="center"/>
            <w:hideMark/>
          </w:tcPr>
          <w:p w14:paraId="0C4D7240"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252D75A2"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017F22A1" w14:textId="77777777"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72429C14"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14ABCA17"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19D6BBB4"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33920C34"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460C3D2B" w14:textId="77777777"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57A5DE88" w14:textId="77777777"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5061B926"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r>
      <w:tr w:rsidR="00AD0D5E" w:rsidRPr="00AD0D5E" w14:paraId="2B229BFC"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2F2F2"/>
            <w:vAlign w:val="center"/>
            <w:hideMark/>
          </w:tcPr>
          <w:p w14:paraId="4EAA5F8B" w14:textId="77777777" w:rsidR="00615981" w:rsidRPr="00AD0D5E" w:rsidRDefault="00615981" w:rsidP="00A71E7E">
            <w:pPr>
              <w:rPr>
                <w:rFonts w:ascii="Aptos" w:hAnsi="Aptos"/>
                <w:sz w:val="18"/>
                <w:szCs w:val="18"/>
              </w:rPr>
            </w:pPr>
            <w:r w:rsidRPr="00AD0D5E">
              <w:rPr>
                <w:rFonts w:ascii="Aptos" w:hAnsi="Aptos"/>
                <w:sz w:val="18"/>
                <w:szCs w:val="18"/>
              </w:rPr>
              <w:t>Domain 4: Synthesis and findings</w:t>
            </w:r>
          </w:p>
        </w:tc>
        <w:tc>
          <w:tcPr>
            <w:tcW w:w="271" w:type="pct"/>
            <w:tcBorders>
              <w:top w:val="nil"/>
              <w:left w:val="nil"/>
              <w:bottom w:val="single" w:sz="4" w:space="0" w:color="auto"/>
              <w:right w:val="single" w:sz="4" w:space="0" w:color="auto"/>
            </w:tcBorders>
            <w:shd w:val="clear" w:color="000000" w:fill="F2F2F2"/>
            <w:vAlign w:val="center"/>
            <w:hideMark/>
          </w:tcPr>
          <w:p w14:paraId="79202545" w14:textId="45B52AC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57692F13" w14:textId="5237CCBE"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20552765" w14:textId="41B67FCC"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01C4E67F" w14:textId="115188BC"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067AC1B9" w14:textId="7FF73CAE"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2E4415AE" w14:textId="4ADFDBBE"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7E767B80" w14:textId="08FDDD85"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290F605" w14:textId="0E27F476"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490A84E2" w14:textId="2DDA0EBD"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F2F2F2"/>
            <w:vAlign w:val="center"/>
            <w:hideMark/>
          </w:tcPr>
          <w:p w14:paraId="0145C288" w14:textId="21742129" w:rsidR="00615981" w:rsidRPr="00AD0D5E" w:rsidRDefault="00615981" w:rsidP="006C6DF4">
            <w:pPr>
              <w:jc w:val="center"/>
              <w:rPr>
                <w:rFonts w:ascii="Aptos" w:hAnsi="Aptos"/>
                <w:sz w:val="18"/>
                <w:szCs w:val="18"/>
              </w:rPr>
            </w:pPr>
          </w:p>
        </w:tc>
      </w:tr>
      <w:tr w:rsidR="00AD0D5E" w:rsidRPr="00AD0D5E" w14:paraId="376AFDC3"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69C6E305" w14:textId="77777777" w:rsidR="00615981" w:rsidRPr="00AD0D5E" w:rsidRDefault="00615981" w:rsidP="00A71E7E">
            <w:pPr>
              <w:rPr>
                <w:rFonts w:ascii="Aptos" w:hAnsi="Aptos"/>
                <w:sz w:val="18"/>
                <w:szCs w:val="18"/>
              </w:rPr>
            </w:pPr>
            <w:r w:rsidRPr="00AD0D5E">
              <w:rPr>
                <w:rFonts w:ascii="Aptos" w:hAnsi="Aptos"/>
                <w:sz w:val="18"/>
                <w:szCs w:val="18"/>
              </w:rPr>
              <w:t>Did the synthesis include all studies that it should?</w:t>
            </w:r>
          </w:p>
        </w:tc>
        <w:tc>
          <w:tcPr>
            <w:tcW w:w="271" w:type="pct"/>
            <w:tcBorders>
              <w:top w:val="nil"/>
              <w:left w:val="nil"/>
              <w:bottom w:val="single" w:sz="4" w:space="0" w:color="auto"/>
              <w:right w:val="single" w:sz="4" w:space="0" w:color="auto"/>
            </w:tcBorders>
            <w:shd w:val="clear" w:color="000000" w:fill="FFFFFF"/>
            <w:vAlign w:val="center"/>
            <w:hideMark/>
          </w:tcPr>
          <w:p w14:paraId="0E0013CE"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2D130830"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5478D55A"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6BC8B196"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14A63201"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0F86347F"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3AF10A10"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642B3B28"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573E02BC"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nil"/>
              <w:bottom w:val="single" w:sz="4" w:space="0" w:color="auto"/>
              <w:right w:val="single" w:sz="4" w:space="0" w:color="auto"/>
            </w:tcBorders>
            <w:shd w:val="clear" w:color="000000" w:fill="FFFFFF"/>
            <w:vAlign w:val="center"/>
            <w:hideMark/>
          </w:tcPr>
          <w:p w14:paraId="596ABDD2"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r>
      <w:tr w:rsidR="00AD0D5E" w:rsidRPr="00AD0D5E" w14:paraId="125B2BEE" w14:textId="77777777" w:rsidTr="002A4370">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1E960319" w14:textId="77777777" w:rsidR="00615981" w:rsidRPr="00AD0D5E" w:rsidRDefault="00615981" w:rsidP="00A71E7E">
            <w:pPr>
              <w:rPr>
                <w:rFonts w:ascii="Aptos" w:hAnsi="Aptos"/>
                <w:sz w:val="18"/>
                <w:szCs w:val="18"/>
              </w:rPr>
            </w:pPr>
            <w:r w:rsidRPr="00AD0D5E">
              <w:rPr>
                <w:rFonts w:ascii="Aptos" w:hAnsi="Aptos"/>
                <w:sz w:val="18"/>
                <w:szCs w:val="18"/>
              </w:rPr>
              <w:t>Were all pre</w:t>
            </w:r>
            <w:r w:rsidRPr="00AD0D5E">
              <w:rPr>
                <w:rFonts w:ascii="Cambria Math" w:hAnsi="Cambria Math" w:cs="Cambria Math"/>
                <w:sz w:val="18"/>
                <w:szCs w:val="18"/>
              </w:rPr>
              <w:t>‐</w:t>
            </w:r>
            <w:r w:rsidRPr="00AD0D5E">
              <w:rPr>
                <w:rFonts w:ascii="Aptos" w:hAnsi="Aptos"/>
                <w:sz w:val="18"/>
                <w:szCs w:val="18"/>
              </w:rPr>
              <w:t>defined analyses reported or departures explained?</w:t>
            </w:r>
          </w:p>
        </w:tc>
        <w:tc>
          <w:tcPr>
            <w:tcW w:w="271" w:type="pct"/>
            <w:tcBorders>
              <w:top w:val="nil"/>
              <w:left w:val="nil"/>
              <w:bottom w:val="single" w:sz="4" w:space="0" w:color="auto"/>
              <w:right w:val="single" w:sz="4" w:space="0" w:color="auto"/>
            </w:tcBorders>
            <w:shd w:val="clear" w:color="000000" w:fill="FFFFFF"/>
            <w:vAlign w:val="center"/>
            <w:hideMark/>
          </w:tcPr>
          <w:p w14:paraId="7C01A71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AA81A1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0D99CD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9C39BB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9C66FE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E26FAA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6F4F9D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B330BF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F29FA9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1EB01C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516C55D2" w14:textId="77777777" w:rsidTr="002A4370">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4EB1021B" w14:textId="77777777" w:rsidR="00615981" w:rsidRPr="00AD0D5E" w:rsidRDefault="00615981" w:rsidP="00A71E7E">
            <w:pPr>
              <w:rPr>
                <w:rFonts w:ascii="Aptos" w:hAnsi="Aptos"/>
                <w:sz w:val="18"/>
                <w:szCs w:val="18"/>
              </w:rPr>
            </w:pPr>
            <w:r w:rsidRPr="00AD0D5E">
              <w:rPr>
                <w:rFonts w:ascii="Aptos" w:hAnsi="Aptos"/>
                <w:sz w:val="18"/>
                <w:szCs w:val="18"/>
              </w:rPr>
              <w:t>Was the synthesis appropriate given the nature and similarity in the research questions, study designs and outcomes across included studies?</w:t>
            </w:r>
          </w:p>
        </w:tc>
        <w:tc>
          <w:tcPr>
            <w:tcW w:w="271" w:type="pct"/>
            <w:tcBorders>
              <w:top w:val="nil"/>
              <w:left w:val="nil"/>
              <w:bottom w:val="single" w:sz="4" w:space="0" w:color="auto"/>
              <w:right w:val="single" w:sz="4" w:space="0" w:color="auto"/>
            </w:tcBorders>
            <w:shd w:val="clear" w:color="000000" w:fill="FFFFFF"/>
            <w:vAlign w:val="center"/>
            <w:hideMark/>
          </w:tcPr>
          <w:p w14:paraId="77AAABE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29F4A4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FA667B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092C2D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1049FD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CA5187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46831C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single" w:sz="4" w:space="0" w:color="auto"/>
              <w:left w:val="nil"/>
              <w:bottom w:val="single" w:sz="4" w:space="0" w:color="auto"/>
              <w:right w:val="nil"/>
            </w:tcBorders>
            <w:shd w:val="clear" w:color="auto" w:fill="auto"/>
            <w:noWrap/>
            <w:vAlign w:val="center"/>
            <w:hideMark/>
          </w:tcPr>
          <w:p w14:paraId="073FCC84"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97A0AA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539CFC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6B76C6D" w14:textId="77777777" w:rsidTr="002A4370">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44254197" w14:textId="77777777" w:rsidR="00615981" w:rsidRPr="00AD0D5E" w:rsidRDefault="00615981" w:rsidP="00A71E7E">
            <w:pPr>
              <w:rPr>
                <w:rFonts w:ascii="Aptos" w:hAnsi="Aptos"/>
                <w:sz w:val="18"/>
                <w:szCs w:val="18"/>
              </w:rPr>
            </w:pPr>
            <w:r w:rsidRPr="00AD0D5E">
              <w:rPr>
                <w:rFonts w:ascii="Aptos" w:hAnsi="Aptos"/>
                <w:sz w:val="18"/>
                <w:szCs w:val="18"/>
              </w:rPr>
              <w:t>Was between</w:t>
            </w:r>
            <w:r w:rsidRPr="00AD0D5E">
              <w:rPr>
                <w:rFonts w:ascii="Cambria Math" w:hAnsi="Cambria Math" w:cs="Cambria Math"/>
                <w:sz w:val="18"/>
                <w:szCs w:val="18"/>
              </w:rPr>
              <w:t>‐</w:t>
            </w:r>
            <w:r w:rsidRPr="00AD0D5E">
              <w:rPr>
                <w:rFonts w:ascii="Aptos" w:hAnsi="Aptos"/>
                <w:sz w:val="18"/>
                <w:szCs w:val="18"/>
              </w:rPr>
              <w:t>study variation (heterogeneity) minimal or addressed in the synthesis?</w:t>
            </w:r>
          </w:p>
        </w:tc>
        <w:tc>
          <w:tcPr>
            <w:tcW w:w="271" w:type="pct"/>
            <w:tcBorders>
              <w:top w:val="nil"/>
              <w:left w:val="nil"/>
              <w:bottom w:val="single" w:sz="4" w:space="0" w:color="auto"/>
              <w:right w:val="single" w:sz="4" w:space="0" w:color="auto"/>
            </w:tcBorders>
            <w:shd w:val="clear" w:color="000000" w:fill="FFFFFF"/>
            <w:vAlign w:val="center"/>
            <w:hideMark/>
          </w:tcPr>
          <w:p w14:paraId="645211B3"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7947A6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BDEF77F"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7840B8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E712859"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7F64701"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107D29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6B74FB27"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ACA601C"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BA6626D" w14:textId="77777777" w:rsidR="00615981" w:rsidRPr="00AD0D5E" w:rsidRDefault="00615981" w:rsidP="006C6DF4">
            <w:pPr>
              <w:jc w:val="center"/>
              <w:rPr>
                <w:rFonts w:ascii="Aptos" w:hAnsi="Aptos"/>
                <w:sz w:val="18"/>
                <w:szCs w:val="18"/>
              </w:rPr>
            </w:pPr>
            <w:r w:rsidRPr="00AD0D5E">
              <w:rPr>
                <w:rFonts w:ascii="Aptos" w:hAnsi="Aptos"/>
                <w:sz w:val="18"/>
                <w:szCs w:val="18"/>
              </w:rPr>
              <w:t>PN</w:t>
            </w:r>
          </w:p>
        </w:tc>
      </w:tr>
      <w:tr w:rsidR="00AD0D5E" w:rsidRPr="00AD0D5E" w14:paraId="63A9AD99"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25C78BD8" w14:textId="77777777" w:rsidR="00615981" w:rsidRPr="00AD0D5E" w:rsidRDefault="00615981" w:rsidP="00A71E7E">
            <w:pPr>
              <w:rPr>
                <w:rFonts w:ascii="Aptos" w:hAnsi="Aptos"/>
                <w:sz w:val="18"/>
                <w:szCs w:val="18"/>
              </w:rPr>
            </w:pPr>
            <w:r w:rsidRPr="00AD0D5E">
              <w:rPr>
                <w:rFonts w:ascii="Aptos" w:hAnsi="Aptos"/>
                <w:sz w:val="18"/>
                <w:szCs w:val="18"/>
              </w:rPr>
              <w:lastRenderedPageBreak/>
              <w:t>Were the findings robust, e.g. as demonstrated through funnel plot or sensitivity analyses?</w:t>
            </w:r>
          </w:p>
        </w:tc>
        <w:tc>
          <w:tcPr>
            <w:tcW w:w="271" w:type="pct"/>
            <w:tcBorders>
              <w:top w:val="nil"/>
              <w:left w:val="nil"/>
              <w:bottom w:val="single" w:sz="4" w:space="0" w:color="auto"/>
              <w:right w:val="single" w:sz="4" w:space="0" w:color="auto"/>
            </w:tcBorders>
            <w:shd w:val="clear" w:color="000000" w:fill="FFFFFF"/>
            <w:vAlign w:val="center"/>
            <w:hideMark/>
          </w:tcPr>
          <w:p w14:paraId="734CB176"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5E2896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415206A" w14:textId="77777777" w:rsidR="00615981" w:rsidRPr="00AD0D5E" w:rsidRDefault="00615981" w:rsidP="006C6DF4">
            <w:pPr>
              <w:jc w:val="center"/>
              <w:rPr>
                <w:rFonts w:ascii="Aptos" w:hAnsi="Aptos"/>
                <w:sz w:val="18"/>
                <w:szCs w:val="18"/>
              </w:rPr>
            </w:pPr>
            <w:r w:rsidRPr="00AD0D5E">
              <w:rPr>
                <w:rFonts w:ascii="Aptos" w:hAnsi="Aptos"/>
                <w:sz w:val="18"/>
                <w:szCs w:val="18"/>
              </w:rPr>
              <w:t>NI</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B1DB0E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76038A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2DE174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ECAA16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081394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2B85A4E" w14:textId="77777777" w:rsidR="00615981" w:rsidRPr="00AD0D5E" w:rsidRDefault="00615981" w:rsidP="006C6DF4">
            <w:pPr>
              <w:jc w:val="center"/>
              <w:rPr>
                <w:rFonts w:ascii="Aptos" w:hAnsi="Aptos"/>
                <w:sz w:val="18"/>
                <w:szCs w:val="18"/>
              </w:rPr>
            </w:pPr>
            <w:r w:rsidRPr="00AD0D5E">
              <w:rPr>
                <w:rFonts w:ascii="Aptos" w:hAnsi="Aptos"/>
                <w:sz w:val="18"/>
                <w:szCs w:val="18"/>
              </w:rPr>
              <w:t>PY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69F8A94" w14:textId="77777777" w:rsidR="00615981" w:rsidRPr="00AD0D5E" w:rsidRDefault="00615981" w:rsidP="006C6DF4">
            <w:pPr>
              <w:jc w:val="center"/>
              <w:rPr>
                <w:rFonts w:ascii="Aptos" w:hAnsi="Aptos"/>
                <w:sz w:val="18"/>
                <w:szCs w:val="18"/>
              </w:rPr>
            </w:pPr>
            <w:r w:rsidRPr="00AD0D5E">
              <w:rPr>
                <w:rFonts w:ascii="Aptos" w:hAnsi="Aptos"/>
                <w:sz w:val="18"/>
                <w:szCs w:val="18"/>
              </w:rPr>
              <w:t>PN</w:t>
            </w:r>
          </w:p>
        </w:tc>
      </w:tr>
      <w:tr w:rsidR="00AD0D5E" w:rsidRPr="00AD0D5E" w14:paraId="6C2BC02B"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7F75A058" w14:textId="77777777" w:rsidR="00615981" w:rsidRPr="00AD0D5E" w:rsidRDefault="00615981" w:rsidP="00A71E7E">
            <w:pPr>
              <w:rPr>
                <w:rFonts w:ascii="Aptos" w:hAnsi="Aptos"/>
                <w:sz w:val="18"/>
                <w:szCs w:val="18"/>
              </w:rPr>
            </w:pPr>
            <w:r w:rsidRPr="00AD0D5E">
              <w:rPr>
                <w:rFonts w:ascii="Aptos" w:hAnsi="Aptos"/>
                <w:sz w:val="18"/>
                <w:szCs w:val="18"/>
              </w:rPr>
              <w:t>Were biases in primary studies minimal or addressed in the synthesis?</w:t>
            </w:r>
          </w:p>
        </w:tc>
        <w:tc>
          <w:tcPr>
            <w:tcW w:w="271" w:type="pct"/>
            <w:tcBorders>
              <w:top w:val="nil"/>
              <w:left w:val="nil"/>
              <w:bottom w:val="single" w:sz="4" w:space="0" w:color="auto"/>
              <w:right w:val="single" w:sz="4" w:space="0" w:color="auto"/>
            </w:tcBorders>
            <w:shd w:val="clear" w:color="000000" w:fill="FFFFFF"/>
            <w:vAlign w:val="center"/>
            <w:hideMark/>
          </w:tcPr>
          <w:p w14:paraId="5E95410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E884D6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F5ED65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146813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187424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54362E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E41C54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90B358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410A6C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6395A3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6177DFF3" w14:textId="77777777" w:rsidTr="002A4370">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65781C64" w14:textId="77777777" w:rsidR="00615981" w:rsidRPr="00AD0D5E" w:rsidRDefault="00615981" w:rsidP="00A71E7E">
            <w:pPr>
              <w:rPr>
                <w:rFonts w:ascii="Aptos" w:hAnsi="Aptos"/>
                <w:sz w:val="18"/>
                <w:szCs w:val="18"/>
              </w:rPr>
            </w:pPr>
            <w:r w:rsidRPr="00AD0D5E">
              <w:rPr>
                <w:rFonts w:ascii="Aptos" w:hAnsi="Aptos"/>
                <w:sz w:val="18"/>
                <w:szCs w:val="18"/>
              </w:rPr>
              <w:t>Concerns regarding the synthesis and finding: LOW, HIGH, UNCLEAR</w:t>
            </w:r>
          </w:p>
        </w:tc>
        <w:tc>
          <w:tcPr>
            <w:tcW w:w="271" w:type="pct"/>
            <w:tcBorders>
              <w:top w:val="nil"/>
              <w:left w:val="nil"/>
              <w:bottom w:val="single" w:sz="4" w:space="0" w:color="auto"/>
              <w:right w:val="single" w:sz="4" w:space="0" w:color="auto"/>
            </w:tcBorders>
            <w:shd w:val="clear" w:color="000000" w:fill="E2EFDA"/>
            <w:vAlign w:val="center"/>
            <w:hideMark/>
          </w:tcPr>
          <w:p w14:paraId="4BE62263"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6C60DC9E"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27052179" w14:textId="77777777" w:rsidR="00615981" w:rsidRPr="00AD0D5E" w:rsidRDefault="00615981" w:rsidP="006C6DF4">
            <w:pPr>
              <w:jc w:val="center"/>
              <w:rPr>
                <w:rFonts w:ascii="Aptos" w:hAnsi="Aptos"/>
                <w:sz w:val="18"/>
                <w:szCs w:val="18"/>
              </w:rPr>
            </w:pPr>
            <w:r w:rsidRPr="00AD0D5E">
              <w:rPr>
                <w:rFonts w:ascii="Aptos" w:hAnsi="Aptos"/>
                <w:sz w:val="18"/>
                <w:szCs w:val="18"/>
              </w:rPr>
              <w:t>Unclear</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1D836689"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30D0801E"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41456FAD"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0AFEBECC"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5CD2A61E"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48101D70" w14:textId="77777777" w:rsidR="00615981" w:rsidRPr="00AD0D5E" w:rsidRDefault="00615981" w:rsidP="006C6DF4">
            <w:pPr>
              <w:jc w:val="center"/>
              <w:rPr>
                <w:rFonts w:ascii="Aptos" w:hAnsi="Aptos"/>
                <w:sz w:val="18"/>
                <w:szCs w:val="18"/>
              </w:rPr>
            </w:pPr>
            <w:r w:rsidRPr="00AD0D5E">
              <w:rPr>
                <w:rFonts w:ascii="Aptos" w:hAnsi="Aptos"/>
                <w:sz w:val="18"/>
                <w:szCs w:val="18"/>
              </w:rPr>
              <w:t>Low</w:t>
            </w:r>
          </w:p>
        </w:tc>
        <w:tc>
          <w:tcPr>
            <w:tcW w:w="271" w:type="pct"/>
            <w:tcBorders>
              <w:top w:val="nil"/>
              <w:left w:val="single" w:sz="4" w:space="0" w:color="auto"/>
              <w:bottom w:val="single" w:sz="4" w:space="0" w:color="auto"/>
              <w:right w:val="single" w:sz="4" w:space="0" w:color="auto"/>
            </w:tcBorders>
            <w:shd w:val="clear" w:color="auto" w:fill="F7CAAC" w:themeFill="accent2" w:themeFillTint="66"/>
            <w:vAlign w:val="center"/>
            <w:hideMark/>
          </w:tcPr>
          <w:p w14:paraId="784E4838" w14:textId="77777777" w:rsidR="00615981" w:rsidRPr="00AD0D5E" w:rsidRDefault="00615981" w:rsidP="006C6DF4">
            <w:pPr>
              <w:jc w:val="center"/>
              <w:rPr>
                <w:rFonts w:ascii="Aptos" w:hAnsi="Aptos"/>
                <w:sz w:val="18"/>
                <w:szCs w:val="18"/>
              </w:rPr>
            </w:pPr>
            <w:r w:rsidRPr="00AD0D5E">
              <w:rPr>
                <w:rFonts w:ascii="Aptos" w:hAnsi="Aptos"/>
                <w:sz w:val="18"/>
                <w:szCs w:val="18"/>
              </w:rPr>
              <w:t>High</w:t>
            </w:r>
          </w:p>
        </w:tc>
      </w:tr>
      <w:tr w:rsidR="00AD0D5E" w:rsidRPr="00AD0D5E" w14:paraId="7F5D4FCC"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D9D9D9"/>
            <w:vAlign w:val="center"/>
            <w:hideMark/>
          </w:tcPr>
          <w:p w14:paraId="4ED75354" w14:textId="77777777" w:rsidR="00615981" w:rsidRPr="00AD0D5E" w:rsidRDefault="00615981" w:rsidP="00A71E7E">
            <w:pPr>
              <w:rPr>
                <w:rFonts w:ascii="Aptos" w:hAnsi="Aptos"/>
                <w:sz w:val="18"/>
                <w:szCs w:val="18"/>
              </w:rPr>
            </w:pPr>
            <w:r w:rsidRPr="00AD0D5E">
              <w:rPr>
                <w:rFonts w:ascii="Aptos" w:hAnsi="Aptos"/>
                <w:sz w:val="18"/>
                <w:szCs w:val="18"/>
              </w:rPr>
              <w:t>Risk of bias in the review</w:t>
            </w:r>
          </w:p>
        </w:tc>
        <w:tc>
          <w:tcPr>
            <w:tcW w:w="271" w:type="pct"/>
            <w:tcBorders>
              <w:top w:val="nil"/>
              <w:left w:val="nil"/>
              <w:bottom w:val="single" w:sz="4" w:space="0" w:color="auto"/>
              <w:right w:val="single" w:sz="4" w:space="0" w:color="auto"/>
            </w:tcBorders>
            <w:shd w:val="clear" w:color="000000" w:fill="D9D9D9"/>
            <w:vAlign w:val="center"/>
            <w:hideMark/>
          </w:tcPr>
          <w:p w14:paraId="35A4A67E" w14:textId="7F28D3B8"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2F42203D" w14:textId="5C4F3207"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00636D88" w14:textId="653F1DDE"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695A7881" w14:textId="4169B9FF"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4B4EEAE5" w14:textId="10113824"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73369580" w14:textId="7FA38202"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28BC673F" w14:textId="3EBF8B20"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2BFF2BB9" w14:textId="554922F7"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7CD36049" w14:textId="71CF3D7C" w:rsidR="00615981" w:rsidRPr="00AD0D5E" w:rsidRDefault="00615981" w:rsidP="006C6DF4">
            <w:pPr>
              <w:jc w:val="center"/>
              <w:rPr>
                <w:rFonts w:ascii="Aptos" w:hAnsi="Aptos"/>
                <w:sz w:val="18"/>
                <w:szCs w:val="18"/>
              </w:rPr>
            </w:pPr>
          </w:p>
        </w:tc>
        <w:tc>
          <w:tcPr>
            <w:tcW w:w="271" w:type="pct"/>
            <w:tcBorders>
              <w:top w:val="nil"/>
              <w:left w:val="single" w:sz="4" w:space="0" w:color="auto"/>
              <w:bottom w:val="single" w:sz="4" w:space="0" w:color="auto"/>
              <w:right w:val="single" w:sz="4" w:space="0" w:color="auto"/>
            </w:tcBorders>
            <w:shd w:val="clear" w:color="000000" w:fill="D9D9D9"/>
            <w:vAlign w:val="center"/>
            <w:hideMark/>
          </w:tcPr>
          <w:p w14:paraId="2EB32D94" w14:textId="3676C37F" w:rsidR="00615981" w:rsidRPr="00AD0D5E" w:rsidRDefault="00615981" w:rsidP="006C6DF4">
            <w:pPr>
              <w:jc w:val="center"/>
              <w:rPr>
                <w:rFonts w:ascii="Aptos" w:hAnsi="Aptos"/>
                <w:sz w:val="18"/>
                <w:szCs w:val="18"/>
              </w:rPr>
            </w:pPr>
          </w:p>
        </w:tc>
      </w:tr>
      <w:tr w:rsidR="00AD0D5E" w:rsidRPr="00AD0D5E" w14:paraId="2F065580"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39CB411E" w14:textId="77777777" w:rsidR="00615981" w:rsidRPr="00AD0D5E" w:rsidRDefault="00615981" w:rsidP="00A71E7E">
            <w:pPr>
              <w:rPr>
                <w:rFonts w:ascii="Aptos" w:hAnsi="Aptos"/>
                <w:sz w:val="18"/>
                <w:szCs w:val="18"/>
              </w:rPr>
            </w:pPr>
            <w:r w:rsidRPr="00AD0D5E">
              <w:rPr>
                <w:rFonts w:ascii="Aptos" w:hAnsi="Aptos"/>
                <w:sz w:val="18"/>
                <w:szCs w:val="18"/>
              </w:rPr>
              <w:t>Did the interpretation of findings address all of the concerns identified in Domains 1</w:t>
            </w:r>
            <w:r w:rsidRPr="00AD0D5E">
              <w:rPr>
                <w:rFonts w:ascii="Cambria Math" w:hAnsi="Cambria Math" w:cs="Cambria Math"/>
                <w:sz w:val="18"/>
                <w:szCs w:val="18"/>
              </w:rPr>
              <w:t>‐</w:t>
            </w:r>
            <w:r w:rsidRPr="00AD0D5E">
              <w:rPr>
                <w:rFonts w:ascii="Aptos" w:hAnsi="Aptos"/>
                <w:sz w:val="18"/>
                <w:szCs w:val="18"/>
              </w:rPr>
              <w:t>4?</w:t>
            </w:r>
          </w:p>
        </w:tc>
        <w:tc>
          <w:tcPr>
            <w:tcW w:w="271" w:type="pct"/>
            <w:tcBorders>
              <w:top w:val="nil"/>
              <w:left w:val="nil"/>
              <w:bottom w:val="single" w:sz="4" w:space="0" w:color="auto"/>
              <w:right w:val="single" w:sz="4" w:space="0" w:color="auto"/>
            </w:tcBorders>
            <w:shd w:val="clear" w:color="000000" w:fill="FFFFFF"/>
            <w:vAlign w:val="center"/>
            <w:hideMark/>
          </w:tcPr>
          <w:p w14:paraId="458DE70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BD0F4B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216F48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6A51AD1"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F17041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909C4D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A4F166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1F071DD"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6BEC34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565F676"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5508A056" w14:textId="77777777" w:rsidTr="00E77295">
        <w:trPr>
          <w:trHeight w:val="5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210AE37F" w14:textId="77777777" w:rsidR="00615981" w:rsidRPr="00AD0D5E" w:rsidRDefault="00615981" w:rsidP="00A71E7E">
            <w:pPr>
              <w:rPr>
                <w:rFonts w:ascii="Aptos" w:hAnsi="Aptos"/>
                <w:sz w:val="18"/>
                <w:szCs w:val="18"/>
              </w:rPr>
            </w:pPr>
            <w:r w:rsidRPr="00AD0D5E">
              <w:rPr>
                <w:rFonts w:ascii="Aptos" w:hAnsi="Aptos"/>
                <w:sz w:val="18"/>
                <w:szCs w:val="18"/>
              </w:rPr>
              <w:t>Was the relevance of identified studies to the review's research question appropriately considered?</w:t>
            </w:r>
          </w:p>
        </w:tc>
        <w:tc>
          <w:tcPr>
            <w:tcW w:w="271" w:type="pct"/>
            <w:tcBorders>
              <w:top w:val="nil"/>
              <w:left w:val="nil"/>
              <w:bottom w:val="single" w:sz="4" w:space="0" w:color="auto"/>
              <w:right w:val="single" w:sz="4" w:space="0" w:color="auto"/>
            </w:tcBorders>
            <w:shd w:val="clear" w:color="000000" w:fill="FFFFFF"/>
            <w:vAlign w:val="center"/>
            <w:hideMark/>
          </w:tcPr>
          <w:p w14:paraId="39C64A5E"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6724527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8CB7BD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5029F1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3C64B2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E08392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856898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76F2BA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0402D45B"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4305715"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5784B859" w14:textId="77777777" w:rsidTr="00E77295">
        <w:trPr>
          <w:trHeight w:val="34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46FBDC55" w14:textId="77777777" w:rsidR="00615981" w:rsidRPr="00AD0D5E" w:rsidRDefault="00615981" w:rsidP="00A71E7E">
            <w:pPr>
              <w:rPr>
                <w:rFonts w:ascii="Aptos" w:hAnsi="Aptos"/>
                <w:sz w:val="18"/>
                <w:szCs w:val="18"/>
              </w:rPr>
            </w:pPr>
            <w:r w:rsidRPr="00AD0D5E">
              <w:rPr>
                <w:rFonts w:ascii="Aptos" w:hAnsi="Aptos"/>
                <w:sz w:val="18"/>
                <w:szCs w:val="18"/>
              </w:rPr>
              <w:t>Did the reviewers avoid emphasizing results on the basis of their statistical significance?</w:t>
            </w:r>
          </w:p>
        </w:tc>
        <w:tc>
          <w:tcPr>
            <w:tcW w:w="271" w:type="pct"/>
            <w:tcBorders>
              <w:top w:val="nil"/>
              <w:left w:val="nil"/>
              <w:bottom w:val="single" w:sz="4" w:space="0" w:color="auto"/>
              <w:right w:val="single" w:sz="4" w:space="0" w:color="auto"/>
            </w:tcBorders>
            <w:shd w:val="clear" w:color="000000" w:fill="FFFFFF"/>
            <w:vAlign w:val="center"/>
            <w:hideMark/>
          </w:tcPr>
          <w:p w14:paraId="47408198"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1124D2F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02A7062"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86EC32C"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2B6B594A"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3E05CC90"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402EB60F"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55528637"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6B129B3"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c>
          <w:tcPr>
            <w:tcW w:w="271" w:type="pct"/>
            <w:tcBorders>
              <w:top w:val="nil"/>
              <w:left w:val="single" w:sz="4" w:space="0" w:color="auto"/>
              <w:bottom w:val="single" w:sz="4" w:space="0" w:color="auto"/>
              <w:right w:val="single" w:sz="4" w:space="0" w:color="auto"/>
            </w:tcBorders>
            <w:shd w:val="clear" w:color="000000" w:fill="FFFFFF"/>
            <w:vAlign w:val="center"/>
            <w:hideMark/>
          </w:tcPr>
          <w:p w14:paraId="769671A9" w14:textId="77777777" w:rsidR="00615981" w:rsidRPr="00AD0D5E" w:rsidRDefault="00615981" w:rsidP="006C6DF4">
            <w:pPr>
              <w:jc w:val="center"/>
              <w:rPr>
                <w:rFonts w:ascii="Aptos" w:hAnsi="Aptos"/>
                <w:sz w:val="18"/>
                <w:szCs w:val="18"/>
              </w:rPr>
            </w:pPr>
            <w:r w:rsidRPr="00AD0D5E">
              <w:rPr>
                <w:rFonts w:ascii="Aptos" w:hAnsi="Aptos"/>
                <w:sz w:val="18"/>
                <w:szCs w:val="18"/>
              </w:rPr>
              <w:t>Y</w:t>
            </w:r>
          </w:p>
        </w:tc>
      </w:tr>
      <w:tr w:rsidR="00AD0D5E" w:rsidRPr="00AD0D5E" w14:paraId="71D58F8D" w14:textId="77777777" w:rsidTr="00E77295">
        <w:trPr>
          <w:trHeight w:val="320"/>
        </w:trPr>
        <w:tc>
          <w:tcPr>
            <w:tcW w:w="2287" w:type="pct"/>
            <w:tcBorders>
              <w:top w:val="nil"/>
              <w:left w:val="single" w:sz="4" w:space="0" w:color="auto"/>
              <w:bottom w:val="single" w:sz="4" w:space="0" w:color="auto"/>
              <w:right w:val="single" w:sz="4" w:space="0" w:color="auto"/>
            </w:tcBorders>
            <w:shd w:val="clear" w:color="000000" w:fill="FFFFFF"/>
            <w:vAlign w:val="center"/>
            <w:hideMark/>
          </w:tcPr>
          <w:p w14:paraId="19A10BC5" w14:textId="77777777" w:rsidR="00615981" w:rsidRPr="00AD0D5E" w:rsidRDefault="00615981" w:rsidP="00A71E7E">
            <w:pPr>
              <w:rPr>
                <w:rFonts w:ascii="Aptos" w:hAnsi="Aptos"/>
                <w:sz w:val="18"/>
                <w:szCs w:val="18"/>
              </w:rPr>
            </w:pPr>
            <w:r w:rsidRPr="00AD0D5E">
              <w:rPr>
                <w:rFonts w:ascii="Aptos" w:hAnsi="Aptos"/>
                <w:sz w:val="18"/>
                <w:szCs w:val="18"/>
              </w:rPr>
              <w:t>Overall risk of bias</w:t>
            </w:r>
          </w:p>
        </w:tc>
        <w:tc>
          <w:tcPr>
            <w:tcW w:w="271" w:type="pct"/>
            <w:tcBorders>
              <w:top w:val="nil"/>
              <w:left w:val="nil"/>
              <w:bottom w:val="single" w:sz="4" w:space="0" w:color="auto"/>
              <w:right w:val="single" w:sz="4" w:space="0" w:color="auto"/>
            </w:tcBorders>
            <w:shd w:val="clear" w:color="000000" w:fill="E2EFDA"/>
            <w:vAlign w:val="center"/>
            <w:hideMark/>
          </w:tcPr>
          <w:p w14:paraId="524D4B73" w14:textId="77777777" w:rsidR="00615981" w:rsidRPr="00AD0D5E" w:rsidRDefault="00615981" w:rsidP="006C6DF4">
            <w:pPr>
              <w:jc w:val="center"/>
              <w:rPr>
                <w:rFonts w:ascii="Aptos" w:hAnsi="Aptos"/>
                <w:sz w:val="18"/>
                <w:szCs w:val="18"/>
              </w:rPr>
            </w:pPr>
            <w:r w:rsidRPr="00AD0D5E">
              <w:rPr>
                <w:rFonts w:ascii="Aptos" w:hAnsi="Aptos"/>
                <w:sz w:val="18"/>
                <w:szCs w:val="18"/>
              </w:rPr>
              <w:t>Low risk</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0F47CE32" w14:textId="77777777" w:rsidR="00615981" w:rsidRPr="00AD0D5E" w:rsidRDefault="00615981" w:rsidP="006C6DF4">
            <w:pPr>
              <w:jc w:val="center"/>
              <w:rPr>
                <w:rFonts w:ascii="Aptos" w:hAnsi="Aptos"/>
                <w:sz w:val="18"/>
                <w:szCs w:val="18"/>
              </w:rPr>
            </w:pPr>
            <w:r w:rsidRPr="00AD0D5E">
              <w:rPr>
                <w:rFonts w:ascii="Aptos" w:hAnsi="Aptos"/>
                <w:sz w:val="18"/>
                <w:szCs w:val="18"/>
              </w:rPr>
              <w:t>Low risk</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26856140" w14:textId="77777777" w:rsidR="00615981" w:rsidRPr="00AD0D5E" w:rsidRDefault="00615981" w:rsidP="006C6DF4">
            <w:pPr>
              <w:jc w:val="center"/>
              <w:rPr>
                <w:rFonts w:ascii="Aptos" w:hAnsi="Aptos"/>
                <w:sz w:val="18"/>
                <w:szCs w:val="18"/>
              </w:rPr>
            </w:pPr>
            <w:r w:rsidRPr="00AD0D5E">
              <w:rPr>
                <w:rFonts w:ascii="Aptos" w:hAnsi="Aptos"/>
                <w:sz w:val="18"/>
                <w:szCs w:val="18"/>
              </w:rPr>
              <w:t>Unclear risk</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4EB3C8FB" w14:textId="77777777" w:rsidR="00615981" w:rsidRPr="00AD0D5E" w:rsidRDefault="00615981" w:rsidP="006C6DF4">
            <w:pPr>
              <w:jc w:val="center"/>
              <w:rPr>
                <w:rFonts w:ascii="Aptos" w:hAnsi="Aptos"/>
                <w:sz w:val="18"/>
                <w:szCs w:val="18"/>
              </w:rPr>
            </w:pPr>
            <w:r w:rsidRPr="00AD0D5E">
              <w:rPr>
                <w:rFonts w:ascii="Aptos" w:hAnsi="Aptos"/>
                <w:sz w:val="18"/>
                <w:szCs w:val="18"/>
              </w:rPr>
              <w:t>Low risk</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36FCC4F1" w14:textId="77777777" w:rsidR="00615981" w:rsidRPr="00AD0D5E" w:rsidRDefault="00615981" w:rsidP="006C6DF4">
            <w:pPr>
              <w:jc w:val="center"/>
              <w:rPr>
                <w:rFonts w:ascii="Aptos" w:hAnsi="Aptos"/>
                <w:sz w:val="18"/>
                <w:szCs w:val="18"/>
              </w:rPr>
            </w:pPr>
            <w:r w:rsidRPr="00AD0D5E">
              <w:rPr>
                <w:rFonts w:ascii="Aptos" w:hAnsi="Aptos"/>
                <w:sz w:val="18"/>
                <w:szCs w:val="18"/>
              </w:rPr>
              <w:t>Low risk</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421616E7" w14:textId="77777777" w:rsidR="00615981" w:rsidRPr="00AD0D5E" w:rsidRDefault="00615981" w:rsidP="006C6DF4">
            <w:pPr>
              <w:jc w:val="center"/>
              <w:rPr>
                <w:rFonts w:ascii="Aptos" w:hAnsi="Aptos"/>
                <w:sz w:val="18"/>
                <w:szCs w:val="18"/>
              </w:rPr>
            </w:pPr>
            <w:r w:rsidRPr="00AD0D5E">
              <w:rPr>
                <w:rFonts w:ascii="Aptos" w:hAnsi="Aptos"/>
                <w:sz w:val="18"/>
                <w:szCs w:val="18"/>
              </w:rPr>
              <w:t>Low risk</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2176B2DC" w14:textId="77777777" w:rsidR="00615981" w:rsidRPr="00AD0D5E" w:rsidRDefault="00615981" w:rsidP="006C6DF4">
            <w:pPr>
              <w:jc w:val="center"/>
              <w:rPr>
                <w:rFonts w:ascii="Aptos" w:hAnsi="Aptos"/>
                <w:sz w:val="18"/>
                <w:szCs w:val="18"/>
              </w:rPr>
            </w:pPr>
            <w:r w:rsidRPr="00AD0D5E">
              <w:rPr>
                <w:rFonts w:ascii="Aptos" w:hAnsi="Aptos"/>
                <w:sz w:val="18"/>
                <w:szCs w:val="18"/>
              </w:rPr>
              <w:t>Low risk</w:t>
            </w:r>
          </w:p>
        </w:tc>
        <w:tc>
          <w:tcPr>
            <w:tcW w:w="271" w:type="pct"/>
            <w:tcBorders>
              <w:top w:val="nil"/>
              <w:left w:val="single" w:sz="4" w:space="0" w:color="auto"/>
              <w:bottom w:val="single" w:sz="4" w:space="0" w:color="auto"/>
              <w:right w:val="single" w:sz="4" w:space="0" w:color="auto"/>
            </w:tcBorders>
            <w:shd w:val="clear" w:color="000000" w:fill="E2EFDA"/>
            <w:vAlign w:val="center"/>
            <w:hideMark/>
          </w:tcPr>
          <w:p w14:paraId="79D8E2E5" w14:textId="77777777" w:rsidR="00615981" w:rsidRPr="00AD0D5E" w:rsidRDefault="00615981" w:rsidP="006C6DF4">
            <w:pPr>
              <w:jc w:val="center"/>
              <w:rPr>
                <w:rFonts w:ascii="Aptos" w:hAnsi="Aptos"/>
                <w:sz w:val="18"/>
                <w:szCs w:val="18"/>
              </w:rPr>
            </w:pPr>
            <w:r w:rsidRPr="00AD0D5E">
              <w:rPr>
                <w:rFonts w:ascii="Aptos" w:hAnsi="Aptos"/>
                <w:sz w:val="18"/>
                <w:szCs w:val="18"/>
              </w:rPr>
              <w:t>Low risk</w:t>
            </w:r>
          </w:p>
        </w:tc>
        <w:tc>
          <w:tcPr>
            <w:tcW w:w="271" w:type="pct"/>
            <w:tcBorders>
              <w:top w:val="nil"/>
              <w:left w:val="single" w:sz="4" w:space="0" w:color="auto"/>
              <w:bottom w:val="single" w:sz="4" w:space="0" w:color="auto"/>
              <w:right w:val="single" w:sz="4" w:space="0" w:color="auto"/>
            </w:tcBorders>
            <w:shd w:val="clear" w:color="000000" w:fill="FFF2CC"/>
            <w:vAlign w:val="center"/>
            <w:hideMark/>
          </w:tcPr>
          <w:p w14:paraId="65CCBD99" w14:textId="77777777" w:rsidR="00615981" w:rsidRPr="00AD0D5E" w:rsidRDefault="00615981" w:rsidP="006C6DF4">
            <w:pPr>
              <w:jc w:val="center"/>
              <w:rPr>
                <w:rFonts w:ascii="Aptos" w:hAnsi="Aptos"/>
                <w:sz w:val="18"/>
                <w:szCs w:val="18"/>
              </w:rPr>
            </w:pPr>
            <w:r w:rsidRPr="00AD0D5E">
              <w:rPr>
                <w:rFonts w:ascii="Aptos" w:hAnsi="Aptos"/>
                <w:sz w:val="18"/>
                <w:szCs w:val="18"/>
              </w:rPr>
              <w:t>Unclear risk</w:t>
            </w:r>
          </w:p>
        </w:tc>
        <w:tc>
          <w:tcPr>
            <w:tcW w:w="271" w:type="pct"/>
            <w:tcBorders>
              <w:top w:val="nil"/>
              <w:left w:val="single" w:sz="4" w:space="0" w:color="auto"/>
              <w:bottom w:val="single" w:sz="4" w:space="0" w:color="auto"/>
              <w:right w:val="single" w:sz="4" w:space="0" w:color="auto"/>
            </w:tcBorders>
            <w:shd w:val="clear" w:color="auto" w:fill="F2C0AC"/>
            <w:vAlign w:val="center"/>
            <w:hideMark/>
          </w:tcPr>
          <w:p w14:paraId="6006845C" w14:textId="77777777" w:rsidR="00615981" w:rsidRPr="00AD0D5E" w:rsidRDefault="00615981" w:rsidP="006C6DF4">
            <w:pPr>
              <w:jc w:val="center"/>
              <w:rPr>
                <w:rFonts w:ascii="Aptos" w:hAnsi="Aptos"/>
                <w:sz w:val="18"/>
                <w:szCs w:val="18"/>
              </w:rPr>
            </w:pPr>
            <w:r w:rsidRPr="00AD0D5E">
              <w:rPr>
                <w:rFonts w:ascii="Aptos" w:hAnsi="Aptos"/>
                <w:sz w:val="18"/>
                <w:szCs w:val="18"/>
              </w:rPr>
              <w:t>High risk</w:t>
            </w:r>
          </w:p>
        </w:tc>
      </w:tr>
    </w:tbl>
    <w:p w14:paraId="38A2E59D" w14:textId="77777777" w:rsidR="00881574" w:rsidRPr="00D518FF" w:rsidRDefault="00881574" w:rsidP="00AA72BD">
      <w:pPr>
        <w:rPr>
          <w:rFonts w:ascii="Aptos" w:hAnsi="Aptos" w:cs="Arial"/>
          <w:sz w:val="16"/>
          <w:szCs w:val="16"/>
        </w:rPr>
      </w:pPr>
    </w:p>
    <w:p w14:paraId="685FAFED" w14:textId="77777777" w:rsidR="009E4D3F" w:rsidRPr="00D518FF" w:rsidRDefault="009E4D3F" w:rsidP="00AA72BD">
      <w:pPr>
        <w:rPr>
          <w:rFonts w:ascii="Aptos" w:hAnsi="Aptos" w:cs="Arial"/>
          <w:color w:val="000000" w:themeColor="text1"/>
          <w:sz w:val="14"/>
          <w:szCs w:val="14"/>
        </w:rPr>
      </w:pPr>
    </w:p>
    <w:p w14:paraId="00F08E07" w14:textId="77777777" w:rsidR="00A740A6" w:rsidRDefault="00A740A6" w:rsidP="00AA72BD">
      <w:pPr>
        <w:rPr>
          <w:rFonts w:ascii="Aptos" w:hAnsi="Aptos" w:cs="Arial"/>
          <w:color w:val="000000" w:themeColor="text1"/>
          <w:sz w:val="14"/>
          <w:szCs w:val="14"/>
        </w:rPr>
        <w:sectPr w:rsidR="00A740A6" w:rsidSect="0046678E">
          <w:pgSz w:w="16838" w:h="11906" w:orient="landscape"/>
          <w:pgMar w:top="1378" w:right="1210" w:bottom="1314" w:left="1373" w:header="708" w:footer="708" w:gutter="0"/>
          <w:cols w:space="708"/>
          <w:docGrid w:linePitch="360"/>
        </w:sectPr>
      </w:pPr>
    </w:p>
    <w:p w14:paraId="13F48802" w14:textId="77777777" w:rsidR="008F3151" w:rsidRPr="00B53559" w:rsidRDefault="008F3151" w:rsidP="008F3151">
      <w:pPr>
        <w:pStyle w:val="Heading1"/>
        <w:rPr>
          <w:rFonts w:ascii="Aptos" w:hAnsi="Aptos"/>
          <w:b/>
          <w:bCs w:val="0"/>
          <w:color w:val="C00000"/>
        </w:rPr>
      </w:pPr>
      <w:bookmarkStart w:id="228" w:name="_Toc185254676"/>
      <w:r w:rsidRPr="00B53559">
        <w:rPr>
          <w:rFonts w:ascii="Aptos" w:hAnsi="Aptos"/>
          <w:b/>
          <w:bCs w:val="0"/>
          <w:color w:val="C00000"/>
        </w:rPr>
        <w:lastRenderedPageBreak/>
        <w:t>Differences between protocol and overview</w:t>
      </w:r>
      <w:bookmarkEnd w:id="228"/>
    </w:p>
    <w:p w14:paraId="27127E3C" w14:textId="1801A26E" w:rsidR="008F3151" w:rsidRDefault="008F3151" w:rsidP="008F3151">
      <w:pPr>
        <w:pStyle w:val="heading2numbers"/>
      </w:pPr>
      <w:bookmarkStart w:id="229" w:name="_Toc185254677"/>
      <w:r w:rsidRPr="00D518FF">
        <w:t>Methods not implemented</w:t>
      </w:r>
      <w:bookmarkEnd w:id="229"/>
    </w:p>
    <w:p w14:paraId="679AE649" w14:textId="63A75AA0" w:rsidR="00714CCE" w:rsidRPr="00D518FF" w:rsidRDefault="00263AD8" w:rsidP="00FB0E6D">
      <w:pPr>
        <w:pStyle w:val="heading3numbers"/>
      </w:pPr>
      <w:bookmarkStart w:id="230" w:name="_Toc185254678"/>
      <w:r>
        <w:t>Types of reviews</w:t>
      </w:r>
      <w:bookmarkEnd w:id="230"/>
    </w:p>
    <w:p w14:paraId="16B0E25A" w14:textId="77777777" w:rsidR="00263AD8" w:rsidRDefault="00263AD8" w:rsidP="00263AD8">
      <w:pPr>
        <w:pStyle w:val="ListParagraph"/>
        <w:numPr>
          <w:ilvl w:val="0"/>
          <w:numId w:val="29"/>
        </w:numPr>
        <w:spacing w:before="120" w:after="120"/>
        <w:ind w:left="426"/>
        <w:rPr>
          <w:rFonts w:ascii="Aptos" w:hAnsi="Aptos" w:cs="Arial"/>
          <w:b/>
          <w:bCs/>
          <w:sz w:val="21"/>
          <w:szCs w:val="21"/>
        </w:rPr>
      </w:pPr>
      <w:r w:rsidRPr="009F12EB">
        <w:rPr>
          <w:rFonts w:ascii="Aptos" w:hAnsi="Aptos" w:cs="Arial"/>
          <w:b/>
          <w:bCs/>
          <w:sz w:val="21"/>
          <w:szCs w:val="21"/>
        </w:rPr>
        <w:t xml:space="preserve">Criteria for </w:t>
      </w:r>
      <w:r w:rsidRPr="00B94960">
        <w:rPr>
          <w:rFonts w:ascii="Aptos" w:hAnsi="Aptos" w:cs="Arial"/>
          <w:b/>
          <w:bCs/>
          <w:sz w:val="21"/>
          <w:szCs w:val="21"/>
        </w:rPr>
        <w:t>considering reviews for</w:t>
      </w:r>
      <w:r w:rsidRPr="009F12EB">
        <w:rPr>
          <w:rFonts w:ascii="Aptos" w:hAnsi="Aptos" w:cs="Arial"/>
          <w:b/>
          <w:bCs/>
          <w:sz w:val="21"/>
          <w:szCs w:val="21"/>
        </w:rPr>
        <w:t xml:space="preserve"> this </w:t>
      </w:r>
      <w:r>
        <w:rPr>
          <w:rFonts w:ascii="Aptos" w:hAnsi="Aptos" w:cs="Arial"/>
          <w:b/>
          <w:bCs/>
          <w:sz w:val="21"/>
          <w:szCs w:val="21"/>
        </w:rPr>
        <w:t>o</w:t>
      </w:r>
      <w:r w:rsidRPr="009F12EB">
        <w:rPr>
          <w:rFonts w:ascii="Aptos" w:hAnsi="Aptos" w:cs="Arial"/>
          <w:b/>
          <w:bCs/>
          <w:sz w:val="21"/>
          <w:szCs w:val="21"/>
        </w:rPr>
        <w:t>verview</w:t>
      </w:r>
      <w:r>
        <w:rPr>
          <w:rFonts w:ascii="Aptos" w:hAnsi="Aptos" w:cs="Arial"/>
          <w:b/>
          <w:bCs/>
          <w:sz w:val="21"/>
          <w:szCs w:val="21"/>
        </w:rPr>
        <w:t xml:space="preserve"> – Review is up to date</w:t>
      </w:r>
    </w:p>
    <w:p w14:paraId="1AE851E4" w14:textId="77777777" w:rsidR="00263AD8" w:rsidRPr="00E97946" w:rsidRDefault="00263AD8" w:rsidP="00263AD8">
      <w:pPr>
        <w:pStyle w:val="ListParagraph"/>
        <w:spacing w:before="120" w:after="120"/>
        <w:ind w:left="426"/>
        <w:contextualSpacing w:val="0"/>
      </w:pPr>
      <w:r w:rsidRPr="009F12EB">
        <w:rPr>
          <w:rFonts w:ascii="Aptos" w:hAnsi="Aptos" w:cs="Arial"/>
          <w:sz w:val="21"/>
          <w:szCs w:val="21"/>
        </w:rPr>
        <w:t>This criterion was listed in the protocol as “</w:t>
      </w:r>
      <w:r w:rsidRPr="002F0569">
        <w:rPr>
          <w:rFonts w:ascii="Aptos" w:hAnsi="Aptos" w:cs="Arial"/>
          <w:sz w:val="21"/>
          <w:szCs w:val="21"/>
        </w:rPr>
        <w:t>Additional primary studies which may impact conclusions of the systematic review are not available. This will be confirmed by searching MEDLINE from the date of final search in the systematic review</w:t>
      </w:r>
      <w:r>
        <w:rPr>
          <w:rFonts w:ascii="Aptos" w:hAnsi="Aptos" w:cs="Arial"/>
          <w:sz w:val="21"/>
          <w:szCs w:val="21"/>
        </w:rPr>
        <w:t xml:space="preserve">”. Per “inclusion of supplemental primary studies” deviation, given the volume of primary studies across all included PICOs, this was determined as not feasible. The impact of potentially more recent primary studies than the included systematic review are noted in limitations of the overview. </w:t>
      </w:r>
    </w:p>
    <w:p w14:paraId="5D9A5E56" w14:textId="5E6DAACE" w:rsidR="00263AD8" w:rsidRPr="00D518FF" w:rsidRDefault="00263AD8" w:rsidP="00263AD8">
      <w:pPr>
        <w:pStyle w:val="ListParagraph"/>
        <w:numPr>
          <w:ilvl w:val="0"/>
          <w:numId w:val="29"/>
        </w:numPr>
        <w:spacing w:before="120" w:after="120"/>
        <w:ind w:left="426"/>
        <w:rPr>
          <w:rFonts w:ascii="Aptos" w:hAnsi="Aptos" w:cs="Arial"/>
          <w:b/>
          <w:bCs/>
          <w:sz w:val="21"/>
          <w:szCs w:val="21"/>
        </w:rPr>
      </w:pPr>
      <w:r w:rsidRPr="009F12EB">
        <w:rPr>
          <w:rFonts w:ascii="Aptos" w:hAnsi="Aptos" w:cs="Arial"/>
          <w:b/>
          <w:bCs/>
          <w:sz w:val="21"/>
          <w:szCs w:val="21"/>
        </w:rPr>
        <w:t xml:space="preserve">Criteria for </w:t>
      </w:r>
      <w:r w:rsidRPr="00B94960">
        <w:rPr>
          <w:rFonts w:ascii="Aptos" w:hAnsi="Aptos" w:cs="Arial"/>
          <w:b/>
          <w:bCs/>
          <w:sz w:val="21"/>
          <w:szCs w:val="21"/>
        </w:rPr>
        <w:t>considering reviews for</w:t>
      </w:r>
      <w:r w:rsidRPr="009F12EB">
        <w:rPr>
          <w:rFonts w:ascii="Aptos" w:hAnsi="Aptos" w:cs="Arial"/>
          <w:b/>
          <w:bCs/>
          <w:sz w:val="21"/>
          <w:szCs w:val="21"/>
        </w:rPr>
        <w:t xml:space="preserve"> this </w:t>
      </w:r>
      <w:r>
        <w:rPr>
          <w:rFonts w:ascii="Aptos" w:hAnsi="Aptos" w:cs="Arial"/>
          <w:b/>
          <w:bCs/>
          <w:sz w:val="21"/>
          <w:szCs w:val="21"/>
        </w:rPr>
        <w:t>o</w:t>
      </w:r>
      <w:r w:rsidRPr="009F12EB">
        <w:rPr>
          <w:rFonts w:ascii="Aptos" w:hAnsi="Aptos" w:cs="Arial"/>
          <w:b/>
          <w:bCs/>
          <w:sz w:val="21"/>
          <w:szCs w:val="21"/>
        </w:rPr>
        <w:t>verview</w:t>
      </w:r>
      <w:r>
        <w:rPr>
          <w:rFonts w:ascii="Aptos" w:hAnsi="Aptos" w:cs="Arial"/>
          <w:b/>
          <w:bCs/>
          <w:sz w:val="21"/>
          <w:szCs w:val="21"/>
        </w:rPr>
        <w:t xml:space="preserve"> – </w:t>
      </w:r>
      <w:r w:rsidRPr="00D518FF">
        <w:rPr>
          <w:rFonts w:ascii="Aptos" w:hAnsi="Aptos" w:cs="Arial"/>
          <w:b/>
          <w:bCs/>
          <w:sz w:val="21"/>
          <w:szCs w:val="21"/>
        </w:rPr>
        <w:t>Best practice methods are used</w:t>
      </w:r>
    </w:p>
    <w:p w14:paraId="0621E02A" w14:textId="77777777" w:rsidR="00263AD8" w:rsidRDefault="00263AD8" w:rsidP="00263AD8">
      <w:pPr>
        <w:spacing w:before="120" w:after="120"/>
        <w:ind w:left="426"/>
        <w:rPr>
          <w:rFonts w:ascii="Aptos" w:hAnsi="Aptos" w:cs="Arial"/>
          <w:sz w:val="21"/>
          <w:szCs w:val="21"/>
        </w:rPr>
      </w:pPr>
      <w:r w:rsidRPr="009F12EB">
        <w:rPr>
          <w:rFonts w:ascii="Aptos" w:hAnsi="Aptos" w:cs="Arial"/>
          <w:sz w:val="21"/>
          <w:szCs w:val="21"/>
        </w:rPr>
        <w:t xml:space="preserve">This criterion was listed in the protocol as </w:t>
      </w:r>
      <w:r>
        <w:rPr>
          <w:rFonts w:ascii="Aptos" w:hAnsi="Aptos" w:cs="Arial"/>
          <w:sz w:val="21"/>
          <w:szCs w:val="21"/>
        </w:rPr>
        <w:t>“</w:t>
      </w:r>
      <w:r w:rsidRPr="00D518FF">
        <w:rPr>
          <w:rFonts w:ascii="Aptos" w:hAnsi="Aptos" w:cs="Arial"/>
          <w:sz w:val="21"/>
          <w:szCs w:val="21"/>
        </w:rPr>
        <w:t>Appropriate methodologies and risk of bias tools must be used</w:t>
      </w:r>
      <w:r>
        <w:rPr>
          <w:rFonts w:ascii="Aptos" w:hAnsi="Aptos" w:cs="Arial"/>
          <w:sz w:val="21"/>
          <w:szCs w:val="21"/>
        </w:rPr>
        <w:t xml:space="preserve">”. When conducting screening and assessment of studies, this criterion was considered vague and potentially excluding reviews which could be used with the concerns addressed in the overview. The concerns </w:t>
      </w:r>
      <w:r w:rsidRPr="00A900C1">
        <w:rPr>
          <w:rFonts w:ascii="Aptos" w:hAnsi="Aptos" w:cs="Arial"/>
          <w:sz w:val="21"/>
          <w:szCs w:val="21"/>
        </w:rPr>
        <w:t>about</w:t>
      </w:r>
      <w:r>
        <w:rPr>
          <w:rFonts w:ascii="Aptos" w:hAnsi="Aptos" w:cs="Arial"/>
          <w:sz w:val="21"/>
          <w:szCs w:val="21"/>
        </w:rPr>
        <w:t xml:space="preserve"> methodological rigour of the included reviews were addressed with ROBIS and in GRADE assessments.</w:t>
      </w:r>
    </w:p>
    <w:p w14:paraId="6B556271" w14:textId="00B9299E" w:rsidR="00263AD8" w:rsidRPr="00E17157" w:rsidRDefault="00263AD8" w:rsidP="00E17157">
      <w:pPr>
        <w:pStyle w:val="heading3numbers"/>
      </w:pPr>
      <w:bookmarkStart w:id="231" w:name="_Toc185254679"/>
      <w:r>
        <w:t xml:space="preserve">Types of </w:t>
      </w:r>
      <w:r w:rsidR="00630BFE">
        <w:t>participants, interventions comparators and outcomes</w:t>
      </w:r>
      <w:bookmarkEnd w:id="231"/>
    </w:p>
    <w:p w14:paraId="0B817E8B" w14:textId="77777777" w:rsidR="008F3151" w:rsidRPr="00D518FF" w:rsidRDefault="008F3151" w:rsidP="00A4650A">
      <w:pPr>
        <w:pStyle w:val="ListParagraph"/>
        <w:numPr>
          <w:ilvl w:val="0"/>
          <w:numId w:val="29"/>
        </w:numPr>
        <w:spacing w:before="120" w:after="120"/>
        <w:ind w:left="426"/>
        <w:rPr>
          <w:rFonts w:ascii="Aptos" w:hAnsi="Aptos" w:cs="Arial"/>
          <w:sz w:val="21"/>
          <w:szCs w:val="21"/>
        </w:rPr>
      </w:pPr>
      <w:r w:rsidRPr="00D518FF">
        <w:rPr>
          <w:rFonts w:ascii="Aptos" w:hAnsi="Aptos" w:cs="Arial"/>
          <w:b/>
          <w:bCs/>
          <w:sz w:val="21"/>
          <w:szCs w:val="21"/>
        </w:rPr>
        <w:t>Primary study overlap.</w:t>
      </w:r>
      <w:r w:rsidRPr="00D518FF">
        <w:rPr>
          <w:rFonts w:ascii="Aptos" w:hAnsi="Aptos" w:cs="Arial"/>
          <w:sz w:val="21"/>
          <w:szCs w:val="21"/>
        </w:rPr>
        <w:t xml:space="preserve"> </w:t>
      </w:r>
    </w:p>
    <w:p w14:paraId="01E05D90" w14:textId="10F40124" w:rsidR="008F3151" w:rsidRDefault="008F3151" w:rsidP="008F3151">
      <w:pPr>
        <w:pStyle w:val="ListParagraph"/>
        <w:spacing w:before="120" w:after="120"/>
        <w:ind w:left="426"/>
        <w:contextualSpacing w:val="0"/>
        <w:rPr>
          <w:rFonts w:ascii="Aptos" w:hAnsi="Aptos" w:cs="Arial"/>
          <w:sz w:val="21"/>
          <w:szCs w:val="21"/>
        </w:rPr>
      </w:pPr>
      <w:r w:rsidRPr="00D518FF">
        <w:rPr>
          <w:rFonts w:ascii="Aptos" w:hAnsi="Aptos" w:cs="Arial"/>
          <w:sz w:val="21"/>
          <w:szCs w:val="21"/>
        </w:rPr>
        <w:t xml:space="preserve">We had listed in the protocol that the degree of overlap would be addressed using corrected covered area. In completing the </w:t>
      </w:r>
      <w:r w:rsidR="00A2182D">
        <w:rPr>
          <w:rFonts w:ascii="Aptos" w:hAnsi="Aptos" w:cs="Arial"/>
          <w:sz w:val="21"/>
          <w:szCs w:val="21"/>
        </w:rPr>
        <w:t>o</w:t>
      </w:r>
      <w:r w:rsidRPr="00D518FF">
        <w:rPr>
          <w:rFonts w:ascii="Aptos" w:hAnsi="Aptos" w:cs="Arial"/>
          <w:sz w:val="21"/>
          <w:szCs w:val="21"/>
        </w:rPr>
        <w:t xml:space="preserve">verview, we determined this was no longer necessary considering </w:t>
      </w:r>
      <w:r w:rsidR="00A95BA3" w:rsidRPr="00A95BA3">
        <w:rPr>
          <w:rFonts w:ascii="Aptos" w:hAnsi="Aptos" w:cs="Arial"/>
          <w:sz w:val="21"/>
          <w:szCs w:val="21"/>
        </w:rPr>
        <w:t xml:space="preserve">results </w:t>
      </w:r>
      <w:r w:rsidR="00A95BA3">
        <w:rPr>
          <w:rFonts w:ascii="Aptos" w:hAnsi="Aptos" w:cs="Arial"/>
          <w:sz w:val="21"/>
          <w:szCs w:val="21"/>
        </w:rPr>
        <w:t>were</w:t>
      </w:r>
      <w:r w:rsidR="00A95BA3" w:rsidRPr="00A95BA3">
        <w:rPr>
          <w:rFonts w:ascii="Aptos" w:hAnsi="Aptos" w:cs="Arial"/>
          <w:sz w:val="21"/>
          <w:szCs w:val="21"/>
        </w:rPr>
        <w:t xml:space="preserve"> reported from one </w:t>
      </w:r>
      <w:r w:rsidR="00A95BA3">
        <w:rPr>
          <w:rFonts w:ascii="Aptos" w:hAnsi="Aptos" w:cs="Arial"/>
          <w:sz w:val="21"/>
          <w:szCs w:val="21"/>
        </w:rPr>
        <w:t>systematic review</w:t>
      </w:r>
      <w:r w:rsidR="00A95BA3" w:rsidRPr="00A95BA3">
        <w:rPr>
          <w:rFonts w:ascii="Aptos" w:hAnsi="Aptos" w:cs="Arial"/>
          <w:sz w:val="21"/>
          <w:szCs w:val="21"/>
        </w:rPr>
        <w:t xml:space="preserve"> only for each PICO. </w:t>
      </w:r>
      <w:r w:rsidR="00A95BA3">
        <w:rPr>
          <w:rFonts w:ascii="Aptos" w:hAnsi="Aptos" w:cs="Arial"/>
          <w:sz w:val="21"/>
          <w:szCs w:val="21"/>
        </w:rPr>
        <w:t>Therefore,</w:t>
      </w:r>
      <w:r w:rsidR="00A95BA3" w:rsidRPr="00A95BA3">
        <w:rPr>
          <w:rFonts w:ascii="Aptos" w:hAnsi="Aptos" w:cs="Arial"/>
          <w:sz w:val="21"/>
          <w:szCs w:val="21"/>
        </w:rPr>
        <w:t xml:space="preserve"> for any particular comparison and outcome, there </w:t>
      </w:r>
      <w:r w:rsidR="00A95BA3">
        <w:rPr>
          <w:rFonts w:ascii="Aptos" w:hAnsi="Aptos" w:cs="Arial"/>
          <w:sz w:val="21"/>
          <w:szCs w:val="21"/>
        </w:rPr>
        <w:t>was</w:t>
      </w:r>
      <w:r w:rsidR="00A95BA3" w:rsidRPr="00A95BA3">
        <w:rPr>
          <w:rFonts w:ascii="Aptos" w:hAnsi="Aptos" w:cs="Arial"/>
          <w:sz w:val="21"/>
          <w:szCs w:val="21"/>
        </w:rPr>
        <w:t xml:space="preserve"> not overlap in primary studies.</w:t>
      </w:r>
    </w:p>
    <w:p w14:paraId="019A2685" w14:textId="54F8EEF4" w:rsidR="002D5393" w:rsidRPr="00630BFE" w:rsidRDefault="00630BFE" w:rsidP="00E17157">
      <w:pPr>
        <w:pStyle w:val="heading3numbers"/>
        <w:rPr>
          <w:rFonts w:ascii="Montserrat" w:hAnsi="Montserrat"/>
        </w:rPr>
      </w:pPr>
      <w:bookmarkStart w:id="232" w:name="_Toc185254680"/>
      <w:r>
        <w:t>Review selection</w:t>
      </w:r>
      <w:bookmarkEnd w:id="232"/>
    </w:p>
    <w:p w14:paraId="1772003B" w14:textId="77777777" w:rsidR="008F3151" w:rsidRPr="00D518FF" w:rsidRDefault="008F3151" w:rsidP="00A4650A">
      <w:pPr>
        <w:pStyle w:val="ListParagraph"/>
        <w:numPr>
          <w:ilvl w:val="0"/>
          <w:numId w:val="29"/>
        </w:numPr>
        <w:spacing w:before="120" w:after="120"/>
        <w:ind w:left="426"/>
        <w:rPr>
          <w:rFonts w:ascii="Aptos" w:hAnsi="Aptos" w:cs="Arial"/>
          <w:sz w:val="21"/>
          <w:szCs w:val="21"/>
        </w:rPr>
      </w:pPr>
      <w:r w:rsidRPr="00D518FF">
        <w:rPr>
          <w:rFonts w:ascii="Aptos" w:hAnsi="Aptos" w:cs="Arial"/>
          <w:b/>
          <w:bCs/>
          <w:sz w:val="21"/>
          <w:szCs w:val="21"/>
        </w:rPr>
        <w:t>Inclusion of supplemental primary studies.</w:t>
      </w:r>
      <w:r w:rsidRPr="00D518FF">
        <w:rPr>
          <w:rFonts w:ascii="Aptos" w:hAnsi="Aptos" w:cs="Arial"/>
          <w:sz w:val="21"/>
          <w:szCs w:val="21"/>
        </w:rPr>
        <w:t xml:space="preserve"> </w:t>
      </w:r>
    </w:p>
    <w:p w14:paraId="0B7FA3A4" w14:textId="583D4AC1" w:rsidR="008F3151" w:rsidRDefault="000E42C2" w:rsidP="008F3151">
      <w:pPr>
        <w:pStyle w:val="ListParagraph"/>
        <w:spacing w:before="120" w:after="120"/>
        <w:ind w:left="426"/>
        <w:contextualSpacing w:val="0"/>
        <w:rPr>
          <w:rFonts w:ascii="Aptos" w:hAnsi="Aptos" w:cs="Arial"/>
          <w:sz w:val="21"/>
          <w:szCs w:val="21"/>
        </w:rPr>
      </w:pPr>
      <w:r>
        <w:rPr>
          <w:rFonts w:ascii="Aptos" w:hAnsi="Aptos" w:cs="Arial"/>
          <w:sz w:val="21"/>
          <w:szCs w:val="21"/>
        </w:rPr>
        <w:t>The protocol allowed for inclusion of supplementary studies w</w:t>
      </w:r>
      <w:r w:rsidR="00096AF8">
        <w:rPr>
          <w:rFonts w:ascii="Aptos" w:hAnsi="Aptos" w:cs="Arial"/>
          <w:sz w:val="21"/>
          <w:szCs w:val="21"/>
        </w:rPr>
        <w:t>h</w:t>
      </w:r>
      <w:r>
        <w:rPr>
          <w:rFonts w:ascii="Aptos" w:hAnsi="Aptos" w:cs="Arial"/>
          <w:sz w:val="21"/>
          <w:szCs w:val="21"/>
        </w:rPr>
        <w:t xml:space="preserve">ere </w:t>
      </w:r>
      <w:r w:rsidR="006F792F">
        <w:rPr>
          <w:rFonts w:ascii="Aptos" w:hAnsi="Aptos" w:cs="Arial"/>
          <w:sz w:val="21"/>
          <w:szCs w:val="21"/>
        </w:rPr>
        <w:t>a</w:t>
      </w:r>
      <w:r>
        <w:rPr>
          <w:rFonts w:ascii="Aptos" w:hAnsi="Aptos" w:cs="Arial"/>
          <w:sz w:val="21"/>
          <w:szCs w:val="21"/>
        </w:rPr>
        <w:t xml:space="preserve"> </w:t>
      </w:r>
      <w:r w:rsidR="004D1DF6">
        <w:rPr>
          <w:rFonts w:ascii="Aptos" w:hAnsi="Aptos" w:cs="Arial"/>
          <w:sz w:val="21"/>
          <w:szCs w:val="21"/>
        </w:rPr>
        <w:t>population-</w:t>
      </w:r>
      <w:r w:rsidR="006F792F">
        <w:rPr>
          <w:rFonts w:ascii="Aptos" w:hAnsi="Aptos" w:cs="Arial"/>
          <w:sz w:val="21"/>
          <w:szCs w:val="21"/>
        </w:rPr>
        <w:t>supplement</w:t>
      </w:r>
      <w:r w:rsidR="004D1DF6">
        <w:rPr>
          <w:rFonts w:ascii="Aptos" w:hAnsi="Aptos" w:cs="Arial"/>
          <w:sz w:val="21"/>
          <w:szCs w:val="21"/>
        </w:rPr>
        <w:t xml:space="preserve"> pa</w:t>
      </w:r>
      <w:r w:rsidR="006F792F">
        <w:rPr>
          <w:rFonts w:ascii="Aptos" w:hAnsi="Aptos" w:cs="Arial"/>
          <w:sz w:val="21"/>
          <w:szCs w:val="21"/>
        </w:rPr>
        <w:t xml:space="preserve">ir was not </w:t>
      </w:r>
      <w:r w:rsidR="00A71FAC">
        <w:rPr>
          <w:rFonts w:ascii="Aptos" w:hAnsi="Aptos" w:cs="Arial"/>
          <w:sz w:val="21"/>
          <w:szCs w:val="21"/>
        </w:rPr>
        <w:t xml:space="preserve">adequately </w:t>
      </w:r>
      <w:r w:rsidR="006F792F">
        <w:rPr>
          <w:rFonts w:ascii="Aptos" w:hAnsi="Aptos" w:cs="Arial"/>
          <w:sz w:val="21"/>
          <w:szCs w:val="21"/>
        </w:rPr>
        <w:t xml:space="preserve">covered by </w:t>
      </w:r>
      <w:r w:rsidR="008875E6">
        <w:rPr>
          <w:rFonts w:ascii="Aptos" w:hAnsi="Aptos" w:cs="Arial"/>
          <w:sz w:val="21"/>
          <w:szCs w:val="21"/>
        </w:rPr>
        <w:t xml:space="preserve">a preferred </w:t>
      </w:r>
      <w:r w:rsidR="00D57B39">
        <w:rPr>
          <w:rFonts w:ascii="Aptos" w:hAnsi="Aptos" w:cs="Arial"/>
          <w:sz w:val="21"/>
          <w:szCs w:val="21"/>
        </w:rPr>
        <w:t xml:space="preserve">systematic review. </w:t>
      </w:r>
      <w:r w:rsidR="00704036">
        <w:rPr>
          <w:rFonts w:ascii="Aptos" w:hAnsi="Aptos" w:cs="Arial"/>
          <w:sz w:val="21"/>
          <w:szCs w:val="21"/>
        </w:rPr>
        <w:t>Four</w:t>
      </w:r>
      <w:r w:rsidR="008875E6">
        <w:rPr>
          <w:rFonts w:ascii="Aptos" w:hAnsi="Aptos" w:cs="Arial"/>
          <w:sz w:val="21"/>
          <w:szCs w:val="21"/>
        </w:rPr>
        <w:t xml:space="preserve"> pairings</w:t>
      </w:r>
      <w:r w:rsidR="00704036">
        <w:rPr>
          <w:rFonts w:ascii="Aptos" w:hAnsi="Aptos" w:cs="Arial"/>
          <w:sz w:val="21"/>
          <w:szCs w:val="21"/>
        </w:rPr>
        <w:t xml:space="preserve"> were not covered by any relevant review</w:t>
      </w:r>
      <w:r w:rsidR="008875E6">
        <w:rPr>
          <w:rFonts w:ascii="Aptos" w:hAnsi="Aptos" w:cs="Arial"/>
          <w:sz w:val="21"/>
          <w:szCs w:val="21"/>
        </w:rPr>
        <w:t xml:space="preserve">: </w:t>
      </w:r>
      <w:r w:rsidR="008875E6" w:rsidRPr="00F6278F">
        <w:rPr>
          <w:rFonts w:ascii="Aptos" w:hAnsi="Aptos"/>
          <w:sz w:val="21"/>
          <w:szCs w:val="21"/>
        </w:rPr>
        <w:t>magnesium for stress (</w:t>
      </w:r>
      <w:r w:rsidR="008875E6" w:rsidRPr="00F6278F">
        <w:rPr>
          <w:rFonts w:ascii="Aptos" w:hAnsi="Aptos"/>
          <w:sz w:val="21"/>
          <w:szCs w:val="21"/>
          <w:lang w:eastAsia="en-AU"/>
        </w:rPr>
        <w:t>perceived</w:t>
      </w:r>
      <w:r w:rsidR="008875E6" w:rsidRPr="00F6278F">
        <w:rPr>
          <w:rFonts w:ascii="Aptos" w:hAnsi="Aptos"/>
          <w:sz w:val="21"/>
          <w:szCs w:val="21"/>
        </w:rPr>
        <w:t>, occupational), cruciferous indoles for dysmenorrhea, cruciferous indoles for premenstrual syndrome (PMS), and magnesium for arthritis/osteoarthritis</w:t>
      </w:r>
      <w:r w:rsidR="00E25B8A">
        <w:rPr>
          <w:rFonts w:ascii="Aptos" w:hAnsi="Aptos"/>
          <w:sz w:val="21"/>
          <w:szCs w:val="21"/>
        </w:rPr>
        <w:t>.</w:t>
      </w:r>
      <w:r w:rsidR="006F792F">
        <w:rPr>
          <w:rFonts w:ascii="Aptos" w:hAnsi="Aptos" w:cs="Arial"/>
          <w:sz w:val="21"/>
          <w:szCs w:val="21"/>
        </w:rPr>
        <w:t xml:space="preserve"> </w:t>
      </w:r>
      <w:r w:rsidR="00E25B8A">
        <w:rPr>
          <w:rFonts w:ascii="Aptos" w:hAnsi="Aptos" w:cs="Arial"/>
          <w:sz w:val="21"/>
          <w:szCs w:val="21"/>
        </w:rPr>
        <w:t>However, t</w:t>
      </w:r>
      <w:r w:rsidR="004A5781" w:rsidRPr="00D518FF">
        <w:rPr>
          <w:rFonts w:ascii="Aptos" w:hAnsi="Aptos" w:cs="Arial"/>
          <w:sz w:val="21"/>
          <w:szCs w:val="21"/>
        </w:rPr>
        <w:t>he protocol for inclusion of supplemental primary studies</w:t>
      </w:r>
      <w:r w:rsidR="004A5781">
        <w:rPr>
          <w:rFonts w:ascii="Aptos" w:hAnsi="Aptos" w:cs="Arial"/>
          <w:sz w:val="21"/>
          <w:szCs w:val="21"/>
        </w:rPr>
        <w:t xml:space="preserve"> was not </w:t>
      </w:r>
      <w:r w:rsidR="004A5781" w:rsidRPr="00D518FF">
        <w:rPr>
          <w:rFonts w:ascii="Aptos" w:hAnsi="Aptos" w:cs="Arial"/>
          <w:sz w:val="21"/>
          <w:szCs w:val="21"/>
        </w:rPr>
        <w:t>followed</w:t>
      </w:r>
      <w:r w:rsidR="004A5781">
        <w:rPr>
          <w:rFonts w:ascii="Aptos" w:hAnsi="Aptos" w:cs="Arial"/>
          <w:sz w:val="21"/>
          <w:szCs w:val="21"/>
        </w:rPr>
        <w:t xml:space="preserve"> due to the volume of primary studies need</w:t>
      </w:r>
      <w:r w:rsidR="00704036">
        <w:rPr>
          <w:rFonts w:ascii="Aptos" w:hAnsi="Aptos" w:cs="Arial"/>
          <w:sz w:val="21"/>
          <w:szCs w:val="21"/>
        </w:rPr>
        <w:t xml:space="preserve">ed for </w:t>
      </w:r>
      <w:r w:rsidR="007669A0">
        <w:rPr>
          <w:rFonts w:ascii="Aptos" w:hAnsi="Aptos" w:cs="Arial"/>
          <w:sz w:val="21"/>
          <w:szCs w:val="21"/>
        </w:rPr>
        <w:t>conclusions</w:t>
      </w:r>
      <w:r w:rsidR="004A5781">
        <w:rPr>
          <w:rFonts w:ascii="Aptos" w:hAnsi="Aptos" w:cs="Arial"/>
          <w:sz w:val="21"/>
          <w:szCs w:val="21"/>
        </w:rPr>
        <w:t xml:space="preserve"> amounting to</w:t>
      </w:r>
      <w:r w:rsidR="007669A0">
        <w:rPr>
          <w:rFonts w:ascii="Aptos" w:hAnsi="Aptos" w:cs="Arial"/>
          <w:sz w:val="21"/>
          <w:szCs w:val="21"/>
        </w:rPr>
        <w:t xml:space="preserve"> completing</w:t>
      </w:r>
      <w:r w:rsidR="004A5781">
        <w:rPr>
          <w:rFonts w:ascii="Aptos" w:hAnsi="Aptos" w:cs="Arial"/>
          <w:sz w:val="21"/>
          <w:szCs w:val="21"/>
        </w:rPr>
        <w:t xml:space="preserve"> a </w:t>
      </w:r>
      <w:r w:rsidR="00F12695">
        <w:rPr>
          <w:rFonts w:ascii="Aptos" w:hAnsi="Aptos" w:cs="Arial"/>
          <w:sz w:val="21"/>
          <w:szCs w:val="21"/>
        </w:rPr>
        <w:t xml:space="preserve">full </w:t>
      </w:r>
      <w:r w:rsidR="004A5781">
        <w:rPr>
          <w:rFonts w:ascii="Aptos" w:hAnsi="Aptos" w:cs="Arial"/>
          <w:sz w:val="21"/>
          <w:szCs w:val="21"/>
        </w:rPr>
        <w:t>systematic review for each population-</w:t>
      </w:r>
      <w:r w:rsidR="0046049C">
        <w:rPr>
          <w:rFonts w:ascii="Aptos" w:hAnsi="Aptos" w:cs="Arial"/>
          <w:sz w:val="21"/>
          <w:szCs w:val="21"/>
        </w:rPr>
        <w:t>supplement</w:t>
      </w:r>
      <w:r w:rsidR="004A5781">
        <w:rPr>
          <w:rFonts w:ascii="Aptos" w:hAnsi="Aptos" w:cs="Arial"/>
          <w:sz w:val="21"/>
          <w:szCs w:val="21"/>
        </w:rPr>
        <w:t xml:space="preserve"> pair. </w:t>
      </w:r>
      <w:r w:rsidR="008F3151" w:rsidRPr="00D518FF">
        <w:rPr>
          <w:rFonts w:ascii="Aptos" w:hAnsi="Aptos" w:cs="Arial"/>
          <w:sz w:val="21"/>
          <w:szCs w:val="21"/>
        </w:rPr>
        <w:t>This is based on guidance in the Cochrane Handbook.</w:t>
      </w:r>
    </w:p>
    <w:p w14:paraId="607FC848" w14:textId="77777777" w:rsidR="00FB0E6D" w:rsidRPr="00545071" w:rsidRDefault="00FB0E6D" w:rsidP="00FB0E6D">
      <w:pPr>
        <w:pStyle w:val="ListParagraph"/>
        <w:numPr>
          <w:ilvl w:val="0"/>
          <w:numId w:val="29"/>
        </w:numPr>
        <w:spacing w:before="120" w:after="120"/>
        <w:ind w:left="426"/>
        <w:rPr>
          <w:rFonts w:ascii="Aptos" w:hAnsi="Aptos" w:cs="Arial"/>
          <w:b/>
          <w:bCs/>
          <w:sz w:val="21"/>
          <w:szCs w:val="21"/>
        </w:rPr>
      </w:pPr>
      <w:r w:rsidRPr="00545071">
        <w:rPr>
          <w:rFonts w:ascii="Aptos" w:hAnsi="Aptos" w:cs="Arial"/>
          <w:b/>
          <w:bCs/>
          <w:sz w:val="21"/>
          <w:szCs w:val="21"/>
        </w:rPr>
        <w:t>Incompletely reported results in SRs - Contacting systematic review authors</w:t>
      </w:r>
    </w:p>
    <w:p w14:paraId="40309ACD" w14:textId="77777777" w:rsidR="0017455F" w:rsidRDefault="00FB0E6D" w:rsidP="00C5567B">
      <w:pPr>
        <w:pStyle w:val="ListParagraph"/>
        <w:spacing w:before="120" w:after="120"/>
        <w:ind w:left="426"/>
        <w:rPr>
          <w:rFonts w:ascii="Aptos" w:hAnsi="Aptos" w:cs="Arial"/>
          <w:sz w:val="21"/>
          <w:szCs w:val="21"/>
        </w:rPr>
      </w:pPr>
      <w:r>
        <w:rPr>
          <w:rFonts w:ascii="Aptos" w:hAnsi="Aptos" w:cs="Arial"/>
          <w:sz w:val="21"/>
          <w:szCs w:val="21"/>
        </w:rPr>
        <w:t xml:space="preserve">Where there were </w:t>
      </w:r>
      <w:r w:rsidRPr="00D518FF">
        <w:rPr>
          <w:rFonts w:ascii="Aptos" w:hAnsi="Aptos" w:cs="Arial"/>
          <w:sz w:val="21"/>
          <w:szCs w:val="21"/>
        </w:rPr>
        <w:t>incompletely reported results in systematic reviews (either meta-analysis or primary studies)</w:t>
      </w:r>
      <w:r>
        <w:rPr>
          <w:rFonts w:ascii="Aptos" w:hAnsi="Aptos" w:cs="Arial"/>
          <w:sz w:val="21"/>
          <w:szCs w:val="21"/>
        </w:rPr>
        <w:t xml:space="preserve">, review authors were not contacted as intended in the protocol. Where results were not reported adequately (e.g. </w:t>
      </w:r>
      <w:r w:rsidRPr="00D518FF">
        <w:rPr>
          <w:rFonts w:ascii="Aptos" w:hAnsi="Aptos" w:cs="Arial"/>
          <w:sz w:val="21"/>
          <w:szCs w:val="21"/>
        </w:rPr>
        <w:t>no effect estimates or confidence intervals, no information about inconsistency (such as a forest plot displaying effect estimates for individual studies) or no heterogeneity statistics</w:t>
      </w:r>
      <w:r>
        <w:rPr>
          <w:rFonts w:ascii="Aptos" w:hAnsi="Aptos" w:cs="Arial"/>
          <w:sz w:val="21"/>
          <w:szCs w:val="21"/>
        </w:rPr>
        <w:t>), this was considered in GRADE assessments</w:t>
      </w:r>
      <w:r w:rsidRPr="00D518FF">
        <w:rPr>
          <w:rFonts w:ascii="Aptos" w:hAnsi="Aptos" w:cs="Arial"/>
          <w:sz w:val="21"/>
          <w:szCs w:val="21"/>
        </w:rPr>
        <w:t xml:space="preserve">. </w:t>
      </w:r>
    </w:p>
    <w:p w14:paraId="1D90BE94" w14:textId="77777777" w:rsidR="0017455F" w:rsidRDefault="0017455F" w:rsidP="00C5567B">
      <w:pPr>
        <w:pStyle w:val="ListParagraph"/>
        <w:spacing w:before="120" w:after="120"/>
        <w:ind w:left="426"/>
        <w:rPr>
          <w:rFonts w:ascii="Aptos" w:hAnsi="Aptos" w:cs="Arial"/>
          <w:sz w:val="21"/>
          <w:szCs w:val="21"/>
        </w:rPr>
      </w:pPr>
    </w:p>
    <w:p w14:paraId="132C746D" w14:textId="4607C6A2" w:rsidR="00FB0E6D" w:rsidRPr="00545071" w:rsidRDefault="00FB0E6D" w:rsidP="0017455F">
      <w:pPr>
        <w:pStyle w:val="ListParagraph"/>
        <w:numPr>
          <w:ilvl w:val="0"/>
          <w:numId w:val="29"/>
        </w:numPr>
        <w:spacing w:before="120" w:after="120"/>
        <w:rPr>
          <w:rFonts w:ascii="Aptos" w:hAnsi="Aptos" w:cs="Arial"/>
          <w:b/>
          <w:bCs/>
          <w:sz w:val="21"/>
          <w:szCs w:val="21"/>
        </w:rPr>
      </w:pPr>
      <w:r w:rsidRPr="00545071">
        <w:rPr>
          <w:rFonts w:ascii="Aptos" w:hAnsi="Aptos" w:cs="Arial"/>
          <w:b/>
          <w:bCs/>
          <w:sz w:val="21"/>
          <w:szCs w:val="21"/>
        </w:rPr>
        <w:t>Addressing discrepant data from systematic reviews</w:t>
      </w:r>
    </w:p>
    <w:p w14:paraId="29D2F18D" w14:textId="7A598EC8" w:rsidR="00FB0E6D" w:rsidRPr="00FB0E6D" w:rsidRDefault="00FB0E6D" w:rsidP="00FB0E6D">
      <w:pPr>
        <w:pStyle w:val="ListParagraph"/>
        <w:spacing w:before="120" w:after="120"/>
        <w:ind w:left="426"/>
        <w:contextualSpacing w:val="0"/>
        <w:rPr>
          <w:rFonts w:ascii="Aptos" w:hAnsi="Aptos" w:cs="Arial"/>
          <w:sz w:val="21"/>
          <w:szCs w:val="21"/>
        </w:rPr>
      </w:pPr>
      <w:r>
        <w:rPr>
          <w:rFonts w:ascii="Aptos" w:hAnsi="Aptos" w:cs="Arial"/>
          <w:sz w:val="21"/>
          <w:szCs w:val="21"/>
        </w:rPr>
        <w:t>As only one systematic review for each PICO was presented (i.e.</w:t>
      </w:r>
      <w:r w:rsidRPr="00E57C2A">
        <w:rPr>
          <w:rFonts w:ascii="Aptos" w:hAnsi="Aptos" w:cs="Arial"/>
          <w:sz w:val="21"/>
          <w:szCs w:val="21"/>
        </w:rPr>
        <w:t xml:space="preserve"> </w:t>
      </w:r>
      <w:r w:rsidRPr="00D518FF">
        <w:rPr>
          <w:rFonts w:ascii="Aptos" w:hAnsi="Aptos" w:cs="Arial"/>
          <w:sz w:val="21"/>
          <w:szCs w:val="21"/>
        </w:rPr>
        <w:t>the most comprehensive and/or highest quality</w:t>
      </w:r>
      <w:r>
        <w:rPr>
          <w:rFonts w:ascii="Aptos" w:hAnsi="Aptos" w:cs="Arial"/>
          <w:sz w:val="21"/>
          <w:szCs w:val="21"/>
        </w:rPr>
        <w:t>), addressing</w:t>
      </w:r>
      <w:r w:rsidRPr="00D518FF">
        <w:rPr>
          <w:rFonts w:ascii="Aptos" w:hAnsi="Aptos" w:cs="Arial"/>
          <w:sz w:val="21"/>
          <w:szCs w:val="21"/>
        </w:rPr>
        <w:t xml:space="preserve"> discrepant data across included systematic reviews</w:t>
      </w:r>
      <w:r>
        <w:rPr>
          <w:rFonts w:ascii="Aptos" w:hAnsi="Aptos" w:cs="Arial"/>
          <w:sz w:val="21"/>
          <w:szCs w:val="21"/>
        </w:rPr>
        <w:t xml:space="preserve"> was not necessary.</w:t>
      </w:r>
    </w:p>
    <w:p w14:paraId="3D77216C" w14:textId="77777777" w:rsidR="00FB0E6D" w:rsidRPr="00E77295" w:rsidRDefault="00FB0E6D" w:rsidP="00FB0E6D">
      <w:pPr>
        <w:pStyle w:val="ListParagraph"/>
        <w:numPr>
          <w:ilvl w:val="0"/>
          <w:numId w:val="29"/>
        </w:numPr>
        <w:spacing w:before="120" w:after="120"/>
        <w:ind w:left="426"/>
        <w:rPr>
          <w:rFonts w:ascii="Aptos" w:hAnsi="Aptos" w:cs="Arial"/>
          <w:b/>
          <w:bCs/>
          <w:sz w:val="21"/>
          <w:szCs w:val="21"/>
        </w:rPr>
      </w:pPr>
      <w:r w:rsidRPr="00E77295">
        <w:rPr>
          <w:rFonts w:ascii="Aptos" w:hAnsi="Aptos" w:cs="Arial"/>
          <w:b/>
          <w:bCs/>
          <w:sz w:val="21"/>
          <w:szCs w:val="21"/>
        </w:rPr>
        <w:lastRenderedPageBreak/>
        <w:t xml:space="preserve">Requests for data – </w:t>
      </w:r>
      <w:r w:rsidRPr="00A166B5">
        <w:rPr>
          <w:rFonts w:ascii="Aptos" w:hAnsi="Aptos" w:cs="Arial"/>
          <w:b/>
          <w:bCs/>
          <w:sz w:val="21"/>
          <w:szCs w:val="21"/>
        </w:rPr>
        <w:t>conference</w:t>
      </w:r>
      <w:r w:rsidRPr="00E77295">
        <w:rPr>
          <w:rFonts w:ascii="Aptos" w:hAnsi="Aptos" w:cs="Arial"/>
          <w:b/>
          <w:bCs/>
          <w:sz w:val="21"/>
          <w:szCs w:val="21"/>
        </w:rPr>
        <w:t xml:space="preserve"> abstracts</w:t>
      </w:r>
    </w:p>
    <w:p w14:paraId="1E49F165" w14:textId="4FF2E354" w:rsidR="00FB0E6D" w:rsidRDefault="00FB0E6D" w:rsidP="00FB0E6D">
      <w:pPr>
        <w:pStyle w:val="ListParagraph"/>
        <w:spacing w:before="120" w:after="120"/>
        <w:ind w:left="426"/>
        <w:rPr>
          <w:rFonts w:ascii="Aptos" w:hAnsi="Aptos" w:cs="Arial"/>
          <w:sz w:val="21"/>
          <w:szCs w:val="21"/>
        </w:rPr>
      </w:pPr>
      <w:r w:rsidRPr="00D518FF">
        <w:rPr>
          <w:rFonts w:ascii="Aptos" w:hAnsi="Aptos" w:cs="Arial"/>
          <w:sz w:val="21"/>
          <w:szCs w:val="21"/>
        </w:rPr>
        <w:t>I</w:t>
      </w:r>
      <w:r>
        <w:rPr>
          <w:rFonts w:ascii="Aptos" w:hAnsi="Aptos" w:cs="Arial"/>
          <w:sz w:val="21"/>
          <w:szCs w:val="21"/>
        </w:rPr>
        <w:t>t was intended that authors of</w:t>
      </w:r>
      <w:r w:rsidRPr="00D518FF">
        <w:rPr>
          <w:rFonts w:ascii="Aptos" w:hAnsi="Aptos" w:cs="Arial"/>
          <w:sz w:val="21"/>
          <w:szCs w:val="21"/>
        </w:rPr>
        <w:t xml:space="preserve"> eligible systematic reviews only available as conference abstracts </w:t>
      </w:r>
      <w:r>
        <w:rPr>
          <w:rFonts w:ascii="Aptos" w:hAnsi="Aptos" w:cs="Arial"/>
          <w:sz w:val="21"/>
          <w:szCs w:val="21"/>
        </w:rPr>
        <w:t>were</w:t>
      </w:r>
      <w:r w:rsidRPr="00D518FF">
        <w:rPr>
          <w:rFonts w:ascii="Aptos" w:hAnsi="Aptos" w:cs="Arial"/>
          <w:sz w:val="21"/>
          <w:szCs w:val="21"/>
        </w:rPr>
        <w:t xml:space="preserve"> </w:t>
      </w:r>
      <w:r>
        <w:rPr>
          <w:rFonts w:ascii="Aptos" w:hAnsi="Aptos" w:cs="Arial"/>
          <w:sz w:val="21"/>
          <w:szCs w:val="21"/>
        </w:rPr>
        <w:t xml:space="preserve">to be </w:t>
      </w:r>
      <w:r w:rsidRPr="00D518FF">
        <w:rPr>
          <w:rFonts w:ascii="Aptos" w:hAnsi="Aptos" w:cs="Arial"/>
          <w:sz w:val="21"/>
          <w:szCs w:val="21"/>
        </w:rPr>
        <w:t>contacted through an open-ended request for data or further information.</w:t>
      </w:r>
      <w:r>
        <w:rPr>
          <w:rFonts w:ascii="Aptos" w:hAnsi="Aptos" w:cs="Arial"/>
          <w:sz w:val="21"/>
          <w:szCs w:val="21"/>
        </w:rPr>
        <w:t xml:space="preserve"> However, no non-published potentially relevant conference abstracts were found. </w:t>
      </w:r>
    </w:p>
    <w:p w14:paraId="476D844C" w14:textId="09B51C08" w:rsidR="00630BFE" w:rsidRDefault="00630BFE" w:rsidP="00E17157">
      <w:pPr>
        <w:pStyle w:val="heading3numbers"/>
      </w:pPr>
      <w:bookmarkStart w:id="233" w:name="_Toc185254681"/>
      <w:r>
        <w:t>Data collection</w:t>
      </w:r>
      <w:bookmarkEnd w:id="233"/>
    </w:p>
    <w:p w14:paraId="1ADC4173" w14:textId="77777777" w:rsidR="00FB0E6D" w:rsidRPr="00545071" w:rsidRDefault="00FB0E6D" w:rsidP="00FB0E6D">
      <w:pPr>
        <w:pStyle w:val="ListParagraph"/>
        <w:numPr>
          <w:ilvl w:val="0"/>
          <w:numId w:val="29"/>
        </w:numPr>
        <w:spacing w:before="120" w:after="120"/>
        <w:ind w:left="426"/>
        <w:rPr>
          <w:rFonts w:ascii="Aptos" w:hAnsi="Aptos" w:cs="Arial"/>
          <w:b/>
          <w:bCs/>
          <w:sz w:val="21"/>
          <w:szCs w:val="21"/>
        </w:rPr>
      </w:pPr>
      <w:r w:rsidRPr="00545071">
        <w:rPr>
          <w:rFonts w:ascii="Aptos" w:hAnsi="Aptos" w:cs="Arial"/>
          <w:b/>
          <w:bCs/>
          <w:sz w:val="21"/>
          <w:szCs w:val="21"/>
        </w:rPr>
        <w:t>PRISMA versus PRIOR flow diagram</w:t>
      </w:r>
    </w:p>
    <w:p w14:paraId="0EC7860A" w14:textId="4269C446" w:rsidR="00FB0E6D" w:rsidRDefault="00FB0E6D" w:rsidP="00FB0E6D">
      <w:pPr>
        <w:pStyle w:val="ListParagraph"/>
        <w:spacing w:before="120" w:after="120"/>
        <w:ind w:left="426"/>
        <w:rPr>
          <w:rFonts w:ascii="Aptos" w:hAnsi="Aptos" w:cs="Arial"/>
          <w:sz w:val="21"/>
          <w:szCs w:val="21"/>
        </w:rPr>
      </w:pPr>
      <w:r>
        <w:rPr>
          <w:rFonts w:ascii="Aptos" w:hAnsi="Aptos" w:cs="Arial"/>
          <w:sz w:val="21"/>
          <w:szCs w:val="21"/>
        </w:rPr>
        <w:t xml:space="preserve">We had intended to present information on the review </w:t>
      </w:r>
      <w:r w:rsidRPr="00D518FF">
        <w:rPr>
          <w:rFonts w:ascii="Aptos" w:hAnsi="Aptos" w:cs="Arial"/>
          <w:sz w:val="21"/>
          <w:szCs w:val="21"/>
        </w:rPr>
        <w:t xml:space="preserve">selection process </w:t>
      </w:r>
      <w:r>
        <w:rPr>
          <w:rFonts w:ascii="Aptos" w:hAnsi="Aptos" w:cs="Arial"/>
          <w:sz w:val="21"/>
          <w:szCs w:val="21"/>
        </w:rPr>
        <w:t>as a</w:t>
      </w:r>
      <w:r w:rsidRPr="00D518FF">
        <w:rPr>
          <w:rFonts w:ascii="Aptos" w:hAnsi="Aptos" w:cs="Arial"/>
          <w:sz w:val="21"/>
          <w:szCs w:val="21"/>
        </w:rPr>
        <w:t xml:space="preserve"> PRIOR flow diagram </w:t>
      </w:r>
      <w:r>
        <w:rPr>
          <w:rFonts w:ascii="Aptos" w:hAnsi="Aptos" w:cs="Arial"/>
          <w:noProof/>
          <w:sz w:val="21"/>
          <w:szCs w:val="21"/>
        </w:rPr>
        <w:t>(3)</w:t>
      </w:r>
      <w:r>
        <w:rPr>
          <w:rFonts w:ascii="Aptos" w:hAnsi="Aptos" w:cs="Arial"/>
          <w:sz w:val="21"/>
          <w:szCs w:val="21"/>
        </w:rPr>
        <w:t>, however found a PRSIMA diagram for each population-supplement pair more informative and necessary given fifteen separate searches were completed.</w:t>
      </w:r>
    </w:p>
    <w:p w14:paraId="00813858" w14:textId="77777777" w:rsidR="00FB0E6D" w:rsidRPr="00D518FF" w:rsidRDefault="00FB0E6D" w:rsidP="00FB0E6D">
      <w:pPr>
        <w:pStyle w:val="ListParagraph"/>
        <w:spacing w:before="120" w:after="120"/>
        <w:ind w:left="426"/>
        <w:rPr>
          <w:rFonts w:ascii="Aptos" w:hAnsi="Aptos" w:cs="Arial"/>
          <w:sz w:val="21"/>
          <w:szCs w:val="21"/>
        </w:rPr>
      </w:pPr>
    </w:p>
    <w:p w14:paraId="461EB79E" w14:textId="73789A05" w:rsidR="00630BFE" w:rsidRPr="00545071" w:rsidRDefault="00630BFE" w:rsidP="00630BFE">
      <w:pPr>
        <w:pStyle w:val="ListParagraph"/>
        <w:numPr>
          <w:ilvl w:val="0"/>
          <w:numId w:val="29"/>
        </w:numPr>
        <w:spacing w:before="120" w:after="120"/>
        <w:ind w:left="426"/>
        <w:rPr>
          <w:rFonts w:ascii="Aptos" w:hAnsi="Aptos" w:cs="Arial"/>
          <w:b/>
          <w:bCs/>
          <w:sz w:val="21"/>
          <w:szCs w:val="21"/>
        </w:rPr>
      </w:pPr>
      <w:r w:rsidRPr="00D027BE">
        <w:rPr>
          <w:rFonts w:ascii="Aptos" w:hAnsi="Aptos" w:cs="Arial"/>
          <w:b/>
          <w:bCs/>
          <w:sz w:val="21"/>
          <w:szCs w:val="21"/>
        </w:rPr>
        <w:t>Extraction</w:t>
      </w:r>
      <w:r w:rsidRPr="00545071">
        <w:rPr>
          <w:rFonts w:ascii="Aptos" w:hAnsi="Aptos" w:cs="Arial"/>
          <w:b/>
          <w:bCs/>
          <w:sz w:val="21"/>
          <w:szCs w:val="21"/>
        </w:rPr>
        <w:t xml:space="preserve"> of all reported outcomes for included reviews</w:t>
      </w:r>
    </w:p>
    <w:p w14:paraId="23770B3B" w14:textId="59492124" w:rsidR="00630BFE" w:rsidRDefault="00630BFE" w:rsidP="00630BFE">
      <w:pPr>
        <w:ind w:left="426"/>
        <w:rPr>
          <w:rFonts w:ascii="Aptos" w:hAnsi="Aptos" w:cs="Arial"/>
          <w:sz w:val="21"/>
          <w:szCs w:val="21"/>
        </w:rPr>
      </w:pPr>
      <w:r w:rsidRPr="00A900C1">
        <w:rPr>
          <w:rFonts w:ascii="Aptos" w:hAnsi="Aptos" w:cs="Arial"/>
          <w:sz w:val="21"/>
          <w:szCs w:val="21"/>
        </w:rPr>
        <w:t>Only prioritised outcomes were extracted and reported in “</w:t>
      </w:r>
      <w:r>
        <w:rPr>
          <w:rFonts w:ascii="Aptos" w:hAnsi="Aptos" w:cs="Arial"/>
          <w:sz w:val="21"/>
          <w:szCs w:val="21"/>
        </w:rPr>
        <w:t>Results</w:t>
      </w:r>
      <w:r w:rsidRPr="00A900C1">
        <w:rPr>
          <w:rFonts w:ascii="Aptos" w:hAnsi="Aptos" w:cs="Arial"/>
          <w:sz w:val="21"/>
          <w:szCs w:val="21"/>
        </w:rPr>
        <w:t xml:space="preserve"> of included reviews” tables due to the volume of information being too high (many reviews with many outcomes), and it was determined that this information would not contribute greatly to findings/conclusions relevant to the overview’s objective.</w:t>
      </w:r>
    </w:p>
    <w:p w14:paraId="5D37BF74" w14:textId="77777777" w:rsidR="00FB0E6D" w:rsidRPr="00CF2ACC" w:rsidRDefault="00FB0E6D" w:rsidP="00FB0E6D">
      <w:pPr>
        <w:pStyle w:val="ListParagraph"/>
        <w:numPr>
          <w:ilvl w:val="0"/>
          <w:numId w:val="29"/>
        </w:numPr>
        <w:spacing w:before="120" w:after="120"/>
        <w:ind w:left="426"/>
        <w:rPr>
          <w:rFonts w:ascii="Aptos" w:hAnsi="Aptos" w:cs="Arial"/>
          <w:b/>
          <w:bCs/>
          <w:sz w:val="21"/>
          <w:szCs w:val="21"/>
        </w:rPr>
      </w:pPr>
      <w:r w:rsidRPr="00CF2ACC">
        <w:rPr>
          <w:rFonts w:ascii="Aptos" w:hAnsi="Aptos" w:cs="Arial"/>
          <w:b/>
          <w:bCs/>
          <w:sz w:val="21"/>
          <w:szCs w:val="21"/>
        </w:rPr>
        <w:t>Extraction of risk of bias assessments for non-preferred reviews</w:t>
      </w:r>
    </w:p>
    <w:p w14:paraId="6E195550" w14:textId="08251243" w:rsidR="00FB0E6D" w:rsidRPr="00E17157" w:rsidRDefault="00FB0E6D" w:rsidP="00E17157">
      <w:pPr>
        <w:pStyle w:val="ListParagraph"/>
        <w:spacing w:before="120" w:after="120"/>
        <w:ind w:left="426"/>
        <w:rPr>
          <w:rFonts w:ascii="Aptos" w:hAnsi="Aptos" w:cs="Arial"/>
          <w:sz w:val="21"/>
          <w:szCs w:val="21"/>
        </w:rPr>
      </w:pPr>
      <w:r>
        <w:rPr>
          <w:rFonts w:ascii="Aptos" w:hAnsi="Aptos" w:cs="Arial"/>
          <w:sz w:val="21"/>
          <w:szCs w:val="21"/>
        </w:rPr>
        <w:t>We had intended to extract risk of bias results for primary studies for all reviews, however given the volume of work and that this would not contribute to evidence evaluation, risk of bias assessments were not extracted for non-preferred reviews. This did not impact ROBIS assessments, as these were completed by reading and considering the entire article as published, rather than referring only to extracted information.</w:t>
      </w:r>
    </w:p>
    <w:p w14:paraId="7ACFB809" w14:textId="61846944" w:rsidR="002D5393" w:rsidRPr="00FB0E6D" w:rsidRDefault="00630BFE" w:rsidP="00E17157">
      <w:pPr>
        <w:pStyle w:val="heading3numbers"/>
      </w:pPr>
      <w:bookmarkStart w:id="234" w:name="_Toc185254682"/>
      <w:r>
        <w:t>Data analysis and synthesis</w:t>
      </w:r>
      <w:bookmarkEnd w:id="234"/>
    </w:p>
    <w:p w14:paraId="5D9A5AE0" w14:textId="77777777" w:rsidR="00FB0E6D" w:rsidRDefault="00FB0E6D" w:rsidP="00FB0E6D">
      <w:pPr>
        <w:pStyle w:val="ListParagraph"/>
        <w:numPr>
          <w:ilvl w:val="0"/>
          <w:numId w:val="29"/>
        </w:numPr>
        <w:spacing w:before="120" w:after="120"/>
        <w:ind w:left="426"/>
        <w:rPr>
          <w:rFonts w:ascii="Aptos" w:hAnsi="Aptos" w:cs="Arial"/>
          <w:b/>
          <w:bCs/>
          <w:sz w:val="21"/>
          <w:szCs w:val="21"/>
        </w:rPr>
      </w:pPr>
      <w:r>
        <w:rPr>
          <w:rFonts w:ascii="Aptos" w:hAnsi="Aptos" w:cs="Arial"/>
          <w:b/>
          <w:bCs/>
          <w:sz w:val="21"/>
          <w:szCs w:val="21"/>
        </w:rPr>
        <w:t xml:space="preserve">Limitations of each review described in ‘Characteristics of included reviews’ tables </w:t>
      </w:r>
    </w:p>
    <w:p w14:paraId="059D31AC" w14:textId="74B996BE" w:rsidR="00FB0E6D" w:rsidRPr="003145EE" w:rsidRDefault="00FB0E6D" w:rsidP="00FB0E6D">
      <w:pPr>
        <w:spacing w:before="120" w:after="120"/>
        <w:ind w:left="426"/>
        <w:rPr>
          <w:rFonts w:ascii="Aptos" w:hAnsi="Aptos" w:cs="Arial"/>
          <w:sz w:val="21"/>
          <w:szCs w:val="21"/>
        </w:rPr>
      </w:pPr>
      <w:r w:rsidRPr="003145EE">
        <w:rPr>
          <w:rFonts w:ascii="Aptos" w:hAnsi="Aptos" w:cs="Arial"/>
          <w:sz w:val="21"/>
          <w:szCs w:val="21"/>
        </w:rPr>
        <w:t>It was intended in the protocol that limitations of each systematic review (including a rationale for judgements with supporting information) would be described in the ‘Characteristics of included reviews’ table. This was not done due to the volume of included reviews, and ROBIS signalling questions are provided instead.</w:t>
      </w:r>
    </w:p>
    <w:p w14:paraId="35238021" w14:textId="77777777" w:rsidR="00C65BAF" w:rsidRPr="00545071" w:rsidRDefault="00C65BAF" w:rsidP="00A4650A">
      <w:pPr>
        <w:pStyle w:val="ListParagraph"/>
        <w:numPr>
          <w:ilvl w:val="0"/>
          <w:numId w:val="29"/>
        </w:numPr>
        <w:spacing w:before="120" w:after="120"/>
        <w:ind w:left="426"/>
        <w:rPr>
          <w:rFonts w:ascii="Aptos" w:hAnsi="Aptos" w:cs="Arial"/>
          <w:b/>
          <w:bCs/>
          <w:sz w:val="21"/>
          <w:szCs w:val="21"/>
        </w:rPr>
      </w:pPr>
      <w:r w:rsidRPr="00545071">
        <w:rPr>
          <w:rFonts w:ascii="Aptos" w:hAnsi="Aptos" w:cs="Arial"/>
          <w:b/>
          <w:bCs/>
          <w:sz w:val="21"/>
          <w:szCs w:val="21"/>
        </w:rPr>
        <w:t>Reporting of results – timepoints</w:t>
      </w:r>
    </w:p>
    <w:p w14:paraId="7B104276" w14:textId="4409901C" w:rsidR="0054697E" w:rsidRPr="00630BFE" w:rsidRDefault="00C65BAF" w:rsidP="00630BFE">
      <w:pPr>
        <w:spacing w:before="120" w:after="120"/>
        <w:ind w:left="426"/>
        <w:rPr>
          <w:rFonts w:ascii="Aptos" w:hAnsi="Aptos" w:cs="Arial"/>
          <w:sz w:val="21"/>
          <w:szCs w:val="21"/>
        </w:rPr>
      </w:pPr>
      <w:r>
        <w:rPr>
          <w:rFonts w:ascii="Aptos" w:hAnsi="Aptos" w:cs="Arial"/>
          <w:sz w:val="21"/>
          <w:szCs w:val="21"/>
        </w:rPr>
        <w:t>The protocol specified that o</w:t>
      </w:r>
      <w:r w:rsidRPr="00D518FF">
        <w:rPr>
          <w:rFonts w:ascii="Aptos" w:hAnsi="Aptos" w:cs="Arial"/>
          <w:sz w:val="21"/>
          <w:szCs w:val="21"/>
        </w:rPr>
        <w:t xml:space="preserve">utcomes reported at different timepoints </w:t>
      </w:r>
      <w:r>
        <w:rPr>
          <w:rFonts w:ascii="Aptos" w:hAnsi="Aptos" w:cs="Arial"/>
          <w:sz w:val="21"/>
          <w:szCs w:val="21"/>
        </w:rPr>
        <w:t>would be</w:t>
      </w:r>
      <w:r w:rsidRPr="00D518FF">
        <w:rPr>
          <w:rFonts w:ascii="Aptos" w:hAnsi="Aptos" w:cs="Arial"/>
          <w:sz w:val="21"/>
          <w:szCs w:val="21"/>
        </w:rPr>
        <w:t xml:space="preserve"> grouped and considered as short term, intermediate term, long term, or not specified. </w:t>
      </w:r>
      <w:r>
        <w:rPr>
          <w:rFonts w:ascii="Aptos" w:hAnsi="Aptos" w:cs="Arial"/>
          <w:sz w:val="21"/>
          <w:szCs w:val="21"/>
        </w:rPr>
        <w:t xml:space="preserve">This was not completed due to issues in the reporting in many </w:t>
      </w:r>
      <w:r w:rsidRPr="00D027BE">
        <w:rPr>
          <w:rFonts w:ascii="Aptos" w:hAnsi="Aptos" w:cs="Arial"/>
          <w:sz w:val="21"/>
          <w:szCs w:val="21"/>
        </w:rPr>
        <w:t>of</w:t>
      </w:r>
      <w:r>
        <w:rPr>
          <w:rFonts w:ascii="Aptos" w:hAnsi="Aptos" w:cs="Arial"/>
          <w:sz w:val="21"/>
          <w:szCs w:val="21"/>
        </w:rPr>
        <w:t xml:space="preserve"> the systematic reviews so that timepoints could not be accurately determined. </w:t>
      </w:r>
    </w:p>
    <w:p w14:paraId="74E4D6A2" w14:textId="4F3BF074" w:rsidR="00675BB7" w:rsidRPr="005A4359" w:rsidRDefault="00675BB7" w:rsidP="00A4650A">
      <w:pPr>
        <w:pStyle w:val="ListParagraph"/>
        <w:numPr>
          <w:ilvl w:val="0"/>
          <w:numId w:val="29"/>
        </w:numPr>
        <w:spacing w:before="120" w:after="120"/>
        <w:ind w:left="426"/>
        <w:rPr>
          <w:rFonts w:ascii="Aptos" w:hAnsi="Aptos" w:cs="Arial"/>
          <w:b/>
          <w:bCs/>
          <w:sz w:val="21"/>
          <w:szCs w:val="21"/>
        </w:rPr>
      </w:pPr>
      <w:r w:rsidRPr="005A4359">
        <w:rPr>
          <w:rFonts w:ascii="Aptos" w:hAnsi="Aptos" w:cs="Arial"/>
          <w:b/>
          <w:bCs/>
          <w:sz w:val="21"/>
          <w:szCs w:val="21"/>
        </w:rPr>
        <w:t>Stratification of results by comparator</w:t>
      </w:r>
    </w:p>
    <w:p w14:paraId="2C64EC10" w14:textId="0DBD9D19" w:rsidR="002D5393" w:rsidRDefault="00675BB7" w:rsidP="00630BFE">
      <w:pPr>
        <w:spacing w:before="120" w:after="120"/>
        <w:ind w:left="426"/>
        <w:rPr>
          <w:rFonts w:ascii="Aptos" w:hAnsi="Aptos" w:cs="Arial"/>
          <w:sz w:val="21"/>
          <w:szCs w:val="21"/>
        </w:rPr>
      </w:pPr>
      <w:r>
        <w:rPr>
          <w:rFonts w:ascii="Aptos" w:hAnsi="Aptos" w:cs="Arial"/>
          <w:sz w:val="21"/>
          <w:szCs w:val="21"/>
        </w:rPr>
        <w:t xml:space="preserve">It was </w:t>
      </w:r>
      <w:r w:rsidRPr="005A4359">
        <w:rPr>
          <w:rFonts w:ascii="Aptos" w:eastAsiaTheme="minorHAnsi" w:hAnsi="Aptos" w:cs="Arial"/>
          <w:kern w:val="2"/>
          <w:sz w:val="21"/>
          <w:szCs w:val="21"/>
          <w:lang w:eastAsia="en-US"/>
          <w14:ligatures w14:val="standardContextual"/>
        </w:rPr>
        <w:t>intended</w:t>
      </w:r>
      <w:r>
        <w:rPr>
          <w:rFonts w:ascii="Aptos" w:hAnsi="Aptos" w:cs="Arial"/>
          <w:sz w:val="21"/>
          <w:szCs w:val="21"/>
        </w:rPr>
        <w:t xml:space="preserve"> in the protocol that “w</w:t>
      </w:r>
      <w:r w:rsidRPr="00E77295">
        <w:rPr>
          <w:rFonts w:ascii="Aptos" w:hAnsi="Aptos" w:cs="Arial"/>
          <w:sz w:val="21"/>
          <w:szCs w:val="21"/>
        </w:rPr>
        <w:t>here possible and appropriate, the analysis will stratify the evidence into comparator groups</w:t>
      </w:r>
      <w:r>
        <w:rPr>
          <w:rFonts w:ascii="Aptos" w:hAnsi="Aptos" w:cs="Arial"/>
          <w:sz w:val="21"/>
          <w:szCs w:val="21"/>
        </w:rPr>
        <w:t xml:space="preserve"> (placebo, usual care, active)</w:t>
      </w:r>
      <w:r w:rsidR="009F4C8C">
        <w:rPr>
          <w:rFonts w:ascii="Aptos" w:hAnsi="Aptos" w:cs="Arial"/>
          <w:sz w:val="21"/>
          <w:szCs w:val="21"/>
        </w:rPr>
        <w:t>”</w:t>
      </w:r>
      <w:r w:rsidRPr="00E77295">
        <w:rPr>
          <w:rFonts w:ascii="Aptos" w:hAnsi="Aptos" w:cs="Arial"/>
          <w:sz w:val="21"/>
          <w:szCs w:val="21"/>
        </w:rPr>
        <w:t xml:space="preserve">. </w:t>
      </w:r>
      <w:r w:rsidR="00622B6A">
        <w:rPr>
          <w:rFonts w:ascii="Aptos" w:hAnsi="Aptos" w:cs="Arial"/>
          <w:sz w:val="21"/>
          <w:szCs w:val="21"/>
        </w:rPr>
        <w:t xml:space="preserve">This was not done due to paucity of evidence. </w:t>
      </w:r>
    </w:p>
    <w:p w14:paraId="7CC107C9" w14:textId="0EF23ACF" w:rsidR="00630BFE" w:rsidRDefault="00FB0E6D" w:rsidP="00E17157">
      <w:pPr>
        <w:pStyle w:val="heading3numbers"/>
      </w:pPr>
      <w:bookmarkStart w:id="235" w:name="_Toc185254683"/>
      <w:r>
        <w:t>Risk of bias assessment</w:t>
      </w:r>
      <w:bookmarkEnd w:id="235"/>
    </w:p>
    <w:p w14:paraId="340C2408" w14:textId="77777777" w:rsidR="00FB0E6D" w:rsidRPr="00545071" w:rsidRDefault="00FB0E6D" w:rsidP="00FB0E6D">
      <w:pPr>
        <w:pStyle w:val="ListParagraph"/>
        <w:numPr>
          <w:ilvl w:val="0"/>
          <w:numId w:val="29"/>
        </w:numPr>
        <w:spacing w:before="120" w:after="120"/>
        <w:ind w:left="426"/>
        <w:rPr>
          <w:rFonts w:ascii="Aptos" w:hAnsi="Aptos" w:cs="Arial"/>
          <w:b/>
          <w:bCs/>
          <w:sz w:val="21"/>
          <w:szCs w:val="21"/>
        </w:rPr>
      </w:pPr>
      <w:r w:rsidRPr="00545071">
        <w:rPr>
          <w:rFonts w:ascii="Aptos" w:hAnsi="Aptos" w:cs="Arial"/>
          <w:b/>
          <w:bCs/>
          <w:sz w:val="21"/>
          <w:szCs w:val="21"/>
        </w:rPr>
        <w:t>Subgroup analyses</w:t>
      </w:r>
    </w:p>
    <w:p w14:paraId="0EC198B6" w14:textId="289A1B73" w:rsidR="00A829B6" w:rsidRDefault="00FB0E6D" w:rsidP="00A829B6">
      <w:pPr>
        <w:spacing w:before="120" w:after="120"/>
        <w:ind w:left="426"/>
        <w:rPr>
          <w:rFonts w:ascii="Aptos" w:hAnsi="Aptos" w:cs="Arial"/>
          <w:sz w:val="21"/>
          <w:szCs w:val="21"/>
        </w:rPr>
      </w:pPr>
      <w:r>
        <w:rPr>
          <w:rFonts w:ascii="Aptos" w:hAnsi="Aptos" w:cs="Arial"/>
          <w:sz w:val="21"/>
          <w:szCs w:val="21"/>
        </w:rPr>
        <w:t>As part of the protocol, it was specified that s</w:t>
      </w:r>
      <w:r w:rsidRPr="00D518FF">
        <w:rPr>
          <w:rFonts w:ascii="Aptos" w:hAnsi="Aptos" w:cs="Arial"/>
          <w:sz w:val="21"/>
          <w:szCs w:val="21"/>
        </w:rPr>
        <w:t xml:space="preserve">ubgroup analyses </w:t>
      </w:r>
      <w:r>
        <w:rPr>
          <w:rFonts w:ascii="Aptos" w:hAnsi="Aptos" w:cs="Arial"/>
          <w:sz w:val="21"/>
          <w:szCs w:val="21"/>
        </w:rPr>
        <w:t>were</w:t>
      </w:r>
      <w:r w:rsidRPr="00D518FF">
        <w:rPr>
          <w:rFonts w:ascii="Aptos" w:hAnsi="Aptos" w:cs="Arial"/>
          <w:sz w:val="21"/>
          <w:szCs w:val="21"/>
        </w:rPr>
        <w:t xml:space="preserve"> not planned, however if there </w:t>
      </w:r>
      <w:r>
        <w:rPr>
          <w:rFonts w:ascii="Aptos" w:hAnsi="Aptos" w:cs="Arial"/>
          <w:sz w:val="21"/>
          <w:szCs w:val="21"/>
        </w:rPr>
        <w:t>was</w:t>
      </w:r>
      <w:r w:rsidRPr="00D518FF">
        <w:rPr>
          <w:rFonts w:ascii="Aptos" w:hAnsi="Aptos" w:cs="Arial"/>
          <w:sz w:val="21"/>
          <w:szCs w:val="21"/>
        </w:rPr>
        <w:t xml:space="preserve"> inconsistency between effect estimates, subgroup analysis may be used to explore possible sources of heterogeneity.</w:t>
      </w:r>
      <w:r>
        <w:rPr>
          <w:rFonts w:ascii="Aptos" w:hAnsi="Aptos" w:cs="Arial"/>
          <w:sz w:val="21"/>
          <w:szCs w:val="21"/>
        </w:rPr>
        <w:t xml:space="preserve"> Given that no re-analysis was undertaken per the overview’s methods, this was not completed. However, subgroup analyses conducted by preferred reviews was considered as part of the GRADE process. </w:t>
      </w:r>
    </w:p>
    <w:p w14:paraId="5EEF95EA" w14:textId="77777777" w:rsidR="00FB0E6D" w:rsidRPr="00E23F97" w:rsidRDefault="00FB0E6D" w:rsidP="00E23F97">
      <w:pPr>
        <w:pStyle w:val="ListParagraph"/>
        <w:numPr>
          <w:ilvl w:val="0"/>
          <w:numId w:val="29"/>
        </w:numPr>
        <w:spacing w:before="120" w:after="120"/>
        <w:ind w:left="425" w:hanging="357"/>
        <w:rPr>
          <w:rFonts w:ascii="Aptos" w:hAnsi="Aptos" w:cs="Arial"/>
          <w:b/>
          <w:bCs/>
          <w:sz w:val="21"/>
          <w:szCs w:val="21"/>
        </w:rPr>
      </w:pPr>
      <w:r w:rsidRPr="00A829B6">
        <w:rPr>
          <w:rFonts w:ascii="Aptos" w:hAnsi="Aptos" w:cs="Arial"/>
          <w:b/>
          <w:bCs/>
          <w:sz w:val="21"/>
          <w:szCs w:val="21"/>
        </w:rPr>
        <w:t>Assessment of risk of bias of primary studies by the overview (if not completed as part of the review)</w:t>
      </w:r>
    </w:p>
    <w:p w14:paraId="28571BF5" w14:textId="0D86C567" w:rsidR="00FB0E6D" w:rsidRPr="00545071" w:rsidRDefault="00FB0E6D" w:rsidP="00E23F97">
      <w:pPr>
        <w:spacing w:before="120" w:after="120"/>
        <w:ind w:left="425"/>
        <w:contextualSpacing/>
        <w:rPr>
          <w:rFonts w:ascii="Aptos" w:hAnsi="Aptos" w:cs="Arial"/>
          <w:sz w:val="21"/>
          <w:szCs w:val="21"/>
        </w:rPr>
      </w:pPr>
      <w:r>
        <w:rPr>
          <w:rFonts w:ascii="Aptos" w:hAnsi="Aptos" w:cs="Arial"/>
          <w:sz w:val="21"/>
          <w:szCs w:val="21"/>
        </w:rPr>
        <w:lastRenderedPageBreak/>
        <w:t>It was intended that w</w:t>
      </w:r>
      <w:r w:rsidRPr="00D518FF">
        <w:rPr>
          <w:rFonts w:ascii="Aptos" w:hAnsi="Aptos" w:cs="Arial"/>
          <w:sz w:val="21"/>
          <w:szCs w:val="21"/>
        </w:rPr>
        <w:t xml:space="preserve">here risk of bias </w:t>
      </w:r>
      <w:r>
        <w:rPr>
          <w:rFonts w:ascii="Aptos" w:hAnsi="Aptos" w:cs="Arial"/>
          <w:sz w:val="21"/>
          <w:szCs w:val="21"/>
        </w:rPr>
        <w:t>was</w:t>
      </w:r>
      <w:r w:rsidRPr="00D518FF">
        <w:rPr>
          <w:rFonts w:ascii="Aptos" w:hAnsi="Aptos" w:cs="Arial"/>
          <w:sz w:val="21"/>
          <w:szCs w:val="21"/>
        </w:rPr>
        <w:t xml:space="preserve"> not reported </w:t>
      </w:r>
      <w:r w:rsidR="00E23F97">
        <w:rPr>
          <w:rFonts w:ascii="Aptos" w:hAnsi="Aptos" w:cs="Arial"/>
          <w:sz w:val="21"/>
          <w:szCs w:val="21"/>
        </w:rPr>
        <w:t xml:space="preserve">on </w:t>
      </w:r>
      <w:r w:rsidRPr="00D518FF">
        <w:rPr>
          <w:rFonts w:ascii="Aptos" w:hAnsi="Aptos" w:cs="Arial"/>
          <w:sz w:val="21"/>
          <w:szCs w:val="21"/>
        </w:rPr>
        <w:t>primary stud</w:t>
      </w:r>
      <w:r>
        <w:rPr>
          <w:rFonts w:ascii="Aptos" w:hAnsi="Aptos" w:cs="Arial"/>
          <w:sz w:val="21"/>
          <w:szCs w:val="21"/>
        </w:rPr>
        <w:t>ies</w:t>
      </w:r>
      <w:r w:rsidRPr="00D518FF">
        <w:rPr>
          <w:rFonts w:ascii="Aptos" w:hAnsi="Aptos" w:cs="Arial"/>
          <w:sz w:val="21"/>
          <w:szCs w:val="21"/>
        </w:rPr>
        <w:t xml:space="preserve">, an independent assessment of the risk of bias </w:t>
      </w:r>
      <w:r>
        <w:rPr>
          <w:rFonts w:ascii="Aptos" w:hAnsi="Aptos" w:cs="Arial"/>
          <w:sz w:val="21"/>
          <w:szCs w:val="21"/>
        </w:rPr>
        <w:t>would</w:t>
      </w:r>
      <w:r w:rsidRPr="00D518FF">
        <w:rPr>
          <w:rFonts w:ascii="Aptos" w:hAnsi="Aptos" w:cs="Arial"/>
          <w:sz w:val="21"/>
          <w:szCs w:val="21"/>
        </w:rPr>
        <w:t xml:space="preserve"> be conducted. </w:t>
      </w:r>
      <w:r>
        <w:rPr>
          <w:rFonts w:ascii="Aptos" w:hAnsi="Aptos" w:cs="Arial"/>
          <w:sz w:val="21"/>
          <w:szCs w:val="21"/>
        </w:rPr>
        <w:t xml:space="preserve">However, this was not necessary given the minimum quality criteria </w:t>
      </w:r>
      <w:r w:rsidR="00443D60">
        <w:rPr>
          <w:rFonts w:ascii="Aptos" w:hAnsi="Aptos" w:cs="Arial"/>
          <w:sz w:val="21"/>
          <w:szCs w:val="21"/>
        </w:rPr>
        <w:t>specified</w:t>
      </w:r>
      <w:r>
        <w:rPr>
          <w:rFonts w:ascii="Aptos" w:hAnsi="Aptos" w:cs="Arial"/>
          <w:sz w:val="21"/>
          <w:szCs w:val="21"/>
        </w:rPr>
        <w:t xml:space="preserve"> risk </w:t>
      </w:r>
      <w:r w:rsidR="00443D60">
        <w:rPr>
          <w:rFonts w:ascii="Aptos" w:hAnsi="Aptos" w:cs="Arial"/>
          <w:sz w:val="21"/>
          <w:szCs w:val="21"/>
        </w:rPr>
        <w:t>of</w:t>
      </w:r>
      <w:r>
        <w:rPr>
          <w:rFonts w:ascii="Aptos" w:hAnsi="Aptos" w:cs="Arial"/>
          <w:sz w:val="21"/>
          <w:szCs w:val="21"/>
        </w:rPr>
        <w:t xml:space="preserve"> bias assessment as required for inclusion of a review.</w:t>
      </w:r>
    </w:p>
    <w:p w14:paraId="398DBAD0" w14:textId="64C7DDA6" w:rsidR="00FB0E6D" w:rsidRDefault="00FB0E6D" w:rsidP="00FB0E6D">
      <w:pPr>
        <w:pStyle w:val="ListParagraph"/>
        <w:numPr>
          <w:ilvl w:val="0"/>
          <w:numId w:val="29"/>
        </w:numPr>
        <w:spacing w:before="120" w:after="120"/>
        <w:ind w:left="426"/>
        <w:rPr>
          <w:rFonts w:ascii="Aptos" w:hAnsi="Aptos" w:cs="Arial"/>
          <w:b/>
          <w:bCs/>
          <w:sz w:val="21"/>
          <w:szCs w:val="21"/>
        </w:rPr>
      </w:pPr>
      <w:r>
        <w:rPr>
          <w:rFonts w:ascii="Aptos" w:hAnsi="Aptos" w:cs="Arial"/>
          <w:b/>
          <w:bCs/>
          <w:sz w:val="21"/>
          <w:szCs w:val="21"/>
        </w:rPr>
        <w:t>ROBIS assessment judgements</w:t>
      </w:r>
    </w:p>
    <w:p w14:paraId="5AB327E6" w14:textId="7BD162F5" w:rsidR="00F1751F" w:rsidRPr="00FB0E6D" w:rsidRDefault="00FB0E6D" w:rsidP="00FB0E6D">
      <w:pPr>
        <w:spacing w:before="120" w:after="120"/>
        <w:ind w:left="426"/>
        <w:rPr>
          <w:rFonts w:ascii="Aptos" w:hAnsi="Aptos" w:cs="Arial"/>
          <w:b/>
          <w:bCs/>
          <w:sz w:val="21"/>
          <w:szCs w:val="21"/>
        </w:rPr>
      </w:pPr>
      <w:r>
        <w:rPr>
          <w:rFonts w:ascii="Aptos" w:hAnsi="Aptos" w:cs="Arial"/>
          <w:sz w:val="21"/>
          <w:szCs w:val="21"/>
        </w:rPr>
        <w:t xml:space="preserve">We also stated in the protocol that a ROBIS assessment for each outcome </w:t>
      </w:r>
      <w:r w:rsidRPr="00D518FF">
        <w:rPr>
          <w:rFonts w:ascii="Aptos" w:hAnsi="Aptos" w:cs="Arial"/>
          <w:sz w:val="21"/>
          <w:szCs w:val="21"/>
        </w:rPr>
        <w:t xml:space="preserve">for each priority </w:t>
      </w:r>
      <w:r>
        <w:rPr>
          <w:rFonts w:ascii="Aptos" w:hAnsi="Aptos" w:cs="Arial"/>
          <w:sz w:val="21"/>
          <w:szCs w:val="21"/>
        </w:rPr>
        <w:t>population-supplement pair would be presented in the main report, however this was determined as not necessary as primary study risk of bias informed Summary of Findings and GRADE assessments.</w:t>
      </w:r>
      <w:r w:rsidRPr="00D518FF">
        <w:rPr>
          <w:rFonts w:ascii="Aptos" w:hAnsi="Aptos" w:cs="Arial"/>
          <w:sz w:val="21"/>
          <w:szCs w:val="21"/>
        </w:rPr>
        <w:t xml:space="preserve"> </w:t>
      </w:r>
    </w:p>
    <w:p w14:paraId="3AB58AA4" w14:textId="50AB3D60" w:rsidR="008F3151" w:rsidRPr="00D518FF" w:rsidRDefault="008F3151" w:rsidP="008F3151">
      <w:pPr>
        <w:pStyle w:val="heading2numbers"/>
      </w:pPr>
      <w:bookmarkStart w:id="236" w:name="_Toc185254684"/>
      <w:r w:rsidRPr="00D518FF">
        <w:t>Clarifications from protocol</w:t>
      </w:r>
      <w:bookmarkEnd w:id="236"/>
      <w:r w:rsidRPr="00D518FF">
        <w:t xml:space="preserve"> </w:t>
      </w:r>
      <w:r w:rsidR="005877F2">
        <w:t xml:space="preserve"> </w:t>
      </w:r>
    </w:p>
    <w:p w14:paraId="61949B08" w14:textId="77777777" w:rsidR="008F3151" w:rsidRPr="00D518FF" w:rsidRDefault="008F3151" w:rsidP="00A4650A">
      <w:pPr>
        <w:pStyle w:val="ListParagraph"/>
        <w:numPr>
          <w:ilvl w:val="0"/>
          <w:numId w:val="31"/>
        </w:numPr>
        <w:spacing w:before="120" w:after="120"/>
        <w:ind w:left="426"/>
        <w:rPr>
          <w:rFonts w:ascii="Aptos" w:hAnsi="Aptos"/>
        </w:rPr>
      </w:pPr>
      <w:r w:rsidRPr="00D518FF">
        <w:rPr>
          <w:rFonts w:ascii="Aptos" w:hAnsi="Aptos" w:cs="Arial"/>
          <w:b/>
          <w:bCs/>
          <w:sz w:val="21"/>
          <w:szCs w:val="21"/>
        </w:rPr>
        <w:t xml:space="preserve">Definition of “at-risk”. </w:t>
      </w:r>
    </w:p>
    <w:p w14:paraId="1D0C5980" w14:textId="1F70A718" w:rsidR="008F3151" w:rsidRPr="00D518FF" w:rsidRDefault="00F02F4A" w:rsidP="008F3151">
      <w:pPr>
        <w:pStyle w:val="ListParagraph"/>
        <w:spacing w:before="120" w:after="120"/>
        <w:ind w:left="426"/>
        <w:contextualSpacing w:val="0"/>
        <w:rPr>
          <w:rFonts w:ascii="Aptos" w:hAnsi="Aptos" w:cs="Arial"/>
          <w:sz w:val="21"/>
          <w:szCs w:val="21"/>
        </w:rPr>
      </w:pPr>
      <w:r w:rsidRPr="00D518FF">
        <w:rPr>
          <w:rFonts w:ascii="Aptos" w:hAnsi="Aptos" w:cs="Arial"/>
          <w:sz w:val="21"/>
          <w:szCs w:val="21"/>
        </w:rPr>
        <w:t>Th</w:t>
      </w:r>
      <w:r>
        <w:rPr>
          <w:rFonts w:ascii="Aptos" w:hAnsi="Aptos" w:cs="Arial"/>
          <w:sz w:val="21"/>
          <w:szCs w:val="21"/>
        </w:rPr>
        <w:t>e definition of “at-risk”</w:t>
      </w:r>
      <w:r w:rsidRPr="00D518FF">
        <w:rPr>
          <w:rFonts w:ascii="Aptos" w:hAnsi="Aptos" w:cs="Arial"/>
          <w:sz w:val="21"/>
          <w:szCs w:val="21"/>
        </w:rPr>
        <w:t xml:space="preserve"> </w:t>
      </w:r>
      <w:r w:rsidR="008F3151" w:rsidRPr="00D518FF">
        <w:rPr>
          <w:rFonts w:ascii="Aptos" w:hAnsi="Aptos" w:cs="Arial"/>
          <w:sz w:val="21"/>
          <w:szCs w:val="21"/>
        </w:rPr>
        <w:t xml:space="preserve">required clarification from the protocol as there are many interpretations of “at-risk populations”. </w:t>
      </w:r>
      <w:r w:rsidR="008F3151">
        <w:rPr>
          <w:rFonts w:ascii="Aptos" w:hAnsi="Aptos" w:cs="Arial"/>
          <w:sz w:val="21"/>
          <w:szCs w:val="21"/>
        </w:rPr>
        <w:t xml:space="preserve">Results for populations </w:t>
      </w:r>
      <w:r w:rsidR="008F3151" w:rsidRPr="00D177D2">
        <w:rPr>
          <w:rFonts w:ascii="Aptos" w:hAnsi="Aptos" w:cs="Arial"/>
          <w:sz w:val="21"/>
          <w:szCs w:val="21"/>
        </w:rPr>
        <w:t>“</w:t>
      </w:r>
      <w:r w:rsidR="008F3151">
        <w:rPr>
          <w:rFonts w:ascii="Aptos" w:hAnsi="Aptos" w:cs="Arial"/>
          <w:sz w:val="21"/>
          <w:szCs w:val="21"/>
        </w:rPr>
        <w:t>a</w:t>
      </w:r>
      <w:r w:rsidR="008F3151" w:rsidRPr="00D177D2">
        <w:rPr>
          <w:rFonts w:ascii="Aptos" w:hAnsi="Aptos" w:cs="Arial"/>
          <w:sz w:val="21"/>
          <w:szCs w:val="21"/>
        </w:rPr>
        <w:t xml:space="preserve">t-risk” </w:t>
      </w:r>
      <w:r w:rsidR="008F3151">
        <w:rPr>
          <w:rFonts w:ascii="Aptos" w:hAnsi="Aptos" w:cs="Arial"/>
          <w:sz w:val="21"/>
          <w:szCs w:val="21"/>
        </w:rPr>
        <w:t xml:space="preserve">were therefore only included if it was: (1) a specific population identified by the review authors to be at-risk, and therefore formed part of the research question in terms of prevention (e.g. pregnant people are at-risk of postnatal anxiety); and/or (2) preclinical conditions (e.g. people with pre-diabetes are at risk of diabetes). Conditions which were comorbid alone were excluded (e.g. hypertension and diabetes; fibromyalgia and CFS/ME). </w:t>
      </w:r>
    </w:p>
    <w:p w14:paraId="7DD243EF" w14:textId="77777777" w:rsidR="008F3151" w:rsidRPr="00D518FF" w:rsidRDefault="008F3151" w:rsidP="00A4650A">
      <w:pPr>
        <w:pStyle w:val="ListParagraph"/>
        <w:numPr>
          <w:ilvl w:val="0"/>
          <w:numId w:val="31"/>
        </w:numPr>
        <w:spacing w:before="120" w:after="120"/>
        <w:ind w:left="426"/>
        <w:rPr>
          <w:rFonts w:ascii="Aptos" w:hAnsi="Aptos" w:cs="Arial"/>
          <w:b/>
          <w:bCs/>
          <w:sz w:val="21"/>
          <w:szCs w:val="21"/>
        </w:rPr>
      </w:pPr>
      <w:r w:rsidRPr="005E2AC2">
        <w:rPr>
          <w:rFonts w:ascii="Aptos" w:hAnsi="Aptos" w:cs="Arial"/>
          <w:b/>
          <w:bCs/>
          <w:sz w:val="21"/>
          <w:szCs w:val="21"/>
        </w:rPr>
        <w:t>Definition</w:t>
      </w:r>
      <w:r w:rsidRPr="00D518FF">
        <w:rPr>
          <w:rFonts w:ascii="Aptos" w:hAnsi="Aptos" w:cs="Arial"/>
          <w:b/>
          <w:bCs/>
          <w:sz w:val="21"/>
          <w:szCs w:val="21"/>
        </w:rPr>
        <w:t xml:space="preserve"> of “recurrent” infection. </w:t>
      </w:r>
    </w:p>
    <w:p w14:paraId="6B02E09B" w14:textId="067A1353" w:rsidR="008F3151" w:rsidRDefault="008F3151" w:rsidP="008F3151">
      <w:pPr>
        <w:pStyle w:val="ListParagraph"/>
        <w:spacing w:before="120" w:after="120"/>
        <w:ind w:left="426"/>
        <w:contextualSpacing w:val="0"/>
        <w:rPr>
          <w:rFonts w:ascii="Aptos" w:hAnsi="Aptos" w:cs="Arial"/>
          <w:sz w:val="21"/>
          <w:szCs w:val="21"/>
        </w:rPr>
      </w:pPr>
      <w:r w:rsidRPr="00D518FF">
        <w:rPr>
          <w:rFonts w:ascii="Aptos" w:hAnsi="Aptos" w:cs="Arial"/>
          <w:sz w:val="21"/>
          <w:szCs w:val="21"/>
        </w:rPr>
        <w:t>Many infections are at risk of recurrence (depending on their definition). To keep scope manageable, articles were only included if they were focused on prevention and treatment of relapse, reinfection</w:t>
      </w:r>
      <w:r>
        <w:rPr>
          <w:rFonts w:ascii="Aptos" w:hAnsi="Aptos" w:cs="Arial"/>
          <w:sz w:val="21"/>
          <w:szCs w:val="21"/>
        </w:rPr>
        <w:t>,</w:t>
      </w:r>
      <w:r w:rsidRPr="00D518FF">
        <w:rPr>
          <w:rFonts w:ascii="Aptos" w:hAnsi="Aptos" w:cs="Arial"/>
          <w:sz w:val="21"/>
          <w:szCs w:val="21"/>
        </w:rPr>
        <w:t xml:space="preserve"> or recurrence of an infection (and not on initial infection that may reoccur). This had to be clearly specified in the review of interest.</w:t>
      </w:r>
      <w:r w:rsidR="00015ABC">
        <w:rPr>
          <w:rFonts w:ascii="Aptos" w:hAnsi="Aptos" w:cs="Arial"/>
          <w:sz w:val="21"/>
          <w:szCs w:val="21"/>
        </w:rPr>
        <w:t xml:space="preserve"> </w:t>
      </w:r>
    </w:p>
    <w:p w14:paraId="55E079AC" w14:textId="77777777" w:rsidR="0047401B" w:rsidRPr="00E77295" w:rsidRDefault="0047401B" w:rsidP="00A4650A">
      <w:pPr>
        <w:pStyle w:val="ListParagraph"/>
        <w:numPr>
          <w:ilvl w:val="0"/>
          <w:numId w:val="31"/>
        </w:numPr>
        <w:spacing w:before="120" w:after="120"/>
        <w:ind w:left="426"/>
        <w:rPr>
          <w:rFonts w:ascii="Aptos" w:hAnsi="Aptos" w:cs="Arial"/>
          <w:b/>
          <w:bCs/>
          <w:sz w:val="21"/>
          <w:szCs w:val="21"/>
        </w:rPr>
      </w:pPr>
      <w:r w:rsidRPr="00E77295">
        <w:rPr>
          <w:rFonts w:ascii="Aptos" w:hAnsi="Aptos" w:cs="Arial"/>
          <w:b/>
          <w:bCs/>
          <w:sz w:val="21"/>
          <w:szCs w:val="21"/>
        </w:rPr>
        <w:t>Inclusion of active comparators</w:t>
      </w:r>
    </w:p>
    <w:p w14:paraId="406A6EB1" w14:textId="78AA0AB2" w:rsidR="00DD5E3C" w:rsidRPr="00DD5E3C" w:rsidRDefault="0047401B" w:rsidP="00DD5E3C">
      <w:pPr>
        <w:pStyle w:val="ListParagraph"/>
        <w:spacing w:before="120" w:after="120"/>
        <w:ind w:left="426"/>
        <w:contextualSpacing w:val="0"/>
        <w:rPr>
          <w:rStyle w:val="Heading1Char"/>
          <w:rFonts w:ascii="Aptos" w:eastAsiaTheme="minorHAnsi" w:hAnsi="Aptos" w:cs="Arial"/>
          <w:bCs w:val="0"/>
          <w:color w:val="auto"/>
          <w:kern w:val="2"/>
          <w:sz w:val="21"/>
          <w:szCs w:val="21"/>
          <w14:ligatures w14:val="standardContextual"/>
        </w:rPr>
      </w:pPr>
      <w:r>
        <w:rPr>
          <w:rFonts w:ascii="Aptos" w:hAnsi="Aptos" w:cs="Arial"/>
          <w:sz w:val="21"/>
          <w:szCs w:val="21"/>
        </w:rPr>
        <w:t xml:space="preserve">There were </w:t>
      </w:r>
      <w:r w:rsidR="00CE71DC">
        <w:rPr>
          <w:rFonts w:ascii="Aptos" w:hAnsi="Aptos" w:cs="Arial"/>
          <w:sz w:val="21"/>
          <w:szCs w:val="21"/>
        </w:rPr>
        <w:t xml:space="preserve">some confusing </w:t>
      </w:r>
      <w:r>
        <w:rPr>
          <w:rFonts w:ascii="Aptos" w:hAnsi="Aptos" w:cs="Arial"/>
          <w:sz w:val="21"/>
          <w:szCs w:val="21"/>
        </w:rPr>
        <w:t xml:space="preserve">statements in the protocol about inclusion </w:t>
      </w:r>
      <w:r w:rsidR="00CE71DC">
        <w:rPr>
          <w:rFonts w:ascii="Aptos" w:hAnsi="Aptos" w:cs="Arial"/>
          <w:sz w:val="21"/>
          <w:szCs w:val="21"/>
        </w:rPr>
        <w:t xml:space="preserve">or exclusion </w:t>
      </w:r>
      <w:r>
        <w:rPr>
          <w:rFonts w:ascii="Aptos" w:hAnsi="Aptos" w:cs="Arial"/>
          <w:sz w:val="21"/>
          <w:szCs w:val="21"/>
        </w:rPr>
        <w:t xml:space="preserve">of active comparators. </w:t>
      </w:r>
      <w:r w:rsidR="00CE71DC">
        <w:rPr>
          <w:rFonts w:ascii="Aptos" w:hAnsi="Aptos" w:cs="Arial"/>
          <w:sz w:val="21"/>
          <w:szCs w:val="21"/>
        </w:rPr>
        <w:t xml:space="preserve">Active comparators </w:t>
      </w:r>
      <w:r>
        <w:rPr>
          <w:rFonts w:ascii="Aptos" w:hAnsi="Aptos" w:cs="Arial"/>
          <w:sz w:val="21"/>
          <w:szCs w:val="21"/>
        </w:rPr>
        <w:t>were not included</w:t>
      </w:r>
      <w:r w:rsidR="00CE71DC">
        <w:rPr>
          <w:rFonts w:ascii="Aptos" w:hAnsi="Aptos" w:cs="Arial"/>
          <w:sz w:val="21"/>
          <w:szCs w:val="21"/>
        </w:rPr>
        <w:t>,</w:t>
      </w:r>
      <w:r>
        <w:rPr>
          <w:rFonts w:ascii="Aptos" w:hAnsi="Aptos" w:cs="Arial"/>
          <w:sz w:val="21"/>
          <w:szCs w:val="21"/>
        </w:rPr>
        <w:t xml:space="preserve"> as </w:t>
      </w:r>
      <w:r w:rsidR="0026146F">
        <w:rPr>
          <w:rFonts w:ascii="Aptos" w:hAnsi="Aptos" w:cs="Arial"/>
          <w:sz w:val="21"/>
          <w:szCs w:val="21"/>
        </w:rPr>
        <w:t xml:space="preserve">the overview was trying to determine the effect of chosen supplements with or without co-interventions, and </w:t>
      </w:r>
      <w:r w:rsidR="00C5756A">
        <w:rPr>
          <w:rFonts w:ascii="Aptos" w:hAnsi="Aptos" w:cs="Arial"/>
          <w:sz w:val="21"/>
          <w:szCs w:val="21"/>
        </w:rPr>
        <w:t xml:space="preserve">not to compare against other interventions. </w:t>
      </w:r>
      <w:r w:rsidR="00CE71DC">
        <w:rPr>
          <w:rFonts w:ascii="Aptos" w:hAnsi="Aptos" w:cs="Arial"/>
          <w:sz w:val="21"/>
          <w:szCs w:val="21"/>
        </w:rPr>
        <w:t>Including active comparators would</w:t>
      </w:r>
      <w:r w:rsidR="005F4379">
        <w:rPr>
          <w:rFonts w:ascii="Aptos" w:hAnsi="Aptos" w:cs="Arial"/>
          <w:sz w:val="21"/>
          <w:szCs w:val="21"/>
        </w:rPr>
        <w:t xml:space="preserve"> have made the</w:t>
      </w:r>
      <w:r w:rsidR="00CE71DC">
        <w:rPr>
          <w:rFonts w:ascii="Aptos" w:hAnsi="Aptos" w:cs="Arial"/>
          <w:sz w:val="21"/>
          <w:szCs w:val="21"/>
        </w:rPr>
        <w:t xml:space="preserve"> </w:t>
      </w:r>
      <w:r w:rsidR="00C5756A">
        <w:rPr>
          <w:rFonts w:ascii="Aptos" w:hAnsi="Aptos" w:cs="Arial"/>
          <w:sz w:val="21"/>
          <w:szCs w:val="21"/>
        </w:rPr>
        <w:t xml:space="preserve">analysis unmanageable in size. </w:t>
      </w:r>
      <w:r w:rsidR="005877F2">
        <w:rPr>
          <w:rFonts w:ascii="Aptos" w:hAnsi="Aptos" w:cs="Arial"/>
          <w:sz w:val="21"/>
          <w:szCs w:val="21"/>
        </w:rPr>
        <w:t>Eligible types of comparisons are listed in Appendix A</w:t>
      </w:r>
      <w:r w:rsidR="00BF0EB3">
        <w:rPr>
          <w:rFonts w:ascii="Aptos" w:hAnsi="Aptos" w:cs="Arial"/>
          <w:sz w:val="21"/>
          <w:szCs w:val="21"/>
        </w:rPr>
        <w:t>3.4</w:t>
      </w:r>
      <w:r w:rsidR="005877F2">
        <w:rPr>
          <w:rFonts w:ascii="Aptos" w:hAnsi="Aptos" w:cs="Arial"/>
          <w:sz w:val="21"/>
          <w:szCs w:val="21"/>
        </w:rPr>
        <w:t>.</w:t>
      </w:r>
    </w:p>
    <w:p w14:paraId="2BC601BE" w14:textId="4ECB030F" w:rsidR="00DD5E3C" w:rsidRPr="0047401B" w:rsidRDefault="00DD5E3C" w:rsidP="003E127B">
      <w:pPr>
        <w:pStyle w:val="ListParagraph"/>
        <w:numPr>
          <w:ilvl w:val="0"/>
          <w:numId w:val="31"/>
        </w:numPr>
        <w:spacing w:before="120" w:after="120"/>
        <w:contextualSpacing w:val="0"/>
        <w:rPr>
          <w:rStyle w:val="Heading1Char"/>
          <w:rFonts w:ascii="Aptos" w:eastAsiaTheme="minorHAnsi" w:hAnsi="Aptos"/>
          <w:b/>
          <w:bCs w:val="0"/>
          <w:szCs w:val="32"/>
        </w:rPr>
        <w:sectPr w:rsidR="00DD5E3C" w:rsidRPr="0047401B" w:rsidSect="0046678E">
          <w:pgSz w:w="11906" w:h="16838"/>
          <w:pgMar w:top="1210" w:right="1314" w:bottom="1373" w:left="1378" w:header="708" w:footer="708" w:gutter="0"/>
          <w:cols w:space="708"/>
          <w:docGrid w:linePitch="360"/>
        </w:sectPr>
      </w:pPr>
    </w:p>
    <w:p w14:paraId="70ECFB36" w14:textId="2E8B0CBD" w:rsidR="00DD742E" w:rsidRPr="002A13CB" w:rsidRDefault="002A13CB" w:rsidP="00DD742E">
      <w:pPr>
        <w:pStyle w:val="Heading1"/>
        <w:rPr>
          <w:rFonts w:ascii="Aptos" w:hAnsi="Aptos"/>
          <w:b/>
          <w:bCs w:val="0"/>
          <w:color w:val="C00000"/>
        </w:rPr>
      </w:pPr>
      <w:bookmarkStart w:id="237" w:name="_Toc154053833"/>
      <w:bookmarkStart w:id="238" w:name="_Toc185254685"/>
      <w:r w:rsidRPr="002A13CB">
        <w:rPr>
          <w:rFonts w:ascii="Aptos" w:hAnsi="Aptos"/>
          <w:b/>
          <w:bCs w:val="0"/>
          <w:color w:val="C00000"/>
        </w:rPr>
        <w:lastRenderedPageBreak/>
        <w:t>How comments from methodological review were addressed</w:t>
      </w:r>
      <w:bookmarkEnd w:id="237"/>
      <w:bookmarkEnd w:id="238"/>
    </w:p>
    <w:p w14:paraId="50D874BE" w14:textId="52EF10F3" w:rsidR="00EF41F1" w:rsidRPr="00EF41F1" w:rsidRDefault="00EF41F1" w:rsidP="00EF41F1">
      <w:pPr>
        <w:rPr>
          <w:rFonts w:ascii="Aptos" w:hAnsi="Aptos"/>
          <w:sz w:val="21"/>
          <w:szCs w:val="21"/>
        </w:rPr>
      </w:pPr>
      <w:r w:rsidRPr="00EF41F1">
        <w:rPr>
          <w:rFonts w:ascii="Aptos" w:hAnsi="Aptos"/>
          <w:sz w:val="21"/>
          <w:szCs w:val="21"/>
        </w:rPr>
        <w:t xml:space="preserve">Methodological review (or peer review) was conducted to appraise the methodological quality and assess the appropriateness of reporting for this </w:t>
      </w:r>
      <w:r>
        <w:rPr>
          <w:rFonts w:ascii="Aptos" w:hAnsi="Aptos"/>
          <w:sz w:val="21"/>
          <w:szCs w:val="21"/>
        </w:rPr>
        <w:t>overview</w:t>
      </w:r>
      <w:r w:rsidRPr="00EF41F1">
        <w:rPr>
          <w:rFonts w:ascii="Aptos" w:hAnsi="Aptos"/>
          <w:sz w:val="21"/>
          <w:szCs w:val="21"/>
        </w:rPr>
        <w:t xml:space="preserve"> (including appendices).  </w:t>
      </w:r>
      <w:r w:rsidR="00E154F7">
        <w:rPr>
          <w:rFonts w:ascii="Aptos" w:hAnsi="Aptos"/>
          <w:sz w:val="21"/>
          <w:szCs w:val="21"/>
        </w:rPr>
        <w:br/>
      </w:r>
    </w:p>
    <w:p w14:paraId="1B0387F3" w14:textId="33D29351" w:rsidR="00EF41F1" w:rsidRPr="00EF41F1" w:rsidRDefault="00EF41F1" w:rsidP="00EF41F1">
      <w:pPr>
        <w:rPr>
          <w:rFonts w:ascii="Aptos" w:hAnsi="Aptos"/>
          <w:sz w:val="21"/>
          <w:szCs w:val="21"/>
        </w:rPr>
      </w:pPr>
      <w:r w:rsidRPr="00EF41F1">
        <w:rPr>
          <w:rFonts w:ascii="Aptos" w:hAnsi="Aptos"/>
          <w:sz w:val="21"/>
          <w:szCs w:val="21"/>
        </w:rPr>
        <w:t xml:space="preserve">For reporting, the methodological review assessed the </w:t>
      </w:r>
      <w:r>
        <w:rPr>
          <w:rFonts w:ascii="Aptos" w:hAnsi="Aptos"/>
          <w:sz w:val="21"/>
          <w:szCs w:val="21"/>
        </w:rPr>
        <w:t>overview</w:t>
      </w:r>
      <w:r w:rsidRPr="00EF41F1">
        <w:rPr>
          <w:rFonts w:ascii="Aptos" w:hAnsi="Aptos"/>
          <w:sz w:val="21"/>
          <w:szCs w:val="21"/>
        </w:rPr>
        <w:t xml:space="preserve"> against the </w:t>
      </w:r>
      <w:r>
        <w:rPr>
          <w:rFonts w:ascii="Aptos" w:hAnsi="Aptos"/>
          <w:sz w:val="21"/>
          <w:szCs w:val="21"/>
        </w:rPr>
        <w:t>PRIOR</w:t>
      </w:r>
      <w:r w:rsidRPr="00EF41F1">
        <w:rPr>
          <w:rFonts w:ascii="Aptos" w:hAnsi="Aptos"/>
          <w:sz w:val="21"/>
          <w:szCs w:val="21"/>
        </w:rPr>
        <w:t xml:space="preserve"> </w:t>
      </w:r>
      <w:r w:rsidR="003145EE" w:rsidRPr="00EF41F1">
        <w:rPr>
          <w:rFonts w:ascii="Aptos" w:hAnsi="Aptos"/>
          <w:sz w:val="21"/>
          <w:szCs w:val="21"/>
        </w:rPr>
        <w:t xml:space="preserve">Checklist </w:t>
      </w:r>
      <w:r w:rsidR="004A0135">
        <w:rPr>
          <w:rFonts w:ascii="Aptos" w:hAnsi="Aptos"/>
          <w:sz w:val="21"/>
          <w:szCs w:val="21"/>
        </w:rPr>
        <w:t>(3)</w:t>
      </w:r>
      <w:r w:rsidR="003145EE">
        <w:rPr>
          <w:rFonts w:ascii="Aptos" w:hAnsi="Aptos"/>
          <w:sz w:val="21"/>
          <w:szCs w:val="21"/>
        </w:rPr>
        <w:t xml:space="preserve"> </w:t>
      </w:r>
      <w:r w:rsidRPr="00EF41F1">
        <w:rPr>
          <w:rFonts w:ascii="Aptos" w:hAnsi="Aptos"/>
          <w:sz w:val="21"/>
          <w:szCs w:val="21"/>
        </w:rPr>
        <w:t>and where applicable, the MECIR (Methodological Expectations of Cochrane Intervention Reviews) manual</w:t>
      </w:r>
      <w:r w:rsidR="00BF1BEA">
        <w:rPr>
          <w:rFonts w:ascii="Aptos" w:hAnsi="Aptos"/>
          <w:sz w:val="21"/>
          <w:szCs w:val="21"/>
        </w:rPr>
        <w:t xml:space="preserve"> </w:t>
      </w:r>
      <w:r w:rsidR="00FF7643">
        <w:rPr>
          <w:rFonts w:ascii="Aptos" w:hAnsi="Aptos"/>
          <w:sz w:val="21"/>
          <w:szCs w:val="21"/>
        </w:rPr>
        <w:t>(</w:t>
      </w:r>
      <w:r w:rsidR="000C77D6">
        <w:rPr>
          <w:rFonts w:ascii="Aptos" w:hAnsi="Aptos"/>
          <w:sz w:val="21"/>
          <w:szCs w:val="21"/>
        </w:rPr>
        <w:t>6</w:t>
      </w:r>
      <w:r w:rsidR="00FF7643">
        <w:rPr>
          <w:rFonts w:ascii="Aptos" w:hAnsi="Aptos"/>
          <w:sz w:val="21"/>
          <w:szCs w:val="21"/>
        </w:rPr>
        <w:t>)</w:t>
      </w:r>
      <w:r w:rsidRPr="00EF41F1">
        <w:rPr>
          <w:rFonts w:ascii="Aptos" w:hAnsi="Aptos"/>
          <w:sz w:val="21"/>
          <w:szCs w:val="21"/>
        </w:rPr>
        <w:t xml:space="preserve">. </w:t>
      </w:r>
      <w:r w:rsidR="00E154F7">
        <w:rPr>
          <w:rFonts w:ascii="Aptos" w:hAnsi="Aptos"/>
          <w:sz w:val="21"/>
          <w:szCs w:val="21"/>
        </w:rPr>
        <w:br/>
      </w:r>
    </w:p>
    <w:p w14:paraId="71833078" w14:textId="54E1233B" w:rsidR="00EF41F1" w:rsidRPr="00EF41F1" w:rsidRDefault="00EF41F1" w:rsidP="00EF41F1">
      <w:pPr>
        <w:rPr>
          <w:rFonts w:ascii="Aptos" w:hAnsi="Aptos"/>
          <w:sz w:val="21"/>
          <w:szCs w:val="21"/>
        </w:rPr>
      </w:pPr>
      <w:r w:rsidRPr="00EF41F1">
        <w:rPr>
          <w:rFonts w:ascii="Aptos" w:hAnsi="Aptos"/>
          <w:sz w:val="21"/>
          <w:szCs w:val="21"/>
        </w:rPr>
        <w:t xml:space="preserve">The ROBIS (Risk of Bias in Systematic Reviews) tool was </w:t>
      </w:r>
      <w:r w:rsidR="00671683">
        <w:rPr>
          <w:rFonts w:ascii="Aptos" w:hAnsi="Aptos"/>
          <w:sz w:val="21"/>
          <w:szCs w:val="21"/>
        </w:rPr>
        <w:t xml:space="preserve">also </w:t>
      </w:r>
      <w:r w:rsidRPr="00EF41F1">
        <w:rPr>
          <w:rFonts w:ascii="Aptos" w:hAnsi="Aptos"/>
          <w:sz w:val="21"/>
          <w:szCs w:val="21"/>
        </w:rPr>
        <w:t xml:space="preserve">used to assess the methodological quality of the </w:t>
      </w:r>
      <w:r>
        <w:rPr>
          <w:rFonts w:ascii="Aptos" w:hAnsi="Aptos"/>
          <w:sz w:val="21"/>
          <w:szCs w:val="21"/>
        </w:rPr>
        <w:t>overview</w:t>
      </w:r>
      <w:r w:rsidRPr="00EF41F1">
        <w:rPr>
          <w:rFonts w:ascii="Aptos" w:hAnsi="Aptos"/>
          <w:sz w:val="21"/>
          <w:szCs w:val="21"/>
        </w:rPr>
        <w:t>, to ensure it was designed and conducted in accordance with:</w:t>
      </w:r>
    </w:p>
    <w:p w14:paraId="50E75877" w14:textId="77777777" w:rsidR="00EF41F1" w:rsidRPr="00EF41F1" w:rsidRDefault="00EF41F1" w:rsidP="00A4650A">
      <w:pPr>
        <w:pStyle w:val="ListParagraph"/>
        <w:numPr>
          <w:ilvl w:val="0"/>
          <w:numId w:val="35"/>
        </w:numPr>
        <w:spacing w:after="160" w:line="259" w:lineRule="auto"/>
        <w:rPr>
          <w:rFonts w:ascii="Aptos" w:hAnsi="Aptos"/>
          <w:sz w:val="21"/>
          <w:szCs w:val="21"/>
        </w:rPr>
      </w:pPr>
      <w:r w:rsidRPr="00EF41F1">
        <w:rPr>
          <w:rFonts w:ascii="Aptos" w:eastAsiaTheme="minorEastAsia" w:hAnsi="Aptos"/>
          <w:sz w:val="21"/>
          <w:szCs w:val="21"/>
        </w:rPr>
        <w:t>NHMRC’s Developing your Guideline module in NHMRC’s Guidelines for Guidelines Handbook</w:t>
      </w:r>
    </w:p>
    <w:p w14:paraId="5639A439" w14:textId="79981BC6" w:rsidR="00EF41F1" w:rsidRPr="00EF41F1" w:rsidRDefault="00EF41F1" w:rsidP="00A4650A">
      <w:pPr>
        <w:pStyle w:val="ListParagraph"/>
        <w:numPr>
          <w:ilvl w:val="0"/>
          <w:numId w:val="35"/>
        </w:numPr>
        <w:spacing w:after="160" w:line="259" w:lineRule="auto"/>
        <w:rPr>
          <w:rFonts w:ascii="Aptos" w:hAnsi="Aptos"/>
          <w:sz w:val="21"/>
          <w:szCs w:val="21"/>
        </w:rPr>
      </w:pPr>
      <w:r w:rsidRPr="00EF41F1">
        <w:rPr>
          <w:rFonts w:ascii="Aptos" w:eastAsiaTheme="minorEastAsia" w:hAnsi="Aptos"/>
          <w:sz w:val="21"/>
          <w:szCs w:val="21"/>
        </w:rPr>
        <w:t>Cochrane Handbook for Systematic Reviews of Interventions (updated 2022)</w:t>
      </w:r>
      <w:r w:rsidR="008043E4">
        <w:rPr>
          <w:rFonts w:ascii="Aptos" w:eastAsiaTheme="minorEastAsia" w:hAnsi="Aptos"/>
          <w:sz w:val="21"/>
          <w:szCs w:val="21"/>
        </w:rPr>
        <w:t xml:space="preserve"> – Chapter on </w:t>
      </w:r>
      <w:r w:rsidR="000536C7">
        <w:rPr>
          <w:rFonts w:ascii="Aptos" w:eastAsiaTheme="minorEastAsia" w:hAnsi="Aptos"/>
          <w:sz w:val="21"/>
          <w:szCs w:val="21"/>
        </w:rPr>
        <w:t>Overviews</w:t>
      </w:r>
    </w:p>
    <w:p w14:paraId="7C5DF41F" w14:textId="77777777" w:rsidR="00EF41F1" w:rsidRPr="00EF41F1" w:rsidRDefault="00EF41F1" w:rsidP="00A4650A">
      <w:pPr>
        <w:pStyle w:val="ListParagraph"/>
        <w:numPr>
          <w:ilvl w:val="0"/>
          <w:numId w:val="35"/>
        </w:numPr>
        <w:spacing w:after="160" w:line="259" w:lineRule="auto"/>
        <w:rPr>
          <w:rFonts w:ascii="Aptos" w:hAnsi="Aptos"/>
          <w:sz w:val="21"/>
          <w:szCs w:val="21"/>
        </w:rPr>
      </w:pPr>
      <w:r w:rsidRPr="00EF41F1">
        <w:rPr>
          <w:rFonts w:ascii="Aptos" w:eastAsiaTheme="minorEastAsia" w:hAnsi="Aptos"/>
          <w:sz w:val="21"/>
          <w:szCs w:val="21"/>
        </w:rPr>
        <w:t xml:space="preserve">GRADE guidance and GRADE working group criteria for determining whether the GRADE approach was used (GRADE handbook). </w:t>
      </w:r>
    </w:p>
    <w:p w14:paraId="56F146AB" w14:textId="77777777" w:rsidR="008043E4" w:rsidRDefault="00EF41F1" w:rsidP="00EF41F1">
      <w:pPr>
        <w:rPr>
          <w:rFonts w:ascii="Aptos" w:hAnsi="Aptos"/>
          <w:sz w:val="21"/>
          <w:szCs w:val="21"/>
        </w:rPr>
      </w:pPr>
      <w:r w:rsidRPr="00EF41F1">
        <w:rPr>
          <w:rFonts w:ascii="Aptos" w:hAnsi="Aptos"/>
          <w:sz w:val="21"/>
          <w:szCs w:val="21"/>
        </w:rPr>
        <w:t xml:space="preserve">The assessment included specification and application for considering </w:t>
      </w:r>
      <w:r w:rsidR="008043E4">
        <w:rPr>
          <w:rFonts w:ascii="Aptos" w:hAnsi="Aptos"/>
          <w:sz w:val="21"/>
          <w:szCs w:val="21"/>
        </w:rPr>
        <w:t>systematic reviews</w:t>
      </w:r>
      <w:r w:rsidRPr="00EF41F1">
        <w:rPr>
          <w:rFonts w:ascii="Aptos" w:hAnsi="Aptos"/>
          <w:sz w:val="21"/>
          <w:szCs w:val="21"/>
        </w:rPr>
        <w:t xml:space="preserve"> for the </w:t>
      </w:r>
      <w:r w:rsidR="008043E4">
        <w:rPr>
          <w:rFonts w:ascii="Aptos" w:hAnsi="Aptos"/>
          <w:sz w:val="21"/>
          <w:szCs w:val="21"/>
        </w:rPr>
        <w:t>overview</w:t>
      </w:r>
      <w:r w:rsidRPr="00EF41F1">
        <w:rPr>
          <w:rFonts w:ascii="Aptos" w:hAnsi="Aptos"/>
          <w:sz w:val="21"/>
          <w:szCs w:val="21"/>
        </w:rPr>
        <w:t>, search methods, data extraction and analysis, assessment of risk of bias, assessment of the certainty of evidence using GRADE, and the interpretation and summary of findings.</w:t>
      </w:r>
    </w:p>
    <w:p w14:paraId="3B6B4C29" w14:textId="4B2148C3" w:rsidR="00EF41F1" w:rsidRPr="00EF41F1" w:rsidRDefault="00EF41F1" w:rsidP="00EF41F1">
      <w:pPr>
        <w:rPr>
          <w:rFonts w:ascii="Aptos" w:hAnsi="Aptos"/>
          <w:sz w:val="21"/>
          <w:szCs w:val="21"/>
        </w:rPr>
      </w:pPr>
      <w:r w:rsidRPr="00EF41F1">
        <w:rPr>
          <w:rFonts w:ascii="Aptos" w:hAnsi="Aptos"/>
          <w:sz w:val="21"/>
          <w:szCs w:val="21"/>
        </w:rPr>
        <w:t xml:space="preserve"> </w:t>
      </w:r>
    </w:p>
    <w:p w14:paraId="1E55A753" w14:textId="46B180B6" w:rsidR="00EF41F1" w:rsidRDefault="00EF41F1" w:rsidP="00EF41F1">
      <w:pPr>
        <w:rPr>
          <w:rFonts w:ascii="Aptos" w:hAnsi="Aptos"/>
          <w:sz w:val="21"/>
          <w:szCs w:val="21"/>
        </w:rPr>
      </w:pPr>
      <w:r w:rsidRPr="00EF41F1">
        <w:rPr>
          <w:rFonts w:ascii="Aptos" w:hAnsi="Aptos"/>
          <w:sz w:val="21"/>
          <w:szCs w:val="21"/>
        </w:rPr>
        <w:t xml:space="preserve">The </w:t>
      </w:r>
      <w:r w:rsidR="008043E4">
        <w:rPr>
          <w:rFonts w:ascii="Aptos" w:hAnsi="Aptos"/>
          <w:sz w:val="21"/>
          <w:szCs w:val="21"/>
        </w:rPr>
        <w:t>overview</w:t>
      </w:r>
      <w:r w:rsidR="008043E4" w:rsidRPr="00EF41F1">
        <w:rPr>
          <w:rFonts w:ascii="Aptos" w:hAnsi="Aptos"/>
          <w:sz w:val="21"/>
          <w:szCs w:val="21"/>
        </w:rPr>
        <w:t xml:space="preserve"> </w:t>
      </w:r>
      <w:r w:rsidRPr="00EF41F1">
        <w:rPr>
          <w:rFonts w:ascii="Aptos" w:hAnsi="Aptos"/>
          <w:sz w:val="21"/>
          <w:szCs w:val="21"/>
        </w:rPr>
        <w:t>(including appendices) has been updated to reflect the amendments suggested by methodological review and NHMRC’s Natural Therapies Working Committee, where appropriate. In summary, updates included additional information and/ or clarification of the Plain Language Summary, Executive Summary, Results sections and Appendices, including:</w:t>
      </w:r>
    </w:p>
    <w:p w14:paraId="679EE1A6" w14:textId="37E9C79B" w:rsidR="00AA38F0" w:rsidRDefault="00DE0812" w:rsidP="00A4650A">
      <w:pPr>
        <w:pStyle w:val="ListParagraph"/>
        <w:numPr>
          <w:ilvl w:val="0"/>
          <w:numId w:val="36"/>
        </w:numPr>
        <w:rPr>
          <w:rFonts w:ascii="Aptos" w:hAnsi="Aptos"/>
          <w:sz w:val="21"/>
          <w:szCs w:val="21"/>
        </w:rPr>
      </w:pPr>
      <w:r>
        <w:rPr>
          <w:rFonts w:ascii="Aptos" w:hAnsi="Aptos"/>
          <w:sz w:val="21"/>
          <w:szCs w:val="21"/>
        </w:rPr>
        <w:t>Clarification of methods</w:t>
      </w:r>
      <w:r w:rsidR="00530773">
        <w:rPr>
          <w:rFonts w:ascii="Aptos" w:hAnsi="Aptos"/>
          <w:sz w:val="21"/>
          <w:szCs w:val="21"/>
        </w:rPr>
        <w:t xml:space="preserve"> used</w:t>
      </w:r>
      <w:r w:rsidR="00D560F4">
        <w:rPr>
          <w:rFonts w:ascii="Aptos" w:hAnsi="Aptos"/>
          <w:sz w:val="21"/>
          <w:szCs w:val="21"/>
        </w:rPr>
        <w:t xml:space="preserve">, </w:t>
      </w:r>
      <w:r w:rsidR="00FD3F82">
        <w:rPr>
          <w:rFonts w:ascii="Aptos" w:hAnsi="Aptos"/>
          <w:sz w:val="21"/>
          <w:szCs w:val="21"/>
        </w:rPr>
        <w:t>particularly regarding</w:t>
      </w:r>
      <w:r>
        <w:rPr>
          <w:rFonts w:ascii="Aptos" w:hAnsi="Aptos"/>
          <w:sz w:val="21"/>
          <w:szCs w:val="21"/>
        </w:rPr>
        <w:t xml:space="preserve"> selecting preferred reviews</w:t>
      </w:r>
    </w:p>
    <w:p w14:paraId="30B57ECB" w14:textId="09629FA7" w:rsidR="00DE0812" w:rsidRDefault="00DE0812" w:rsidP="00A4650A">
      <w:pPr>
        <w:pStyle w:val="ListParagraph"/>
        <w:numPr>
          <w:ilvl w:val="0"/>
          <w:numId w:val="36"/>
        </w:numPr>
        <w:rPr>
          <w:rFonts w:ascii="Aptos" w:hAnsi="Aptos"/>
          <w:sz w:val="21"/>
          <w:szCs w:val="21"/>
        </w:rPr>
      </w:pPr>
      <w:r>
        <w:rPr>
          <w:rFonts w:ascii="Aptos" w:hAnsi="Aptos"/>
          <w:sz w:val="21"/>
          <w:szCs w:val="21"/>
        </w:rPr>
        <w:t>Thresholds used for judging certainty of evidence</w:t>
      </w:r>
    </w:p>
    <w:p w14:paraId="1164C7EA" w14:textId="52B6C3B4" w:rsidR="00DE0812" w:rsidRPr="00DE0812" w:rsidRDefault="005E3290" w:rsidP="00A4650A">
      <w:pPr>
        <w:pStyle w:val="ListParagraph"/>
        <w:numPr>
          <w:ilvl w:val="0"/>
          <w:numId w:val="36"/>
        </w:numPr>
        <w:rPr>
          <w:rFonts w:ascii="Aptos" w:hAnsi="Aptos"/>
          <w:sz w:val="21"/>
          <w:szCs w:val="21"/>
        </w:rPr>
      </w:pPr>
      <w:r>
        <w:rPr>
          <w:rFonts w:ascii="Aptos" w:hAnsi="Aptos"/>
          <w:sz w:val="21"/>
          <w:szCs w:val="21"/>
        </w:rPr>
        <w:t xml:space="preserve">Clarifying presentation of the results in the discussion. </w:t>
      </w:r>
    </w:p>
    <w:p w14:paraId="677457A7" w14:textId="77777777" w:rsidR="000536C7" w:rsidRDefault="000536C7" w:rsidP="000536C7">
      <w:pPr>
        <w:rPr>
          <w:rFonts w:ascii="Aptos" w:hAnsi="Aptos"/>
          <w:sz w:val="21"/>
          <w:szCs w:val="21"/>
        </w:rPr>
      </w:pPr>
    </w:p>
    <w:p w14:paraId="2F430A4D" w14:textId="77777777" w:rsidR="000536C7" w:rsidRPr="000536C7" w:rsidRDefault="000536C7" w:rsidP="000536C7">
      <w:pPr>
        <w:rPr>
          <w:rFonts w:ascii="Aptos" w:hAnsi="Aptos"/>
          <w:sz w:val="21"/>
          <w:szCs w:val="21"/>
        </w:rPr>
      </w:pPr>
      <w:r w:rsidRPr="000536C7">
        <w:rPr>
          <w:rFonts w:ascii="Aptos" w:hAnsi="Aptos"/>
          <w:sz w:val="21"/>
          <w:szCs w:val="21"/>
        </w:rPr>
        <w:t>A detailed record of responses to all comments indicating changes that were made was provided to NHMRC together with the amended Report and Appendices documents.</w:t>
      </w:r>
    </w:p>
    <w:p w14:paraId="08875771" w14:textId="77777777" w:rsidR="000536C7" w:rsidRPr="000536C7" w:rsidRDefault="000536C7" w:rsidP="000536C7">
      <w:pPr>
        <w:rPr>
          <w:rFonts w:ascii="Aptos" w:hAnsi="Aptos"/>
          <w:sz w:val="21"/>
          <w:szCs w:val="21"/>
        </w:rPr>
      </w:pPr>
    </w:p>
    <w:p w14:paraId="33D909B7" w14:textId="77777777" w:rsidR="005B408D" w:rsidRPr="00EF41F1" w:rsidRDefault="005B408D" w:rsidP="008F3151">
      <w:pPr>
        <w:pStyle w:val="ListParagraph"/>
        <w:spacing w:before="120" w:after="120"/>
        <w:ind w:left="426"/>
        <w:contextualSpacing w:val="0"/>
        <w:rPr>
          <w:rStyle w:val="Heading1Char"/>
          <w:rFonts w:ascii="Aptos" w:eastAsiaTheme="minorHAnsi" w:hAnsi="Aptos"/>
          <w:sz w:val="21"/>
          <w:szCs w:val="21"/>
        </w:rPr>
      </w:pPr>
    </w:p>
    <w:p w14:paraId="26BD1E89" w14:textId="77777777" w:rsidR="00252511" w:rsidRDefault="00252511" w:rsidP="008F3151">
      <w:pPr>
        <w:pStyle w:val="ListParagraph"/>
        <w:spacing w:before="120" w:after="120"/>
        <w:ind w:left="426"/>
        <w:contextualSpacing w:val="0"/>
        <w:rPr>
          <w:rStyle w:val="Heading1Char"/>
          <w:rFonts w:ascii="Aptos" w:eastAsiaTheme="minorHAnsi" w:hAnsi="Aptos"/>
          <w:b/>
          <w:bCs w:val="0"/>
          <w:szCs w:val="32"/>
        </w:rPr>
      </w:pPr>
    </w:p>
    <w:p w14:paraId="539719EF" w14:textId="77777777" w:rsidR="00252511" w:rsidRDefault="00252511" w:rsidP="008F3151">
      <w:pPr>
        <w:pStyle w:val="ListParagraph"/>
        <w:spacing w:before="120" w:after="120"/>
        <w:ind w:left="426"/>
        <w:contextualSpacing w:val="0"/>
        <w:rPr>
          <w:rStyle w:val="Heading1Char"/>
          <w:rFonts w:ascii="Aptos" w:eastAsiaTheme="minorHAnsi" w:hAnsi="Aptos"/>
          <w:b/>
          <w:bCs w:val="0"/>
          <w:szCs w:val="32"/>
        </w:rPr>
      </w:pPr>
    </w:p>
    <w:p w14:paraId="0685301F" w14:textId="77777777" w:rsidR="005B408D" w:rsidRPr="00D518FF" w:rsidRDefault="005B408D" w:rsidP="008F3151">
      <w:pPr>
        <w:pStyle w:val="ListParagraph"/>
        <w:spacing w:before="120" w:after="120"/>
        <w:ind w:left="426"/>
        <w:contextualSpacing w:val="0"/>
        <w:rPr>
          <w:rStyle w:val="Heading1Char"/>
          <w:rFonts w:ascii="Aptos" w:eastAsiaTheme="minorHAnsi" w:hAnsi="Aptos"/>
          <w:b/>
          <w:bCs w:val="0"/>
          <w:szCs w:val="32"/>
        </w:rPr>
        <w:sectPr w:rsidR="005B408D" w:rsidRPr="00D518FF" w:rsidSect="0046678E">
          <w:pgSz w:w="11906" w:h="16838"/>
          <w:pgMar w:top="1210" w:right="1314" w:bottom="1373" w:left="1378" w:header="708" w:footer="708" w:gutter="0"/>
          <w:cols w:space="708"/>
          <w:docGrid w:linePitch="360"/>
        </w:sectPr>
      </w:pPr>
    </w:p>
    <w:bookmarkStart w:id="239" w:name="_Toc185254686"/>
    <w:p w14:paraId="4FE7DABF" w14:textId="6A4F7F6B" w:rsidR="00C36211" w:rsidRPr="00D518FF" w:rsidRDefault="00000000" w:rsidP="00AA72BD">
      <w:pPr>
        <w:spacing w:before="120" w:after="120"/>
        <w:outlineLvl w:val="0"/>
        <w:rPr>
          <w:rFonts w:ascii="Aptos" w:hAnsi="Aptos" w:cs="Arial"/>
          <w:b/>
          <w:bCs/>
          <w:color w:val="C00000"/>
          <w:w w:val="105"/>
          <w:sz w:val="36"/>
          <w:szCs w:val="36"/>
        </w:rPr>
      </w:pPr>
      <w:sdt>
        <w:sdtPr>
          <w:rPr>
            <w:rFonts w:ascii="Aptos" w:hAnsi="Aptos" w:cs="Arial"/>
            <w:b/>
            <w:bCs/>
            <w:color w:val="C00000"/>
            <w:w w:val="105"/>
            <w:sz w:val="36"/>
            <w:szCs w:val="36"/>
          </w:rPr>
          <w:id w:val="1225029363"/>
          <w:docPartObj>
            <w:docPartGallery w:val="Bibliographies"/>
            <w:docPartUnique/>
          </w:docPartObj>
        </w:sdtPr>
        <w:sdtEndPr>
          <w:rPr>
            <w:b w:val="0"/>
            <w:bCs w:val="0"/>
            <w:color w:val="auto"/>
            <w:w w:val="100"/>
            <w:sz w:val="21"/>
            <w:szCs w:val="21"/>
          </w:rPr>
        </w:sdtEndPr>
        <w:sdtContent>
          <w:r w:rsidR="00C215EF">
            <w:rPr>
              <w:rFonts w:ascii="Aptos" w:hAnsi="Aptos" w:cs="Arial"/>
              <w:b/>
              <w:bCs/>
              <w:color w:val="C00000"/>
              <w:w w:val="105"/>
              <w:sz w:val="36"/>
              <w:szCs w:val="36"/>
            </w:rPr>
            <w:t>References</w:t>
          </w:r>
        </w:sdtContent>
      </w:sdt>
      <w:bookmarkEnd w:id="239"/>
    </w:p>
    <w:p w14:paraId="328B458D" w14:textId="77777777" w:rsidR="00C36211" w:rsidRPr="000935F9" w:rsidRDefault="00C36211" w:rsidP="00AA72BD">
      <w:pPr>
        <w:spacing w:before="120" w:after="120"/>
        <w:rPr>
          <w:rFonts w:ascii="Aptos" w:hAnsi="Aptos" w:cs="Arial"/>
          <w:sz w:val="21"/>
          <w:szCs w:val="21"/>
        </w:rPr>
      </w:pPr>
    </w:p>
    <w:p w14:paraId="7AE5E277" w14:textId="7D19AA58"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Australian Government Department of Health and Aged Care. Review of the Australian Government Rebate on Natural Therapies for Private Health Insurance. Canberra; 2015.</w:t>
      </w:r>
    </w:p>
    <w:p w14:paraId="4F65CD96" w14:textId="56F3BDE8"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Pollock M, Fernandes RM, Becker LA, Pieper D, Hartling L. Chapter V: overviews of reviews. Cochrane handbook for systematic reviews of interventions version. 2020;6.</w:t>
      </w:r>
    </w:p>
    <w:p w14:paraId="1526D707" w14:textId="5FC95CFF"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Gates M, Gates A, Pieper D, Fernandes RM, Tricco AC, Moher D, et al. Reporting guideline for overviews of reviews of healthcare interventions: development of the PRIOR statement. BMJ. 2022;378:e070849.</w:t>
      </w:r>
    </w:p>
    <w:p w14:paraId="2CD428D3" w14:textId="4B019C2C"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Lunny C, Brennan SE, McDonald S, McKenzie JE. Toward a comprehensive evidence map of overview of systematic review methods: paper 1-purpose, eligibility, search and data extraction. Syst Rev. 2017;6(1):231.</w:t>
      </w:r>
    </w:p>
    <w:p w14:paraId="0DA0E8E8" w14:textId="3A1A7FC1"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 xml:space="preserve">Department of Health and Aged Care. Australian Register of Therapeutic Goods (ARTG) 2024 [Available from: </w:t>
      </w:r>
      <w:r w:rsidRPr="007C3A67">
        <w:rPr>
          <w:rFonts w:ascii="Aptos" w:hAnsi="Aptos"/>
          <w:noProof/>
          <w:sz w:val="21"/>
        </w:rPr>
        <w:t>https://www.tga.gov.au/products/australian-register-therapeutic-goods-artg</w:t>
      </w:r>
      <w:r w:rsidRPr="00AA694C">
        <w:rPr>
          <w:rFonts w:ascii="Aptos" w:hAnsi="Aptos"/>
          <w:noProof/>
          <w:sz w:val="21"/>
        </w:rPr>
        <w:t>.</w:t>
      </w:r>
    </w:p>
    <w:p w14:paraId="149C7E58" w14:textId="1B0A5761" w:rsidR="00E01DF8"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Whiting P, Savović J, Higgins JPT, Caldwell DM, Reeves BC, Shea B, et al. ROBIS: A new tool to assess risk of bias in systematic reviews was developed. Journal of Clinical Epidemiology. 2016;69:225-34.</w:t>
      </w:r>
    </w:p>
    <w:p w14:paraId="27852ED7" w14:textId="76C6D17E"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Shea BJ, Reeves BC, Wells G, Thuku M, Hamel C, Moran J, et al. AMSTAR 2: a critical appraisal tool for systematic reviews that include randomised or non-randomised studies of healthcare interventions, or both. BMJ. 2017;358:j4008.</w:t>
      </w:r>
    </w:p>
    <w:p w14:paraId="18C5CA0C" w14:textId="445FC3E3"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Schünemann HJ HJ, Vist GE, Glasziou P, Akl EA, Skoetz N, Guyatt GH. . Chapter 14: Completing ‘Summary of findings’ tables and grading the certainty of the evidence. In: Higgins JPT TJ, Chandler J, Cumpston M, Li T, Page MJ, Welch VA, editor. Cochrane Handbook for Systematic Reviews of Interventions version 632022.</w:t>
      </w:r>
    </w:p>
    <w:p w14:paraId="3AD905B9" w14:textId="28EAB1B6" w:rsidR="000935F9" w:rsidRPr="00AA694C" w:rsidRDefault="000935F9" w:rsidP="0081145E">
      <w:pPr>
        <w:pStyle w:val="EndNoteBibliography"/>
        <w:numPr>
          <w:ilvl w:val="1"/>
          <w:numId w:val="11"/>
        </w:numPr>
        <w:spacing w:after="0"/>
        <w:rPr>
          <w:rFonts w:ascii="Aptos" w:hAnsi="Aptos"/>
          <w:noProof/>
          <w:sz w:val="21"/>
        </w:rPr>
      </w:pPr>
      <w:r w:rsidRPr="00AA694C">
        <w:rPr>
          <w:rFonts w:ascii="Aptos" w:hAnsi="Aptos"/>
          <w:noProof/>
          <w:sz w:val="21"/>
        </w:rPr>
        <w:t>Schünemann HJ, Oxman AD, Brozek J, Glasziou P, Jaeschke R, Vist GE, et al. Grading quality of evidence and strength of recommendations for diagnostic tests and strategies. BMJ (Clinical research ed). 2008;336(7653):1106-10.</w:t>
      </w:r>
    </w:p>
    <w:p w14:paraId="12F8932D" w14:textId="4A92794E" w:rsidR="00397A8C" w:rsidRDefault="00A95A6C" w:rsidP="0081145E">
      <w:pPr>
        <w:pStyle w:val="EndNoteBibliography"/>
        <w:numPr>
          <w:ilvl w:val="1"/>
          <w:numId w:val="11"/>
        </w:numPr>
        <w:rPr>
          <w:rFonts w:ascii="Aptos" w:hAnsi="Aptos"/>
          <w:noProof/>
          <w:sz w:val="21"/>
        </w:rPr>
      </w:pPr>
      <w:r w:rsidRPr="00A95A6C">
        <w:rPr>
          <w:rFonts w:ascii="Aptos" w:hAnsi="Aptos"/>
          <w:noProof/>
          <w:sz w:val="21"/>
        </w:rPr>
        <w:t>Z</w:t>
      </w:r>
      <w:r>
        <w:rPr>
          <w:rFonts w:ascii="Aptos" w:hAnsi="Aptos"/>
          <w:noProof/>
          <w:sz w:val="21"/>
        </w:rPr>
        <w:t>eng L, Brignardello-Peterson</w:t>
      </w:r>
      <w:r w:rsidR="00AB7E95">
        <w:rPr>
          <w:rFonts w:ascii="Aptos" w:hAnsi="Aptos"/>
          <w:noProof/>
          <w:sz w:val="21"/>
        </w:rPr>
        <w:t xml:space="preserve"> R, Hultcrantz M, Mustafa RA, Murad MH, et al. </w:t>
      </w:r>
      <w:r w:rsidR="00AB7E95" w:rsidRPr="00AB7E95">
        <w:rPr>
          <w:rFonts w:ascii="Aptos" w:hAnsi="Aptos"/>
          <w:noProof/>
          <w:sz w:val="21"/>
        </w:rPr>
        <w:t>GRADE Guidance 34: update on rating imprecision using a minimally contextualized approach</w:t>
      </w:r>
      <w:r w:rsidR="00AB7E95">
        <w:rPr>
          <w:rFonts w:ascii="Aptos" w:hAnsi="Aptos"/>
          <w:noProof/>
          <w:sz w:val="21"/>
        </w:rPr>
        <w:t>.</w:t>
      </w:r>
      <w:r w:rsidR="00F3438F" w:rsidRPr="00AA694C">
        <w:rPr>
          <w:rFonts w:ascii="Aptos" w:hAnsi="Aptos"/>
          <w:noProof/>
          <w:sz w:val="21"/>
        </w:rPr>
        <w:t xml:space="preserve"> Journal of Clinical Epidemiology. 202</w:t>
      </w:r>
      <w:r w:rsidR="00F3438F">
        <w:rPr>
          <w:rFonts w:ascii="Aptos" w:hAnsi="Aptos"/>
          <w:noProof/>
          <w:sz w:val="21"/>
        </w:rPr>
        <w:t>2</w:t>
      </w:r>
      <w:r w:rsidR="00F3438F" w:rsidRPr="00AA694C">
        <w:rPr>
          <w:rFonts w:ascii="Aptos" w:hAnsi="Aptos"/>
          <w:noProof/>
          <w:sz w:val="21"/>
        </w:rPr>
        <w:t>;</w:t>
      </w:r>
      <w:r w:rsidR="00F3438F">
        <w:rPr>
          <w:rFonts w:ascii="Aptos" w:hAnsi="Aptos"/>
          <w:noProof/>
          <w:sz w:val="21"/>
        </w:rPr>
        <w:t>150</w:t>
      </w:r>
      <w:r w:rsidR="00F3438F" w:rsidRPr="00AA694C">
        <w:rPr>
          <w:rFonts w:ascii="Aptos" w:hAnsi="Aptos"/>
          <w:noProof/>
          <w:sz w:val="21"/>
        </w:rPr>
        <w:t>:</w:t>
      </w:r>
      <w:r w:rsidR="00F3438F">
        <w:rPr>
          <w:rFonts w:ascii="Aptos" w:hAnsi="Aptos"/>
          <w:noProof/>
          <w:sz w:val="21"/>
        </w:rPr>
        <w:t>216-</w:t>
      </w:r>
      <w:r w:rsidR="00E22D99">
        <w:rPr>
          <w:rFonts w:ascii="Aptos" w:hAnsi="Aptos"/>
          <w:noProof/>
          <w:sz w:val="21"/>
        </w:rPr>
        <w:t>24</w:t>
      </w:r>
      <w:r w:rsidR="00F3438F" w:rsidRPr="00AA694C">
        <w:rPr>
          <w:rFonts w:ascii="Aptos" w:hAnsi="Aptos"/>
          <w:noProof/>
          <w:sz w:val="21"/>
        </w:rPr>
        <w:t>.</w:t>
      </w:r>
    </w:p>
    <w:p w14:paraId="660FCBAF" w14:textId="048AEF70" w:rsidR="00397A8C" w:rsidRDefault="00E3232E" w:rsidP="00E3232E">
      <w:pPr>
        <w:pStyle w:val="EndNoteBibliography"/>
        <w:numPr>
          <w:ilvl w:val="1"/>
          <w:numId w:val="11"/>
        </w:numPr>
        <w:rPr>
          <w:rFonts w:ascii="Aptos" w:hAnsi="Aptos"/>
          <w:noProof/>
          <w:sz w:val="21"/>
        </w:rPr>
      </w:pPr>
      <w:r w:rsidRPr="00E3232E">
        <w:rPr>
          <w:rFonts w:ascii="Aptos" w:hAnsi="Aptos"/>
          <w:noProof/>
          <w:sz w:val="21"/>
        </w:rPr>
        <w:t>Murad MH, Mustafa RA, Schünemann HJ, et al</w:t>
      </w:r>
      <w:r>
        <w:rPr>
          <w:rFonts w:ascii="Aptos" w:hAnsi="Aptos"/>
          <w:noProof/>
          <w:sz w:val="21"/>
        </w:rPr>
        <w:t xml:space="preserve">. </w:t>
      </w:r>
      <w:r w:rsidRPr="00E3232E">
        <w:rPr>
          <w:rFonts w:ascii="Aptos" w:hAnsi="Aptos"/>
          <w:noProof/>
          <w:sz w:val="21"/>
        </w:rPr>
        <w:t>Rating the certainty in evidence in the absence of a single estimate of effect</w:t>
      </w:r>
      <w:r>
        <w:rPr>
          <w:rFonts w:ascii="Aptos" w:hAnsi="Aptos"/>
          <w:noProof/>
          <w:sz w:val="21"/>
        </w:rPr>
        <w:t xml:space="preserve">. </w:t>
      </w:r>
      <w:r w:rsidRPr="00E3232E">
        <w:rPr>
          <w:rFonts w:ascii="Aptos" w:hAnsi="Aptos"/>
          <w:noProof/>
          <w:sz w:val="21"/>
        </w:rPr>
        <w:t>BMJ</w:t>
      </w:r>
      <w:r w:rsidR="006E3E87">
        <w:rPr>
          <w:rFonts w:ascii="Aptos" w:hAnsi="Aptos"/>
          <w:noProof/>
          <w:sz w:val="21"/>
        </w:rPr>
        <w:t>.</w:t>
      </w:r>
      <w:r w:rsidRPr="00E3232E">
        <w:rPr>
          <w:rFonts w:ascii="Aptos" w:hAnsi="Aptos"/>
          <w:noProof/>
          <w:sz w:val="21"/>
        </w:rPr>
        <w:t xml:space="preserve"> Evidence-Based Medicine 2017;22:85-87.</w:t>
      </w:r>
    </w:p>
    <w:p w14:paraId="7C68C518" w14:textId="77777777" w:rsidR="00BE65BA" w:rsidRDefault="00BE65BA" w:rsidP="00BE65BA">
      <w:pPr>
        <w:pStyle w:val="EndNoteBibliography"/>
        <w:numPr>
          <w:ilvl w:val="1"/>
          <w:numId w:val="11"/>
        </w:numPr>
        <w:rPr>
          <w:rFonts w:ascii="Aptos" w:hAnsi="Aptos"/>
          <w:noProof/>
          <w:sz w:val="21"/>
        </w:rPr>
      </w:pPr>
      <w:r w:rsidRPr="00AA694C">
        <w:rPr>
          <w:rFonts w:ascii="Aptos" w:hAnsi="Aptos"/>
          <w:noProof/>
          <w:sz w:val="21"/>
        </w:rPr>
        <w:t>Santesso N, Glenton C, Dahm P, Garner P, Akl EA, Alper B, et al. GRADE guidelines 26: informative statements to communicate the findings of systematic reviews of interventions. J Clin Epidemiol. 2020;119:126-35.</w:t>
      </w:r>
    </w:p>
    <w:p w14:paraId="1B8FF2F8" w14:textId="77777777" w:rsidR="00BE65BA" w:rsidRPr="00E3232E" w:rsidRDefault="00BE65BA" w:rsidP="006055A5">
      <w:pPr>
        <w:pStyle w:val="EndNoteBibliography"/>
        <w:rPr>
          <w:rFonts w:ascii="Aptos" w:hAnsi="Aptos"/>
          <w:noProof/>
          <w:sz w:val="21"/>
        </w:rPr>
      </w:pPr>
    </w:p>
    <w:p w14:paraId="6874F790" w14:textId="26886622" w:rsidR="00C36211" w:rsidRPr="00AA694C" w:rsidRDefault="00C36211" w:rsidP="00AA72BD">
      <w:pPr>
        <w:spacing w:before="120" w:after="120"/>
        <w:rPr>
          <w:rFonts w:ascii="Aptos" w:hAnsi="Aptos" w:cs="Arial"/>
          <w:sz w:val="21"/>
          <w:szCs w:val="21"/>
        </w:rPr>
      </w:pPr>
    </w:p>
    <w:p w14:paraId="18265899" w14:textId="77777777" w:rsidR="00756151" w:rsidRPr="00AA694C" w:rsidRDefault="00756151" w:rsidP="00AA72BD">
      <w:pPr>
        <w:pStyle w:val="Caption1"/>
        <w:spacing w:before="0" w:after="0"/>
        <w:rPr>
          <w:rFonts w:ascii="Aptos" w:hAnsi="Aptos"/>
          <w:b w:val="0"/>
          <w:bCs w:val="0"/>
          <w:sz w:val="21"/>
          <w:szCs w:val="21"/>
        </w:rPr>
      </w:pPr>
    </w:p>
    <w:p w14:paraId="3553303C" w14:textId="7F594D56" w:rsidR="0037334B" w:rsidRPr="00AA694C" w:rsidRDefault="0037334B" w:rsidP="00AA72BD">
      <w:pPr>
        <w:rPr>
          <w:rFonts w:ascii="Aptos" w:hAnsi="Aptos" w:cs="Arial"/>
          <w:color w:val="000000" w:themeColor="text1"/>
          <w:sz w:val="21"/>
          <w:szCs w:val="21"/>
        </w:rPr>
      </w:pPr>
    </w:p>
    <w:sectPr w:rsidR="0037334B" w:rsidRPr="00AA694C" w:rsidSect="0046678E">
      <w:pgSz w:w="11906" w:h="16838"/>
      <w:pgMar w:top="1462" w:right="1160" w:bottom="1081" w:left="137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9BB15E" w14:textId="77777777" w:rsidR="0068030D" w:rsidRDefault="0068030D" w:rsidP="00F306BC">
      <w:r>
        <w:separator/>
      </w:r>
    </w:p>
  </w:endnote>
  <w:endnote w:type="continuationSeparator" w:id="0">
    <w:p w14:paraId="4F2A158C" w14:textId="77777777" w:rsidR="0068030D" w:rsidRDefault="0068030D" w:rsidP="00F306BC">
      <w:r>
        <w:continuationSeparator/>
      </w:r>
    </w:p>
  </w:endnote>
  <w:endnote w:type="continuationNotice" w:id="1">
    <w:p w14:paraId="63D93EA4" w14:textId="77777777" w:rsidR="0068030D" w:rsidRDefault="006803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ptos SemiBold">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95945665"/>
      <w:docPartObj>
        <w:docPartGallery w:val="Page Numbers (Bottom of Page)"/>
        <w:docPartUnique/>
      </w:docPartObj>
    </w:sdtPr>
    <w:sdtEndPr>
      <w:rPr>
        <w:noProof/>
      </w:rPr>
    </w:sdtEndPr>
    <w:sdtContent>
      <w:p w14:paraId="49D7A6D1" w14:textId="4241050B" w:rsidR="00043EF4" w:rsidRDefault="00043EF4" w:rsidP="00043EF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99800E5" w14:textId="77777777" w:rsidR="00F306BC" w:rsidRDefault="00F306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CB573F" w14:textId="77777777" w:rsidR="0068030D" w:rsidRDefault="0068030D" w:rsidP="00F306BC">
      <w:r>
        <w:separator/>
      </w:r>
    </w:p>
  </w:footnote>
  <w:footnote w:type="continuationSeparator" w:id="0">
    <w:p w14:paraId="2B89FD71" w14:textId="77777777" w:rsidR="0068030D" w:rsidRDefault="0068030D" w:rsidP="00F306BC">
      <w:r>
        <w:continuationSeparator/>
      </w:r>
    </w:p>
  </w:footnote>
  <w:footnote w:type="continuationNotice" w:id="1">
    <w:p w14:paraId="30D76043" w14:textId="77777777" w:rsidR="0068030D" w:rsidRDefault="006803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73EF55" w14:textId="34ED3688" w:rsidR="00F306BC" w:rsidRDefault="00AD5745">
    <w:pPr>
      <w:pStyle w:val="Header"/>
    </w:pPr>
    <w:r>
      <w:rPr>
        <w:noProof/>
      </w:rPr>
      <mc:AlternateContent>
        <mc:Choice Requires="wps">
          <w:drawing>
            <wp:anchor distT="0" distB="0" distL="114300" distR="114300" simplePos="0" relativeHeight="251658240" behindDoc="1" locked="0" layoutInCell="0" allowOverlap="1" wp14:anchorId="66798815" wp14:editId="4465C18D">
              <wp:simplePos x="0" y="0"/>
              <wp:positionH relativeFrom="margin">
                <wp:align>center</wp:align>
              </wp:positionH>
              <wp:positionV relativeFrom="margin">
                <wp:align>center</wp:align>
              </wp:positionV>
              <wp:extent cx="6542405" cy="2348230"/>
              <wp:effectExtent l="0" t="0" r="0" b="0"/>
              <wp:wrapNone/>
              <wp:docPr id="738356483" name="PowerPlusWaterMarkObject742373133"/>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txBox="1">
                      <a:spLocks noGrp="1" noRot="1" noChangeAspect="1" noResize="1" noEditPoints="1" noAdjustHandles="1" noChangeArrowheads="1" noChangeShapeType="1" noTextEdit="1"/>
                    </wps:cNvSpPr>
                    <wps:spPr bwMode="auto">
                      <a:xfrm rot="18900000">
                        <a:off x="0" y="0"/>
                        <a:ext cx="6542405" cy="23482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FB238AB" w14:textId="77777777" w:rsidR="00AD5745" w:rsidRDefault="00AD5745" w:rsidP="00AD5745">
                          <w:pPr>
                            <w:jc w:val="center"/>
                            <w:rPr>
                              <w:color w:val="C0C0C0"/>
                              <w:sz w:val="72"/>
                              <w:szCs w:val="72"/>
                              <w:lang w:val="en-GB"/>
                              <w14:textFill>
                                <w14:solidFill>
                                  <w14:srgbClr w14:val="C0C0C0">
                                    <w14:alpha w14:val="18000"/>
                                  </w14:srgbClr>
                                </w14:solidFill>
                              </w14:textFill>
                            </w:rPr>
                          </w:pPr>
                          <w:r>
                            <w:rPr>
                              <w:color w:val="C0C0C0"/>
                              <w:sz w:val="72"/>
                              <w:szCs w:val="72"/>
                              <w:lang w:val="en-GB"/>
                              <w14:textFill>
                                <w14:solidFill>
                                  <w14:srgbClr w14:val="C0C0C0">
                                    <w14:alpha w14:val="18000"/>
                                  </w14:srgbClr>
                                </w14:solidFill>
                              </w14:textFill>
                            </w:rPr>
                            <w:t>DRAFT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66798815" id="_x0000_t202" coordsize="21600,21600" o:spt="202" path="m,l,21600r21600,l21600,xe">
              <v:stroke joinstyle="miter"/>
              <v:path gradientshapeok="t" o:connecttype="rect"/>
            </v:shapetype>
            <v:shape id="PowerPlusWaterMarkObject742373133" o:spid="_x0000_s1026" type="#_x0000_t202" style="position:absolute;margin-left:0;margin-top:0;width:515.15pt;height:184.9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" o:allowincell="f" filled="f" stroked="f">
              <v:stroke joinstyle="round"/>
              <o:lock v:ext="edit" rotation="t" aspectratio="t" verticies="t" adjusthandles="t" grouping="t" shapetype="t"/>
              <v:textbox>
                <w:txbxContent>
                  <w:p w14:paraId="1FB238AB" w14:textId="77777777" w:rsidR="00AD5745" w:rsidRDefault="00AD5745" w:rsidP="00AD5745">
                    <w:pPr>
                      <w:jc w:val="center"/>
                      <w:rPr>
                        <w:color w:val="C0C0C0"/>
                        <w:sz w:val="72"/>
                        <w:szCs w:val="72"/>
                        <w:lang w:val="en-GB"/>
                        <w14:textFill>
                          <w14:solidFill>
                            <w14:srgbClr w14:val="C0C0C0">
                              <w14:alpha w14:val="18000"/>
                            </w14:srgbClr>
                          </w14:solidFill>
                        </w14:textFill>
                      </w:rPr>
                    </w:pPr>
                    <w:r>
                      <w:rPr>
                        <w:color w:val="C0C0C0"/>
                        <w:sz w:val="72"/>
                        <w:szCs w:val="72"/>
                        <w:lang w:val="en-GB"/>
                        <w14:textFill>
                          <w14:solidFill>
                            <w14:srgbClr w14:val="C0C0C0">
                              <w14:alpha w14:val="18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3A578A" w14:textId="22C0F3BC" w:rsidR="00F306BC" w:rsidRDefault="00AD5745" w:rsidP="00874460">
    <w:pPr>
      <w:pStyle w:val="Header"/>
      <w:tabs>
        <w:tab w:val="clear" w:pos="4513"/>
        <w:tab w:val="clear" w:pos="9026"/>
        <w:tab w:val="center" w:pos="7127"/>
      </w:tabs>
    </w:pPr>
    <w:r>
      <w:rPr>
        <w:noProof/>
      </w:rPr>
      <mc:AlternateContent>
        <mc:Choice Requires="wps">
          <w:drawing>
            <wp:anchor distT="0" distB="0" distL="114300" distR="114300" simplePos="0" relativeHeight="251658241" behindDoc="1" locked="0" layoutInCell="0" allowOverlap="1" wp14:anchorId="34991A7A" wp14:editId="2AE2CBE5">
              <wp:simplePos x="0" y="0"/>
              <wp:positionH relativeFrom="margin">
                <wp:align>center</wp:align>
              </wp:positionH>
              <wp:positionV relativeFrom="margin">
                <wp:align>center</wp:align>
              </wp:positionV>
              <wp:extent cx="6542405" cy="2348230"/>
              <wp:effectExtent l="0" t="0" r="0" b="0"/>
              <wp:wrapNone/>
              <wp:docPr id="743566976" name="PowerPlusWaterMarkObject742373134"/>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txBox="1">
                      <a:spLocks noGrp="1" noRot="1" noChangeAspect="1" noResize="1" noEditPoints="1" noAdjustHandles="1" noChangeArrowheads="1" noChangeShapeType="1" noTextEdit="1"/>
                    </wps:cNvSpPr>
                    <wps:spPr bwMode="auto">
                      <a:xfrm rot="18900000">
                        <a:off x="0" y="0"/>
                        <a:ext cx="6542405" cy="23482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DDBF162" w14:textId="7235126D" w:rsidR="00AD5745" w:rsidRDefault="00AD5745" w:rsidP="00842D54">
                          <w:pPr>
                            <w:rPr>
                              <w:color w:val="C0C0C0"/>
                              <w:sz w:val="72"/>
                              <w:szCs w:val="72"/>
                              <w:lang w:val="en-GB"/>
                              <w14:textFill>
                                <w14:solidFill>
                                  <w14:srgbClr w14:val="C0C0C0">
                                    <w14:alpha w14:val="18000"/>
                                  </w14:srgbClr>
                                </w14:solidFill>
                              </w14:textFill>
                            </w:rPr>
                          </w:pP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34991A7A" id="_x0000_t202" coordsize="21600,21600" o:spt="202" path="m,l,21600r21600,l21600,xe">
              <v:stroke joinstyle="miter"/>
              <v:path gradientshapeok="t" o:connecttype="rect"/>
            </v:shapetype>
            <v:shape id="PowerPlusWaterMarkObject742373134" o:spid="_x0000_s1027" type="#_x0000_t202" style="position:absolute;margin-left:0;margin-top:0;width:515.15pt;height:184.9pt;rotation:-45;z-index:-251658239;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" o:allowincell="f" filled="f" stroked="f">
              <v:stroke joinstyle="round"/>
              <o:lock v:ext="edit" rotation="t" aspectratio="t" verticies="t" adjusthandles="t" grouping="t" shapetype="t"/>
              <v:textbox>
                <w:txbxContent>
                  <w:p w14:paraId="1DDBF162" w14:textId="7235126D" w:rsidR="00AD5745" w:rsidRDefault="00AD5745" w:rsidP="00842D54">
                    <w:pPr>
                      <w:rPr>
                        <w:color w:val="C0C0C0"/>
                        <w:sz w:val="72"/>
                        <w:szCs w:val="72"/>
                        <w:lang w:val="en-GB"/>
                        <w14:textFill>
                          <w14:solidFill>
                            <w14:srgbClr w14:val="C0C0C0">
                              <w14:alpha w14:val="18000"/>
                            </w14:srgbClr>
                          </w14:solidFill>
                        </w14:textFill>
                      </w:rPr>
                    </w:pP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A419C" w14:textId="7E37921C" w:rsidR="00F306BC" w:rsidRDefault="00AD5745">
    <w:pPr>
      <w:pStyle w:val="Header"/>
    </w:pPr>
    <w:r>
      <w:rPr>
        <w:noProof/>
      </w:rPr>
      <mc:AlternateContent>
        <mc:Choice Requires="wps">
          <w:drawing>
            <wp:anchor distT="0" distB="0" distL="114300" distR="114300" simplePos="0" relativeHeight="251658242" behindDoc="1" locked="0" layoutInCell="0" allowOverlap="1" wp14:anchorId="4513E4AE" wp14:editId="6061F934">
              <wp:simplePos x="0" y="0"/>
              <wp:positionH relativeFrom="margin">
                <wp:align>center</wp:align>
              </wp:positionH>
              <wp:positionV relativeFrom="margin">
                <wp:align>center</wp:align>
              </wp:positionV>
              <wp:extent cx="6542405" cy="2348230"/>
              <wp:effectExtent l="0" t="0" r="0" b="0"/>
              <wp:wrapNone/>
              <wp:docPr id="818596754" name="PowerPlusWaterMarkObject742373132"/>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txBox="1">
                      <a:spLocks noGrp="1" noRot="1" noChangeAspect="1" noResize="1" noEditPoints="1" noAdjustHandles="1" noChangeArrowheads="1" noChangeShapeType="1" noTextEdit="1"/>
                    </wps:cNvSpPr>
                    <wps:spPr bwMode="auto">
                      <a:xfrm rot="18900000">
                        <a:off x="0" y="0"/>
                        <a:ext cx="6542405" cy="23482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3E79A2C" w14:textId="77777777" w:rsidR="00AD5745" w:rsidRDefault="00AD5745" w:rsidP="00AD5745">
                          <w:pPr>
                            <w:jc w:val="center"/>
                            <w:rPr>
                              <w:color w:val="C0C0C0"/>
                              <w:sz w:val="72"/>
                              <w:szCs w:val="72"/>
                              <w:lang w:val="en-GB"/>
                              <w14:textFill>
                                <w14:solidFill>
                                  <w14:srgbClr w14:val="C0C0C0">
                                    <w14:alpha w14:val="18000"/>
                                  </w14:srgbClr>
                                </w14:solidFill>
                              </w14:textFill>
                            </w:rPr>
                          </w:pPr>
                          <w:r>
                            <w:rPr>
                              <w:color w:val="C0C0C0"/>
                              <w:sz w:val="72"/>
                              <w:szCs w:val="72"/>
                              <w:lang w:val="en-GB"/>
                              <w14:textFill>
                                <w14:solidFill>
                                  <w14:srgbClr w14:val="C0C0C0">
                                    <w14:alpha w14:val="18000"/>
                                  </w14:srgbClr>
                                </w14:solidFill>
                              </w14:textFill>
                            </w:rPr>
                            <w:t>DRAFT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4513E4AE" id="_x0000_t202" coordsize="21600,21600" o:spt="202" path="m,l,21600r21600,l21600,xe">
              <v:stroke joinstyle="miter"/>
              <v:path gradientshapeok="t" o:connecttype="rect"/>
            </v:shapetype>
            <v:shape id="PowerPlusWaterMarkObject742373132" o:spid="_x0000_s1028" type="#_x0000_t202" style="position:absolute;margin-left:0;margin-top:0;width:515.15pt;height:184.9pt;rotation:-45;z-index:-25165823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" o:allowincell="f" filled="f" stroked="f">
              <v:stroke joinstyle="round"/>
              <o:lock v:ext="edit" rotation="t" aspectratio="t" verticies="t" adjusthandles="t" grouping="t" shapetype="t"/>
              <v:textbox>
                <w:txbxContent>
                  <w:p w14:paraId="53E79A2C" w14:textId="77777777" w:rsidR="00AD5745" w:rsidRDefault="00AD5745" w:rsidP="00AD5745">
                    <w:pPr>
                      <w:jc w:val="center"/>
                      <w:rPr>
                        <w:color w:val="C0C0C0"/>
                        <w:sz w:val="72"/>
                        <w:szCs w:val="72"/>
                        <w:lang w:val="en-GB"/>
                        <w14:textFill>
                          <w14:solidFill>
                            <w14:srgbClr w14:val="C0C0C0">
                              <w14:alpha w14:val="18000"/>
                            </w14:srgbClr>
                          </w14:solidFill>
                        </w14:textFill>
                      </w:rPr>
                    </w:pPr>
                    <w:r>
                      <w:rPr>
                        <w:color w:val="C0C0C0"/>
                        <w:sz w:val="72"/>
                        <w:szCs w:val="72"/>
                        <w:lang w:val="en-GB"/>
                        <w14:textFill>
                          <w14:solidFill>
                            <w14:srgbClr w14:val="C0C0C0">
                              <w14:alpha w14:val="18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174EAA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A607E2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4D3EAFC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6E2762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F42188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2B8E0B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180E3D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BC09E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0A574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02A9ED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ED528F"/>
    <w:multiLevelType w:val="multilevel"/>
    <w:tmpl w:val="FDF08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4F549F0"/>
    <w:multiLevelType w:val="multilevel"/>
    <w:tmpl w:val="A4B09F34"/>
    <w:lvl w:ilvl="0">
      <w:start w:val="1"/>
      <w:numFmt w:val="decimal"/>
      <w:lvlText w:val="%1."/>
      <w:lvlJc w:val="left"/>
      <w:pPr>
        <w:ind w:left="720" w:hanging="360"/>
      </w:pPr>
      <w:rPr>
        <w:rFonts w:hint="default"/>
        <w:color w:val="C0020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04FB2F7B"/>
    <w:multiLevelType w:val="hybridMultilevel"/>
    <w:tmpl w:val="72F80EA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F0E2F66"/>
    <w:multiLevelType w:val="hybridMultilevel"/>
    <w:tmpl w:val="30627C8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1F935A7"/>
    <w:multiLevelType w:val="hybridMultilevel"/>
    <w:tmpl w:val="C526F284"/>
    <w:lvl w:ilvl="0" w:tplc="7CC04ECA">
      <w:start w:val="1"/>
      <w:numFmt w:val="bullet"/>
      <w:pStyle w:val="Bullet0"/>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890A77"/>
    <w:multiLevelType w:val="hybridMultilevel"/>
    <w:tmpl w:val="B3960888"/>
    <w:lvl w:ilvl="0" w:tplc="CBA64F44">
      <w:numFmt w:val="bullet"/>
      <w:pStyle w:val="Intabledots"/>
      <w:lvlText w:val="•"/>
      <w:lvlJc w:val="left"/>
      <w:pPr>
        <w:ind w:left="360" w:hanging="360"/>
      </w:pPr>
      <w:rPr>
        <w:rFonts w:hint="default"/>
        <w:lang w:val="en-AU"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A270192"/>
    <w:multiLevelType w:val="multilevel"/>
    <w:tmpl w:val="8B780BE6"/>
    <w:styleLink w:val="CurrentList11"/>
    <w:lvl w:ilvl="0">
      <w:start w:val="1"/>
      <w:numFmt w:val="decimal"/>
      <w:lvlText w:val="%1."/>
      <w:lvlJc w:val="left"/>
      <w:pPr>
        <w:ind w:left="460" w:hanging="460"/>
      </w:pPr>
      <w:rPr>
        <w:rFonts w:ascii="Arial" w:eastAsiaTheme="minorHAnsi" w:hAnsi="Arial" w:cs="Arial"/>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1A7A77C9"/>
    <w:multiLevelType w:val="hybridMultilevel"/>
    <w:tmpl w:val="95265C74"/>
    <w:lvl w:ilvl="0" w:tplc="08090001">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301AAC"/>
    <w:multiLevelType w:val="hybridMultilevel"/>
    <w:tmpl w:val="6C6246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DBF5DEE"/>
    <w:multiLevelType w:val="hybridMultilevel"/>
    <w:tmpl w:val="9CF043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0B57104"/>
    <w:multiLevelType w:val="hybridMultilevel"/>
    <w:tmpl w:val="88B066C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46166CE"/>
    <w:multiLevelType w:val="hybridMultilevel"/>
    <w:tmpl w:val="88B066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64D7FE9"/>
    <w:multiLevelType w:val="hybridMultilevel"/>
    <w:tmpl w:val="E8EC46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68738E1"/>
    <w:multiLevelType w:val="hybridMultilevel"/>
    <w:tmpl w:val="9CF043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29A55ABA"/>
    <w:multiLevelType w:val="multilevel"/>
    <w:tmpl w:val="214A64A0"/>
    <w:lvl w:ilvl="0">
      <w:start w:val="1"/>
      <w:numFmt w:val="decimal"/>
      <w:pStyle w:val="2024HEADER1"/>
      <w:lvlText w:val="%1."/>
      <w:lvlJc w:val="left"/>
      <w:pPr>
        <w:ind w:left="720" w:hanging="360"/>
      </w:pPr>
      <w:rPr>
        <w:rFonts w:hint="default"/>
      </w:rPr>
    </w:lvl>
    <w:lvl w:ilvl="1">
      <w:start w:val="1"/>
      <w:numFmt w:val="decimal"/>
      <w:pStyle w:val="2024HEADER2"/>
      <w:isLgl/>
      <w:lvlText w:val="%1.%2."/>
      <w:lvlJc w:val="left"/>
      <w:pPr>
        <w:ind w:left="1080" w:hanging="720"/>
      </w:pPr>
      <w:rPr>
        <w:rFonts w:hint="default"/>
      </w:rPr>
    </w:lvl>
    <w:lvl w:ilvl="2">
      <w:start w:val="1"/>
      <w:numFmt w:val="decimal"/>
      <w:pStyle w:val="2024HEADER3"/>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25" w15:restartNumberingAfterBreak="0">
    <w:nsid w:val="2A3B4DD8"/>
    <w:multiLevelType w:val="hybridMultilevel"/>
    <w:tmpl w:val="30627C8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2B8710E7"/>
    <w:multiLevelType w:val="hybridMultilevel"/>
    <w:tmpl w:val="385A3B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2C6312FA"/>
    <w:multiLevelType w:val="hybridMultilevel"/>
    <w:tmpl w:val="DA98A4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2C9F1D8C"/>
    <w:multiLevelType w:val="hybridMultilevel"/>
    <w:tmpl w:val="8C669DB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2D653C8E"/>
    <w:multiLevelType w:val="hybridMultilevel"/>
    <w:tmpl w:val="976A3A34"/>
    <w:lvl w:ilvl="0" w:tplc="62FA7E24">
      <w:start w:val="1"/>
      <w:numFmt w:val="bullet"/>
      <w:lvlText w:val=""/>
      <w:lvlJc w:val="left"/>
      <w:pPr>
        <w:ind w:left="720" w:hanging="360"/>
      </w:pPr>
      <w:rPr>
        <w:rFonts w:ascii="Symbol" w:hAnsi="Symbol" w:hint="default"/>
      </w:rPr>
    </w:lvl>
    <w:lvl w:ilvl="1" w:tplc="C180C3A8">
      <w:start w:val="1"/>
      <w:numFmt w:val="bullet"/>
      <w:lvlText w:val="o"/>
      <w:lvlJc w:val="left"/>
      <w:pPr>
        <w:ind w:left="1440" w:hanging="360"/>
      </w:pPr>
      <w:rPr>
        <w:rFonts w:ascii="Courier New" w:hAnsi="Courier New" w:hint="default"/>
      </w:rPr>
    </w:lvl>
    <w:lvl w:ilvl="2" w:tplc="BCFA3C5C">
      <w:start w:val="1"/>
      <w:numFmt w:val="bullet"/>
      <w:lvlText w:val=""/>
      <w:lvlJc w:val="left"/>
      <w:pPr>
        <w:ind w:left="2160" w:hanging="360"/>
      </w:pPr>
      <w:rPr>
        <w:rFonts w:ascii="Wingdings" w:hAnsi="Wingdings" w:hint="default"/>
      </w:rPr>
    </w:lvl>
    <w:lvl w:ilvl="3" w:tplc="DECA9F20">
      <w:start w:val="1"/>
      <w:numFmt w:val="bullet"/>
      <w:lvlText w:val=""/>
      <w:lvlJc w:val="left"/>
      <w:pPr>
        <w:ind w:left="2880" w:hanging="360"/>
      </w:pPr>
      <w:rPr>
        <w:rFonts w:ascii="Symbol" w:hAnsi="Symbol" w:hint="default"/>
      </w:rPr>
    </w:lvl>
    <w:lvl w:ilvl="4" w:tplc="2CD4359C">
      <w:start w:val="1"/>
      <w:numFmt w:val="bullet"/>
      <w:lvlText w:val="o"/>
      <w:lvlJc w:val="left"/>
      <w:pPr>
        <w:ind w:left="3600" w:hanging="360"/>
      </w:pPr>
      <w:rPr>
        <w:rFonts w:ascii="Courier New" w:hAnsi="Courier New" w:hint="default"/>
      </w:rPr>
    </w:lvl>
    <w:lvl w:ilvl="5" w:tplc="16A2CE5A">
      <w:start w:val="1"/>
      <w:numFmt w:val="bullet"/>
      <w:lvlText w:val=""/>
      <w:lvlJc w:val="left"/>
      <w:pPr>
        <w:ind w:left="4320" w:hanging="360"/>
      </w:pPr>
      <w:rPr>
        <w:rFonts w:ascii="Wingdings" w:hAnsi="Wingdings" w:hint="default"/>
      </w:rPr>
    </w:lvl>
    <w:lvl w:ilvl="6" w:tplc="05B8CDEC">
      <w:start w:val="1"/>
      <w:numFmt w:val="bullet"/>
      <w:lvlText w:val=""/>
      <w:lvlJc w:val="left"/>
      <w:pPr>
        <w:ind w:left="5040" w:hanging="360"/>
      </w:pPr>
      <w:rPr>
        <w:rFonts w:ascii="Symbol" w:hAnsi="Symbol" w:hint="default"/>
      </w:rPr>
    </w:lvl>
    <w:lvl w:ilvl="7" w:tplc="9544DDDE">
      <w:start w:val="1"/>
      <w:numFmt w:val="bullet"/>
      <w:lvlText w:val="o"/>
      <w:lvlJc w:val="left"/>
      <w:pPr>
        <w:ind w:left="5760" w:hanging="360"/>
      </w:pPr>
      <w:rPr>
        <w:rFonts w:ascii="Courier New" w:hAnsi="Courier New" w:hint="default"/>
      </w:rPr>
    </w:lvl>
    <w:lvl w:ilvl="8" w:tplc="33CA2AFE">
      <w:start w:val="1"/>
      <w:numFmt w:val="bullet"/>
      <w:lvlText w:val=""/>
      <w:lvlJc w:val="left"/>
      <w:pPr>
        <w:ind w:left="6480" w:hanging="360"/>
      </w:pPr>
      <w:rPr>
        <w:rFonts w:ascii="Wingdings" w:hAnsi="Wingdings" w:hint="default"/>
      </w:rPr>
    </w:lvl>
  </w:abstractNum>
  <w:abstractNum w:abstractNumId="30" w15:restartNumberingAfterBreak="0">
    <w:nsid w:val="2DD16CD1"/>
    <w:multiLevelType w:val="hybridMultilevel"/>
    <w:tmpl w:val="CC30D3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FE11078"/>
    <w:multiLevelType w:val="hybridMultilevel"/>
    <w:tmpl w:val="DD58FD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4636E49"/>
    <w:multiLevelType w:val="multilevel"/>
    <w:tmpl w:val="7A50C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7230B95"/>
    <w:multiLevelType w:val="hybridMultilevel"/>
    <w:tmpl w:val="72F80EA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3999636E"/>
    <w:multiLevelType w:val="hybridMultilevel"/>
    <w:tmpl w:val="8C669DB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3AE40FDA"/>
    <w:multiLevelType w:val="multilevel"/>
    <w:tmpl w:val="B6F0B0A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3AFC093F"/>
    <w:multiLevelType w:val="hybridMultilevel"/>
    <w:tmpl w:val="72F80EA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3BF022D9"/>
    <w:multiLevelType w:val="multilevel"/>
    <w:tmpl w:val="5E101FBA"/>
    <w:styleLink w:val="CurrentList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3DB5780C"/>
    <w:multiLevelType w:val="hybridMultilevel"/>
    <w:tmpl w:val="C74C2BCC"/>
    <w:lvl w:ilvl="0" w:tplc="99A4C9D8">
      <w:start w:val="1"/>
      <w:numFmt w:val="decimal"/>
      <w:lvlText w:val="%1."/>
      <w:lvlJc w:val="left"/>
      <w:pPr>
        <w:ind w:left="1080" w:hanging="360"/>
      </w:pPr>
      <w:rPr>
        <w:sz w:val="16"/>
        <w:szCs w:val="16"/>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9" w15:restartNumberingAfterBreak="0">
    <w:nsid w:val="3F530C29"/>
    <w:multiLevelType w:val="multilevel"/>
    <w:tmpl w:val="47B661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3FE02C18"/>
    <w:multiLevelType w:val="hybridMultilevel"/>
    <w:tmpl w:val="173828A2"/>
    <w:lvl w:ilvl="0" w:tplc="4FB0891E">
      <w:start w:val="1"/>
      <w:numFmt w:val="decimal"/>
      <w:lvlText w:val="%1."/>
      <w:lvlJc w:val="left"/>
      <w:pPr>
        <w:ind w:left="502" w:hanging="360"/>
      </w:pPr>
      <w:rPr>
        <w:rFonts w:hint="default"/>
        <w:b/>
        <w:bCs/>
        <w:sz w:val="22"/>
        <w:szCs w:val="22"/>
      </w:rPr>
    </w:lvl>
    <w:lvl w:ilvl="1" w:tplc="FC6C78F0">
      <w:start w:val="1"/>
      <w:numFmt w:val="lowerLetter"/>
      <w:lvlText w:val="%2."/>
      <w:lvlJc w:val="left"/>
      <w:pPr>
        <w:ind w:left="1440" w:hanging="360"/>
      </w:pPr>
      <w:rPr>
        <w:sz w:val="22"/>
        <w:szCs w:val="22"/>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43BB2E11"/>
    <w:multiLevelType w:val="multilevel"/>
    <w:tmpl w:val="1C8A2460"/>
    <w:lvl w:ilvl="0">
      <w:start w:val="1"/>
      <w:numFmt w:val="upperLetter"/>
      <w:pStyle w:val="Heading1"/>
      <w:lvlText w:val="Appendix %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ascii="Aptos" w:hAnsi="Aptos" w:hint="default"/>
        <w:sz w:val="24"/>
        <w:szCs w:val="24"/>
      </w:rPr>
    </w:lvl>
    <w:lvl w:ilvl="3">
      <w:start w:val="1"/>
      <w:numFmt w:val="decimal"/>
      <w:pStyle w:val="Heading4"/>
      <w:lvlText w:val="%1%2.%3.%4"/>
      <w:lvlJc w:val="left"/>
      <w:pPr>
        <w:ind w:left="851" w:hanging="851"/>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2" w15:restartNumberingAfterBreak="0">
    <w:nsid w:val="46382066"/>
    <w:multiLevelType w:val="hybridMultilevel"/>
    <w:tmpl w:val="9CF043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46AC6583"/>
    <w:multiLevelType w:val="multilevel"/>
    <w:tmpl w:val="1FFA0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4C6166C6"/>
    <w:multiLevelType w:val="hybridMultilevel"/>
    <w:tmpl w:val="30627C8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4D2713C3"/>
    <w:multiLevelType w:val="hybridMultilevel"/>
    <w:tmpl w:val="C542EA50"/>
    <w:lvl w:ilvl="0" w:tplc="A962877C">
      <w:start w:val="1"/>
      <w:numFmt w:val="bullet"/>
      <w:lvlText w:val=""/>
      <w:lvlJc w:val="left"/>
      <w:pPr>
        <w:ind w:left="720" w:hanging="360"/>
      </w:pPr>
      <w:rPr>
        <w:rFonts w:ascii="Symbol" w:hAnsi="Symbol"/>
      </w:rPr>
    </w:lvl>
    <w:lvl w:ilvl="1" w:tplc="202A3108">
      <w:start w:val="1"/>
      <w:numFmt w:val="bullet"/>
      <w:lvlText w:val=""/>
      <w:lvlJc w:val="left"/>
      <w:pPr>
        <w:ind w:left="720" w:hanging="360"/>
      </w:pPr>
      <w:rPr>
        <w:rFonts w:ascii="Symbol" w:hAnsi="Symbol"/>
      </w:rPr>
    </w:lvl>
    <w:lvl w:ilvl="2" w:tplc="4D74DD18">
      <w:start w:val="1"/>
      <w:numFmt w:val="bullet"/>
      <w:lvlText w:val=""/>
      <w:lvlJc w:val="left"/>
      <w:pPr>
        <w:ind w:left="720" w:hanging="360"/>
      </w:pPr>
      <w:rPr>
        <w:rFonts w:ascii="Symbol" w:hAnsi="Symbol"/>
      </w:rPr>
    </w:lvl>
    <w:lvl w:ilvl="3" w:tplc="69DEF27E">
      <w:start w:val="1"/>
      <w:numFmt w:val="bullet"/>
      <w:lvlText w:val=""/>
      <w:lvlJc w:val="left"/>
      <w:pPr>
        <w:ind w:left="720" w:hanging="360"/>
      </w:pPr>
      <w:rPr>
        <w:rFonts w:ascii="Symbol" w:hAnsi="Symbol"/>
      </w:rPr>
    </w:lvl>
    <w:lvl w:ilvl="4" w:tplc="4C9E9F56">
      <w:start w:val="1"/>
      <w:numFmt w:val="bullet"/>
      <w:lvlText w:val=""/>
      <w:lvlJc w:val="left"/>
      <w:pPr>
        <w:ind w:left="720" w:hanging="360"/>
      </w:pPr>
      <w:rPr>
        <w:rFonts w:ascii="Symbol" w:hAnsi="Symbol"/>
      </w:rPr>
    </w:lvl>
    <w:lvl w:ilvl="5" w:tplc="49AA6C4C">
      <w:start w:val="1"/>
      <w:numFmt w:val="bullet"/>
      <w:lvlText w:val=""/>
      <w:lvlJc w:val="left"/>
      <w:pPr>
        <w:ind w:left="720" w:hanging="360"/>
      </w:pPr>
      <w:rPr>
        <w:rFonts w:ascii="Symbol" w:hAnsi="Symbol"/>
      </w:rPr>
    </w:lvl>
    <w:lvl w:ilvl="6" w:tplc="2D08FA72">
      <w:start w:val="1"/>
      <w:numFmt w:val="bullet"/>
      <w:lvlText w:val=""/>
      <w:lvlJc w:val="left"/>
      <w:pPr>
        <w:ind w:left="720" w:hanging="360"/>
      </w:pPr>
      <w:rPr>
        <w:rFonts w:ascii="Symbol" w:hAnsi="Symbol"/>
      </w:rPr>
    </w:lvl>
    <w:lvl w:ilvl="7" w:tplc="7ED4276C">
      <w:start w:val="1"/>
      <w:numFmt w:val="bullet"/>
      <w:lvlText w:val=""/>
      <w:lvlJc w:val="left"/>
      <w:pPr>
        <w:ind w:left="720" w:hanging="360"/>
      </w:pPr>
      <w:rPr>
        <w:rFonts w:ascii="Symbol" w:hAnsi="Symbol"/>
      </w:rPr>
    </w:lvl>
    <w:lvl w:ilvl="8" w:tplc="B20AA84E">
      <w:start w:val="1"/>
      <w:numFmt w:val="bullet"/>
      <w:lvlText w:val=""/>
      <w:lvlJc w:val="left"/>
      <w:pPr>
        <w:ind w:left="720" w:hanging="360"/>
      </w:pPr>
      <w:rPr>
        <w:rFonts w:ascii="Symbol" w:hAnsi="Symbol"/>
      </w:rPr>
    </w:lvl>
  </w:abstractNum>
  <w:abstractNum w:abstractNumId="46" w15:restartNumberingAfterBreak="0">
    <w:nsid w:val="4E3A5615"/>
    <w:multiLevelType w:val="hybridMultilevel"/>
    <w:tmpl w:val="3EB069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4F7760D8"/>
    <w:multiLevelType w:val="hybridMultilevel"/>
    <w:tmpl w:val="28D4985C"/>
    <w:lvl w:ilvl="0" w:tplc="9A5403D4">
      <w:start w:val="1"/>
      <w:numFmt w:val="bullet"/>
      <w:lvlText w:val=""/>
      <w:lvlJc w:val="left"/>
      <w:pPr>
        <w:ind w:left="720" w:hanging="360"/>
      </w:pPr>
      <w:rPr>
        <w:rFonts w:ascii="Symbol" w:hAnsi="Symbol" w:hint="default"/>
      </w:rPr>
    </w:lvl>
    <w:lvl w:ilvl="1" w:tplc="1CA674EA" w:tentative="1">
      <w:start w:val="1"/>
      <w:numFmt w:val="bullet"/>
      <w:lvlText w:val="o"/>
      <w:lvlJc w:val="left"/>
      <w:pPr>
        <w:ind w:left="1440" w:hanging="360"/>
      </w:pPr>
      <w:rPr>
        <w:rFonts w:ascii="Courier New" w:hAnsi="Courier New" w:cs="Courier New" w:hint="default"/>
      </w:rPr>
    </w:lvl>
    <w:lvl w:ilvl="2" w:tplc="AB28B972" w:tentative="1">
      <w:start w:val="1"/>
      <w:numFmt w:val="bullet"/>
      <w:lvlText w:val=""/>
      <w:lvlJc w:val="left"/>
      <w:pPr>
        <w:ind w:left="2160" w:hanging="360"/>
      </w:pPr>
      <w:rPr>
        <w:rFonts w:ascii="Wingdings" w:hAnsi="Wingdings" w:hint="default"/>
      </w:rPr>
    </w:lvl>
    <w:lvl w:ilvl="3" w:tplc="CC4C149E" w:tentative="1">
      <w:start w:val="1"/>
      <w:numFmt w:val="bullet"/>
      <w:lvlText w:val=""/>
      <w:lvlJc w:val="left"/>
      <w:pPr>
        <w:ind w:left="2880" w:hanging="360"/>
      </w:pPr>
      <w:rPr>
        <w:rFonts w:ascii="Symbol" w:hAnsi="Symbol" w:hint="default"/>
      </w:rPr>
    </w:lvl>
    <w:lvl w:ilvl="4" w:tplc="49E41B7C" w:tentative="1">
      <w:start w:val="1"/>
      <w:numFmt w:val="bullet"/>
      <w:lvlText w:val="o"/>
      <w:lvlJc w:val="left"/>
      <w:pPr>
        <w:ind w:left="3600" w:hanging="360"/>
      </w:pPr>
      <w:rPr>
        <w:rFonts w:ascii="Courier New" w:hAnsi="Courier New" w:cs="Courier New" w:hint="default"/>
      </w:rPr>
    </w:lvl>
    <w:lvl w:ilvl="5" w:tplc="BCCC6B52" w:tentative="1">
      <w:start w:val="1"/>
      <w:numFmt w:val="bullet"/>
      <w:lvlText w:val=""/>
      <w:lvlJc w:val="left"/>
      <w:pPr>
        <w:ind w:left="4320" w:hanging="360"/>
      </w:pPr>
      <w:rPr>
        <w:rFonts w:ascii="Wingdings" w:hAnsi="Wingdings" w:hint="default"/>
      </w:rPr>
    </w:lvl>
    <w:lvl w:ilvl="6" w:tplc="8468F35C" w:tentative="1">
      <w:start w:val="1"/>
      <w:numFmt w:val="bullet"/>
      <w:lvlText w:val=""/>
      <w:lvlJc w:val="left"/>
      <w:pPr>
        <w:ind w:left="5040" w:hanging="360"/>
      </w:pPr>
      <w:rPr>
        <w:rFonts w:ascii="Symbol" w:hAnsi="Symbol" w:hint="default"/>
      </w:rPr>
    </w:lvl>
    <w:lvl w:ilvl="7" w:tplc="C14AA4E6" w:tentative="1">
      <w:start w:val="1"/>
      <w:numFmt w:val="bullet"/>
      <w:lvlText w:val="o"/>
      <w:lvlJc w:val="left"/>
      <w:pPr>
        <w:ind w:left="5760" w:hanging="360"/>
      </w:pPr>
      <w:rPr>
        <w:rFonts w:ascii="Courier New" w:hAnsi="Courier New" w:cs="Courier New" w:hint="default"/>
      </w:rPr>
    </w:lvl>
    <w:lvl w:ilvl="8" w:tplc="97C8523A" w:tentative="1">
      <w:start w:val="1"/>
      <w:numFmt w:val="bullet"/>
      <w:lvlText w:val=""/>
      <w:lvlJc w:val="left"/>
      <w:pPr>
        <w:ind w:left="6480" w:hanging="360"/>
      </w:pPr>
      <w:rPr>
        <w:rFonts w:ascii="Wingdings" w:hAnsi="Wingdings" w:hint="default"/>
      </w:rPr>
    </w:lvl>
  </w:abstractNum>
  <w:abstractNum w:abstractNumId="48" w15:restartNumberingAfterBreak="0">
    <w:nsid w:val="51D64A71"/>
    <w:multiLevelType w:val="hybridMultilevel"/>
    <w:tmpl w:val="3EB069A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543E23A4"/>
    <w:multiLevelType w:val="hybridMultilevel"/>
    <w:tmpl w:val="028AA5E8"/>
    <w:lvl w:ilvl="0" w:tplc="08090001">
      <w:start w:val="1"/>
      <w:numFmt w:val="bullet"/>
      <w:lvlText w:val=""/>
      <w:lvlJc w:val="left"/>
      <w:pPr>
        <w:ind w:left="1080" w:hanging="360"/>
      </w:pPr>
      <w:rPr>
        <w:rFonts w:ascii="Symbol" w:hAnsi="Symbol" w:hint="default"/>
      </w:rPr>
    </w:lvl>
    <w:lvl w:ilvl="1" w:tplc="232A62FA">
      <w:start w:val="1"/>
      <w:numFmt w:val="decimal"/>
      <w:lvlText w:val="%2."/>
      <w:lvlJc w:val="left"/>
      <w:pPr>
        <w:ind w:left="720" w:hanging="72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56106813"/>
    <w:multiLevelType w:val="hybridMultilevel"/>
    <w:tmpl w:val="EF4A7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572E39B2"/>
    <w:multiLevelType w:val="hybridMultilevel"/>
    <w:tmpl w:val="DA98A4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582F5504"/>
    <w:multiLevelType w:val="multilevel"/>
    <w:tmpl w:val="9C82C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9AF50CE"/>
    <w:multiLevelType w:val="hybridMultilevel"/>
    <w:tmpl w:val="973206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5A1F1140"/>
    <w:multiLevelType w:val="hybridMultilevel"/>
    <w:tmpl w:val="9CF043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5B1F6F30"/>
    <w:multiLevelType w:val="multilevel"/>
    <w:tmpl w:val="B69E3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61F71CC4"/>
    <w:multiLevelType w:val="hybridMultilevel"/>
    <w:tmpl w:val="8AE4DD2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7" w15:restartNumberingAfterBreak="0">
    <w:nsid w:val="62884B27"/>
    <w:multiLevelType w:val="hybridMultilevel"/>
    <w:tmpl w:val="DA98A48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65D2755D"/>
    <w:multiLevelType w:val="hybridMultilevel"/>
    <w:tmpl w:val="173828A2"/>
    <w:lvl w:ilvl="0" w:tplc="FFFFFFFF">
      <w:start w:val="1"/>
      <w:numFmt w:val="decimal"/>
      <w:lvlText w:val="%1."/>
      <w:lvlJc w:val="left"/>
      <w:pPr>
        <w:ind w:left="720" w:hanging="360"/>
      </w:pPr>
      <w:rPr>
        <w:rFonts w:hint="default"/>
        <w:b/>
        <w:bCs/>
        <w:sz w:val="22"/>
        <w:szCs w:val="22"/>
      </w:rPr>
    </w:lvl>
    <w:lvl w:ilvl="1" w:tplc="FFFFFFFF">
      <w:start w:val="1"/>
      <w:numFmt w:val="lowerLetter"/>
      <w:lvlText w:val="%2."/>
      <w:lvlJc w:val="left"/>
      <w:pPr>
        <w:ind w:left="1440" w:hanging="360"/>
      </w:pPr>
      <w:rPr>
        <w:sz w:val="22"/>
        <w:szCs w:val="22"/>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6E0349A2"/>
    <w:multiLevelType w:val="hybridMultilevel"/>
    <w:tmpl w:val="9CF043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710652D9"/>
    <w:multiLevelType w:val="hybridMultilevel"/>
    <w:tmpl w:val="0EAAFB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711F7D79"/>
    <w:multiLevelType w:val="hybridMultilevel"/>
    <w:tmpl w:val="B6F2FA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71941DBA"/>
    <w:multiLevelType w:val="hybridMultilevel"/>
    <w:tmpl w:val="973206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735725EE"/>
    <w:multiLevelType w:val="hybridMultilevel"/>
    <w:tmpl w:val="901629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742574A6"/>
    <w:multiLevelType w:val="hybridMultilevel"/>
    <w:tmpl w:val="973206A0"/>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74D73A49"/>
    <w:multiLevelType w:val="hybridMultilevel"/>
    <w:tmpl w:val="9CF043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76877C27"/>
    <w:multiLevelType w:val="hybridMultilevel"/>
    <w:tmpl w:val="4B765AF4"/>
    <w:lvl w:ilvl="0" w:tplc="5BCC2890">
      <w:start w:val="1"/>
      <w:numFmt w:val="bullet"/>
      <w:pStyle w:val="04Bulletsonelongsentence"/>
      <w:lvlText w:val=""/>
      <w:lvlJc w:val="left"/>
      <w:pPr>
        <w:ind w:left="360" w:hanging="360"/>
      </w:pPr>
      <w:rPr>
        <w:rFonts w:ascii="Symbol" w:hAnsi="Symbol" w:hint="default"/>
      </w:rPr>
    </w:lvl>
    <w:lvl w:ilvl="1" w:tplc="A5BA5918">
      <w:start w:val="1"/>
      <w:numFmt w:val="bullet"/>
      <w:lvlText w:val=""/>
      <w:lvlJc w:val="left"/>
      <w:pPr>
        <w:ind w:left="1440" w:hanging="360"/>
      </w:pPr>
      <w:rPr>
        <w:rFonts w:ascii="Symbol" w:hAnsi="Symbol" w:hint="default"/>
      </w:rPr>
    </w:lvl>
    <w:lvl w:ilvl="2" w:tplc="7020D9AC" w:tentative="1">
      <w:start w:val="1"/>
      <w:numFmt w:val="bullet"/>
      <w:lvlText w:val=""/>
      <w:lvlJc w:val="left"/>
      <w:pPr>
        <w:ind w:left="2160" w:hanging="360"/>
      </w:pPr>
      <w:rPr>
        <w:rFonts w:ascii="Wingdings" w:hAnsi="Wingdings" w:hint="default"/>
      </w:rPr>
    </w:lvl>
    <w:lvl w:ilvl="3" w:tplc="18026BE4" w:tentative="1">
      <w:start w:val="1"/>
      <w:numFmt w:val="bullet"/>
      <w:lvlText w:val=""/>
      <w:lvlJc w:val="left"/>
      <w:pPr>
        <w:ind w:left="2880" w:hanging="360"/>
      </w:pPr>
      <w:rPr>
        <w:rFonts w:ascii="Symbol" w:hAnsi="Symbol" w:hint="default"/>
      </w:rPr>
    </w:lvl>
    <w:lvl w:ilvl="4" w:tplc="97340DC8" w:tentative="1">
      <w:start w:val="1"/>
      <w:numFmt w:val="bullet"/>
      <w:lvlText w:val="o"/>
      <w:lvlJc w:val="left"/>
      <w:pPr>
        <w:ind w:left="3600" w:hanging="360"/>
      </w:pPr>
      <w:rPr>
        <w:rFonts w:ascii="Courier New" w:hAnsi="Courier New" w:cs="Courier New" w:hint="default"/>
      </w:rPr>
    </w:lvl>
    <w:lvl w:ilvl="5" w:tplc="FCC823FE" w:tentative="1">
      <w:start w:val="1"/>
      <w:numFmt w:val="bullet"/>
      <w:lvlText w:val=""/>
      <w:lvlJc w:val="left"/>
      <w:pPr>
        <w:ind w:left="4320" w:hanging="360"/>
      </w:pPr>
      <w:rPr>
        <w:rFonts w:ascii="Wingdings" w:hAnsi="Wingdings" w:hint="default"/>
      </w:rPr>
    </w:lvl>
    <w:lvl w:ilvl="6" w:tplc="0E08BECA" w:tentative="1">
      <w:start w:val="1"/>
      <w:numFmt w:val="bullet"/>
      <w:lvlText w:val=""/>
      <w:lvlJc w:val="left"/>
      <w:pPr>
        <w:ind w:left="5040" w:hanging="360"/>
      </w:pPr>
      <w:rPr>
        <w:rFonts w:ascii="Symbol" w:hAnsi="Symbol" w:hint="default"/>
      </w:rPr>
    </w:lvl>
    <w:lvl w:ilvl="7" w:tplc="FCAE5704" w:tentative="1">
      <w:start w:val="1"/>
      <w:numFmt w:val="bullet"/>
      <w:lvlText w:val="o"/>
      <w:lvlJc w:val="left"/>
      <w:pPr>
        <w:ind w:left="5760" w:hanging="360"/>
      </w:pPr>
      <w:rPr>
        <w:rFonts w:ascii="Courier New" w:hAnsi="Courier New" w:cs="Courier New" w:hint="default"/>
      </w:rPr>
    </w:lvl>
    <w:lvl w:ilvl="8" w:tplc="8EFCFE78" w:tentative="1">
      <w:start w:val="1"/>
      <w:numFmt w:val="bullet"/>
      <w:lvlText w:val=""/>
      <w:lvlJc w:val="left"/>
      <w:pPr>
        <w:ind w:left="6480" w:hanging="360"/>
      </w:pPr>
      <w:rPr>
        <w:rFonts w:ascii="Wingdings" w:hAnsi="Wingdings" w:hint="default"/>
      </w:rPr>
    </w:lvl>
  </w:abstractNum>
  <w:abstractNum w:abstractNumId="67" w15:restartNumberingAfterBreak="0">
    <w:nsid w:val="7A211212"/>
    <w:multiLevelType w:val="hybridMultilevel"/>
    <w:tmpl w:val="8C669DB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7EAF4DD0"/>
    <w:multiLevelType w:val="hybridMultilevel"/>
    <w:tmpl w:val="25E061B0"/>
    <w:lvl w:ilvl="0" w:tplc="212ABFD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9234730">
    <w:abstractNumId w:val="37"/>
  </w:num>
  <w:num w:numId="2" w16cid:durableId="2038309970">
    <w:abstractNumId w:val="21"/>
  </w:num>
  <w:num w:numId="3" w16cid:durableId="2048992011">
    <w:abstractNumId w:val="54"/>
  </w:num>
  <w:num w:numId="4" w16cid:durableId="1637177188">
    <w:abstractNumId w:val="23"/>
  </w:num>
  <w:num w:numId="5" w16cid:durableId="1965041773">
    <w:abstractNumId w:val="12"/>
  </w:num>
  <w:num w:numId="6" w16cid:durableId="714352533">
    <w:abstractNumId w:val="25"/>
  </w:num>
  <w:num w:numId="7" w16cid:durableId="1528450272">
    <w:abstractNumId w:val="57"/>
  </w:num>
  <w:num w:numId="8" w16cid:durableId="102657112">
    <w:abstractNumId w:val="28"/>
  </w:num>
  <w:num w:numId="9" w16cid:durableId="568425842">
    <w:abstractNumId w:val="48"/>
  </w:num>
  <w:num w:numId="10" w16cid:durableId="376517307">
    <w:abstractNumId w:val="64"/>
  </w:num>
  <w:num w:numId="11" w16cid:durableId="1917745254">
    <w:abstractNumId w:val="49"/>
  </w:num>
  <w:num w:numId="12" w16cid:durableId="142740284">
    <w:abstractNumId w:val="22"/>
  </w:num>
  <w:num w:numId="13" w16cid:durableId="15468334">
    <w:abstractNumId w:val="20"/>
  </w:num>
  <w:num w:numId="14" w16cid:durableId="1140926532">
    <w:abstractNumId w:val="60"/>
  </w:num>
  <w:num w:numId="15" w16cid:durableId="1480074109">
    <w:abstractNumId w:val="26"/>
  </w:num>
  <w:num w:numId="16" w16cid:durableId="1102606318">
    <w:abstractNumId w:val="38"/>
  </w:num>
  <w:num w:numId="17" w16cid:durableId="877354865">
    <w:abstractNumId w:val="11"/>
  </w:num>
  <w:num w:numId="18" w16cid:durableId="1739593060">
    <w:abstractNumId w:val="17"/>
  </w:num>
  <w:num w:numId="19" w16cid:durableId="986402690">
    <w:abstractNumId w:val="16"/>
  </w:num>
  <w:num w:numId="20" w16cid:durableId="76824133">
    <w:abstractNumId w:val="15"/>
  </w:num>
  <w:num w:numId="21" w16cid:durableId="1017925744">
    <w:abstractNumId w:val="14"/>
  </w:num>
  <w:num w:numId="22" w16cid:durableId="880246529">
    <w:abstractNumId w:val="47"/>
  </w:num>
  <w:num w:numId="23" w16cid:durableId="325986795">
    <w:abstractNumId w:val="66"/>
  </w:num>
  <w:num w:numId="24" w16cid:durableId="669135592">
    <w:abstractNumId w:val="24"/>
  </w:num>
  <w:num w:numId="25" w16cid:durableId="1905214557">
    <w:abstractNumId w:val="56"/>
  </w:num>
  <w:num w:numId="26" w16cid:durableId="19362168">
    <w:abstractNumId w:val="33"/>
  </w:num>
  <w:num w:numId="27" w16cid:durableId="333267514">
    <w:abstractNumId w:val="59"/>
  </w:num>
  <w:num w:numId="28" w16cid:durableId="1502039242">
    <w:abstractNumId w:val="31"/>
  </w:num>
  <w:num w:numId="29" w16cid:durableId="1162624826">
    <w:abstractNumId w:val="40"/>
  </w:num>
  <w:num w:numId="30" w16cid:durableId="451901938">
    <w:abstractNumId w:val="35"/>
  </w:num>
  <w:num w:numId="31" w16cid:durableId="1173838636">
    <w:abstractNumId w:val="58"/>
  </w:num>
  <w:num w:numId="32" w16cid:durableId="1810171129">
    <w:abstractNumId w:val="41"/>
  </w:num>
  <w:num w:numId="33" w16cid:durableId="993408341">
    <w:abstractNumId w:val="30"/>
  </w:num>
  <w:num w:numId="34" w16cid:durableId="1506626557">
    <w:abstractNumId w:val="18"/>
  </w:num>
  <w:num w:numId="35" w16cid:durableId="295109757">
    <w:abstractNumId w:val="29"/>
  </w:num>
  <w:num w:numId="36" w16cid:durableId="620842778">
    <w:abstractNumId w:val="61"/>
  </w:num>
  <w:num w:numId="37" w16cid:durableId="342246774">
    <w:abstractNumId w:val="51"/>
  </w:num>
  <w:num w:numId="38" w16cid:durableId="278414222">
    <w:abstractNumId w:val="45"/>
  </w:num>
  <w:num w:numId="39" w16cid:durableId="1044019711">
    <w:abstractNumId w:val="65"/>
  </w:num>
  <w:num w:numId="40" w16cid:durableId="859661150">
    <w:abstractNumId w:val="19"/>
  </w:num>
  <w:num w:numId="41" w16cid:durableId="493909912">
    <w:abstractNumId w:val="13"/>
  </w:num>
  <w:num w:numId="42" w16cid:durableId="739324676">
    <w:abstractNumId w:val="27"/>
  </w:num>
  <w:num w:numId="43" w16cid:durableId="1238829725">
    <w:abstractNumId w:val="34"/>
  </w:num>
  <w:num w:numId="44" w16cid:durableId="12191849">
    <w:abstractNumId w:val="67"/>
  </w:num>
  <w:num w:numId="45" w16cid:durableId="838665216">
    <w:abstractNumId w:val="62"/>
  </w:num>
  <w:num w:numId="46" w16cid:durableId="664163684">
    <w:abstractNumId w:val="53"/>
  </w:num>
  <w:num w:numId="47" w16cid:durableId="828402566">
    <w:abstractNumId w:val="41"/>
  </w:num>
  <w:num w:numId="48" w16cid:durableId="36661618">
    <w:abstractNumId w:val="68"/>
  </w:num>
  <w:num w:numId="49" w16cid:durableId="1498694063">
    <w:abstractNumId w:val="52"/>
  </w:num>
  <w:num w:numId="50" w16cid:durableId="844250151">
    <w:abstractNumId w:val="55"/>
  </w:num>
  <w:num w:numId="51" w16cid:durableId="361173006">
    <w:abstractNumId w:val="43"/>
  </w:num>
  <w:num w:numId="52" w16cid:durableId="616252791">
    <w:abstractNumId w:val="39"/>
  </w:num>
  <w:num w:numId="53" w16cid:durableId="1543909149">
    <w:abstractNumId w:val="10"/>
  </w:num>
  <w:num w:numId="54" w16cid:durableId="1533835572">
    <w:abstractNumId w:val="32"/>
  </w:num>
  <w:num w:numId="55" w16cid:durableId="671764537">
    <w:abstractNumId w:val="46"/>
  </w:num>
  <w:num w:numId="56" w16cid:durableId="627781863">
    <w:abstractNumId w:val="50"/>
  </w:num>
  <w:num w:numId="57" w16cid:durableId="133447863">
    <w:abstractNumId w:val="41"/>
  </w:num>
  <w:num w:numId="58" w16cid:durableId="1024786976">
    <w:abstractNumId w:val="41"/>
  </w:num>
  <w:num w:numId="59" w16cid:durableId="914514071">
    <w:abstractNumId w:val="41"/>
  </w:num>
  <w:num w:numId="60" w16cid:durableId="1162968639">
    <w:abstractNumId w:val="41"/>
  </w:num>
  <w:num w:numId="61" w16cid:durableId="788741350">
    <w:abstractNumId w:val="41"/>
  </w:num>
  <w:num w:numId="62" w16cid:durableId="122382478">
    <w:abstractNumId w:val="41"/>
  </w:num>
  <w:num w:numId="63" w16cid:durableId="1688756210">
    <w:abstractNumId w:val="41"/>
  </w:num>
  <w:num w:numId="64" w16cid:durableId="1866822135">
    <w:abstractNumId w:val="41"/>
  </w:num>
  <w:num w:numId="65" w16cid:durableId="835152331">
    <w:abstractNumId w:val="42"/>
  </w:num>
  <w:num w:numId="66" w16cid:durableId="1636176281">
    <w:abstractNumId w:val="36"/>
  </w:num>
  <w:num w:numId="67" w16cid:durableId="210699738">
    <w:abstractNumId w:val="44"/>
  </w:num>
  <w:num w:numId="68" w16cid:durableId="1232077442">
    <w:abstractNumId w:val="63"/>
  </w:num>
  <w:num w:numId="69" w16cid:durableId="1466462672">
    <w:abstractNumId w:val="9"/>
  </w:num>
  <w:num w:numId="70" w16cid:durableId="2048094287">
    <w:abstractNumId w:val="7"/>
  </w:num>
  <w:num w:numId="71" w16cid:durableId="1394695051">
    <w:abstractNumId w:val="6"/>
  </w:num>
  <w:num w:numId="72" w16cid:durableId="1507750815">
    <w:abstractNumId w:val="5"/>
  </w:num>
  <w:num w:numId="73" w16cid:durableId="328101208">
    <w:abstractNumId w:val="4"/>
  </w:num>
  <w:num w:numId="74" w16cid:durableId="57822267">
    <w:abstractNumId w:val="8"/>
  </w:num>
  <w:num w:numId="75" w16cid:durableId="23942761">
    <w:abstractNumId w:val="3"/>
  </w:num>
  <w:num w:numId="76" w16cid:durableId="44527067">
    <w:abstractNumId w:val="2"/>
  </w:num>
  <w:num w:numId="77" w16cid:durableId="2129812015">
    <w:abstractNumId w:val="1"/>
  </w:num>
  <w:num w:numId="78" w16cid:durableId="1909725883">
    <w:abstractNumId w:val="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83"/>
  <w:activeWritingStyle w:appName="MSWord" w:lang="en-AU" w:vendorID="64" w:dllVersion="0" w:nlCheck="1" w:checkStyle="0"/>
  <w:activeWritingStyle w:appName="MSWord" w:lang="en-US" w:vendorID="64" w:dllVersion="0" w:nlCheck="1" w:checkStyle="0"/>
  <w:activeWritingStyle w:appName="MSWord" w:lang="en-GB" w:vendorID="64" w:dllVersion="0" w:nlCheck="1" w:checkStyle="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 w:name="EN.Layout" w:val="&lt;ENLayout&gt;&lt;Style&gt;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wdz5rt27s29tnepzr95srp02rdre5s0aapt&quot;&gt;Naturopathy&lt;record-ids&gt;&lt;item&gt;2&lt;/item&gt;&lt;item&gt;3&lt;/item&gt;&lt;item&gt;5&lt;/item&gt;&lt;item&gt;7&lt;/item&gt;&lt;item&gt;8&lt;/item&gt;&lt;item&gt;9&lt;/item&gt;&lt;item&gt;11&lt;/item&gt;&lt;item&gt;12&lt;/item&gt;&lt;item&gt;13&lt;/item&gt;&lt;item&gt;14&lt;/item&gt;&lt;item&gt;249&lt;/item&gt;&lt;/record-ids&gt;&lt;/item&gt;&lt;/Libraries&gt;"/>
  </w:docVars>
  <w:rsids>
    <w:rsidRoot w:val="00733111"/>
    <w:rsid w:val="0000017F"/>
    <w:rsid w:val="000003D6"/>
    <w:rsid w:val="0000060E"/>
    <w:rsid w:val="000010FB"/>
    <w:rsid w:val="000015BA"/>
    <w:rsid w:val="000019D4"/>
    <w:rsid w:val="00001A5B"/>
    <w:rsid w:val="00001F66"/>
    <w:rsid w:val="000024DD"/>
    <w:rsid w:val="00002A93"/>
    <w:rsid w:val="000036C3"/>
    <w:rsid w:val="00003784"/>
    <w:rsid w:val="0000409D"/>
    <w:rsid w:val="000042C8"/>
    <w:rsid w:val="000043B5"/>
    <w:rsid w:val="00004CB9"/>
    <w:rsid w:val="00005177"/>
    <w:rsid w:val="00005C22"/>
    <w:rsid w:val="00007084"/>
    <w:rsid w:val="00007ADC"/>
    <w:rsid w:val="0001003F"/>
    <w:rsid w:val="00010194"/>
    <w:rsid w:val="00010377"/>
    <w:rsid w:val="00010B24"/>
    <w:rsid w:val="000117BE"/>
    <w:rsid w:val="000117D5"/>
    <w:rsid w:val="00011A30"/>
    <w:rsid w:val="00012372"/>
    <w:rsid w:val="00012773"/>
    <w:rsid w:val="00015ABC"/>
    <w:rsid w:val="00015D48"/>
    <w:rsid w:val="0001724E"/>
    <w:rsid w:val="0001730C"/>
    <w:rsid w:val="000173C8"/>
    <w:rsid w:val="000177B8"/>
    <w:rsid w:val="00020E8E"/>
    <w:rsid w:val="00021877"/>
    <w:rsid w:val="00021B58"/>
    <w:rsid w:val="00022118"/>
    <w:rsid w:val="00023088"/>
    <w:rsid w:val="00023928"/>
    <w:rsid w:val="00023C63"/>
    <w:rsid w:val="00023E7B"/>
    <w:rsid w:val="00024CDF"/>
    <w:rsid w:val="00025291"/>
    <w:rsid w:val="000256D8"/>
    <w:rsid w:val="00025895"/>
    <w:rsid w:val="00025BC1"/>
    <w:rsid w:val="000266DC"/>
    <w:rsid w:val="0002731C"/>
    <w:rsid w:val="00027CDE"/>
    <w:rsid w:val="00027D07"/>
    <w:rsid w:val="000309E7"/>
    <w:rsid w:val="00030D82"/>
    <w:rsid w:val="00031FF7"/>
    <w:rsid w:val="0003298B"/>
    <w:rsid w:val="00033234"/>
    <w:rsid w:val="00033B75"/>
    <w:rsid w:val="000345DD"/>
    <w:rsid w:val="000346C3"/>
    <w:rsid w:val="0003498B"/>
    <w:rsid w:val="00034EE9"/>
    <w:rsid w:val="00035131"/>
    <w:rsid w:val="00035925"/>
    <w:rsid w:val="00035BD7"/>
    <w:rsid w:val="00035C36"/>
    <w:rsid w:val="0003609C"/>
    <w:rsid w:val="00036294"/>
    <w:rsid w:val="000367C5"/>
    <w:rsid w:val="00037234"/>
    <w:rsid w:val="00037998"/>
    <w:rsid w:val="000404A7"/>
    <w:rsid w:val="000404B2"/>
    <w:rsid w:val="00040858"/>
    <w:rsid w:val="00041F5F"/>
    <w:rsid w:val="00043EF4"/>
    <w:rsid w:val="00044C55"/>
    <w:rsid w:val="00045E14"/>
    <w:rsid w:val="00047713"/>
    <w:rsid w:val="00047995"/>
    <w:rsid w:val="00047C64"/>
    <w:rsid w:val="00047DBE"/>
    <w:rsid w:val="00050BBB"/>
    <w:rsid w:val="00050CCF"/>
    <w:rsid w:val="00050DBE"/>
    <w:rsid w:val="0005133E"/>
    <w:rsid w:val="00051D30"/>
    <w:rsid w:val="00052A07"/>
    <w:rsid w:val="00052CEA"/>
    <w:rsid w:val="000536C7"/>
    <w:rsid w:val="00054BA3"/>
    <w:rsid w:val="00054E21"/>
    <w:rsid w:val="000550B6"/>
    <w:rsid w:val="00055104"/>
    <w:rsid w:val="0005754F"/>
    <w:rsid w:val="00057801"/>
    <w:rsid w:val="0005798A"/>
    <w:rsid w:val="00057F7E"/>
    <w:rsid w:val="00060283"/>
    <w:rsid w:val="000604E1"/>
    <w:rsid w:val="000608EC"/>
    <w:rsid w:val="0006125A"/>
    <w:rsid w:val="0006206E"/>
    <w:rsid w:val="00063DA7"/>
    <w:rsid w:val="00064312"/>
    <w:rsid w:val="000656E6"/>
    <w:rsid w:val="00065802"/>
    <w:rsid w:val="00065DE3"/>
    <w:rsid w:val="00065E50"/>
    <w:rsid w:val="00066A26"/>
    <w:rsid w:val="00066EB8"/>
    <w:rsid w:val="00066F36"/>
    <w:rsid w:val="0006785D"/>
    <w:rsid w:val="00067902"/>
    <w:rsid w:val="00067B42"/>
    <w:rsid w:val="00067BFB"/>
    <w:rsid w:val="000702BF"/>
    <w:rsid w:val="00070E6D"/>
    <w:rsid w:val="000711EC"/>
    <w:rsid w:val="0007181F"/>
    <w:rsid w:val="000718FD"/>
    <w:rsid w:val="00072C70"/>
    <w:rsid w:val="00072E0F"/>
    <w:rsid w:val="000736A6"/>
    <w:rsid w:val="0007372D"/>
    <w:rsid w:val="00073C00"/>
    <w:rsid w:val="00073EAC"/>
    <w:rsid w:val="000761D5"/>
    <w:rsid w:val="000768B3"/>
    <w:rsid w:val="0007788F"/>
    <w:rsid w:val="00077D36"/>
    <w:rsid w:val="000802BC"/>
    <w:rsid w:val="00080751"/>
    <w:rsid w:val="00080D3C"/>
    <w:rsid w:val="00080F53"/>
    <w:rsid w:val="0008155A"/>
    <w:rsid w:val="00082678"/>
    <w:rsid w:val="0008385C"/>
    <w:rsid w:val="00083B25"/>
    <w:rsid w:val="00084006"/>
    <w:rsid w:val="00084760"/>
    <w:rsid w:val="0008540B"/>
    <w:rsid w:val="00085483"/>
    <w:rsid w:val="00085886"/>
    <w:rsid w:val="00090B91"/>
    <w:rsid w:val="00091D50"/>
    <w:rsid w:val="000922C0"/>
    <w:rsid w:val="000923B3"/>
    <w:rsid w:val="000935F9"/>
    <w:rsid w:val="0009364D"/>
    <w:rsid w:val="00094996"/>
    <w:rsid w:val="00094B76"/>
    <w:rsid w:val="00094DB4"/>
    <w:rsid w:val="00095249"/>
    <w:rsid w:val="00095BBF"/>
    <w:rsid w:val="00096AAB"/>
    <w:rsid w:val="00096AF8"/>
    <w:rsid w:val="00096B04"/>
    <w:rsid w:val="00097272"/>
    <w:rsid w:val="000A039F"/>
    <w:rsid w:val="000A08A8"/>
    <w:rsid w:val="000A0B18"/>
    <w:rsid w:val="000A123F"/>
    <w:rsid w:val="000A1677"/>
    <w:rsid w:val="000A1A49"/>
    <w:rsid w:val="000A1C4F"/>
    <w:rsid w:val="000A22FC"/>
    <w:rsid w:val="000A2F83"/>
    <w:rsid w:val="000A35C1"/>
    <w:rsid w:val="000A396B"/>
    <w:rsid w:val="000A39D8"/>
    <w:rsid w:val="000A3D2D"/>
    <w:rsid w:val="000A450A"/>
    <w:rsid w:val="000A479F"/>
    <w:rsid w:val="000A6492"/>
    <w:rsid w:val="000A7619"/>
    <w:rsid w:val="000A7698"/>
    <w:rsid w:val="000A78FD"/>
    <w:rsid w:val="000A7BF3"/>
    <w:rsid w:val="000A7F8F"/>
    <w:rsid w:val="000B1142"/>
    <w:rsid w:val="000B33BC"/>
    <w:rsid w:val="000B3E34"/>
    <w:rsid w:val="000B4BA9"/>
    <w:rsid w:val="000B5403"/>
    <w:rsid w:val="000B6D7D"/>
    <w:rsid w:val="000B7207"/>
    <w:rsid w:val="000B74F5"/>
    <w:rsid w:val="000C0203"/>
    <w:rsid w:val="000C0CD0"/>
    <w:rsid w:val="000C20E7"/>
    <w:rsid w:val="000C223E"/>
    <w:rsid w:val="000C29C9"/>
    <w:rsid w:val="000C2BC2"/>
    <w:rsid w:val="000C39C0"/>
    <w:rsid w:val="000C3FE3"/>
    <w:rsid w:val="000C4351"/>
    <w:rsid w:val="000C626D"/>
    <w:rsid w:val="000C663B"/>
    <w:rsid w:val="000C6A2C"/>
    <w:rsid w:val="000C6AFA"/>
    <w:rsid w:val="000C6F35"/>
    <w:rsid w:val="000C77D6"/>
    <w:rsid w:val="000D15CD"/>
    <w:rsid w:val="000D1B06"/>
    <w:rsid w:val="000D1D04"/>
    <w:rsid w:val="000D29E3"/>
    <w:rsid w:val="000D3E22"/>
    <w:rsid w:val="000D5184"/>
    <w:rsid w:val="000D54FB"/>
    <w:rsid w:val="000D61B3"/>
    <w:rsid w:val="000D6CF6"/>
    <w:rsid w:val="000D74E6"/>
    <w:rsid w:val="000D7C07"/>
    <w:rsid w:val="000D7F91"/>
    <w:rsid w:val="000E068C"/>
    <w:rsid w:val="000E0EBF"/>
    <w:rsid w:val="000E129C"/>
    <w:rsid w:val="000E2610"/>
    <w:rsid w:val="000E26F8"/>
    <w:rsid w:val="000E37BA"/>
    <w:rsid w:val="000E4101"/>
    <w:rsid w:val="000E42C2"/>
    <w:rsid w:val="000E5330"/>
    <w:rsid w:val="000E5838"/>
    <w:rsid w:val="000E5BEA"/>
    <w:rsid w:val="000E5E31"/>
    <w:rsid w:val="000E6120"/>
    <w:rsid w:val="000E62AD"/>
    <w:rsid w:val="000E633D"/>
    <w:rsid w:val="000E65F5"/>
    <w:rsid w:val="000E6AB8"/>
    <w:rsid w:val="000E6EA0"/>
    <w:rsid w:val="000F07B0"/>
    <w:rsid w:val="000F111E"/>
    <w:rsid w:val="000F1142"/>
    <w:rsid w:val="000F1534"/>
    <w:rsid w:val="000F169A"/>
    <w:rsid w:val="000F2698"/>
    <w:rsid w:val="000F30B9"/>
    <w:rsid w:val="000F30CF"/>
    <w:rsid w:val="000F360A"/>
    <w:rsid w:val="000F4988"/>
    <w:rsid w:val="000F50B5"/>
    <w:rsid w:val="000F615D"/>
    <w:rsid w:val="000F7798"/>
    <w:rsid w:val="001008C9"/>
    <w:rsid w:val="00100DD4"/>
    <w:rsid w:val="00100DDF"/>
    <w:rsid w:val="00101144"/>
    <w:rsid w:val="001011CB"/>
    <w:rsid w:val="00102851"/>
    <w:rsid w:val="001030E5"/>
    <w:rsid w:val="00103588"/>
    <w:rsid w:val="001042C2"/>
    <w:rsid w:val="0010487B"/>
    <w:rsid w:val="00105613"/>
    <w:rsid w:val="00105832"/>
    <w:rsid w:val="00106B36"/>
    <w:rsid w:val="00106ED7"/>
    <w:rsid w:val="00107B51"/>
    <w:rsid w:val="00110839"/>
    <w:rsid w:val="00113784"/>
    <w:rsid w:val="00113A39"/>
    <w:rsid w:val="00113EC0"/>
    <w:rsid w:val="001144D9"/>
    <w:rsid w:val="00115EBC"/>
    <w:rsid w:val="001164E3"/>
    <w:rsid w:val="001167A1"/>
    <w:rsid w:val="00120516"/>
    <w:rsid w:val="00121989"/>
    <w:rsid w:val="0012269A"/>
    <w:rsid w:val="00123CF5"/>
    <w:rsid w:val="00124983"/>
    <w:rsid w:val="00125434"/>
    <w:rsid w:val="001257CC"/>
    <w:rsid w:val="00126F87"/>
    <w:rsid w:val="00127285"/>
    <w:rsid w:val="00130388"/>
    <w:rsid w:val="00130F73"/>
    <w:rsid w:val="00130FDB"/>
    <w:rsid w:val="001314B0"/>
    <w:rsid w:val="00131E5D"/>
    <w:rsid w:val="001320B4"/>
    <w:rsid w:val="00132907"/>
    <w:rsid w:val="00134230"/>
    <w:rsid w:val="001344C4"/>
    <w:rsid w:val="00134BAD"/>
    <w:rsid w:val="0013604C"/>
    <w:rsid w:val="0013629F"/>
    <w:rsid w:val="00136450"/>
    <w:rsid w:val="00136AD6"/>
    <w:rsid w:val="00136FD9"/>
    <w:rsid w:val="00137222"/>
    <w:rsid w:val="001376CF"/>
    <w:rsid w:val="00140FF7"/>
    <w:rsid w:val="00141E07"/>
    <w:rsid w:val="00141E83"/>
    <w:rsid w:val="0014211B"/>
    <w:rsid w:val="001428CD"/>
    <w:rsid w:val="001432EA"/>
    <w:rsid w:val="00143654"/>
    <w:rsid w:val="00144136"/>
    <w:rsid w:val="001449DD"/>
    <w:rsid w:val="00144D6D"/>
    <w:rsid w:val="00145207"/>
    <w:rsid w:val="001459C1"/>
    <w:rsid w:val="00145B79"/>
    <w:rsid w:val="00146493"/>
    <w:rsid w:val="00147417"/>
    <w:rsid w:val="00147E32"/>
    <w:rsid w:val="001507E8"/>
    <w:rsid w:val="001517CD"/>
    <w:rsid w:val="001522A4"/>
    <w:rsid w:val="001527F1"/>
    <w:rsid w:val="001533E0"/>
    <w:rsid w:val="00153B65"/>
    <w:rsid w:val="00153E9A"/>
    <w:rsid w:val="00154360"/>
    <w:rsid w:val="0015479B"/>
    <w:rsid w:val="00154F5A"/>
    <w:rsid w:val="0015521D"/>
    <w:rsid w:val="001561D2"/>
    <w:rsid w:val="0015638D"/>
    <w:rsid w:val="001571C1"/>
    <w:rsid w:val="00157B74"/>
    <w:rsid w:val="00157D9A"/>
    <w:rsid w:val="00160668"/>
    <w:rsid w:val="00160D3F"/>
    <w:rsid w:val="00161166"/>
    <w:rsid w:val="001612DE"/>
    <w:rsid w:val="0016333A"/>
    <w:rsid w:val="001634C9"/>
    <w:rsid w:val="001639BA"/>
    <w:rsid w:val="00163C63"/>
    <w:rsid w:val="00164FB8"/>
    <w:rsid w:val="00165916"/>
    <w:rsid w:val="00166328"/>
    <w:rsid w:val="0016637F"/>
    <w:rsid w:val="0016646E"/>
    <w:rsid w:val="0016760E"/>
    <w:rsid w:val="001701B0"/>
    <w:rsid w:val="00170D5A"/>
    <w:rsid w:val="00170D78"/>
    <w:rsid w:val="00171094"/>
    <w:rsid w:val="00172093"/>
    <w:rsid w:val="0017226F"/>
    <w:rsid w:val="001725AA"/>
    <w:rsid w:val="00172BB6"/>
    <w:rsid w:val="001732F6"/>
    <w:rsid w:val="00173487"/>
    <w:rsid w:val="00173643"/>
    <w:rsid w:val="00173AEF"/>
    <w:rsid w:val="00173CBD"/>
    <w:rsid w:val="0017455F"/>
    <w:rsid w:val="00175DCD"/>
    <w:rsid w:val="00176393"/>
    <w:rsid w:val="001763B1"/>
    <w:rsid w:val="00176D14"/>
    <w:rsid w:val="00176EA2"/>
    <w:rsid w:val="0017704A"/>
    <w:rsid w:val="001770C8"/>
    <w:rsid w:val="001805FB"/>
    <w:rsid w:val="001808E8"/>
    <w:rsid w:val="0018175B"/>
    <w:rsid w:val="00182CF5"/>
    <w:rsid w:val="00185D05"/>
    <w:rsid w:val="00185E48"/>
    <w:rsid w:val="00186980"/>
    <w:rsid w:val="00187B7F"/>
    <w:rsid w:val="00187E3D"/>
    <w:rsid w:val="00190B88"/>
    <w:rsid w:val="00191143"/>
    <w:rsid w:val="001917F4"/>
    <w:rsid w:val="001919B9"/>
    <w:rsid w:val="00191B74"/>
    <w:rsid w:val="00191FA8"/>
    <w:rsid w:val="00193772"/>
    <w:rsid w:val="00195AA8"/>
    <w:rsid w:val="00195F57"/>
    <w:rsid w:val="001972E0"/>
    <w:rsid w:val="00197613"/>
    <w:rsid w:val="001977C1"/>
    <w:rsid w:val="00197B45"/>
    <w:rsid w:val="001A0461"/>
    <w:rsid w:val="001A1899"/>
    <w:rsid w:val="001A18C0"/>
    <w:rsid w:val="001A22B6"/>
    <w:rsid w:val="001A2A69"/>
    <w:rsid w:val="001A2CE4"/>
    <w:rsid w:val="001A3587"/>
    <w:rsid w:val="001A4910"/>
    <w:rsid w:val="001A4BE9"/>
    <w:rsid w:val="001A5535"/>
    <w:rsid w:val="001A56F5"/>
    <w:rsid w:val="001A5B5A"/>
    <w:rsid w:val="001A5E01"/>
    <w:rsid w:val="001A633B"/>
    <w:rsid w:val="001A7C3A"/>
    <w:rsid w:val="001A7C3C"/>
    <w:rsid w:val="001B1581"/>
    <w:rsid w:val="001B16FB"/>
    <w:rsid w:val="001B18DF"/>
    <w:rsid w:val="001B1E61"/>
    <w:rsid w:val="001B317E"/>
    <w:rsid w:val="001B398A"/>
    <w:rsid w:val="001B4432"/>
    <w:rsid w:val="001B4A86"/>
    <w:rsid w:val="001B5512"/>
    <w:rsid w:val="001B581F"/>
    <w:rsid w:val="001B65DC"/>
    <w:rsid w:val="001B7DB1"/>
    <w:rsid w:val="001B7EFB"/>
    <w:rsid w:val="001B7FF9"/>
    <w:rsid w:val="001C0CD1"/>
    <w:rsid w:val="001C0CDA"/>
    <w:rsid w:val="001C11FD"/>
    <w:rsid w:val="001C1510"/>
    <w:rsid w:val="001C17E2"/>
    <w:rsid w:val="001C1895"/>
    <w:rsid w:val="001C29B8"/>
    <w:rsid w:val="001C32D3"/>
    <w:rsid w:val="001C3B39"/>
    <w:rsid w:val="001C3E4C"/>
    <w:rsid w:val="001C4072"/>
    <w:rsid w:val="001C4736"/>
    <w:rsid w:val="001C577E"/>
    <w:rsid w:val="001C5FE6"/>
    <w:rsid w:val="001C6A9F"/>
    <w:rsid w:val="001C7A89"/>
    <w:rsid w:val="001C7F5E"/>
    <w:rsid w:val="001D03B8"/>
    <w:rsid w:val="001D0D8E"/>
    <w:rsid w:val="001D0DAA"/>
    <w:rsid w:val="001D136F"/>
    <w:rsid w:val="001D1498"/>
    <w:rsid w:val="001D1679"/>
    <w:rsid w:val="001D28EE"/>
    <w:rsid w:val="001D2FE8"/>
    <w:rsid w:val="001D3000"/>
    <w:rsid w:val="001D3B62"/>
    <w:rsid w:val="001D4224"/>
    <w:rsid w:val="001D5480"/>
    <w:rsid w:val="001D592D"/>
    <w:rsid w:val="001D6400"/>
    <w:rsid w:val="001D66FC"/>
    <w:rsid w:val="001D6F10"/>
    <w:rsid w:val="001D722C"/>
    <w:rsid w:val="001D7486"/>
    <w:rsid w:val="001E03A1"/>
    <w:rsid w:val="001E040C"/>
    <w:rsid w:val="001E1310"/>
    <w:rsid w:val="001E15C7"/>
    <w:rsid w:val="001E205E"/>
    <w:rsid w:val="001E2BFC"/>
    <w:rsid w:val="001E2E69"/>
    <w:rsid w:val="001E35E3"/>
    <w:rsid w:val="001E3FF5"/>
    <w:rsid w:val="001E536A"/>
    <w:rsid w:val="001E5B75"/>
    <w:rsid w:val="001E5BA1"/>
    <w:rsid w:val="001E6F4B"/>
    <w:rsid w:val="001E7933"/>
    <w:rsid w:val="001F081F"/>
    <w:rsid w:val="001F093F"/>
    <w:rsid w:val="001F10C7"/>
    <w:rsid w:val="001F12A7"/>
    <w:rsid w:val="001F15E4"/>
    <w:rsid w:val="001F1F0F"/>
    <w:rsid w:val="001F1F17"/>
    <w:rsid w:val="001F22BA"/>
    <w:rsid w:val="001F2487"/>
    <w:rsid w:val="001F2A44"/>
    <w:rsid w:val="001F34B5"/>
    <w:rsid w:val="001F3645"/>
    <w:rsid w:val="001F3809"/>
    <w:rsid w:val="001F3844"/>
    <w:rsid w:val="001F4EC0"/>
    <w:rsid w:val="001F64FA"/>
    <w:rsid w:val="001F6E9F"/>
    <w:rsid w:val="001F7367"/>
    <w:rsid w:val="001F74B9"/>
    <w:rsid w:val="001F78A9"/>
    <w:rsid w:val="001F7DBE"/>
    <w:rsid w:val="0020037F"/>
    <w:rsid w:val="002014A2"/>
    <w:rsid w:val="0020186D"/>
    <w:rsid w:val="00202285"/>
    <w:rsid w:val="002024A9"/>
    <w:rsid w:val="00203A00"/>
    <w:rsid w:val="0020591F"/>
    <w:rsid w:val="00205B19"/>
    <w:rsid w:val="00205F2B"/>
    <w:rsid w:val="002067AA"/>
    <w:rsid w:val="002070A2"/>
    <w:rsid w:val="00207F6F"/>
    <w:rsid w:val="002119B3"/>
    <w:rsid w:val="00212159"/>
    <w:rsid w:val="0021231C"/>
    <w:rsid w:val="00212670"/>
    <w:rsid w:val="0021274E"/>
    <w:rsid w:val="00212CAB"/>
    <w:rsid w:val="00212FDA"/>
    <w:rsid w:val="002140B7"/>
    <w:rsid w:val="002140BC"/>
    <w:rsid w:val="002145B7"/>
    <w:rsid w:val="00214ED7"/>
    <w:rsid w:val="002150BD"/>
    <w:rsid w:val="002155DA"/>
    <w:rsid w:val="00217793"/>
    <w:rsid w:val="002178F2"/>
    <w:rsid w:val="00220D5E"/>
    <w:rsid w:val="00220F2E"/>
    <w:rsid w:val="002219BD"/>
    <w:rsid w:val="0022209A"/>
    <w:rsid w:val="002232A3"/>
    <w:rsid w:val="00223479"/>
    <w:rsid w:val="00223481"/>
    <w:rsid w:val="0022416A"/>
    <w:rsid w:val="0022479F"/>
    <w:rsid w:val="00224B6E"/>
    <w:rsid w:val="00224D1F"/>
    <w:rsid w:val="002253C0"/>
    <w:rsid w:val="002267DF"/>
    <w:rsid w:val="002269D9"/>
    <w:rsid w:val="002274E8"/>
    <w:rsid w:val="00230819"/>
    <w:rsid w:val="0023089F"/>
    <w:rsid w:val="002317AB"/>
    <w:rsid w:val="00231F9E"/>
    <w:rsid w:val="00231FEA"/>
    <w:rsid w:val="0023227E"/>
    <w:rsid w:val="00232828"/>
    <w:rsid w:val="002333A6"/>
    <w:rsid w:val="00233EBC"/>
    <w:rsid w:val="00234DD5"/>
    <w:rsid w:val="00234EEE"/>
    <w:rsid w:val="00234EF4"/>
    <w:rsid w:val="00235035"/>
    <w:rsid w:val="002351F8"/>
    <w:rsid w:val="00235202"/>
    <w:rsid w:val="00235680"/>
    <w:rsid w:val="002356DD"/>
    <w:rsid w:val="00240596"/>
    <w:rsid w:val="002405D2"/>
    <w:rsid w:val="002408E6"/>
    <w:rsid w:val="002408F0"/>
    <w:rsid w:val="002419B0"/>
    <w:rsid w:val="00241AEF"/>
    <w:rsid w:val="00244A33"/>
    <w:rsid w:val="00245D63"/>
    <w:rsid w:val="00246758"/>
    <w:rsid w:val="002468CA"/>
    <w:rsid w:val="002469E2"/>
    <w:rsid w:val="00246B1D"/>
    <w:rsid w:val="00246BA5"/>
    <w:rsid w:val="00247DA0"/>
    <w:rsid w:val="00250069"/>
    <w:rsid w:val="00250349"/>
    <w:rsid w:val="00251545"/>
    <w:rsid w:val="00251A76"/>
    <w:rsid w:val="00252511"/>
    <w:rsid w:val="00252F93"/>
    <w:rsid w:val="0025306B"/>
    <w:rsid w:val="00253967"/>
    <w:rsid w:val="00253B70"/>
    <w:rsid w:val="002542FC"/>
    <w:rsid w:val="002549EA"/>
    <w:rsid w:val="00255EC9"/>
    <w:rsid w:val="0025615A"/>
    <w:rsid w:val="00256872"/>
    <w:rsid w:val="00257ACB"/>
    <w:rsid w:val="00261087"/>
    <w:rsid w:val="0026119A"/>
    <w:rsid w:val="0026146F"/>
    <w:rsid w:val="0026185D"/>
    <w:rsid w:val="00261B5D"/>
    <w:rsid w:val="00262381"/>
    <w:rsid w:val="0026279D"/>
    <w:rsid w:val="00262AA2"/>
    <w:rsid w:val="00262CF8"/>
    <w:rsid w:val="00262FA1"/>
    <w:rsid w:val="002630D2"/>
    <w:rsid w:val="00263530"/>
    <w:rsid w:val="00263846"/>
    <w:rsid w:val="00263AD8"/>
    <w:rsid w:val="00264893"/>
    <w:rsid w:val="002648CB"/>
    <w:rsid w:val="00264EA9"/>
    <w:rsid w:val="00265A87"/>
    <w:rsid w:val="00265C32"/>
    <w:rsid w:val="00265C60"/>
    <w:rsid w:val="00266048"/>
    <w:rsid w:val="0026609B"/>
    <w:rsid w:val="002661D1"/>
    <w:rsid w:val="002677F5"/>
    <w:rsid w:val="00270DEE"/>
    <w:rsid w:val="00271ACD"/>
    <w:rsid w:val="00271DE2"/>
    <w:rsid w:val="00271F27"/>
    <w:rsid w:val="0027240E"/>
    <w:rsid w:val="00272636"/>
    <w:rsid w:val="00273400"/>
    <w:rsid w:val="00273401"/>
    <w:rsid w:val="002754AD"/>
    <w:rsid w:val="00275586"/>
    <w:rsid w:val="0027578C"/>
    <w:rsid w:val="00275B22"/>
    <w:rsid w:val="00276755"/>
    <w:rsid w:val="002772C1"/>
    <w:rsid w:val="002776BE"/>
    <w:rsid w:val="00277C8E"/>
    <w:rsid w:val="00277E29"/>
    <w:rsid w:val="00280FA5"/>
    <w:rsid w:val="0028119B"/>
    <w:rsid w:val="00281274"/>
    <w:rsid w:val="00281340"/>
    <w:rsid w:val="00281380"/>
    <w:rsid w:val="00282238"/>
    <w:rsid w:val="00282301"/>
    <w:rsid w:val="002845E7"/>
    <w:rsid w:val="002853FA"/>
    <w:rsid w:val="00285709"/>
    <w:rsid w:val="00285C0A"/>
    <w:rsid w:val="0028663D"/>
    <w:rsid w:val="002868DE"/>
    <w:rsid w:val="00286AF6"/>
    <w:rsid w:val="0028728F"/>
    <w:rsid w:val="0029022D"/>
    <w:rsid w:val="00291817"/>
    <w:rsid w:val="00292645"/>
    <w:rsid w:val="00292BBF"/>
    <w:rsid w:val="00292F99"/>
    <w:rsid w:val="00293E2C"/>
    <w:rsid w:val="0029500B"/>
    <w:rsid w:val="0029665C"/>
    <w:rsid w:val="00296875"/>
    <w:rsid w:val="00297136"/>
    <w:rsid w:val="002978D6"/>
    <w:rsid w:val="00297CD0"/>
    <w:rsid w:val="00297F70"/>
    <w:rsid w:val="002A0E5A"/>
    <w:rsid w:val="002A13CB"/>
    <w:rsid w:val="002A1D1C"/>
    <w:rsid w:val="002A23B5"/>
    <w:rsid w:val="002A2C76"/>
    <w:rsid w:val="002A2F2C"/>
    <w:rsid w:val="002A30A4"/>
    <w:rsid w:val="002A4370"/>
    <w:rsid w:val="002A500E"/>
    <w:rsid w:val="002A548E"/>
    <w:rsid w:val="002A608C"/>
    <w:rsid w:val="002A63B3"/>
    <w:rsid w:val="002A642A"/>
    <w:rsid w:val="002A70D4"/>
    <w:rsid w:val="002A7620"/>
    <w:rsid w:val="002A77B8"/>
    <w:rsid w:val="002A7B63"/>
    <w:rsid w:val="002A7BDF"/>
    <w:rsid w:val="002A7E9F"/>
    <w:rsid w:val="002B0487"/>
    <w:rsid w:val="002B0B5C"/>
    <w:rsid w:val="002B12A7"/>
    <w:rsid w:val="002B284F"/>
    <w:rsid w:val="002B2E01"/>
    <w:rsid w:val="002B381A"/>
    <w:rsid w:val="002B3E46"/>
    <w:rsid w:val="002B44E2"/>
    <w:rsid w:val="002B549E"/>
    <w:rsid w:val="002B5D12"/>
    <w:rsid w:val="002B5F16"/>
    <w:rsid w:val="002B75CD"/>
    <w:rsid w:val="002B7CC5"/>
    <w:rsid w:val="002B7F6E"/>
    <w:rsid w:val="002C0A75"/>
    <w:rsid w:val="002C0FBD"/>
    <w:rsid w:val="002C56F4"/>
    <w:rsid w:val="002C6782"/>
    <w:rsid w:val="002C6786"/>
    <w:rsid w:val="002D081C"/>
    <w:rsid w:val="002D0CB0"/>
    <w:rsid w:val="002D2B96"/>
    <w:rsid w:val="002D4AB0"/>
    <w:rsid w:val="002D4BEB"/>
    <w:rsid w:val="002D5260"/>
    <w:rsid w:val="002D5393"/>
    <w:rsid w:val="002D58E3"/>
    <w:rsid w:val="002D6315"/>
    <w:rsid w:val="002D64DF"/>
    <w:rsid w:val="002D6918"/>
    <w:rsid w:val="002D789B"/>
    <w:rsid w:val="002E056C"/>
    <w:rsid w:val="002E22FF"/>
    <w:rsid w:val="002E26BE"/>
    <w:rsid w:val="002E3370"/>
    <w:rsid w:val="002E358B"/>
    <w:rsid w:val="002E3996"/>
    <w:rsid w:val="002E3AC5"/>
    <w:rsid w:val="002E4025"/>
    <w:rsid w:val="002E4806"/>
    <w:rsid w:val="002E4F7C"/>
    <w:rsid w:val="002E578C"/>
    <w:rsid w:val="002E5E44"/>
    <w:rsid w:val="002E5EDA"/>
    <w:rsid w:val="002E6524"/>
    <w:rsid w:val="002E69FB"/>
    <w:rsid w:val="002E6DBC"/>
    <w:rsid w:val="002F0294"/>
    <w:rsid w:val="002F0569"/>
    <w:rsid w:val="002F0C5A"/>
    <w:rsid w:val="002F1118"/>
    <w:rsid w:val="002F13B9"/>
    <w:rsid w:val="002F1F79"/>
    <w:rsid w:val="002F2561"/>
    <w:rsid w:val="002F29DA"/>
    <w:rsid w:val="002F2C2F"/>
    <w:rsid w:val="002F2EA3"/>
    <w:rsid w:val="002F3004"/>
    <w:rsid w:val="002F30DC"/>
    <w:rsid w:val="002F37E3"/>
    <w:rsid w:val="002F40F9"/>
    <w:rsid w:val="002F466F"/>
    <w:rsid w:val="002F4696"/>
    <w:rsid w:val="002F46C6"/>
    <w:rsid w:val="002F4935"/>
    <w:rsid w:val="002F4EB9"/>
    <w:rsid w:val="002F5CCC"/>
    <w:rsid w:val="002F5DF6"/>
    <w:rsid w:val="002F5F4E"/>
    <w:rsid w:val="002F60A5"/>
    <w:rsid w:val="002F6160"/>
    <w:rsid w:val="002F6E51"/>
    <w:rsid w:val="002F77AF"/>
    <w:rsid w:val="002F7D4C"/>
    <w:rsid w:val="003009AD"/>
    <w:rsid w:val="00301DAD"/>
    <w:rsid w:val="003034A1"/>
    <w:rsid w:val="0030382E"/>
    <w:rsid w:val="00304555"/>
    <w:rsid w:val="003060E9"/>
    <w:rsid w:val="00306156"/>
    <w:rsid w:val="00307405"/>
    <w:rsid w:val="0030776B"/>
    <w:rsid w:val="00307AFF"/>
    <w:rsid w:val="003105E9"/>
    <w:rsid w:val="003110A7"/>
    <w:rsid w:val="00312172"/>
    <w:rsid w:val="003128C9"/>
    <w:rsid w:val="00312CE8"/>
    <w:rsid w:val="0031368D"/>
    <w:rsid w:val="00313EA5"/>
    <w:rsid w:val="0031420A"/>
    <w:rsid w:val="003145EE"/>
    <w:rsid w:val="00314876"/>
    <w:rsid w:val="00314EDF"/>
    <w:rsid w:val="00315914"/>
    <w:rsid w:val="00317483"/>
    <w:rsid w:val="0032002C"/>
    <w:rsid w:val="003213CD"/>
    <w:rsid w:val="003216BF"/>
    <w:rsid w:val="003228D4"/>
    <w:rsid w:val="0032356E"/>
    <w:rsid w:val="00323603"/>
    <w:rsid w:val="00324044"/>
    <w:rsid w:val="00324528"/>
    <w:rsid w:val="00324D0A"/>
    <w:rsid w:val="003252D4"/>
    <w:rsid w:val="00325CFE"/>
    <w:rsid w:val="003260F6"/>
    <w:rsid w:val="0032628F"/>
    <w:rsid w:val="00326A74"/>
    <w:rsid w:val="00326CB2"/>
    <w:rsid w:val="003304AF"/>
    <w:rsid w:val="003319A2"/>
    <w:rsid w:val="00331C77"/>
    <w:rsid w:val="00331F3B"/>
    <w:rsid w:val="00333814"/>
    <w:rsid w:val="00334062"/>
    <w:rsid w:val="00334155"/>
    <w:rsid w:val="003353C9"/>
    <w:rsid w:val="00335766"/>
    <w:rsid w:val="00335937"/>
    <w:rsid w:val="0033598F"/>
    <w:rsid w:val="00335D35"/>
    <w:rsid w:val="00336285"/>
    <w:rsid w:val="003364F4"/>
    <w:rsid w:val="00336520"/>
    <w:rsid w:val="00336904"/>
    <w:rsid w:val="00337044"/>
    <w:rsid w:val="003378C1"/>
    <w:rsid w:val="003408A8"/>
    <w:rsid w:val="003413E6"/>
    <w:rsid w:val="003427FE"/>
    <w:rsid w:val="00343919"/>
    <w:rsid w:val="00343F5D"/>
    <w:rsid w:val="00344597"/>
    <w:rsid w:val="00344B87"/>
    <w:rsid w:val="00345254"/>
    <w:rsid w:val="00345928"/>
    <w:rsid w:val="0034649E"/>
    <w:rsid w:val="003477F3"/>
    <w:rsid w:val="00352601"/>
    <w:rsid w:val="00352DA0"/>
    <w:rsid w:val="00352FBB"/>
    <w:rsid w:val="00354143"/>
    <w:rsid w:val="00354C6B"/>
    <w:rsid w:val="003569FD"/>
    <w:rsid w:val="00356AB6"/>
    <w:rsid w:val="00356D59"/>
    <w:rsid w:val="00357278"/>
    <w:rsid w:val="003575C0"/>
    <w:rsid w:val="00360549"/>
    <w:rsid w:val="00360714"/>
    <w:rsid w:val="00361025"/>
    <w:rsid w:val="0036110E"/>
    <w:rsid w:val="00361403"/>
    <w:rsid w:val="00361903"/>
    <w:rsid w:val="00361E53"/>
    <w:rsid w:val="003625EF"/>
    <w:rsid w:val="003646E8"/>
    <w:rsid w:val="0036472A"/>
    <w:rsid w:val="0036485B"/>
    <w:rsid w:val="003657C0"/>
    <w:rsid w:val="00365F6F"/>
    <w:rsid w:val="00365F9E"/>
    <w:rsid w:val="00366168"/>
    <w:rsid w:val="0036622E"/>
    <w:rsid w:val="00366364"/>
    <w:rsid w:val="00366B3F"/>
    <w:rsid w:val="003673E2"/>
    <w:rsid w:val="00367C74"/>
    <w:rsid w:val="00370839"/>
    <w:rsid w:val="00370D90"/>
    <w:rsid w:val="003719D2"/>
    <w:rsid w:val="00371CB0"/>
    <w:rsid w:val="00372048"/>
    <w:rsid w:val="00372382"/>
    <w:rsid w:val="00372BEC"/>
    <w:rsid w:val="0037334B"/>
    <w:rsid w:val="0037542F"/>
    <w:rsid w:val="00375600"/>
    <w:rsid w:val="00375AA4"/>
    <w:rsid w:val="00376583"/>
    <w:rsid w:val="00376FBF"/>
    <w:rsid w:val="00377484"/>
    <w:rsid w:val="003778A5"/>
    <w:rsid w:val="0038008F"/>
    <w:rsid w:val="0038078A"/>
    <w:rsid w:val="00381A63"/>
    <w:rsid w:val="0038244C"/>
    <w:rsid w:val="00382C4C"/>
    <w:rsid w:val="00383111"/>
    <w:rsid w:val="003833CF"/>
    <w:rsid w:val="00383405"/>
    <w:rsid w:val="00383A97"/>
    <w:rsid w:val="00383DE1"/>
    <w:rsid w:val="0038427A"/>
    <w:rsid w:val="00384318"/>
    <w:rsid w:val="003844E0"/>
    <w:rsid w:val="00384BA9"/>
    <w:rsid w:val="0038536E"/>
    <w:rsid w:val="00385AF9"/>
    <w:rsid w:val="00385BE2"/>
    <w:rsid w:val="003860B1"/>
    <w:rsid w:val="0038697D"/>
    <w:rsid w:val="00387107"/>
    <w:rsid w:val="00387695"/>
    <w:rsid w:val="00387EF3"/>
    <w:rsid w:val="003911D3"/>
    <w:rsid w:val="0039142E"/>
    <w:rsid w:val="003922BB"/>
    <w:rsid w:val="003923EF"/>
    <w:rsid w:val="0039329B"/>
    <w:rsid w:val="003936BE"/>
    <w:rsid w:val="00393733"/>
    <w:rsid w:val="00394A3D"/>
    <w:rsid w:val="00394AAD"/>
    <w:rsid w:val="003957ED"/>
    <w:rsid w:val="00395BD6"/>
    <w:rsid w:val="003964CD"/>
    <w:rsid w:val="0039692D"/>
    <w:rsid w:val="003973BB"/>
    <w:rsid w:val="00397A8C"/>
    <w:rsid w:val="003A01C2"/>
    <w:rsid w:val="003A07A9"/>
    <w:rsid w:val="003A1166"/>
    <w:rsid w:val="003A1263"/>
    <w:rsid w:val="003A291F"/>
    <w:rsid w:val="003A3615"/>
    <w:rsid w:val="003A4537"/>
    <w:rsid w:val="003A5092"/>
    <w:rsid w:val="003A7460"/>
    <w:rsid w:val="003A7CC8"/>
    <w:rsid w:val="003A7E06"/>
    <w:rsid w:val="003B003C"/>
    <w:rsid w:val="003B0594"/>
    <w:rsid w:val="003B061D"/>
    <w:rsid w:val="003B151A"/>
    <w:rsid w:val="003B1687"/>
    <w:rsid w:val="003B1926"/>
    <w:rsid w:val="003B1AFE"/>
    <w:rsid w:val="003B1F57"/>
    <w:rsid w:val="003B239F"/>
    <w:rsid w:val="003B33D7"/>
    <w:rsid w:val="003B383D"/>
    <w:rsid w:val="003B394E"/>
    <w:rsid w:val="003B3ED0"/>
    <w:rsid w:val="003B4040"/>
    <w:rsid w:val="003B50E0"/>
    <w:rsid w:val="003B5409"/>
    <w:rsid w:val="003B5495"/>
    <w:rsid w:val="003B5AB4"/>
    <w:rsid w:val="003B5E1D"/>
    <w:rsid w:val="003B63CC"/>
    <w:rsid w:val="003B76DD"/>
    <w:rsid w:val="003B7AAE"/>
    <w:rsid w:val="003B7F1C"/>
    <w:rsid w:val="003C050C"/>
    <w:rsid w:val="003C17DB"/>
    <w:rsid w:val="003C28F1"/>
    <w:rsid w:val="003C2E70"/>
    <w:rsid w:val="003C333F"/>
    <w:rsid w:val="003C34A1"/>
    <w:rsid w:val="003C386F"/>
    <w:rsid w:val="003C390F"/>
    <w:rsid w:val="003C4E3D"/>
    <w:rsid w:val="003C50AE"/>
    <w:rsid w:val="003C5D6C"/>
    <w:rsid w:val="003C6008"/>
    <w:rsid w:val="003C6B0F"/>
    <w:rsid w:val="003C6CED"/>
    <w:rsid w:val="003C7085"/>
    <w:rsid w:val="003C7828"/>
    <w:rsid w:val="003C7D5C"/>
    <w:rsid w:val="003D02A5"/>
    <w:rsid w:val="003D0890"/>
    <w:rsid w:val="003D0A3C"/>
    <w:rsid w:val="003D1BA0"/>
    <w:rsid w:val="003D20C5"/>
    <w:rsid w:val="003D2457"/>
    <w:rsid w:val="003D33BC"/>
    <w:rsid w:val="003D459E"/>
    <w:rsid w:val="003D49B8"/>
    <w:rsid w:val="003D50F6"/>
    <w:rsid w:val="003D5565"/>
    <w:rsid w:val="003D558F"/>
    <w:rsid w:val="003D6785"/>
    <w:rsid w:val="003D6DF0"/>
    <w:rsid w:val="003D746E"/>
    <w:rsid w:val="003D76A3"/>
    <w:rsid w:val="003D794A"/>
    <w:rsid w:val="003D7A0C"/>
    <w:rsid w:val="003E071F"/>
    <w:rsid w:val="003E127B"/>
    <w:rsid w:val="003E164C"/>
    <w:rsid w:val="003E27C7"/>
    <w:rsid w:val="003E2A4F"/>
    <w:rsid w:val="003E3EEA"/>
    <w:rsid w:val="003E41BA"/>
    <w:rsid w:val="003E4AF2"/>
    <w:rsid w:val="003E5408"/>
    <w:rsid w:val="003E59EB"/>
    <w:rsid w:val="003E6CF8"/>
    <w:rsid w:val="003E73AE"/>
    <w:rsid w:val="003E74EC"/>
    <w:rsid w:val="003E762F"/>
    <w:rsid w:val="003E77F5"/>
    <w:rsid w:val="003E782B"/>
    <w:rsid w:val="003E7874"/>
    <w:rsid w:val="003E7E55"/>
    <w:rsid w:val="003F206E"/>
    <w:rsid w:val="003F293F"/>
    <w:rsid w:val="003F2A8F"/>
    <w:rsid w:val="003F338D"/>
    <w:rsid w:val="003F3B0E"/>
    <w:rsid w:val="003F3C14"/>
    <w:rsid w:val="003F419F"/>
    <w:rsid w:val="003F5774"/>
    <w:rsid w:val="003F585A"/>
    <w:rsid w:val="003F6541"/>
    <w:rsid w:val="003F77FD"/>
    <w:rsid w:val="00400DFC"/>
    <w:rsid w:val="00400FCA"/>
    <w:rsid w:val="0040129C"/>
    <w:rsid w:val="00401829"/>
    <w:rsid w:val="00401A0E"/>
    <w:rsid w:val="00402091"/>
    <w:rsid w:val="004029DD"/>
    <w:rsid w:val="00403102"/>
    <w:rsid w:val="0040321E"/>
    <w:rsid w:val="0040325B"/>
    <w:rsid w:val="00403688"/>
    <w:rsid w:val="0040384F"/>
    <w:rsid w:val="00404420"/>
    <w:rsid w:val="004044DD"/>
    <w:rsid w:val="00406260"/>
    <w:rsid w:val="00406509"/>
    <w:rsid w:val="00410548"/>
    <w:rsid w:val="004106C5"/>
    <w:rsid w:val="00410B46"/>
    <w:rsid w:val="004111B2"/>
    <w:rsid w:val="00411B51"/>
    <w:rsid w:val="0041226A"/>
    <w:rsid w:val="00412314"/>
    <w:rsid w:val="004131CE"/>
    <w:rsid w:val="00413758"/>
    <w:rsid w:val="00413839"/>
    <w:rsid w:val="00413DBD"/>
    <w:rsid w:val="0041471E"/>
    <w:rsid w:val="004149E0"/>
    <w:rsid w:val="00414D19"/>
    <w:rsid w:val="00415500"/>
    <w:rsid w:val="004157F8"/>
    <w:rsid w:val="00416E96"/>
    <w:rsid w:val="00417316"/>
    <w:rsid w:val="00417CCA"/>
    <w:rsid w:val="0042313A"/>
    <w:rsid w:val="004232B5"/>
    <w:rsid w:val="00423606"/>
    <w:rsid w:val="00423612"/>
    <w:rsid w:val="004238A3"/>
    <w:rsid w:val="00423980"/>
    <w:rsid w:val="0042443C"/>
    <w:rsid w:val="004246E9"/>
    <w:rsid w:val="00424A27"/>
    <w:rsid w:val="00425F2F"/>
    <w:rsid w:val="004271FD"/>
    <w:rsid w:val="0042781F"/>
    <w:rsid w:val="004306F0"/>
    <w:rsid w:val="004312DA"/>
    <w:rsid w:val="00431BF1"/>
    <w:rsid w:val="004346EA"/>
    <w:rsid w:val="00435120"/>
    <w:rsid w:val="004353FD"/>
    <w:rsid w:val="00435EF2"/>
    <w:rsid w:val="00436097"/>
    <w:rsid w:val="00440E7D"/>
    <w:rsid w:val="00441252"/>
    <w:rsid w:val="0044184F"/>
    <w:rsid w:val="00441D32"/>
    <w:rsid w:val="00442865"/>
    <w:rsid w:val="004433C8"/>
    <w:rsid w:val="00443D60"/>
    <w:rsid w:val="004441F9"/>
    <w:rsid w:val="00444579"/>
    <w:rsid w:val="004445B9"/>
    <w:rsid w:val="00444F09"/>
    <w:rsid w:val="004450FB"/>
    <w:rsid w:val="00447A7D"/>
    <w:rsid w:val="00447B3F"/>
    <w:rsid w:val="00447E28"/>
    <w:rsid w:val="00451CEF"/>
    <w:rsid w:val="00453508"/>
    <w:rsid w:val="0045429E"/>
    <w:rsid w:val="00454BA8"/>
    <w:rsid w:val="00454C00"/>
    <w:rsid w:val="00454E8D"/>
    <w:rsid w:val="00455110"/>
    <w:rsid w:val="00455717"/>
    <w:rsid w:val="00455828"/>
    <w:rsid w:val="00456269"/>
    <w:rsid w:val="004566B9"/>
    <w:rsid w:val="00456B25"/>
    <w:rsid w:val="00457118"/>
    <w:rsid w:val="00457321"/>
    <w:rsid w:val="0046049C"/>
    <w:rsid w:val="00461117"/>
    <w:rsid w:val="00461C47"/>
    <w:rsid w:val="00461FF7"/>
    <w:rsid w:val="004622EE"/>
    <w:rsid w:val="00462D7A"/>
    <w:rsid w:val="00462D92"/>
    <w:rsid w:val="004633F6"/>
    <w:rsid w:val="0046340F"/>
    <w:rsid w:val="004636DC"/>
    <w:rsid w:val="00463BE9"/>
    <w:rsid w:val="00464EFA"/>
    <w:rsid w:val="004650CF"/>
    <w:rsid w:val="0046678E"/>
    <w:rsid w:val="00466A57"/>
    <w:rsid w:val="00466AC6"/>
    <w:rsid w:val="00467E91"/>
    <w:rsid w:val="0047002F"/>
    <w:rsid w:val="00470560"/>
    <w:rsid w:val="00470B9B"/>
    <w:rsid w:val="00470D13"/>
    <w:rsid w:val="00471560"/>
    <w:rsid w:val="00472400"/>
    <w:rsid w:val="00472F1A"/>
    <w:rsid w:val="0047321E"/>
    <w:rsid w:val="00473C95"/>
    <w:rsid w:val="0047401B"/>
    <w:rsid w:val="004743A8"/>
    <w:rsid w:val="00474AF1"/>
    <w:rsid w:val="00475D6A"/>
    <w:rsid w:val="004760CC"/>
    <w:rsid w:val="004768D6"/>
    <w:rsid w:val="004800A0"/>
    <w:rsid w:val="004804E4"/>
    <w:rsid w:val="00480835"/>
    <w:rsid w:val="00481269"/>
    <w:rsid w:val="00482A6F"/>
    <w:rsid w:val="00482C09"/>
    <w:rsid w:val="00483AAE"/>
    <w:rsid w:val="00483D25"/>
    <w:rsid w:val="0048488D"/>
    <w:rsid w:val="00484F27"/>
    <w:rsid w:val="004852C6"/>
    <w:rsid w:val="00487628"/>
    <w:rsid w:val="00491D48"/>
    <w:rsid w:val="004929A5"/>
    <w:rsid w:val="00492C29"/>
    <w:rsid w:val="004933B9"/>
    <w:rsid w:val="004944B1"/>
    <w:rsid w:val="0049513B"/>
    <w:rsid w:val="00495591"/>
    <w:rsid w:val="00495C57"/>
    <w:rsid w:val="004961EC"/>
    <w:rsid w:val="0049623B"/>
    <w:rsid w:val="00496244"/>
    <w:rsid w:val="0049632C"/>
    <w:rsid w:val="004978E7"/>
    <w:rsid w:val="00497C24"/>
    <w:rsid w:val="004A00B4"/>
    <w:rsid w:val="004A0135"/>
    <w:rsid w:val="004A0188"/>
    <w:rsid w:val="004A0F57"/>
    <w:rsid w:val="004A1C29"/>
    <w:rsid w:val="004A26EE"/>
    <w:rsid w:val="004A2FB0"/>
    <w:rsid w:val="004A3BBF"/>
    <w:rsid w:val="004A4C3C"/>
    <w:rsid w:val="004A5492"/>
    <w:rsid w:val="004A5781"/>
    <w:rsid w:val="004A5BAF"/>
    <w:rsid w:val="004A72C9"/>
    <w:rsid w:val="004A7328"/>
    <w:rsid w:val="004A75DE"/>
    <w:rsid w:val="004B00E5"/>
    <w:rsid w:val="004B02B7"/>
    <w:rsid w:val="004B0B92"/>
    <w:rsid w:val="004B0C36"/>
    <w:rsid w:val="004B15B1"/>
    <w:rsid w:val="004B1F73"/>
    <w:rsid w:val="004B226A"/>
    <w:rsid w:val="004B39D1"/>
    <w:rsid w:val="004B4376"/>
    <w:rsid w:val="004B47C3"/>
    <w:rsid w:val="004B532C"/>
    <w:rsid w:val="004B7262"/>
    <w:rsid w:val="004B72A7"/>
    <w:rsid w:val="004C0093"/>
    <w:rsid w:val="004C1074"/>
    <w:rsid w:val="004C17C8"/>
    <w:rsid w:val="004C1C3E"/>
    <w:rsid w:val="004C2999"/>
    <w:rsid w:val="004C3AFD"/>
    <w:rsid w:val="004C436C"/>
    <w:rsid w:val="004C484C"/>
    <w:rsid w:val="004C4B8F"/>
    <w:rsid w:val="004C5297"/>
    <w:rsid w:val="004C5586"/>
    <w:rsid w:val="004C6219"/>
    <w:rsid w:val="004C6AA1"/>
    <w:rsid w:val="004C72CA"/>
    <w:rsid w:val="004C7A55"/>
    <w:rsid w:val="004D013A"/>
    <w:rsid w:val="004D114D"/>
    <w:rsid w:val="004D1233"/>
    <w:rsid w:val="004D1545"/>
    <w:rsid w:val="004D1DF6"/>
    <w:rsid w:val="004D1E8F"/>
    <w:rsid w:val="004D200B"/>
    <w:rsid w:val="004D2EF0"/>
    <w:rsid w:val="004D34F0"/>
    <w:rsid w:val="004D3816"/>
    <w:rsid w:val="004D3D23"/>
    <w:rsid w:val="004D41DF"/>
    <w:rsid w:val="004D4DB5"/>
    <w:rsid w:val="004D4F31"/>
    <w:rsid w:val="004D50DC"/>
    <w:rsid w:val="004D5974"/>
    <w:rsid w:val="004D5B27"/>
    <w:rsid w:val="004D69EA"/>
    <w:rsid w:val="004D6E08"/>
    <w:rsid w:val="004D7942"/>
    <w:rsid w:val="004D79AE"/>
    <w:rsid w:val="004D7AB5"/>
    <w:rsid w:val="004E0677"/>
    <w:rsid w:val="004E09C9"/>
    <w:rsid w:val="004E2896"/>
    <w:rsid w:val="004E354F"/>
    <w:rsid w:val="004E404D"/>
    <w:rsid w:val="004E45D4"/>
    <w:rsid w:val="004E49BD"/>
    <w:rsid w:val="004E4BA1"/>
    <w:rsid w:val="004E5E09"/>
    <w:rsid w:val="004E693A"/>
    <w:rsid w:val="004E6E4F"/>
    <w:rsid w:val="004E716E"/>
    <w:rsid w:val="004E75D4"/>
    <w:rsid w:val="004F0547"/>
    <w:rsid w:val="004F0EBE"/>
    <w:rsid w:val="004F1B5C"/>
    <w:rsid w:val="004F3F59"/>
    <w:rsid w:val="004F4062"/>
    <w:rsid w:val="004F47E7"/>
    <w:rsid w:val="004F4B15"/>
    <w:rsid w:val="004F4C8B"/>
    <w:rsid w:val="004F5817"/>
    <w:rsid w:val="004F73B1"/>
    <w:rsid w:val="004F7793"/>
    <w:rsid w:val="004F7C83"/>
    <w:rsid w:val="00500148"/>
    <w:rsid w:val="0050078B"/>
    <w:rsid w:val="0050178D"/>
    <w:rsid w:val="005022F9"/>
    <w:rsid w:val="00502894"/>
    <w:rsid w:val="00502B7D"/>
    <w:rsid w:val="0050312D"/>
    <w:rsid w:val="005035C5"/>
    <w:rsid w:val="005039C5"/>
    <w:rsid w:val="00503A7F"/>
    <w:rsid w:val="00503D53"/>
    <w:rsid w:val="00504357"/>
    <w:rsid w:val="00504A34"/>
    <w:rsid w:val="00505910"/>
    <w:rsid w:val="005072A2"/>
    <w:rsid w:val="005078E9"/>
    <w:rsid w:val="0051056A"/>
    <w:rsid w:val="0051086F"/>
    <w:rsid w:val="00511015"/>
    <w:rsid w:val="00511839"/>
    <w:rsid w:val="00513011"/>
    <w:rsid w:val="00513D79"/>
    <w:rsid w:val="00513EDB"/>
    <w:rsid w:val="005147CD"/>
    <w:rsid w:val="00515072"/>
    <w:rsid w:val="00515A88"/>
    <w:rsid w:val="00516151"/>
    <w:rsid w:val="005161A9"/>
    <w:rsid w:val="0051631C"/>
    <w:rsid w:val="005163EA"/>
    <w:rsid w:val="00516C46"/>
    <w:rsid w:val="00516EF3"/>
    <w:rsid w:val="00516F38"/>
    <w:rsid w:val="0052055E"/>
    <w:rsid w:val="0052206A"/>
    <w:rsid w:val="005220BE"/>
    <w:rsid w:val="00522127"/>
    <w:rsid w:val="0052263E"/>
    <w:rsid w:val="00522F07"/>
    <w:rsid w:val="00523600"/>
    <w:rsid w:val="005237F4"/>
    <w:rsid w:val="00524AAE"/>
    <w:rsid w:val="00524C6E"/>
    <w:rsid w:val="005267F7"/>
    <w:rsid w:val="00527062"/>
    <w:rsid w:val="00527070"/>
    <w:rsid w:val="00527990"/>
    <w:rsid w:val="00530773"/>
    <w:rsid w:val="0053107E"/>
    <w:rsid w:val="00531915"/>
    <w:rsid w:val="00531B9F"/>
    <w:rsid w:val="00531D31"/>
    <w:rsid w:val="00531FEC"/>
    <w:rsid w:val="005327FB"/>
    <w:rsid w:val="00532F8A"/>
    <w:rsid w:val="00533725"/>
    <w:rsid w:val="005340AF"/>
    <w:rsid w:val="00535371"/>
    <w:rsid w:val="00535FCF"/>
    <w:rsid w:val="00536387"/>
    <w:rsid w:val="00536493"/>
    <w:rsid w:val="00536757"/>
    <w:rsid w:val="00537268"/>
    <w:rsid w:val="005402B0"/>
    <w:rsid w:val="00540B88"/>
    <w:rsid w:val="00543C4C"/>
    <w:rsid w:val="00544543"/>
    <w:rsid w:val="005448AD"/>
    <w:rsid w:val="00544B1B"/>
    <w:rsid w:val="00545071"/>
    <w:rsid w:val="00546745"/>
    <w:rsid w:val="005467C2"/>
    <w:rsid w:val="0054697E"/>
    <w:rsid w:val="00546EAC"/>
    <w:rsid w:val="005472B6"/>
    <w:rsid w:val="005472D5"/>
    <w:rsid w:val="00547D86"/>
    <w:rsid w:val="00551B16"/>
    <w:rsid w:val="00552329"/>
    <w:rsid w:val="00552785"/>
    <w:rsid w:val="00552975"/>
    <w:rsid w:val="00552991"/>
    <w:rsid w:val="00552B91"/>
    <w:rsid w:val="00553005"/>
    <w:rsid w:val="00553EA6"/>
    <w:rsid w:val="00554225"/>
    <w:rsid w:val="005548E3"/>
    <w:rsid w:val="00554D66"/>
    <w:rsid w:val="0055533B"/>
    <w:rsid w:val="00555905"/>
    <w:rsid w:val="00555B49"/>
    <w:rsid w:val="0055618A"/>
    <w:rsid w:val="0055662A"/>
    <w:rsid w:val="0055680C"/>
    <w:rsid w:val="00556AD0"/>
    <w:rsid w:val="00560949"/>
    <w:rsid w:val="0056096B"/>
    <w:rsid w:val="005619FD"/>
    <w:rsid w:val="00561D3C"/>
    <w:rsid w:val="00561FF8"/>
    <w:rsid w:val="0056278E"/>
    <w:rsid w:val="005628B3"/>
    <w:rsid w:val="005638AD"/>
    <w:rsid w:val="00564627"/>
    <w:rsid w:val="005649C6"/>
    <w:rsid w:val="0056500E"/>
    <w:rsid w:val="0056506B"/>
    <w:rsid w:val="00565090"/>
    <w:rsid w:val="005656F2"/>
    <w:rsid w:val="00566319"/>
    <w:rsid w:val="00566AA5"/>
    <w:rsid w:val="00566D7A"/>
    <w:rsid w:val="00567418"/>
    <w:rsid w:val="0056777A"/>
    <w:rsid w:val="00570BDE"/>
    <w:rsid w:val="00570FBE"/>
    <w:rsid w:val="005710E5"/>
    <w:rsid w:val="00571355"/>
    <w:rsid w:val="00571413"/>
    <w:rsid w:val="00571A69"/>
    <w:rsid w:val="00572500"/>
    <w:rsid w:val="00572C17"/>
    <w:rsid w:val="00573039"/>
    <w:rsid w:val="005733E9"/>
    <w:rsid w:val="00573661"/>
    <w:rsid w:val="005740AA"/>
    <w:rsid w:val="005742D1"/>
    <w:rsid w:val="00574470"/>
    <w:rsid w:val="0057455E"/>
    <w:rsid w:val="0057574B"/>
    <w:rsid w:val="00575809"/>
    <w:rsid w:val="00576438"/>
    <w:rsid w:val="00576922"/>
    <w:rsid w:val="005770B6"/>
    <w:rsid w:val="005771AB"/>
    <w:rsid w:val="0057762E"/>
    <w:rsid w:val="00580FCA"/>
    <w:rsid w:val="005816B0"/>
    <w:rsid w:val="005816DB"/>
    <w:rsid w:val="005826CB"/>
    <w:rsid w:val="005828A4"/>
    <w:rsid w:val="005838F9"/>
    <w:rsid w:val="00583E34"/>
    <w:rsid w:val="00584150"/>
    <w:rsid w:val="00585304"/>
    <w:rsid w:val="00585B59"/>
    <w:rsid w:val="00585D90"/>
    <w:rsid w:val="005877F2"/>
    <w:rsid w:val="00587838"/>
    <w:rsid w:val="00587907"/>
    <w:rsid w:val="00587B5D"/>
    <w:rsid w:val="00587BE3"/>
    <w:rsid w:val="00587EDD"/>
    <w:rsid w:val="00590CF2"/>
    <w:rsid w:val="00590D59"/>
    <w:rsid w:val="00591721"/>
    <w:rsid w:val="00591DCB"/>
    <w:rsid w:val="00592472"/>
    <w:rsid w:val="00592DB7"/>
    <w:rsid w:val="005934C9"/>
    <w:rsid w:val="00593536"/>
    <w:rsid w:val="00594173"/>
    <w:rsid w:val="00596C79"/>
    <w:rsid w:val="005973DC"/>
    <w:rsid w:val="00597703"/>
    <w:rsid w:val="005A0231"/>
    <w:rsid w:val="005A0CE8"/>
    <w:rsid w:val="005A2875"/>
    <w:rsid w:val="005A30BA"/>
    <w:rsid w:val="005A33DC"/>
    <w:rsid w:val="005A3515"/>
    <w:rsid w:val="005A3BFA"/>
    <w:rsid w:val="005A3ED5"/>
    <w:rsid w:val="005A4359"/>
    <w:rsid w:val="005A4CF0"/>
    <w:rsid w:val="005A4E72"/>
    <w:rsid w:val="005A5184"/>
    <w:rsid w:val="005A56DB"/>
    <w:rsid w:val="005A586E"/>
    <w:rsid w:val="005A73A1"/>
    <w:rsid w:val="005A7DFC"/>
    <w:rsid w:val="005B01D9"/>
    <w:rsid w:val="005B0861"/>
    <w:rsid w:val="005B23F8"/>
    <w:rsid w:val="005B2715"/>
    <w:rsid w:val="005B368A"/>
    <w:rsid w:val="005B3797"/>
    <w:rsid w:val="005B3BFD"/>
    <w:rsid w:val="005B408D"/>
    <w:rsid w:val="005B46FD"/>
    <w:rsid w:val="005B505C"/>
    <w:rsid w:val="005B5B9D"/>
    <w:rsid w:val="005B6410"/>
    <w:rsid w:val="005B6A14"/>
    <w:rsid w:val="005B6C6F"/>
    <w:rsid w:val="005B7F03"/>
    <w:rsid w:val="005C06BD"/>
    <w:rsid w:val="005C0845"/>
    <w:rsid w:val="005C0A6C"/>
    <w:rsid w:val="005C0F02"/>
    <w:rsid w:val="005C1728"/>
    <w:rsid w:val="005C23FD"/>
    <w:rsid w:val="005C28D3"/>
    <w:rsid w:val="005C2D0A"/>
    <w:rsid w:val="005C3759"/>
    <w:rsid w:val="005C48CE"/>
    <w:rsid w:val="005C4FDF"/>
    <w:rsid w:val="005C5B7F"/>
    <w:rsid w:val="005C627D"/>
    <w:rsid w:val="005C72FF"/>
    <w:rsid w:val="005C7B9B"/>
    <w:rsid w:val="005C7DF1"/>
    <w:rsid w:val="005C7E6C"/>
    <w:rsid w:val="005D0652"/>
    <w:rsid w:val="005D17A2"/>
    <w:rsid w:val="005D1E2F"/>
    <w:rsid w:val="005D2930"/>
    <w:rsid w:val="005D4560"/>
    <w:rsid w:val="005D5AEF"/>
    <w:rsid w:val="005D5B44"/>
    <w:rsid w:val="005D6BE0"/>
    <w:rsid w:val="005D73EA"/>
    <w:rsid w:val="005D740F"/>
    <w:rsid w:val="005D7998"/>
    <w:rsid w:val="005E2850"/>
    <w:rsid w:val="005E2AC2"/>
    <w:rsid w:val="005E31BA"/>
    <w:rsid w:val="005E3290"/>
    <w:rsid w:val="005E391F"/>
    <w:rsid w:val="005E492F"/>
    <w:rsid w:val="005E4C12"/>
    <w:rsid w:val="005E5196"/>
    <w:rsid w:val="005E58EB"/>
    <w:rsid w:val="005E5A40"/>
    <w:rsid w:val="005E7343"/>
    <w:rsid w:val="005E75F0"/>
    <w:rsid w:val="005E77A2"/>
    <w:rsid w:val="005E7A0F"/>
    <w:rsid w:val="005E7E7E"/>
    <w:rsid w:val="005F094C"/>
    <w:rsid w:val="005F23F6"/>
    <w:rsid w:val="005F282F"/>
    <w:rsid w:val="005F33A3"/>
    <w:rsid w:val="005F347C"/>
    <w:rsid w:val="005F36DD"/>
    <w:rsid w:val="005F37E3"/>
    <w:rsid w:val="005F3838"/>
    <w:rsid w:val="005F39D0"/>
    <w:rsid w:val="005F4379"/>
    <w:rsid w:val="005F521C"/>
    <w:rsid w:val="005F523B"/>
    <w:rsid w:val="005F5390"/>
    <w:rsid w:val="005F5B31"/>
    <w:rsid w:val="005F5CC7"/>
    <w:rsid w:val="005F62F4"/>
    <w:rsid w:val="005F673F"/>
    <w:rsid w:val="005F6BEF"/>
    <w:rsid w:val="005F6CA0"/>
    <w:rsid w:val="005F7EA7"/>
    <w:rsid w:val="00600575"/>
    <w:rsid w:val="00601426"/>
    <w:rsid w:val="006014A8"/>
    <w:rsid w:val="006015CD"/>
    <w:rsid w:val="00601A45"/>
    <w:rsid w:val="00602922"/>
    <w:rsid w:val="00603C10"/>
    <w:rsid w:val="00603DBC"/>
    <w:rsid w:val="00604476"/>
    <w:rsid w:val="0060475D"/>
    <w:rsid w:val="00604DC1"/>
    <w:rsid w:val="00604EE7"/>
    <w:rsid w:val="006051F6"/>
    <w:rsid w:val="00605552"/>
    <w:rsid w:val="006055A5"/>
    <w:rsid w:val="00605A03"/>
    <w:rsid w:val="00605CA1"/>
    <w:rsid w:val="00606F08"/>
    <w:rsid w:val="00607416"/>
    <w:rsid w:val="00607497"/>
    <w:rsid w:val="00610E3A"/>
    <w:rsid w:val="006113DB"/>
    <w:rsid w:val="00611781"/>
    <w:rsid w:val="00611A96"/>
    <w:rsid w:val="00611E39"/>
    <w:rsid w:val="00611FC5"/>
    <w:rsid w:val="00611FE3"/>
    <w:rsid w:val="006127AE"/>
    <w:rsid w:val="00613288"/>
    <w:rsid w:val="00613452"/>
    <w:rsid w:val="006134AA"/>
    <w:rsid w:val="0061360D"/>
    <w:rsid w:val="00613981"/>
    <w:rsid w:val="0061470B"/>
    <w:rsid w:val="00614F36"/>
    <w:rsid w:val="0061503B"/>
    <w:rsid w:val="00615238"/>
    <w:rsid w:val="006157D9"/>
    <w:rsid w:val="00615981"/>
    <w:rsid w:val="006161DE"/>
    <w:rsid w:val="00616669"/>
    <w:rsid w:val="00616F6F"/>
    <w:rsid w:val="00617E76"/>
    <w:rsid w:val="00620843"/>
    <w:rsid w:val="00621CBE"/>
    <w:rsid w:val="00622B6A"/>
    <w:rsid w:val="006232A3"/>
    <w:rsid w:val="00623AF0"/>
    <w:rsid w:val="00623E30"/>
    <w:rsid w:val="00624039"/>
    <w:rsid w:val="00624B09"/>
    <w:rsid w:val="00625F7B"/>
    <w:rsid w:val="0062700E"/>
    <w:rsid w:val="00627746"/>
    <w:rsid w:val="0063083C"/>
    <w:rsid w:val="00630BA3"/>
    <w:rsid w:val="00630BFE"/>
    <w:rsid w:val="00630F07"/>
    <w:rsid w:val="00631820"/>
    <w:rsid w:val="00631DE5"/>
    <w:rsid w:val="00632286"/>
    <w:rsid w:val="0063293A"/>
    <w:rsid w:val="00632E22"/>
    <w:rsid w:val="00633E63"/>
    <w:rsid w:val="006344F7"/>
    <w:rsid w:val="0063515F"/>
    <w:rsid w:val="00636830"/>
    <w:rsid w:val="00636839"/>
    <w:rsid w:val="00636FFA"/>
    <w:rsid w:val="00637102"/>
    <w:rsid w:val="006374C7"/>
    <w:rsid w:val="006374FB"/>
    <w:rsid w:val="00637B83"/>
    <w:rsid w:val="006405A7"/>
    <w:rsid w:val="0064098C"/>
    <w:rsid w:val="00640E52"/>
    <w:rsid w:val="00641523"/>
    <w:rsid w:val="006418B8"/>
    <w:rsid w:val="0064191A"/>
    <w:rsid w:val="00641C7E"/>
    <w:rsid w:val="00641D1A"/>
    <w:rsid w:val="0064267C"/>
    <w:rsid w:val="006427DA"/>
    <w:rsid w:val="00642C7F"/>
    <w:rsid w:val="0064574C"/>
    <w:rsid w:val="00646BB0"/>
    <w:rsid w:val="00650A8D"/>
    <w:rsid w:val="00650CC9"/>
    <w:rsid w:val="0065113B"/>
    <w:rsid w:val="00651646"/>
    <w:rsid w:val="00651AA6"/>
    <w:rsid w:val="00651C76"/>
    <w:rsid w:val="00651D92"/>
    <w:rsid w:val="0065201D"/>
    <w:rsid w:val="006521C9"/>
    <w:rsid w:val="00653208"/>
    <w:rsid w:val="006533B3"/>
    <w:rsid w:val="006536C5"/>
    <w:rsid w:val="00653AEF"/>
    <w:rsid w:val="00653C43"/>
    <w:rsid w:val="00653E8D"/>
    <w:rsid w:val="00654136"/>
    <w:rsid w:val="0065554A"/>
    <w:rsid w:val="006559B5"/>
    <w:rsid w:val="00655E69"/>
    <w:rsid w:val="00657C9B"/>
    <w:rsid w:val="00657FDB"/>
    <w:rsid w:val="0066049A"/>
    <w:rsid w:val="006605A9"/>
    <w:rsid w:val="0066060C"/>
    <w:rsid w:val="006614EC"/>
    <w:rsid w:val="00661CD8"/>
    <w:rsid w:val="00662DB9"/>
    <w:rsid w:val="006635F6"/>
    <w:rsid w:val="00664037"/>
    <w:rsid w:val="00664D5D"/>
    <w:rsid w:val="00664E30"/>
    <w:rsid w:val="00664F89"/>
    <w:rsid w:val="0066567C"/>
    <w:rsid w:val="006656DC"/>
    <w:rsid w:val="006673E5"/>
    <w:rsid w:val="006674FA"/>
    <w:rsid w:val="00667996"/>
    <w:rsid w:val="00667B3E"/>
    <w:rsid w:val="00667F92"/>
    <w:rsid w:val="0067064D"/>
    <w:rsid w:val="00670A28"/>
    <w:rsid w:val="006715F8"/>
    <w:rsid w:val="00671683"/>
    <w:rsid w:val="00671BA7"/>
    <w:rsid w:val="006720F9"/>
    <w:rsid w:val="00672554"/>
    <w:rsid w:val="0067274A"/>
    <w:rsid w:val="0067348D"/>
    <w:rsid w:val="006735C9"/>
    <w:rsid w:val="00674DC4"/>
    <w:rsid w:val="0067547B"/>
    <w:rsid w:val="00675BB7"/>
    <w:rsid w:val="00676458"/>
    <w:rsid w:val="00676B9B"/>
    <w:rsid w:val="00677096"/>
    <w:rsid w:val="0067711F"/>
    <w:rsid w:val="00677717"/>
    <w:rsid w:val="00677F78"/>
    <w:rsid w:val="0068030D"/>
    <w:rsid w:val="0068256C"/>
    <w:rsid w:val="00682B55"/>
    <w:rsid w:val="006830DB"/>
    <w:rsid w:val="0068367F"/>
    <w:rsid w:val="00683980"/>
    <w:rsid w:val="006854AB"/>
    <w:rsid w:val="00685517"/>
    <w:rsid w:val="0068611D"/>
    <w:rsid w:val="006862ED"/>
    <w:rsid w:val="006868A5"/>
    <w:rsid w:val="00686A18"/>
    <w:rsid w:val="00686CA0"/>
    <w:rsid w:val="00687A3B"/>
    <w:rsid w:val="00687D9C"/>
    <w:rsid w:val="00687F89"/>
    <w:rsid w:val="00690207"/>
    <w:rsid w:val="00690D5B"/>
    <w:rsid w:val="00690F9D"/>
    <w:rsid w:val="006911E9"/>
    <w:rsid w:val="006916DB"/>
    <w:rsid w:val="00692171"/>
    <w:rsid w:val="00692717"/>
    <w:rsid w:val="00693AF7"/>
    <w:rsid w:val="00693B09"/>
    <w:rsid w:val="0069499A"/>
    <w:rsid w:val="00694A39"/>
    <w:rsid w:val="00694C4E"/>
    <w:rsid w:val="00694C7D"/>
    <w:rsid w:val="00694D06"/>
    <w:rsid w:val="00694D2C"/>
    <w:rsid w:val="00695231"/>
    <w:rsid w:val="006953F3"/>
    <w:rsid w:val="006956B4"/>
    <w:rsid w:val="006957D7"/>
    <w:rsid w:val="006A1065"/>
    <w:rsid w:val="006A1142"/>
    <w:rsid w:val="006A25F2"/>
    <w:rsid w:val="006A3019"/>
    <w:rsid w:val="006A303E"/>
    <w:rsid w:val="006A3058"/>
    <w:rsid w:val="006A38E2"/>
    <w:rsid w:val="006A5DA9"/>
    <w:rsid w:val="006A66BD"/>
    <w:rsid w:val="006A6770"/>
    <w:rsid w:val="006A765B"/>
    <w:rsid w:val="006A7FF1"/>
    <w:rsid w:val="006B1408"/>
    <w:rsid w:val="006B15AD"/>
    <w:rsid w:val="006B2255"/>
    <w:rsid w:val="006B3375"/>
    <w:rsid w:val="006B3C57"/>
    <w:rsid w:val="006B4627"/>
    <w:rsid w:val="006B54CF"/>
    <w:rsid w:val="006B5A09"/>
    <w:rsid w:val="006B5D0D"/>
    <w:rsid w:val="006B6843"/>
    <w:rsid w:val="006B7301"/>
    <w:rsid w:val="006B780C"/>
    <w:rsid w:val="006B7B2B"/>
    <w:rsid w:val="006C0639"/>
    <w:rsid w:val="006C14EC"/>
    <w:rsid w:val="006C191E"/>
    <w:rsid w:val="006C1C66"/>
    <w:rsid w:val="006C209E"/>
    <w:rsid w:val="006C2D03"/>
    <w:rsid w:val="006C3465"/>
    <w:rsid w:val="006C34C9"/>
    <w:rsid w:val="006C3558"/>
    <w:rsid w:val="006C4071"/>
    <w:rsid w:val="006C4B74"/>
    <w:rsid w:val="006C5189"/>
    <w:rsid w:val="006C559B"/>
    <w:rsid w:val="006C5BAE"/>
    <w:rsid w:val="006C68EE"/>
    <w:rsid w:val="006C6A41"/>
    <w:rsid w:val="006C6DF4"/>
    <w:rsid w:val="006C7EFF"/>
    <w:rsid w:val="006D07D3"/>
    <w:rsid w:val="006D0DEF"/>
    <w:rsid w:val="006D0F8F"/>
    <w:rsid w:val="006D142C"/>
    <w:rsid w:val="006D1716"/>
    <w:rsid w:val="006D1DC2"/>
    <w:rsid w:val="006D1F3A"/>
    <w:rsid w:val="006D2337"/>
    <w:rsid w:val="006D2BA1"/>
    <w:rsid w:val="006D2E44"/>
    <w:rsid w:val="006D338D"/>
    <w:rsid w:val="006D3DC3"/>
    <w:rsid w:val="006D3F49"/>
    <w:rsid w:val="006D437E"/>
    <w:rsid w:val="006D4B3B"/>
    <w:rsid w:val="006D57D1"/>
    <w:rsid w:val="006D5C4D"/>
    <w:rsid w:val="006D6E98"/>
    <w:rsid w:val="006D7323"/>
    <w:rsid w:val="006D79C7"/>
    <w:rsid w:val="006D7B72"/>
    <w:rsid w:val="006D7BA6"/>
    <w:rsid w:val="006D7E08"/>
    <w:rsid w:val="006E05CF"/>
    <w:rsid w:val="006E0F7B"/>
    <w:rsid w:val="006E18A9"/>
    <w:rsid w:val="006E2067"/>
    <w:rsid w:val="006E21E5"/>
    <w:rsid w:val="006E2227"/>
    <w:rsid w:val="006E2384"/>
    <w:rsid w:val="006E2D65"/>
    <w:rsid w:val="006E2FF0"/>
    <w:rsid w:val="006E3638"/>
    <w:rsid w:val="006E36F1"/>
    <w:rsid w:val="006E3745"/>
    <w:rsid w:val="006E3E87"/>
    <w:rsid w:val="006E3F35"/>
    <w:rsid w:val="006E40AB"/>
    <w:rsid w:val="006E47DA"/>
    <w:rsid w:val="006E4857"/>
    <w:rsid w:val="006E497E"/>
    <w:rsid w:val="006E503B"/>
    <w:rsid w:val="006E547C"/>
    <w:rsid w:val="006E55C4"/>
    <w:rsid w:val="006E5A08"/>
    <w:rsid w:val="006E5CA2"/>
    <w:rsid w:val="006E5F89"/>
    <w:rsid w:val="006E6A7C"/>
    <w:rsid w:val="006F2D45"/>
    <w:rsid w:val="006F30B1"/>
    <w:rsid w:val="006F3273"/>
    <w:rsid w:val="006F33AB"/>
    <w:rsid w:val="006F3879"/>
    <w:rsid w:val="006F44EF"/>
    <w:rsid w:val="006F5ECE"/>
    <w:rsid w:val="006F750C"/>
    <w:rsid w:val="006F792F"/>
    <w:rsid w:val="007002BA"/>
    <w:rsid w:val="00700B6B"/>
    <w:rsid w:val="00700F2A"/>
    <w:rsid w:val="00701011"/>
    <w:rsid w:val="0070116E"/>
    <w:rsid w:val="007021B1"/>
    <w:rsid w:val="00704036"/>
    <w:rsid w:val="007042AA"/>
    <w:rsid w:val="00706130"/>
    <w:rsid w:val="007065C4"/>
    <w:rsid w:val="00710C9A"/>
    <w:rsid w:val="00710E5D"/>
    <w:rsid w:val="0071148C"/>
    <w:rsid w:val="00712254"/>
    <w:rsid w:val="00712293"/>
    <w:rsid w:val="007137A2"/>
    <w:rsid w:val="007143E2"/>
    <w:rsid w:val="00714495"/>
    <w:rsid w:val="00714CCE"/>
    <w:rsid w:val="0071540D"/>
    <w:rsid w:val="00715E53"/>
    <w:rsid w:val="00716020"/>
    <w:rsid w:val="00716699"/>
    <w:rsid w:val="00720029"/>
    <w:rsid w:val="00720332"/>
    <w:rsid w:val="007205A5"/>
    <w:rsid w:val="00720BCA"/>
    <w:rsid w:val="00720CCE"/>
    <w:rsid w:val="00721813"/>
    <w:rsid w:val="00722337"/>
    <w:rsid w:val="0072474C"/>
    <w:rsid w:val="0072479B"/>
    <w:rsid w:val="00724E20"/>
    <w:rsid w:val="007261B1"/>
    <w:rsid w:val="00726289"/>
    <w:rsid w:val="00726AC8"/>
    <w:rsid w:val="00730359"/>
    <w:rsid w:val="00730740"/>
    <w:rsid w:val="00731254"/>
    <w:rsid w:val="007316D2"/>
    <w:rsid w:val="007318D6"/>
    <w:rsid w:val="00733111"/>
    <w:rsid w:val="00733850"/>
    <w:rsid w:val="00734B9F"/>
    <w:rsid w:val="007354B7"/>
    <w:rsid w:val="0073576D"/>
    <w:rsid w:val="00735C6A"/>
    <w:rsid w:val="007368EA"/>
    <w:rsid w:val="00736DD4"/>
    <w:rsid w:val="00736EF5"/>
    <w:rsid w:val="00737819"/>
    <w:rsid w:val="0074097D"/>
    <w:rsid w:val="00740BA9"/>
    <w:rsid w:val="00740FFE"/>
    <w:rsid w:val="00741049"/>
    <w:rsid w:val="00741149"/>
    <w:rsid w:val="0074163F"/>
    <w:rsid w:val="00741FEE"/>
    <w:rsid w:val="00742312"/>
    <w:rsid w:val="0074274F"/>
    <w:rsid w:val="007433EF"/>
    <w:rsid w:val="00743E5D"/>
    <w:rsid w:val="00744175"/>
    <w:rsid w:val="0074451A"/>
    <w:rsid w:val="007458C6"/>
    <w:rsid w:val="00745B0F"/>
    <w:rsid w:val="0074752B"/>
    <w:rsid w:val="00747B3D"/>
    <w:rsid w:val="00747D97"/>
    <w:rsid w:val="00750012"/>
    <w:rsid w:val="00751542"/>
    <w:rsid w:val="00751A1C"/>
    <w:rsid w:val="00751CFF"/>
    <w:rsid w:val="00752019"/>
    <w:rsid w:val="007525EA"/>
    <w:rsid w:val="00752BB0"/>
    <w:rsid w:val="00753303"/>
    <w:rsid w:val="00754FF0"/>
    <w:rsid w:val="00755F3A"/>
    <w:rsid w:val="00756151"/>
    <w:rsid w:val="00756AF3"/>
    <w:rsid w:val="00756ECA"/>
    <w:rsid w:val="0075797C"/>
    <w:rsid w:val="00757E30"/>
    <w:rsid w:val="00760DA6"/>
    <w:rsid w:val="007619BE"/>
    <w:rsid w:val="007621DE"/>
    <w:rsid w:val="0076226A"/>
    <w:rsid w:val="007631EB"/>
    <w:rsid w:val="007637E9"/>
    <w:rsid w:val="00763F26"/>
    <w:rsid w:val="00764A76"/>
    <w:rsid w:val="007657D1"/>
    <w:rsid w:val="0076691E"/>
    <w:rsid w:val="007669A0"/>
    <w:rsid w:val="00766C72"/>
    <w:rsid w:val="007715FE"/>
    <w:rsid w:val="007717E4"/>
    <w:rsid w:val="007722B9"/>
    <w:rsid w:val="007726B3"/>
    <w:rsid w:val="00774185"/>
    <w:rsid w:val="007750B2"/>
    <w:rsid w:val="00775C89"/>
    <w:rsid w:val="007762A6"/>
    <w:rsid w:val="00776733"/>
    <w:rsid w:val="007769A6"/>
    <w:rsid w:val="007772B2"/>
    <w:rsid w:val="00777CF7"/>
    <w:rsid w:val="00781852"/>
    <w:rsid w:val="00781C1C"/>
    <w:rsid w:val="00781D28"/>
    <w:rsid w:val="00781F6F"/>
    <w:rsid w:val="00781F75"/>
    <w:rsid w:val="00782D02"/>
    <w:rsid w:val="00782D6D"/>
    <w:rsid w:val="00783614"/>
    <w:rsid w:val="00783ABC"/>
    <w:rsid w:val="00785005"/>
    <w:rsid w:val="00785903"/>
    <w:rsid w:val="00785959"/>
    <w:rsid w:val="00785F74"/>
    <w:rsid w:val="00787C6E"/>
    <w:rsid w:val="0079009A"/>
    <w:rsid w:val="0079159B"/>
    <w:rsid w:val="00792B69"/>
    <w:rsid w:val="00792CFF"/>
    <w:rsid w:val="00793589"/>
    <w:rsid w:val="00793EA1"/>
    <w:rsid w:val="00794181"/>
    <w:rsid w:val="007947A3"/>
    <w:rsid w:val="00795516"/>
    <w:rsid w:val="007957D0"/>
    <w:rsid w:val="0079615C"/>
    <w:rsid w:val="0079665C"/>
    <w:rsid w:val="007974C4"/>
    <w:rsid w:val="007A03CD"/>
    <w:rsid w:val="007A13AB"/>
    <w:rsid w:val="007A1B0C"/>
    <w:rsid w:val="007A1F24"/>
    <w:rsid w:val="007A2685"/>
    <w:rsid w:val="007A3237"/>
    <w:rsid w:val="007A3295"/>
    <w:rsid w:val="007A340C"/>
    <w:rsid w:val="007A43D8"/>
    <w:rsid w:val="007A448D"/>
    <w:rsid w:val="007A4E0C"/>
    <w:rsid w:val="007A4E32"/>
    <w:rsid w:val="007A578F"/>
    <w:rsid w:val="007A6557"/>
    <w:rsid w:val="007A66C8"/>
    <w:rsid w:val="007A6CC1"/>
    <w:rsid w:val="007A6EAC"/>
    <w:rsid w:val="007A78FF"/>
    <w:rsid w:val="007B03CC"/>
    <w:rsid w:val="007B1B81"/>
    <w:rsid w:val="007B1FC9"/>
    <w:rsid w:val="007B2041"/>
    <w:rsid w:val="007B2DD8"/>
    <w:rsid w:val="007B397D"/>
    <w:rsid w:val="007B3B12"/>
    <w:rsid w:val="007B4491"/>
    <w:rsid w:val="007B4923"/>
    <w:rsid w:val="007B4933"/>
    <w:rsid w:val="007B4D8A"/>
    <w:rsid w:val="007B5559"/>
    <w:rsid w:val="007B5A22"/>
    <w:rsid w:val="007B5F58"/>
    <w:rsid w:val="007B6462"/>
    <w:rsid w:val="007B663E"/>
    <w:rsid w:val="007B6DDF"/>
    <w:rsid w:val="007B6ECA"/>
    <w:rsid w:val="007B717E"/>
    <w:rsid w:val="007B7440"/>
    <w:rsid w:val="007B76A2"/>
    <w:rsid w:val="007C0510"/>
    <w:rsid w:val="007C1D59"/>
    <w:rsid w:val="007C29B1"/>
    <w:rsid w:val="007C3100"/>
    <w:rsid w:val="007C34C1"/>
    <w:rsid w:val="007C3A67"/>
    <w:rsid w:val="007C3AF8"/>
    <w:rsid w:val="007C3D98"/>
    <w:rsid w:val="007C4270"/>
    <w:rsid w:val="007C624B"/>
    <w:rsid w:val="007C7206"/>
    <w:rsid w:val="007C73ED"/>
    <w:rsid w:val="007D0CF4"/>
    <w:rsid w:val="007D0E16"/>
    <w:rsid w:val="007D2106"/>
    <w:rsid w:val="007D2A5C"/>
    <w:rsid w:val="007D3C43"/>
    <w:rsid w:val="007D42E2"/>
    <w:rsid w:val="007D440B"/>
    <w:rsid w:val="007D4F55"/>
    <w:rsid w:val="007D4F75"/>
    <w:rsid w:val="007D648C"/>
    <w:rsid w:val="007D669F"/>
    <w:rsid w:val="007D7227"/>
    <w:rsid w:val="007D769C"/>
    <w:rsid w:val="007E0681"/>
    <w:rsid w:val="007E0DE8"/>
    <w:rsid w:val="007E1810"/>
    <w:rsid w:val="007E18BA"/>
    <w:rsid w:val="007E1ADD"/>
    <w:rsid w:val="007E1DD1"/>
    <w:rsid w:val="007E320C"/>
    <w:rsid w:val="007E338A"/>
    <w:rsid w:val="007E3B4E"/>
    <w:rsid w:val="007E3D40"/>
    <w:rsid w:val="007E405D"/>
    <w:rsid w:val="007E4734"/>
    <w:rsid w:val="007E56DD"/>
    <w:rsid w:val="007E59E1"/>
    <w:rsid w:val="007E64F7"/>
    <w:rsid w:val="007E6801"/>
    <w:rsid w:val="007E6943"/>
    <w:rsid w:val="007E6C02"/>
    <w:rsid w:val="007E7501"/>
    <w:rsid w:val="007E77DC"/>
    <w:rsid w:val="007E7D80"/>
    <w:rsid w:val="007F00DD"/>
    <w:rsid w:val="007F01DB"/>
    <w:rsid w:val="007F113C"/>
    <w:rsid w:val="007F1B9A"/>
    <w:rsid w:val="007F1DB5"/>
    <w:rsid w:val="007F33F9"/>
    <w:rsid w:val="007F45FB"/>
    <w:rsid w:val="007F51F3"/>
    <w:rsid w:val="007F5859"/>
    <w:rsid w:val="007F69F1"/>
    <w:rsid w:val="007F74AF"/>
    <w:rsid w:val="007F77BD"/>
    <w:rsid w:val="007F7FF2"/>
    <w:rsid w:val="00800859"/>
    <w:rsid w:val="00800D1C"/>
    <w:rsid w:val="00800EEE"/>
    <w:rsid w:val="008012A4"/>
    <w:rsid w:val="008013A4"/>
    <w:rsid w:val="008016D8"/>
    <w:rsid w:val="008021C6"/>
    <w:rsid w:val="008023DB"/>
    <w:rsid w:val="00802916"/>
    <w:rsid w:val="00802AB5"/>
    <w:rsid w:val="00802B1A"/>
    <w:rsid w:val="008034F4"/>
    <w:rsid w:val="00803F88"/>
    <w:rsid w:val="008043E4"/>
    <w:rsid w:val="008045F4"/>
    <w:rsid w:val="00804B82"/>
    <w:rsid w:val="00804B8C"/>
    <w:rsid w:val="00804B96"/>
    <w:rsid w:val="0080556D"/>
    <w:rsid w:val="00806B10"/>
    <w:rsid w:val="00807866"/>
    <w:rsid w:val="008078DD"/>
    <w:rsid w:val="00810A28"/>
    <w:rsid w:val="008113A3"/>
    <w:rsid w:val="0081145E"/>
    <w:rsid w:val="00811A22"/>
    <w:rsid w:val="0081223D"/>
    <w:rsid w:val="008124BC"/>
    <w:rsid w:val="008143BE"/>
    <w:rsid w:val="00815179"/>
    <w:rsid w:val="0081527B"/>
    <w:rsid w:val="00815BB5"/>
    <w:rsid w:val="00816364"/>
    <w:rsid w:val="00816EF5"/>
    <w:rsid w:val="00817A85"/>
    <w:rsid w:val="00822835"/>
    <w:rsid w:val="008240E5"/>
    <w:rsid w:val="0082446D"/>
    <w:rsid w:val="00824D5A"/>
    <w:rsid w:val="00824D90"/>
    <w:rsid w:val="0082689E"/>
    <w:rsid w:val="00827503"/>
    <w:rsid w:val="00830D9A"/>
    <w:rsid w:val="00830E38"/>
    <w:rsid w:val="00831D05"/>
    <w:rsid w:val="00831E1B"/>
    <w:rsid w:val="00834CBC"/>
    <w:rsid w:val="008355BA"/>
    <w:rsid w:val="00835B4C"/>
    <w:rsid w:val="00836EF4"/>
    <w:rsid w:val="008404DE"/>
    <w:rsid w:val="00840654"/>
    <w:rsid w:val="00840828"/>
    <w:rsid w:val="00840DA2"/>
    <w:rsid w:val="00841E3F"/>
    <w:rsid w:val="0084270B"/>
    <w:rsid w:val="00842D54"/>
    <w:rsid w:val="00843498"/>
    <w:rsid w:val="00843D55"/>
    <w:rsid w:val="00844A03"/>
    <w:rsid w:val="00845DA3"/>
    <w:rsid w:val="00846766"/>
    <w:rsid w:val="00846E7A"/>
    <w:rsid w:val="00847147"/>
    <w:rsid w:val="00850063"/>
    <w:rsid w:val="00851343"/>
    <w:rsid w:val="00851509"/>
    <w:rsid w:val="008515CE"/>
    <w:rsid w:val="00851835"/>
    <w:rsid w:val="00851CC4"/>
    <w:rsid w:val="0085202D"/>
    <w:rsid w:val="00853607"/>
    <w:rsid w:val="008538F2"/>
    <w:rsid w:val="00854074"/>
    <w:rsid w:val="008545EB"/>
    <w:rsid w:val="00854AF1"/>
    <w:rsid w:val="008559E0"/>
    <w:rsid w:val="00856581"/>
    <w:rsid w:val="00856658"/>
    <w:rsid w:val="00857343"/>
    <w:rsid w:val="008576C9"/>
    <w:rsid w:val="00860BFF"/>
    <w:rsid w:val="00860C91"/>
    <w:rsid w:val="00860CB9"/>
    <w:rsid w:val="008617FA"/>
    <w:rsid w:val="00862DCB"/>
    <w:rsid w:val="00863134"/>
    <w:rsid w:val="008635BD"/>
    <w:rsid w:val="008639F1"/>
    <w:rsid w:val="00863F86"/>
    <w:rsid w:val="008642FD"/>
    <w:rsid w:val="008645B5"/>
    <w:rsid w:val="0086491B"/>
    <w:rsid w:val="00866A74"/>
    <w:rsid w:val="00866E11"/>
    <w:rsid w:val="00867214"/>
    <w:rsid w:val="008672BE"/>
    <w:rsid w:val="00867F84"/>
    <w:rsid w:val="008711AA"/>
    <w:rsid w:val="0087204B"/>
    <w:rsid w:val="008722AF"/>
    <w:rsid w:val="00872A7A"/>
    <w:rsid w:val="00872D9F"/>
    <w:rsid w:val="00873BDC"/>
    <w:rsid w:val="00873E9E"/>
    <w:rsid w:val="00874251"/>
    <w:rsid w:val="00874460"/>
    <w:rsid w:val="00874A01"/>
    <w:rsid w:val="00874ACC"/>
    <w:rsid w:val="00874DF9"/>
    <w:rsid w:val="0087533E"/>
    <w:rsid w:val="0087614A"/>
    <w:rsid w:val="008769A5"/>
    <w:rsid w:val="00876A54"/>
    <w:rsid w:val="00877460"/>
    <w:rsid w:val="00877AAE"/>
    <w:rsid w:val="00877CDE"/>
    <w:rsid w:val="00880C17"/>
    <w:rsid w:val="0088117D"/>
    <w:rsid w:val="00881574"/>
    <w:rsid w:val="0088383E"/>
    <w:rsid w:val="00883B23"/>
    <w:rsid w:val="0088434C"/>
    <w:rsid w:val="0088563D"/>
    <w:rsid w:val="0088598A"/>
    <w:rsid w:val="00885B1F"/>
    <w:rsid w:val="00885F39"/>
    <w:rsid w:val="00886FE4"/>
    <w:rsid w:val="008875E6"/>
    <w:rsid w:val="00887C84"/>
    <w:rsid w:val="00887DAD"/>
    <w:rsid w:val="008906F0"/>
    <w:rsid w:val="00890A22"/>
    <w:rsid w:val="008914CC"/>
    <w:rsid w:val="00891DCD"/>
    <w:rsid w:val="0089318B"/>
    <w:rsid w:val="008937C8"/>
    <w:rsid w:val="00896163"/>
    <w:rsid w:val="008964E9"/>
    <w:rsid w:val="00896A16"/>
    <w:rsid w:val="00896E9F"/>
    <w:rsid w:val="00897277"/>
    <w:rsid w:val="00897676"/>
    <w:rsid w:val="008A0F7B"/>
    <w:rsid w:val="008A19E9"/>
    <w:rsid w:val="008A2066"/>
    <w:rsid w:val="008A2C0F"/>
    <w:rsid w:val="008A35D5"/>
    <w:rsid w:val="008A37A2"/>
    <w:rsid w:val="008A3925"/>
    <w:rsid w:val="008A3ECA"/>
    <w:rsid w:val="008A5708"/>
    <w:rsid w:val="008A5CB1"/>
    <w:rsid w:val="008A6214"/>
    <w:rsid w:val="008A722F"/>
    <w:rsid w:val="008A782D"/>
    <w:rsid w:val="008A79E9"/>
    <w:rsid w:val="008B0C2F"/>
    <w:rsid w:val="008B18E5"/>
    <w:rsid w:val="008B1CB5"/>
    <w:rsid w:val="008B260E"/>
    <w:rsid w:val="008B402D"/>
    <w:rsid w:val="008B463E"/>
    <w:rsid w:val="008B4687"/>
    <w:rsid w:val="008B4883"/>
    <w:rsid w:val="008B4E1A"/>
    <w:rsid w:val="008B53A8"/>
    <w:rsid w:val="008B548D"/>
    <w:rsid w:val="008B625F"/>
    <w:rsid w:val="008B6C31"/>
    <w:rsid w:val="008B71BB"/>
    <w:rsid w:val="008B7637"/>
    <w:rsid w:val="008C06E2"/>
    <w:rsid w:val="008C06E7"/>
    <w:rsid w:val="008C15C8"/>
    <w:rsid w:val="008C1B8B"/>
    <w:rsid w:val="008C1EC5"/>
    <w:rsid w:val="008C553F"/>
    <w:rsid w:val="008C59EA"/>
    <w:rsid w:val="008C5E36"/>
    <w:rsid w:val="008C602E"/>
    <w:rsid w:val="008C6A84"/>
    <w:rsid w:val="008C6E32"/>
    <w:rsid w:val="008C7138"/>
    <w:rsid w:val="008C7BDC"/>
    <w:rsid w:val="008C7CD5"/>
    <w:rsid w:val="008C7E80"/>
    <w:rsid w:val="008D123C"/>
    <w:rsid w:val="008D1608"/>
    <w:rsid w:val="008D22AC"/>
    <w:rsid w:val="008D3070"/>
    <w:rsid w:val="008D308E"/>
    <w:rsid w:val="008D3B4D"/>
    <w:rsid w:val="008D3CE7"/>
    <w:rsid w:val="008D3EC0"/>
    <w:rsid w:val="008D41E0"/>
    <w:rsid w:val="008D5687"/>
    <w:rsid w:val="008D675B"/>
    <w:rsid w:val="008D6825"/>
    <w:rsid w:val="008D6D08"/>
    <w:rsid w:val="008D71CC"/>
    <w:rsid w:val="008E0764"/>
    <w:rsid w:val="008E0E30"/>
    <w:rsid w:val="008E1395"/>
    <w:rsid w:val="008E1675"/>
    <w:rsid w:val="008E1D14"/>
    <w:rsid w:val="008E203D"/>
    <w:rsid w:val="008E309E"/>
    <w:rsid w:val="008E41E2"/>
    <w:rsid w:val="008E4501"/>
    <w:rsid w:val="008E4725"/>
    <w:rsid w:val="008E4B46"/>
    <w:rsid w:val="008E5406"/>
    <w:rsid w:val="008E5F7A"/>
    <w:rsid w:val="008E630B"/>
    <w:rsid w:val="008E7286"/>
    <w:rsid w:val="008E72BF"/>
    <w:rsid w:val="008E777D"/>
    <w:rsid w:val="008E7CA7"/>
    <w:rsid w:val="008E7D77"/>
    <w:rsid w:val="008F0616"/>
    <w:rsid w:val="008F0E4C"/>
    <w:rsid w:val="008F1263"/>
    <w:rsid w:val="008F12E8"/>
    <w:rsid w:val="008F133C"/>
    <w:rsid w:val="008F1820"/>
    <w:rsid w:val="008F27B2"/>
    <w:rsid w:val="008F2D0C"/>
    <w:rsid w:val="008F3151"/>
    <w:rsid w:val="008F3C2A"/>
    <w:rsid w:val="008F4754"/>
    <w:rsid w:val="008F4E6C"/>
    <w:rsid w:val="008F4E9F"/>
    <w:rsid w:val="008F506C"/>
    <w:rsid w:val="008F54C7"/>
    <w:rsid w:val="008F5E35"/>
    <w:rsid w:val="008F631C"/>
    <w:rsid w:val="008F7F58"/>
    <w:rsid w:val="009001A1"/>
    <w:rsid w:val="00901397"/>
    <w:rsid w:val="00901878"/>
    <w:rsid w:val="0090188A"/>
    <w:rsid w:val="00902664"/>
    <w:rsid w:val="00902C42"/>
    <w:rsid w:val="009034B5"/>
    <w:rsid w:val="009036EE"/>
    <w:rsid w:val="00903C45"/>
    <w:rsid w:val="0090472A"/>
    <w:rsid w:val="00904FB2"/>
    <w:rsid w:val="0090581D"/>
    <w:rsid w:val="00905BFA"/>
    <w:rsid w:val="009067DF"/>
    <w:rsid w:val="00910325"/>
    <w:rsid w:val="00910C1F"/>
    <w:rsid w:val="00911952"/>
    <w:rsid w:val="00911988"/>
    <w:rsid w:val="00912129"/>
    <w:rsid w:val="0091282C"/>
    <w:rsid w:val="00912BF2"/>
    <w:rsid w:val="009132E1"/>
    <w:rsid w:val="009136A0"/>
    <w:rsid w:val="0091396D"/>
    <w:rsid w:val="00913C43"/>
    <w:rsid w:val="0091422C"/>
    <w:rsid w:val="0091422F"/>
    <w:rsid w:val="0091460A"/>
    <w:rsid w:val="009146DE"/>
    <w:rsid w:val="00914FC2"/>
    <w:rsid w:val="00915FF1"/>
    <w:rsid w:val="00916FA9"/>
    <w:rsid w:val="0091729E"/>
    <w:rsid w:val="009174A9"/>
    <w:rsid w:val="00917A65"/>
    <w:rsid w:val="009202D7"/>
    <w:rsid w:val="00920B24"/>
    <w:rsid w:val="00920EEA"/>
    <w:rsid w:val="009211B2"/>
    <w:rsid w:val="00922655"/>
    <w:rsid w:val="00922C00"/>
    <w:rsid w:val="00923337"/>
    <w:rsid w:val="00923EC6"/>
    <w:rsid w:val="00924AA1"/>
    <w:rsid w:val="00924B3D"/>
    <w:rsid w:val="00925039"/>
    <w:rsid w:val="009253C3"/>
    <w:rsid w:val="0092592E"/>
    <w:rsid w:val="00926053"/>
    <w:rsid w:val="009265E9"/>
    <w:rsid w:val="00926AF9"/>
    <w:rsid w:val="00927155"/>
    <w:rsid w:val="009273DB"/>
    <w:rsid w:val="0092756A"/>
    <w:rsid w:val="009301C7"/>
    <w:rsid w:val="0093080D"/>
    <w:rsid w:val="00931762"/>
    <w:rsid w:val="00932332"/>
    <w:rsid w:val="00932ABC"/>
    <w:rsid w:val="0093423A"/>
    <w:rsid w:val="00934831"/>
    <w:rsid w:val="00935214"/>
    <w:rsid w:val="009355E5"/>
    <w:rsid w:val="009356B7"/>
    <w:rsid w:val="00936EED"/>
    <w:rsid w:val="00936EFF"/>
    <w:rsid w:val="009371E4"/>
    <w:rsid w:val="00937525"/>
    <w:rsid w:val="00937C4C"/>
    <w:rsid w:val="0094008F"/>
    <w:rsid w:val="00941262"/>
    <w:rsid w:val="00941C31"/>
    <w:rsid w:val="00942141"/>
    <w:rsid w:val="00942D72"/>
    <w:rsid w:val="00942EC4"/>
    <w:rsid w:val="0094302F"/>
    <w:rsid w:val="00944301"/>
    <w:rsid w:val="00945A33"/>
    <w:rsid w:val="00945ED5"/>
    <w:rsid w:val="00946AA2"/>
    <w:rsid w:val="009509CC"/>
    <w:rsid w:val="0095178C"/>
    <w:rsid w:val="00951F3D"/>
    <w:rsid w:val="00952966"/>
    <w:rsid w:val="00952A46"/>
    <w:rsid w:val="0095325C"/>
    <w:rsid w:val="009537D4"/>
    <w:rsid w:val="00953A78"/>
    <w:rsid w:val="0095425C"/>
    <w:rsid w:val="0095444B"/>
    <w:rsid w:val="00954AFC"/>
    <w:rsid w:val="00955083"/>
    <w:rsid w:val="00955222"/>
    <w:rsid w:val="00955489"/>
    <w:rsid w:val="0095594D"/>
    <w:rsid w:val="00955B6E"/>
    <w:rsid w:val="00955CB3"/>
    <w:rsid w:val="00955D8A"/>
    <w:rsid w:val="00955E62"/>
    <w:rsid w:val="00956253"/>
    <w:rsid w:val="0095797D"/>
    <w:rsid w:val="00957EB7"/>
    <w:rsid w:val="00957FFE"/>
    <w:rsid w:val="009607A5"/>
    <w:rsid w:val="00961E62"/>
    <w:rsid w:val="00961F46"/>
    <w:rsid w:val="00962FA6"/>
    <w:rsid w:val="009635F1"/>
    <w:rsid w:val="00963D31"/>
    <w:rsid w:val="00964998"/>
    <w:rsid w:val="0096499A"/>
    <w:rsid w:val="009649EB"/>
    <w:rsid w:val="00964C17"/>
    <w:rsid w:val="00965A41"/>
    <w:rsid w:val="00965F60"/>
    <w:rsid w:val="0096608A"/>
    <w:rsid w:val="0096617A"/>
    <w:rsid w:val="009667F1"/>
    <w:rsid w:val="00967BF3"/>
    <w:rsid w:val="00967C85"/>
    <w:rsid w:val="00972107"/>
    <w:rsid w:val="009723CB"/>
    <w:rsid w:val="0097243E"/>
    <w:rsid w:val="00972E64"/>
    <w:rsid w:val="00973C62"/>
    <w:rsid w:val="00974298"/>
    <w:rsid w:val="00974B17"/>
    <w:rsid w:val="00975A94"/>
    <w:rsid w:val="0098029D"/>
    <w:rsid w:val="00980595"/>
    <w:rsid w:val="00980B8E"/>
    <w:rsid w:val="00980F99"/>
    <w:rsid w:val="00981A80"/>
    <w:rsid w:val="00981B60"/>
    <w:rsid w:val="00981FAF"/>
    <w:rsid w:val="009820A0"/>
    <w:rsid w:val="009822D0"/>
    <w:rsid w:val="009825EB"/>
    <w:rsid w:val="009845B9"/>
    <w:rsid w:val="00984A80"/>
    <w:rsid w:val="00984BDE"/>
    <w:rsid w:val="00984EFD"/>
    <w:rsid w:val="00985671"/>
    <w:rsid w:val="00985CC4"/>
    <w:rsid w:val="009875EC"/>
    <w:rsid w:val="00987E55"/>
    <w:rsid w:val="00990421"/>
    <w:rsid w:val="00990516"/>
    <w:rsid w:val="009922A7"/>
    <w:rsid w:val="0099257F"/>
    <w:rsid w:val="00992AE4"/>
    <w:rsid w:val="00993529"/>
    <w:rsid w:val="00993ACF"/>
    <w:rsid w:val="00994021"/>
    <w:rsid w:val="0099437A"/>
    <w:rsid w:val="0099470A"/>
    <w:rsid w:val="00996086"/>
    <w:rsid w:val="0099638B"/>
    <w:rsid w:val="00996816"/>
    <w:rsid w:val="00996D9D"/>
    <w:rsid w:val="00997386"/>
    <w:rsid w:val="00997848"/>
    <w:rsid w:val="00997B24"/>
    <w:rsid w:val="009A10DF"/>
    <w:rsid w:val="009A17EE"/>
    <w:rsid w:val="009A33CB"/>
    <w:rsid w:val="009A3840"/>
    <w:rsid w:val="009A405C"/>
    <w:rsid w:val="009A41BB"/>
    <w:rsid w:val="009A43B3"/>
    <w:rsid w:val="009A5117"/>
    <w:rsid w:val="009A5151"/>
    <w:rsid w:val="009A5224"/>
    <w:rsid w:val="009A563A"/>
    <w:rsid w:val="009A5E45"/>
    <w:rsid w:val="009A5E69"/>
    <w:rsid w:val="009A686D"/>
    <w:rsid w:val="009B04FB"/>
    <w:rsid w:val="009B122A"/>
    <w:rsid w:val="009B1590"/>
    <w:rsid w:val="009B1724"/>
    <w:rsid w:val="009B17DB"/>
    <w:rsid w:val="009B29BE"/>
    <w:rsid w:val="009B3751"/>
    <w:rsid w:val="009B3917"/>
    <w:rsid w:val="009B3D3D"/>
    <w:rsid w:val="009B53AD"/>
    <w:rsid w:val="009B56FE"/>
    <w:rsid w:val="009B598C"/>
    <w:rsid w:val="009B5FAD"/>
    <w:rsid w:val="009B6A70"/>
    <w:rsid w:val="009C07FC"/>
    <w:rsid w:val="009C09C8"/>
    <w:rsid w:val="009C0F88"/>
    <w:rsid w:val="009C10C9"/>
    <w:rsid w:val="009C190E"/>
    <w:rsid w:val="009C230E"/>
    <w:rsid w:val="009C2C03"/>
    <w:rsid w:val="009C2C49"/>
    <w:rsid w:val="009C33C3"/>
    <w:rsid w:val="009C340B"/>
    <w:rsid w:val="009C3940"/>
    <w:rsid w:val="009C3EAF"/>
    <w:rsid w:val="009C4303"/>
    <w:rsid w:val="009C488B"/>
    <w:rsid w:val="009C48FE"/>
    <w:rsid w:val="009C4C5C"/>
    <w:rsid w:val="009C51EC"/>
    <w:rsid w:val="009C552C"/>
    <w:rsid w:val="009C5B40"/>
    <w:rsid w:val="009C617B"/>
    <w:rsid w:val="009C63A1"/>
    <w:rsid w:val="009C66E2"/>
    <w:rsid w:val="009C7344"/>
    <w:rsid w:val="009C74B8"/>
    <w:rsid w:val="009D02BA"/>
    <w:rsid w:val="009D3DB8"/>
    <w:rsid w:val="009D48B2"/>
    <w:rsid w:val="009D5157"/>
    <w:rsid w:val="009D5670"/>
    <w:rsid w:val="009D58B5"/>
    <w:rsid w:val="009D61A2"/>
    <w:rsid w:val="009D69C0"/>
    <w:rsid w:val="009D6B33"/>
    <w:rsid w:val="009E0159"/>
    <w:rsid w:val="009E03B0"/>
    <w:rsid w:val="009E197B"/>
    <w:rsid w:val="009E1E04"/>
    <w:rsid w:val="009E2095"/>
    <w:rsid w:val="009E2FB1"/>
    <w:rsid w:val="009E39B6"/>
    <w:rsid w:val="009E41B2"/>
    <w:rsid w:val="009E45E1"/>
    <w:rsid w:val="009E48F8"/>
    <w:rsid w:val="009E4D3F"/>
    <w:rsid w:val="009E6E9B"/>
    <w:rsid w:val="009E7C88"/>
    <w:rsid w:val="009F01E4"/>
    <w:rsid w:val="009F12EB"/>
    <w:rsid w:val="009F26F6"/>
    <w:rsid w:val="009F4612"/>
    <w:rsid w:val="009F4736"/>
    <w:rsid w:val="009F4C8C"/>
    <w:rsid w:val="009F4CBD"/>
    <w:rsid w:val="009F74DD"/>
    <w:rsid w:val="00A00C2A"/>
    <w:rsid w:val="00A01743"/>
    <w:rsid w:val="00A02885"/>
    <w:rsid w:val="00A02DE1"/>
    <w:rsid w:val="00A03060"/>
    <w:rsid w:val="00A034AA"/>
    <w:rsid w:val="00A03699"/>
    <w:rsid w:val="00A043AF"/>
    <w:rsid w:val="00A0547F"/>
    <w:rsid w:val="00A06050"/>
    <w:rsid w:val="00A06082"/>
    <w:rsid w:val="00A07322"/>
    <w:rsid w:val="00A07F43"/>
    <w:rsid w:val="00A12F26"/>
    <w:rsid w:val="00A13A32"/>
    <w:rsid w:val="00A13B16"/>
    <w:rsid w:val="00A149B1"/>
    <w:rsid w:val="00A153EA"/>
    <w:rsid w:val="00A15571"/>
    <w:rsid w:val="00A15647"/>
    <w:rsid w:val="00A157E1"/>
    <w:rsid w:val="00A166B5"/>
    <w:rsid w:val="00A16873"/>
    <w:rsid w:val="00A1718C"/>
    <w:rsid w:val="00A1739B"/>
    <w:rsid w:val="00A174D7"/>
    <w:rsid w:val="00A2004C"/>
    <w:rsid w:val="00A21429"/>
    <w:rsid w:val="00A21802"/>
    <w:rsid w:val="00A2182D"/>
    <w:rsid w:val="00A21983"/>
    <w:rsid w:val="00A21B73"/>
    <w:rsid w:val="00A21EE1"/>
    <w:rsid w:val="00A23958"/>
    <w:rsid w:val="00A24341"/>
    <w:rsid w:val="00A24FFE"/>
    <w:rsid w:val="00A254EB"/>
    <w:rsid w:val="00A25E61"/>
    <w:rsid w:val="00A25EB3"/>
    <w:rsid w:val="00A26364"/>
    <w:rsid w:val="00A27445"/>
    <w:rsid w:val="00A275C6"/>
    <w:rsid w:val="00A279FB"/>
    <w:rsid w:val="00A27F6C"/>
    <w:rsid w:val="00A30433"/>
    <w:rsid w:val="00A30EFD"/>
    <w:rsid w:val="00A312F1"/>
    <w:rsid w:val="00A31AB1"/>
    <w:rsid w:val="00A3238E"/>
    <w:rsid w:val="00A32865"/>
    <w:rsid w:val="00A33D93"/>
    <w:rsid w:val="00A35002"/>
    <w:rsid w:val="00A3790F"/>
    <w:rsid w:val="00A37A8D"/>
    <w:rsid w:val="00A403C6"/>
    <w:rsid w:val="00A407AF"/>
    <w:rsid w:val="00A40B78"/>
    <w:rsid w:val="00A41187"/>
    <w:rsid w:val="00A41E4A"/>
    <w:rsid w:val="00A4289D"/>
    <w:rsid w:val="00A436A9"/>
    <w:rsid w:val="00A43ADB"/>
    <w:rsid w:val="00A43EEF"/>
    <w:rsid w:val="00A4469B"/>
    <w:rsid w:val="00A45142"/>
    <w:rsid w:val="00A45684"/>
    <w:rsid w:val="00A4615A"/>
    <w:rsid w:val="00A4650A"/>
    <w:rsid w:val="00A46789"/>
    <w:rsid w:val="00A46D70"/>
    <w:rsid w:val="00A47642"/>
    <w:rsid w:val="00A47785"/>
    <w:rsid w:val="00A47D61"/>
    <w:rsid w:val="00A51D74"/>
    <w:rsid w:val="00A52B89"/>
    <w:rsid w:val="00A52F79"/>
    <w:rsid w:val="00A54251"/>
    <w:rsid w:val="00A54254"/>
    <w:rsid w:val="00A54A63"/>
    <w:rsid w:val="00A54AF3"/>
    <w:rsid w:val="00A54AFA"/>
    <w:rsid w:val="00A55F92"/>
    <w:rsid w:val="00A56C20"/>
    <w:rsid w:val="00A576FB"/>
    <w:rsid w:val="00A57D6E"/>
    <w:rsid w:val="00A604C1"/>
    <w:rsid w:val="00A60738"/>
    <w:rsid w:val="00A6108F"/>
    <w:rsid w:val="00A61405"/>
    <w:rsid w:val="00A61D70"/>
    <w:rsid w:val="00A636EF"/>
    <w:rsid w:val="00A64DE8"/>
    <w:rsid w:val="00A663FE"/>
    <w:rsid w:val="00A66702"/>
    <w:rsid w:val="00A668D4"/>
    <w:rsid w:val="00A66925"/>
    <w:rsid w:val="00A66B54"/>
    <w:rsid w:val="00A67174"/>
    <w:rsid w:val="00A677CC"/>
    <w:rsid w:val="00A67A3D"/>
    <w:rsid w:val="00A67B2C"/>
    <w:rsid w:val="00A67B8B"/>
    <w:rsid w:val="00A67F70"/>
    <w:rsid w:val="00A7135F"/>
    <w:rsid w:val="00A71E7E"/>
    <w:rsid w:val="00A71FAC"/>
    <w:rsid w:val="00A72130"/>
    <w:rsid w:val="00A7216E"/>
    <w:rsid w:val="00A72AFF"/>
    <w:rsid w:val="00A72B20"/>
    <w:rsid w:val="00A73370"/>
    <w:rsid w:val="00A73A84"/>
    <w:rsid w:val="00A73B1E"/>
    <w:rsid w:val="00A740A6"/>
    <w:rsid w:val="00A752F7"/>
    <w:rsid w:val="00A75441"/>
    <w:rsid w:val="00A7640F"/>
    <w:rsid w:val="00A7665E"/>
    <w:rsid w:val="00A76FD3"/>
    <w:rsid w:val="00A77949"/>
    <w:rsid w:val="00A77D6B"/>
    <w:rsid w:val="00A8003E"/>
    <w:rsid w:val="00A80A74"/>
    <w:rsid w:val="00A8108A"/>
    <w:rsid w:val="00A81593"/>
    <w:rsid w:val="00A815C3"/>
    <w:rsid w:val="00A829B6"/>
    <w:rsid w:val="00A83288"/>
    <w:rsid w:val="00A837E5"/>
    <w:rsid w:val="00A851FB"/>
    <w:rsid w:val="00A85948"/>
    <w:rsid w:val="00A86FC0"/>
    <w:rsid w:val="00A900C1"/>
    <w:rsid w:val="00A90117"/>
    <w:rsid w:val="00A902AC"/>
    <w:rsid w:val="00A90B27"/>
    <w:rsid w:val="00A9261B"/>
    <w:rsid w:val="00A931A2"/>
    <w:rsid w:val="00A9335D"/>
    <w:rsid w:val="00A938C4"/>
    <w:rsid w:val="00A93965"/>
    <w:rsid w:val="00A93A3C"/>
    <w:rsid w:val="00A93F28"/>
    <w:rsid w:val="00A94677"/>
    <w:rsid w:val="00A94924"/>
    <w:rsid w:val="00A95A6C"/>
    <w:rsid w:val="00A95BA3"/>
    <w:rsid w:val="00A95FDE"/>
    <w:rsid w:val="00A96872"/>
    <w:rsid w:val="00AA00DA"/>
    <w:rsid w:val="00AA01C2"/>
    <w:rsid w:val="00AA0255"/>
    <w:rsid w:val="00AA0D2A"/>
    <w:rsid w:val="00AA122C"/>
    <w:rsid w:val="00AA15C9"/>
    <w:rsid w:val="00AA2026"/>
    <w:rsid w:val="00AA28FF"/>
    <w:rsid w:val="00AA38F0"/>
    <w:rsid w:val="00AA40F8"/>
    <w:rsid w:val="00AA4164"/>
    <w:rsid w:val="00AA4172"/>
    <w:rsid w:val="00AA5670"/>
    <w:rsid w:val="00AA5A59"/>
    <w:rsid w:val="00AA5DBE"/>
    <w:rsid w:val="00AA62BB"/>
    <w:rsid w:val="00AA6360"/>
    <w:rsid w:val="00AA63EA"/>
    <w:rsid w:val="00AA694C"/>
    <w:rsid w:val="00AA6C06"/>
    <w:rsid w:val="00AA6F3F"/>
    <w:rsid w:val="00AA7200"/>
    <w:rsid w:val="00AA72BD"/>
    <w:rsid w:val="00AA74F5"/>
    <w:rsid w:val="00AB00D8"/>
    <w:rsid w:val="00AB0F42"/>
    <w:rsid w:val="00AB1813"/>
    <w:rsid w:val="00AB1DAF"/>
    <w:rsid w:val="00AB232C"/>
    <w:rsid w:val="00AB2AB5"/>
    <w:rsid w:val="00AB3068"/>
    <w:rsid w:val="00AB4329"/>
    <w:rsid w:val="00AB4AF0"/>
    <w:rsid w:val="00AB5487"/>
    <w:rsid w:val="00AB579B"/>
    <w:rsid w:val="00AB58E5"/>
    <w:rsid w:val="00AB5A96"/>
    <w:rsid w:val="00AB674B"/>
    <w:rsid w:val="00AB6B34"/>
    <w:rsid w:val="00AB70C4"/>
    <w:rsid w:val="00AB7E95"/>
    <w:rsid w:val="00AB7EA2"/>
    <w:rsid w:val="00AC006F"/>
    <w:rsid w:val="00AC0C8C"/>
    <w:rsid w:val="00AC1220"/>
    <w:rsid w:val="00AC1A25"/>
    <w:rsid w:val="00AC1DF5"/>
    <w:rsid w:val="00AC2979"/>
    <w:rsid w:val="00AC2E40"/>
    <w:rsid w:val="00AC44AA"/>
    <w:rsid w:val="00AC471D"/>
    <w:rsid w:val="00AC5022"/>
    <w:rsid w:val="00AC5901"/>
    <w:rsid w:val="00AC5AAE"/>
    <w:rsid w:val="00AC5D27"/>
    <w:rsid w:val="00AC6337"/>
    <w:rsid w:val="00AC7759"/>
    <w:rsid w:val="00AD00B2"/>
    <w:rsid w:val="00AD00EE"/>
    <w:rsid w:val="00AD0195"/>
    <w:rsid w:val="00AD0415"/>
    <w:rsid w:val="00AD0C9E"/>
    <w:rsid w:val="00AD0D5E"/>
    <w:rsid w:val="00AD0E8E"/>
    <w:rsid w:val="00AD1763"/>
    <w:rsid w:val="00AD18D1"/>
    <w:rsid w:val="00AD1B5F"/>
    <w:rsid w:val="00AD1CCC"/>
    <w:rsid w:val="00AD4741"/>
    <w:rsid w:val="00AD5745"/>
    <w:rsid w:val="00AD6228"/>
    <w:rsid w:val="00AD7058"/>
    <w:rsid w:val="00AD73C5"/>
    <w:rsid w:val="00AD7486"/>
    <w:rsid w:val="00AD77D3"/>
    <w:rsid w:val="00AE07EE"/>
    <w:rsid w:val="00AE084D"/>
    <w:rsid w:val="00AE0CDE"/>
    <w:rsid w:val="00AE16DD"/>
    <w:rsid w:val="00AE1949"/>
    <w:rsid w:val="00AE1C65"/>
    <w:rsid w:val="00AE27F7"/>
    <w:rsid w:val="00AE2D4C"/>
    <w:rsid w:val="00AE2EB6"/>
    <w:rsid w:val="00AE341D"/>
    <w:rsid w:val="00AE387A"/>
    <w:rsid w:val="00AE40B8"/>
    <w:rsid w:val="00AE4F8D"/>
    <w:rsid w:val="00AE53E0"/>
    <w:rsid w:val="00AE5553"/>
    <w:rsid w:val="00AE61ED"/>
    <w:rsid w:val="00AE724B"/>
    <w:rsid w:val="00AF04DB"/>
    <w:rsid w:val="00AF0FC0"/>
    <w:rsid w:val="00AF104F"/>
    <w:rsid w:val="00AF2236"/>
    <w:rsid w:val="00AF309C"/>
    <w:rsid w:val="00AF3833"/>
    <w:rsid w:val="00AF3AD0"/>
    <w:rsid w:val="00AF44D6"/>
    <w:rsid w:val="00AF5785"/>
    <w:rsid w:val="00AF58FE"/>
    <w:rsid w:val="00AF62FF"/>
    <w:rsid w:val="00AF6F83"/>
    <w:rsid w:val="00AF7AD0"/>
    <w:rsid w:val="00B009D9"/>
    <w:rsid w:val="00B013B8"/>
    <w:rsid w:val="00B016BC"/>
    <w:rsid w:val="00B0205D"/>
    <w:rsid w:val="00B0255A"/>
    <w:rsid w:val="00B0301A"/>
    <w:rsid w:val="00B0376B"/>
    <w:rsid w:val="00B03E0F"/>
    <w:rsid w:val="00B04A7D"/>
    <w:rsid w:val="00B04E8F"/>
    <w:rsid w:val="00B051EE"/>
    <w:rsid w:val="00B05ECE"/>
    <w:rsid w:val="00B06058"/>
    <w:rsid w:val="00B06880"/>
    <w:rsid w:val="00B06C66"/>
    <w:rsid w:val="00B0784D"/>
    <w:rsid w:val="00B07E7A"/>
    <w:rsid w:val="00B07F34"/>
    <w:rsid w:val="00B10985"/>
    <w:rsid w:val="00B117B4"/>
    <w:rsid w:val="00B12552"/>
    <w:rsid w:val="00B127DA"/>
    <w:rsid w:val="00B12A08"/>
    <w:rsid w:val="00B12F96"/>
    <w:rsid w:val="00B13A97"/>
    <w:rsid w:val="00B14542"/>
    <w:rsid w:val="00B151B7"/>
    <w:rsid w:val="00B153AF"/>
    <w:rsid w:val="00B1597A"/>
    <w:rsid w:val="00B15D74"/>
    <w:rsid w:val="00B1679F"/>
    <w:rsid w:val="00B17627"/>
    <w:rsid w:val="00B178A2"/>
    <w:rsid w:val="00B1799B"/>
    <w:rsid w:val="00B17D57"/>
    <w:rsid w:val="00B20105"/>
    <w:rsid w:val="00B20BD8"/>
    <w:rsid w:val="00B218EE"/>
    <w:rsid w:val="00B22641"/>
    <w:rsid w:val="00B22A07"/>
    <w:rsid w:val="00B23C2F"/>
    <w:rsid w:val="00B25AF8"/>
    <w:rsid w:val="00B26C61"/>
    <w:rsid w:val="00B275C4"/>
    <w:rsid w:val="00B2777D"/>
    <w:rsid w:val="00B278A6"/>
    <w:rsid w:val="00B309DF"/>
    <w:rsid w:val="00B3133C"/>
    <w:rsid w:val="00B314EF"/>
    <w:rsid w:val="00B317BD"/>
    <w:rsid w:val="00B320CC"/>
    <w:rsid w:val="00B34097"/>
    <w:rsid w:val="00B3457D"/>
    <w:rsid w:val="00B35256"/>
    <w:rsid w:val="00B35EC4"/>
    <w:rsid w:val="00B35FA6"/>
    <w:rsid w:val="00B3651B"/>
    <w:rsid w:val="00B3687D"/>
    <w:rsid w:val="00B37CC4"/>
    <w:rsid w:val="00B40628"/>
    <w:rsid w:val="00B41D72"/>
    <w:rsid w:val="00B4228D"/>
    <w:rsid w:val="00B424A2"/>
    <w:rsid w:val="00B4253E"/>
    <w:rsid w:val="00B436E9"/>
    <w:rsid w:val="00B4399F"/>
    <w:rsid w:val="00B43D4C"/>
    <w:rsid w:val="00B43DA9"/>
    <w:rsid w:val="00B43EF0"/>
    <w:rsid w:val="00B4459A"/>
    <w:rsid w:val="00B4550D"/>
    <w:rsid w:val="00B46EA0"/>
    <w:rsid w:val="00B50850"/>
    <w:rsid w:val="00B50FBF"/>
    <w:rsid w:val="00B511B2"/>
    <w:rsid w:val="00B523F8"/>
    <w:rsid w:val="00B52732"/>
    <w:rsid w:val="00B52A08"/>
    <w:rsid w:val="00B52D91"/>
    <w:rsid w:val="00B530A5"/>
    <w:rsid w:val="00B53559"/>
    <w:rsid w:val="00B53E56"/>
    <w:rsid w:val="00B54CE8"/>
    <w:rsid w:val="00B54F57"/>
    <w:rsid w:val="00B55177"/>
    <w:rsid w:val="00B55660"/>
    <w:rsid w:val="00B5567F"/>
    <w:rsid w:val="00B556A3"/>
    <w:rsid w:val="00B55C70"/>
    <w:rsid w:val="00B55DD7"/>
    <w:rsid w:val="00B55E28"/>
    <w:rsid w:val="00B56460"/>
    <w:rsid w:val="00B56A8E"/>
    <w:rsid w:val="00B56C33"/>
    <w:rsid w:val="00B57000"/>
    <w:rsid w:val="00B57CD5"/>
    <w:rsid w:val="00B60629"/>
    <w:rsid w:val="00B60A21"/>
    <w:rsid w:val="00B6134A"/>
    <w:rsid w:val="00B61A62"/>
    <w:rsid w:val="00B62BF2"/>
    <w:rsid w:val="00B630B8"/>
    <w:rsid w:val="00B6323E"/>
    <w:rsid w:val="00B63452"/>
    <w:rsid w:val="00B63455"/>
    <w:rsid w:val="00B634D0"/>
    <w:rsid w:val="00B63879"/>
    <w:rsid w:val="00B63B41"/>
    <w:rsid w:val="00B64244"/>
    <w:rsid w:val="00B64662"/>
    <w:rsid w:val="00B64B68"/>
    <w:rsid w:val="00B64E00"/>
    <w:rsid w:val="00B6567F"/>
    <w:rsid w:val="00B65ED0"/>
    <w:rsid w:val="00B66AF0"/>
    <w:rsid w:val="00B66E5C"/>
    <w:rsid w:val="00B70708"/>
    <w:rsid w:val="00B7099D"/>
    <w:rsid w:val="00B709E7"/>
    <w:rsid w:val="00B7117B"/>
    <w:rsid w:val="00B71D9B"/>
    <w:rsid w:val="00B723E3"/>
    <w:rsid w:val="00B72DE2"/>
    <w:rsid w:val="00B733EA"/>
    <w:rsid w:val="00B73D74"/>
    <w:rsid w:val="00B742DF"/>
    <w:rsid w:val="00B747D3"/>
    <w:rsid w:val="00B750B9"/>
    <w:rsid w:val="00B75121"/>
    <w:rsid w:val="00B75489"/>
    <w:rsid w:val="00B75508"/>
    <w:rsid w:val="00B75B15"/>
    <w:rsid w:val="00B75B6A"/>
    <w:rsid w:val="00B76254"/>
    <w:rsid w:val="00B763B3"/>
    <w:rsid w:val="00B76E74"/>
    <w:rsid w:val="00B7782C"/>
    <w:rsid w:val="00B77A5F"/>
    <w:rsid w:val="00B77E70"/>
    <w:rsid w:val="00B804F7"/>
    <w:rsid w:val="00B809F7"/>
    <w:rsid w:val="00B80A2B"/>
    <w:rsid w:val="00B81900"/>
    <w:rsid w:val="00B81AF6"/>
    <w:rsid w:val="00B81DDE"/>
    <w:rsid w:val="00B82608"/>
    <w:rsid w:val="00B82D66"/>
    <w:rsid w:val="00B834D0"/>
    <w:rsid w:val="00B83ACB"/>
    <w:rsid w:val="00B84414"/>
    <w:rsid w:val="00B84428"/>
    <w:rsid w:val="00B84796"/>
    <w:rsid w:val="00B84FE5"/>
    <w:rsid w:val="00B85E55"/>
    <w:rsid w:val="00B85FA9"/>
    <w:rsid w:val="00B86825"/>
    <w:rsid w:val="00B869F2"/>
    <w:rsid w:val="00B86EAF"/>
    <w:rsid w:val="00B878FD"/>
    <w:rsid w:val="00B901A6"/>
    <w:rsid w:val="00B908EC"/>
    <w:rsid w:val="00B90AF9"/>
    <w:rsid w:val="00B91CF5"/>
    <w:rsid w:val="00B9228B"/>
    <w:rsid w:val="00B92CAD"/>
    <w:rsid w:val="00B94960"/>
    <w:rsid w:val="00B9498F"/>
    <w:rsid w:val="00B94B22"/>
    <w:rsid w:val="00B94B5C"/>
    <w:rsid w:val="00B94E28"/>
    <w:rsid w:val="00B95578"/>
    <w:rsid w:val="00B9586E"/>
    <w:rsid w:val="00B9609B"/>
    <w:rsid w:val="00B969E6"/>
    <w:rsid w:val="00B96B4B"/>
    <w:rsid w:val="00B9760A"/>
    <w:rsid w:val="00B97872"/>
    <w:rsid w:val="00B97A05"/>
    <w:rsid w:val="00BA0B66"/>
    <w:rsid w:val="00BA1409"/>
    <w:rsid w:val="00BA1C8A"/>
    <w:rsid w:val="00BA253B"/>
    <w:rsid w:val="00BA2E7F"/>
    <w:rsid w:val="00BA3D71"/>
    <w:rsid w:val="00BA3FB3"/>
    <w:rsid w:val="00BA5CDC"/>
    <w:rsid w:val="00BA627E"/>
    <w:rsid w:val="00BA65EE"/>
    <w:rsid w:val="00BA7B20"/>
    <w:rsid w:val="00BB13C0"/>
    <w:rsid w:val="00BB170A"/>
    <w:rsid w:val="00BB208C"/>
    <w:rsid w:val="00BB3A78"/>
    <w:rsid w:val="00BB5288"/>
    <w:rsid w:val="00BB56DA"/>
    <w:rsid w:val="00BB58F5"/>
    <w:rsid w:val="00BB59D9"/>
    <w:rsid w:val="00BB6740"/>
    <w:rsid w:val="00BB6941"/>
    <w:rsid w:val="00BB6E1A"/>
    <w:rsid w:val="00BC0746"/>
    <w:rsid w:val="00BC0A65"/>
    <w:rsid w:val="00BC45EA"/>
    <w:rsid w:val="00BC4799"/>
    <w:rsid w:val="00BC48EE"/>
    <w:rsid w:val="00BC5E60"/>
    <w:rsid w:val="00BC631F"/>
    <w:rsid w:val="00BC6EAF"/>
    <w:rsid w:val="00BC6EB6"/>
    <w:rsid w:val="00BC772E"/>
    <w:rsid w:val="00BC77BD"/>
    <w:rsid w:val="00BD03C8"/>
    <w:rsid w:val="00BD107F"/>
    <w:rsid w:val="00BD188B"/>
    <w:rsid w:val="00BD1E42"/>
    <w:rsid w:val="00BD216E"/>
    <w:rsid w:val="00BD2653"/>
    <w:rsid w:val="00BD26DA"/>
    <w:rsid w:val="00BD2CE5"/>
    <w:rsid w:val="00BD2FAE"/>
    <w:rsid w:val="00BD4A6F"/>
    <w:rsid w:val="00BD5255"/>
    <w:rsid w:val="00BD55E9"/>
    <w:rsid w:val="00BD5B34"/>
    <w:rsid w:val="00BD6166"/>
    <w:rsid w:val="00BD63EE"/>
    <w:rsid w:val="00BD652F"/>
    <w:rsid w:val="00BD7042"/>
    <w:rsid w:val="00BD7709"/>
    <w:rsid w:val="00BD7F36"/>
    <w:rsid w:val="00BE00FF"/>
    <w:rsid w:val="00BE06FD"/>
    <w:rsid w:val="00BE0F31"/>
    <w:rsid w:val="00BE206A"/>
    <w:rsid w:val="00BE273A"/>
    <w:rsid w:val="00BE2BB7"/>
    <w:rsid w:val="00BE2BFC"/>
    <w:rsid w:val="00BE3009"/>
    <w:rsid w:val="00BE38F3"/>
    <w:rsid w:val="00BE442E"/>
    <w:rsid w:val="00BE502C"/>
    <w:rsid w:val="00BE63E7"/>
    <w:rsid w:val="00BE65BA"/>
    <w:rsid w:val="00BE7308"/>
    <w:rsid w:val="00BE7A99"/>
    <w:rsid w:val="00BF0EB3"/>
    <w:rsid w:val="00BF18A8"/>
    <w:rsid w:val="00BF1AD7"/>
    <w:rsid w:val="00BF1BEA"/>
    <w:rsid w:val="00BF299C"/>
    <w:rsid w:val="00BF37AC"/>
    <w:rsid w:val="00BF3F1C"/>
    <w:rsid w:val="00BF452B"/>
    <w:rsid w:val="00BF5FF1"/>
    <w:rsid w:val="00BF6515"/>
    <w:rsid w:val="00BF7195"/>
    <w:rsid w:val="00BF7FDC"/>
    <w:rsid w:val="00C0004E"/>
    <w:rsid w:val="00C00C9E"/>
    <w:rsid w:val="00C00F39"/>
    <w:rsid w:val="00C01203"/>
    <w:rsid w:val="00C01207"/>
    <w:rsid w:val="00C01B3C"/>
    <w:rsid w:val="00C01C8F"/>
    <w:rsid w:val="00C022DA"/>
    <w:rsid w:val="00C02634"/>
    <w:rsid w:val="00C02835"/>
    <w:rsid w:val="00C03892"/>
    <w:rsid w:val="00C0389F"/>
    <w:rsid w:val="00C0529D"/>
    <w:rsid w:val="00C05618"/>
    <w:rsid w:val="00C05D33"/>
    <w:rsid w:val="00C05E28"/>
    <w:rsid w:val="00C06BCB"/>
    <w:rsid w:val="00C06E2D"/>
    <w:rsid w:val="00C07598"/>
    <w:rsid w:val="00C07A01"/>
    <w:rsid w:val="00C109A5"/>
    <w:rsid w:val="00C115E9"/>
    <w:rsid w:val="00C119D3"/>
    <w:rsid w:val="00C11B1F"/>
    <w:rsid w:val="00C1202B"/>
    <w:rsid w:val="00C129C9"/>
    <w:rsid w:val="00C12F0F"/>
    <w:rsid w:val="00C13533"/>
    <w:rsid w:val="00C13D88"/>
    <w:rsid w:val="00C14A87"/>
    <w:rsid w:val="00C16212"/>
    <w:rsid w:val="00C16441"/>
    <w:rsid w:val="00C16C55"/>
    <w:rsid w:val="00C172B6"/>
    <w:rsid w:val="00C20558"/>
    <w:rsid w:val="00C21041"/>
    <w:rsid w:val="00C215EF"/>
    <w:rsid w:val="00C21CD2"/>
    <w:rsid w:val="00C22518"/>
    <w:rsid w:val="00C228C2"/>
    <w:rsid w:val="00C231E6"/>
    <w:rsid w:val="00C233E3"/>
    <w:rsid w:val="00C238C5"/>
    <w:rsid w:val="00C23CE1"/>
    <w:rsid w:val="00C240E2"/>
    <w:rsid w:val="00C243C0"/>
    <w:rsid w:val="00C244EA"/>
    <w:rsid w:val="00C257A8"/>
    <w:rsid w:val="00C25CD0"/>
    <w:rsid w:val="00C269B5"/>
    <w:rsid w:val="00C276E8"/>
    <w:rsid w:val="00C31020"/>
    <w:rsid w:val="00C31AA0"/>
    <w:rsid w:val="00C325DB"/>
    <w:rsid w:val="00C32CCA"/>
    <w:rsid w:val="00C331CA"/>
    <w:rsid w:val="00C332F9"/>
    <w:rsid w:val="00C33E3D"/>
    <w:rsid w:val="00C3457D"/>
    <w:rsid w:val="00C346BE"/>
    <w:rsid w:val="00C34A9F"/>
    <w:rsid w:val="00C34D7B"/>
    <w:rsid w:val="00C34F39"/>
    <w:rsid w:val="00C36211"/>
    <w:rsid w:val="00C3672B"/>
    <w:rsid w:val="00C3713F"/>
    <w:rsid w:val="00C37475"/>
    <w:rsid w:val="00C3756B"/>
    <w:rsid w:val="00C40BDC"/>
    <w:rsid w:val="00C41177"/>
    <w:rsid w:val="00C426C6"/>
    <w:rsid w:val="00C42BA0"/>
    <w:rsid w:val="00C43099"/>
    <w:rsid w:val="00C43DFB"/>
    <w:rsid w:val="00C440E2"/>
    <w:rsid w:val="00C44A5E"/>
    <w:rsid w:val="00C45DD7"/>
    <w:rsid w:val="00C479D5"/>
    <w:rsid w:val="00C503C4"/>
    <w:rsid w:val="00C50FE8"/>
    <w:rsid w:val="00C5121B"/>
    <w:rsid w:val="00C51B05"/>
    <w:rsid w:val="00C51BDD"/>
    <w:rsid w:val="00C520C4"/>
    <w:rsid w:val="00C524E5"/>
    <w:rsid w:val="00C5278D"/>
    <w:rsid w:val="00C5334F"/>
    <w:rsid w:val="00C54E2A"/>
    <w:rsid w:val="00C54EC2"/>
    <w:rsid w:val="00C5567B"/>
    <w:rsid w:val="00C55A55"/>
    <w:rsid w:val="00C56009"/>
    <w:rsid w:val="00C570B8"/>
    <w:rsid w:val="00C572D2"/>
    <w:rsid w:val="00C5756A"/>
    <w:rsid w:val="00C57B7D"/>
    <w:rsid w:val="00C57C2C"/>
    <w:rsid w:val="00C57F40"/>
    <w:rsid w:val="00C601A3"/>
    <w:rsid w:val="00C602F7"/>
    <w:rsid w:val="00C60367"/>
    <w:rsid w:val="00C614DE"/>
    <w:rsid w:val="00C61A32"/>
    <w:rsid w:val="00C61A9C"/>
    <w:rsid w:val="00C61AE2"/>
    <w:rsid w:val="00C62427"/>
    <w:rsid w:val="00C632AC"/>
    <w:rsid w:val="00C63D5C"/>
    <w:rsid w:val="00C6454F"/>
    <w:rsid w:val="00C64561"/>
    <w:rsid w:val="00C645E4"/>
    <w:rsid w:val="00C64E37"/>
    <w:rsid w:val="00C655B4"/>
    <w:rsid w:val="00C657B9"/>
    <w:rsid w:val="00C658E6"/>
    <w:rsid w:val="00C65BAF"/>
    <w:rsid w:val="00C66B67"/>
    <w:rsid w:val="00C66EE6"/>
    <w:rsid w:val="00C66FED"/>
    <w:rsid w:val="00C673A8"/>
    <w:rsid w:val="00C6796C"/>
    <w:rsid w:val="00C70198"/>
    <w:rsid w:val="00C705BA"/>
    <w:rsid w:val="00C70912"/>
    <w:rsid w:val="00C721B1"/>
    <w:rsid w:val="00C72442"/>
    <w:rsid w:val="00C72B40"/>
    <w:rsid w:val="00C73338"/>
    <w:rsid w:val="00C7487B"/>
    <w:rsid w:val="00C74B6D"/>
    <w:rsid w:val="00C74E21"/>
    <w:rsid w:val="00C74EDD"/>
    <w:rsid w:val="00C764D9"/>
    <w:rsid w:val="00C76F97"/>
    <w:rsid w:val="00C775DB"/>
    <w:rsid w:val="00C77955"/>
    <w:rsid w:val="00C80197"/>
    <w:rsid w:val="00C8112A"/>
    <w:rsid w:val="00C81467"/>
    <w:rsid w:val="00C82423"/>
    <w:rsid w:val="00C82E91"/>
    <w:rsid w:val="00C83529"/>
    <w:rsid w:val="00C837EE"/>
    <w:rsid w:val="00C842C6"/>
    <w:rsid w:val="00C84653"/>
    <w:rsid w:val="00C85AE7"/>
    <w:rsid w:val="00C86293"/>
    <w:rsid w:val="00C86464"/>
    <w:rsid w:val="00C8690F"/>
    <w:rsid w:val="00C86FC2"/>
    <w:rsid w:val="00C8790B"/>
    <w:rsid w:val="00C90174"/>
    <w:rsid w:val="00C904B1"/>
    <w:rsid w:val="00C905A8"/>
    <w:rsid w:val="00C917A8"/>
    <w:rsid w:val="00C94452"/>
    <w:rsid w:val="00C9528E"/>
    <w:rsid w:val="00C954C1"/>
    <w:rsid w:val="00C9556F"/>
    <w:rsid w:val="00C96409"/>
    <w:rsid w:val="00C96A34"/>
    <w:rsid w:val="00C970A6"/>
    <w:rsid w:val="00C97B80"/>
    <w:rsid w:val="00C97EFC"/>
    <w:rsid w:val="00CA06DB"/>
    <w:rsid w:val="00CA086D"/>
    <w:rsid w:val="00CA0B97"/>
    <w:rsid w:val="00CA179D"/>
    <w:rsid w:val="00CA1BF2"/>
    <w:rsid w:val="00CA24BA"/>
    <w:rsid w:val="00CA2584"/>
    <w:rsid w:val="00CA341B"/>
    <w:rsid w:val="00CA3FF2"/>
    <w:rsid w:val="00CA4325"/>
    <w:rsid w:val="00CA461D"/>
    <w:rsid w:val="00CA4B96"/>
    <w:rsid w:val="00CA691D"/>
    <w:rsid w:val="00CA6C8D"/>
    <w:rsid w:val="00CA737C"/>
    <w:rsid w:val="00CB054F"/>
    <w:rsid w:val="00CB0992"/>
    <w:rsid w:val="00CB13E9"/>
    <w:rsid w:val="00CB16D0"/>
    <w:rsid w:val="00CB21F5"/>
    <w:rsid w:val="00CB3B6D"/>
    <w:rsid w:val="00CB3C58"/>
    <w:rsid w:val="00CB4077"/>
    <w:rsid w:val="00CB6AA6"/>
    <w:rsid w:val="00CB6ADF"/>
    <w:rsid w:val="00CB713D"/>
    <w:rsid w:val="00CC0345"/>
    <w:rsid w:val="00CC03B5"/>
    <w:rsid w:val="00CC191F"/>
    <w:rsid w:val="00CC2369"/>
    <w:rsid w:val="00CC2904"/>
    <w:rsid w:val="00CC3B80"/>
    <w:rsid w:val="00CC45C9"/>
    <w:rsid w:val="00CC4E29"/>
    <w:rsid w:val="00CC4EC9"/>
    <w:rsid w:val="00CC4F7E"/>
    <w:rsid w:val="00CC737B"/>
    <w:rsid w:val="00CC7C3B"/>
    <w:rsid w:val="00CD0CFB"/>
    <w:rsid w:val="00CD1048"/>
    <w:rsid w:val="00CD1294"/>
    <w:rsid w:val="00CD193F"/>
    <w:rsid w:val="00CD276E"/>
    <w:rsid w:val="00CD2D66"/>
    <w:rsid w:val="00CD2D81"/>
    <w:rsid w:val="00CD33D5"/>
    <w:rsid w:val="00CD3A73"/>
    <w:rsid w:val="00CD4577"/>
    <w:rsid w:val="00CD48E9"/>
    <w:rsid w:val="00CD4A7F"/>
    <w:rsid w:val="00CD4CF0"/>
    <w:rsid w:val="00CD629D"/>
    <w:rsid w:val="00CD6489"/>
    <w:rsid w:val="00CD6C4B"/>
    <w:rsid w:val="00CD7B0B"/>
    <w:rsid w:val="00CD7B3F"/>
    <w:rsid w:val="00CD7E14"/>
    <w:rsid w:val="00CE0145"/>
    <w:rsid w:val="00CE03BF"/>
    <w:rsid w:val="00CE11E7"/>
    <w:rsid w:val="00CE159F"/>
    <w:rsid w:val="00CE192C"/>
    <w:rsid w:val="00CE1DBA"/>
    <w:rsid w:val="00CE21B4"/>
    <w:rsid w:val="00CE29EC"/>
    <w:rsid w:val="00CE3C26"/>
    <w:rsid w:val="00CE512E"/>
    <w:rsid w:val="00CE538D"/>
    <w:rsid w:val="00CE5594"/>
    <w:rsid w:val="00CE662E"/>
    <w:rsid w:val="00CE666F"/>
    <w:rsid w:val="00CE71DC"/>
    <w:rsid w:val="00CF085E"/>
    <w:rsid w:val="00CF0B2D"/>
    <w:rsid w:val="00CF0E74"/>
    <w:rsid w:val="00CF135B"/>
    <w:rsid w:val="00CF244C"/>
    <w:rsid w:val="00CF25BB"/>
    <w:rsid w:val="00CF2ACC"/>
    <w:rsid w:val="00CF3C4B"/>
    <w:rsid w:val="00CF4976"/>
    <w:rsid w:val="00CF4AB6"/>
    <w:rsid w:val="00CF5720"/>
    <w:rsid w:val="00CF6071"/>
    <w:rsid w:val="00CF6EDC"/>
    <w:rsid w:val="00CF7235"/>
    <w:rsid w:val="00CF7570"/>
    <w:rsid w:val="00D00738"/>
    <w:rsid w:val="00D009AA"/>
    <w:rsid w:val="00D00D14"/>
    <w:rsid w:val="00D00DDA"/>
    <w:rsid w:val="00D010FD"/>
    <w:rsid w:val="00D01127"/>
    <w:rsid w:val="00D01FF8"/>
    <w:rsid w:val="00D027BE"/>
    <w:rsid w:val="00D02AAA"/>
    <w:rsid w:val="00D02DE7"/>
    <w:rsid w:val="00D039CE"/>
    <w:rsid w:val="00D0400F"/>
    <w:rsid w:val="00D048D2"/>
    <w:rsid w:val="00D05011"/>
    <w:rsid w:val="00D055DA"/>
    <w:rsid w:val="00D05934"/>
    <w:rsid w:val="00D05E7A"/>
    <w:rsid w:val="00D069E7"/>
    <w:rsid w:val="00D078E1"/>
    <w:rsid w:val="00D10055"/>
    <w:rsid w:val="00D1180D"/>
    <w:rsid w:val="00D118A3"/>
    <w:rsid w:val="00D11EA4"/>
    <w:rsid w:val="00D1212E"/>
    <w:rsid w:val="00D12CC8"/>
    <w:rsid w:val="00D12CE4"/>
    <w:rsid w:val="00D12F15"/>
    <w:rsid w:val="00D136F8"/>
    <w:rsid w:val="00D148B5"/>
    <w:rsid w:val="00D155A5"/>
    <w:rsid w:val="00D15AE6"/>
    <w:rsid w:val="00D16137"/>
    <w:rsid w:val="00D1660E"/>
    <w:rsid w:val="00D177D2"/>
    <w:rsid w:val="00D2065D"/>
    <w:rsid w:val="00D206F2"/>
    <w:rsid w:val="00D21109"/>
    <w:rsid w:val="00D21BB9"/>
    <w:rsid w:val="00D226B7"/>
    <w:rsid w:val="00D22763"/>
    <w:rsid w:val="00D2410C"/>
    <w:rsid w:val="00D251E0"/>
    <w:rsid w:val="00D26C75"/>
    <w:rsid w:val="00D27176"/>
    <w:rsid w:val="00D272DD"/>
    <w:rsid w:val="00D274C2"/>
    <w:rsid w:val="00D300EF"/>
    <w:rsid w:val="00D303BD"/>
    <w:rsid w:val="00D30B68"/>
    <w:rsid w:val="00D31264"/>
    <w:rsid w:val="00D3130E"/>
    <w:rsid w:val="00D31343"/>
    <w:rsid w:val="00D32114"/>
    <w:rsid w:val="00D32E6C"/>
    <w:rsid w:val="00D330D2"/>
    <w:rsid w:val="00D3352A"/>
    <w:rsid w:val="00D339C6"/>
    <w:rsid w:val="00D342D6"/>
    <w:rsid w:val="00D35907"/>
    <w:rsid w:val="00D35A3B"/>
    <w:rsid w:val="00D35F3F"/>
    <w:rsid w:val="00D363A3"/>
    <w:rsid w:val="00D3675D"/>
    <w:rsid w:val="00D367C8"/>
    <w:rsid w:val="00D36838"/>
    <w:rsid w:val="00D36CB4"/>
    <w:rsid w:val="00D370E3"/>
    <w:rsid w:val="00D370F3"/>
    <w:rsid w:val="00D37367"/>
    <w:rsid w:val="00D376D6"/>
    <w:rsid w:val="00D37B41"/>
    <w:rsid w:val="00D40899"/>
    <w:rsid w:val="00D409CA"/>
    <w:rsid w:val="00D40CC6"/>
    <w:rsid w:val="00D40F1C"/>
    <w:rsid w:val="00D41002"/>
    <w:rsid w:val="00D417F1"/>
    <w:rsid w:val="00D41E04"/>
    <w:rsid w:val="00D42170"/>
    <w:rsid w:val="00D435E5"/>
    <w:rsid w:val="00D43A0F"/>
    <w:rsid w:val="00D4460D"/>
    <w:rsid w:val="00D457BE"/>
    <w:rsid w:val="00D457C7"/>
    <w:rsid w:val="00D45948"/>
    <w:rsid w:val="00D45AA1"/>
    <w:rsid w:val="00D45D94"/>
    <w:rsid w:val="00D45E66"/>
    <w:rsid w:val="00D465C5"/>
    <w:rsid w:val="00D467A2"/>
    <w:rsid w:val="00D46B15"/>
    <w:rsid w:val="00D46FAE"/>
    <w:rsid w:val="00D47966"/>
    <w:rsid w:val="00D47F82"/>
    <w:rsid w:val="00D5021F"/>
    <w:rsid w:val="00D50625"/>
    <w:rsid w:val="00D50D6D"/>
    <w:rsid w:val="00D50D7C"/>
    <w:rsid w:val="00D51833"/>
    <w:rsid w:val="00D518FF"/>
    <w:rsid w:val="00D5195A"/>
    <w:rsid w:val="00D51ABA"/>
    <w:rsid w:val="00D51C06"/>
    <w:rsid w:val="00D52947"/>
    <w:rsid w:val="00D5458A"/>
    <w:rsid w:val="00D55553"/>
    <w:rsid w:val="00D5592D"/>
    <w:rsid w:val="00D55B46"/>
    <w:rsid w:val="00D560F4"/>
    <w:rsid w:val="00D56674"/>
    <w:rsid w:val="00D56FFA"/>
    <w:rsid w:val="00D5762B"/>
    <w:rsid w:val="00D57B39"/>
    <w:rsid w:val="00D60E2B"/>
    <w:rsid w:val="00D626EE"/>
    <w:rsid w:val="00D63D2D"/>
    <w:rsid w:val="00D64A15"/>
    <w:rsid w:val="00D64B41"/>
    <w:rsid w:val="00D64FF1"/>
    <w:rsid w:val="00D6549C"/>
    <w:rsid w:val="00D65A87"/>
    <w:rsid w:val="00D65CF2"/>
    <w:rsid w:val="00D671BF"/>
    <w:rsid w:val="00D6797D"/>
    <w:rsid w:val="00D67EE3"/>
    <w:rsid w:val="00D70AD4"/>
    <w:rsid w:val="00D71356"/>
    <w:rsid w:val="00D71BF4"/>
    <w:rsid w:val="00D72385"/>
    <w:rsid w:val="00D7244B"/>
    <w:rsid w:val="00D73627"/>
    <w:rsid w:val="00D75035"/>
    <w:rsid w:val="00D77576"/>
    <w:rsid w:val="00D77A9F"/>
    <w:rsid w:val="00D803CC"/>
    <w:rsid w:val="00D81A2A"/>
    <w:rsid w:val="00D81B49"/>
    <w:rsid w:val="00D81DA8"/>
    <w:rsid w:val="00D82D2A"/>
    <w:rsid w:val="00D83A52"/>
    <w:rsid w:val="00D83BD5"/>
    <w:rsid w:val="00D845B4"/>
    <w:rsid w:val="00D84726"/>
    <w:rsid w:val="00D8488C"/>
    <w:rsid w:val="00D855E5"/>
    <w:rsid w:val="00D86BAC"/>
    <w:rsid w:val="00D874E4"/>
    <w:rsid w:val="00D90A56"/>
    <w:rsid w:val="00D90F55"/>
    <w:rsid w:val="00D92F81"/>
    <w:rsid w:val="00D944C7"/>
    <w:rsid w:val="00D94BB1"/>
    <w:rsid w:val="00D9538A"/>
    <w:rsid w:val="00D95482"/>
    <w:rsid w:val="00D966A9"/>
    <w:rsid w:val="00D96D9C"/>
    <w:rsid w:val="00D976A7"/>
    <w:rsid w:val="00D97753"/>
    <w:rsid w:val="00D977B9"/>
    <w:rsid w:val="00DA014C"/>
    <w:rsid w:val="00DA024A"/>
    <w:rsid w:val="00DA042E"/>
    <w:rsid w:val="00DA0B4E"/>
    <w:rsid w:val="00DA1526"/>
    <w:rsid w:val="00DA1C11"/>
    <w:rsid w:val="00DA24A9"/>
    <w:rsid w:val="00DA2B05"/>
    <w:rsid w:val="00DA2C2D"/>
    <w:rsid w:val="00DA3284"/>
    <w:rsid w:val="00DA3409"/>
    <w:rsid w:val="00DA3B5C"/>
    <w:rsid w:val="00DA3EB4"/>
    <w:rsid w:val="00DA4236"/>
    <w:rsid w:val="00DA4B5C"/>
    <w:rsid w:val="00DA525E"/>
    <w:rsid w:val="00DA5A87"/>
    <w:rsid w:val="00DA610C"/>
    <w:rsid w:val="00DA6410"/>
    <w:rsid w:val="00DB10BB"/>
    <w:rsid w:val="00DB10D9"/>
    <w:rsid w:val="00DB10E7"/>
    <w:rsid w:val="00DB1237"/>
    <w:rsid w:val="00DB301E"/>
    <w:rsid w:val="00DB31A6"/>
    <w:rsid w:val="00DB4D86"/>
    <w:rsid w:val="00DB4DF8"/>
    <w:rsid w:val="00DB5007"/>
    <w:rsid w:val="00DB5027"/>
    <w:rsid w:val="00DB5042"/>
    <w:rsid w:val="00DB5048"/>
    <w:rsid w:val="00DB5179"/>
    <w:rsid w:val="00DB5364"/>
    <w:rsid w:val="00DB5BC7"/>
    <w:rsid w:val="00DB6534"/>
    <w:rsid w:val="00DB6799"/>
    <w:rsid w:val="00DB67AE"/>
    <w:rsid w:val="00DB7DA8"/>
    <w:rsid w:val="00DC0787"/>
    <w:rsid w:val="00DC0B96"/>
    <w:rsid w:val="00DC139F"/>
    <w:rsid w:val="00DC156C"/>
    <w:rsid w:val="00DC1FFD"/>
    <w:rsid w:val="00DC2134"/>
    <w:rsid w:val="00DC24AD"/>
    <w:rsid w:val="00DC2593"/>
    <w:rsid w:val="00DC280B"/>
    <w:rsid w:val="00DC2948"/>
    <w:rsid w:val="00DC296A"/>
    <w:rsid w:val="00DC2DF3"/>
    <w:rsid w:val="00DC3C09"/>
    <w:rsid w:val="00DC4767"/>
    <w:rsid w:val="00DC51FE"/>
    <w:rsid w:val="00DC5B71"/>
    <w:rsid w:val="00DC5DD5"/>
    <w:rsid w:val="00DC7EA4"/>
    <w:rsid w:val="00DD1517"/>
    <w:rsid w:val="00DD1704"/>
    <w:rsid w:val="00DD18FA"/>
    <w:rsid w:val="00DD1B63"/>
    <w:rsid w:val="00DD1E10"/>
    <w:rsid w:val="00DD205C"/>
    <w:rsid w:val="00DD2BBA"/>
    <w:rsid w:val="00DD38BE"/>
    <w:rsid w:val="00DD42DA"/>
    <w:rsid w:val="00DD5E3C"/>
    <w:rsid w:val="00DD6025"/>
    <w:rsid w:val="00DD6A36"/>
    <w:rsid w:val="00DD6EF3"/>
    <w:rsid w:val="00DD70F4"/>
    <w:rsid w:val="00DD742E"/>
    <w:rsid w:val="00DD77FB"/>
    <w:rsid w:val="00DE0812"/>
    <w:rsid w:val="00DE0AF5"/>
    <w:rsid w:val="00DE2180"/>
    <w:rsid w:val="00DE28DB"/>
    <w:rsid w:val="00DE323C"/>
    <w:rsid w:val="00DE4011"/>
    <w:rsid w:val="00DE48A9"/>
    <w:rsid w:val="00DE6422"/>
    <w:rsid w:val="00DE6DED"/>
    <w:rsid w:val="00DE7353"/>
    <w:rsid w:val="00DE7978"/>
    <w:rsid w:val="00DE7F9D"/>
    <w:rsid w:val="00DF0896"/>
    <w:rsid w:val="00DF0990"/>
    <w:rsid w:val="00DF0C95"/>
    <w:rsid w:val="00DF13CF"/>
    <w:rsid w:val="00DF1939"/>
    <w:rsid w:val="00DF2D21"/>
    <w:rsid w:val="00DF3185"/>
    <w:rsid w:val="00DF49AF"/>
    <w:rsid w:val="00DF4AD8"/>
    <w:rsid w:val="00DF5898"/>
    <w:rsid w:val="00DF7FCA"/>
    <w:rsid w:val="00E007BC"/>
    <w:rsid w:val="00E00986"/>
    <w:rsid w:val="00E00FDD"/>
    <w:rsid w:val="00E013F1"/>
    <w:rsid w:val="00E01A00"/>
    <w:rsid w:val="00E01DF8"/>
    <w:rsid w:val="00E024DA"/>
    <w:rsid w:val="00E031FD"/>
    <w:rsid w:val="00E03219"/>
    <w:rsid w:val="00E03688"/>
    <w:rsid w:val="00E0387F"/>
    <w:rsid w:val="00E03CCA"/>
    <w:rsid w:val="00E03EEE"/>
    <w:rsid w:val="00E04BAE"/>
    <w:rsid w:val="00E04D5D"/>
    <w:rsid w:val="00E04DF5"/>
    <w:rsid w:val="00E04E9F"/>
    <w:rsid w:val="00E0538C"/>
    <w:rsid w:val="00E07D25"/>
    <w:rsid w:val="00E07D97"/>
    <w:rsid w:val="00E10D49"/>
    <w:rsid w:val="00E11012"/>
    <w:rsid w:val="00E11C53"/>
    <w:rsid w:val="00E11D61"/>
    <w:rsid w:val="00E12C2C"/>
    <w:rsid w:val="00E13276"/>
    <w:rsid w:val="00E136D5"/>
    <w:rsid w:val="00E13FA2"/>
    <w:rsid w:val="00E14522"/>
    <w:rsid w:val="00E14653"/>
    <w:rsid w:val="00E14B2E"/>
    <w:rsid w:val="00E150AC"/>
    <w:rsid w:val="00E15460"/>
    <w:rsid w:val="00E154A6"/>
    <w:rsid w:val="00E154F7"/>
    <w:rsid w:val="00E15778"/>
    <w:rsid w:val="00E1621C"/>
    <w:rsid w:val="00E169AF"/>
    <w:rsid w:val="00E17157"/>
    <w:rsid w:val="00E17187"/>
    <w:rsid w:val="00E178EE"/>
    <w:rsid w:val="00E17FE0"/>
    <w:rsid w:val="00E20402"/>
    <w:rsid w:val="00E205D3"/>
    <w:rsid w:val="00E2146B"/>
    <w:rsid w:val="00E2153B"/>
    <w:rsid w:val="00E215ED"/>
    <w:rsid w:val="00E21EBF"/>
    <w:rsid w:val="00E2241E"/>
    <w:rsid w:val="00E2295F"/>
    <w:rsid w:val="00E22D99"/>
    <w:rsid w:val="00E232C0"/>
    <w:rsid w:val="00E23650"/>
    <w:rsid w:val="00E23F97"/>
    <w:rsid w:val="00E24124"/>
    <w:rsid w:val="00E250C5"/>
    <w:rsid w:val="00E25680"/>
    <w:rsid w:val="00E25B8A"/>
    <w:rsid w:val="00E25ED5"/>
    <w:rsid w:val="00E2606C"/>
    <w:rsid w:val="00E274B9"/>
    <w:rsid w:val="00E27BE5"/>
    <w:rsid w:val="00E30785"/>
    <w:rsid w:val="00E314C3"/>
    <w:rsid w:val="00E315CC"/>
    <w:rsid w:val="00E3190B"/>
    <w:rsid w:val="00E31DE9"/>
    <w:rsid w:val="00E3232E"/>
    <w:rsid w:val="00E32CE7"/>
    <w:rsid w:val="00E333E7"/>
    <w:rsid w:val="00E338B6"/>
    <w:rsid w:val="00E33B03"/>
    <w:rsid w:val="00E34CD5"/>
    <w:rsid w:val="00E350B9"/>
    <w:rsid w:val="00E35C2D"/>
    <w:rsid w:val="00E36B14"/>
    <w:rsid w:val="00E36F41"/>
    <w:rsid w:val="00E374A5"/>
    <w:rsid w:val="00E37C3A"/>
    <w:rsid w:val="00E40331"/>
    <w:rsid w:val="00E418A0"/>
    <w:rsid w:val="00E41B2B"/>
    <w:rsid w:val="00E43484"/>
    <w:rsid w:val="00E434CE"/>
    <w:rsid w:val="00E45273"/>
    <w:rsid w:val="00E4549F"/>
    <w:rsid w:val="00E45591"/>
    <w:rsid w:val="00E456C7"/>
    <w:rsid w:val="00E457C5"/>
    <w:rsid w:val="00E461F5"/>
    <w:rsid w:val="00E465B3"/>
    <w:rsid w:val="00E46AFB"/>
    <w:rsid w:val="00E46F19"/>
    <w:rsid w:val="00E47171"/>
    <w:rsid w:val="00E5001C"/>
    <w:rsid w:val="00E50B02"/>
    <w:rsid w:val="00E51074"/>
    <w:rsid w:val="00E51791"/>
    <w:rsid w:val="00E52E88"/>
    <w:rsid w:val="00E54F9D"/>
    <w:rsid w:val="00E55522"/>
    <w:rsid w:val="00E5634D"/>
    <w:rsid w:val="00E56B38"/>
    <w:rsid w:val="00E572B6"/>
    <w:rsid w:val="00E57C2A"/>
    <w:rsid w:val="00E57FCE"/>
    <w:rsid w:val="00E60121"/>
    <w:rsid w:val="00E602CA"/>
    <w:rsid w:val="00E60541"/>
    <w:rsid w:val="00E60C7E"/>
    <w:rsid w:val="00E61268"/>
    <w:rsid w:val="00E61774"/>
    <w:rsid w:val="00E63B4E"/>
    <w:rsid w:val="00E649F6"/>
    <w:rsid w:val="00E65035"/>
    <w:rsid w:val="00E654F0"/>
    <w:rsid w:val="00E659BC"/>
    <w:rsid w:val="00E66D63"/>
    <w:rsid w:val="00E670D9"/>
    <w:rsid w:val="00E700E6"/>
    <w:rsid w:val="00E70FF9"/>
    <w:rsid w:val="00E71D82"/>
    <w:rsid w:val="00E7279A"/>
    <w:rsid w:val="00E72FBC"/>
    <w:rsid w:val="00E73273"/>
    <w:rsid w:val="00E73898"/>
    <w:rsid w:val="00E74049"/>
    <w:rsid w:val="00E745C0"/>
    <w:rsid w:val="00E746C6"/>
    <w:rsid w:val="00E76341"/>
    <w:rsid w:val="00E76E0C"/>
    <w:rsid w:val="00E7713B"/>
    <w:rsid w:val="00E77295"/>
    <w:rsid w:val="00E77B7B"/>
    <w:rsid w:val="00E77DF0"/>
    <w:rsid w:val="00E80887"/>
    <w:rsid w:val="00E8132D"/>
    <w:rsid w:val="00E8182C"/>
    <w:rsid w:val="00E81FEF"/>
    <w:rsid w:val="00E83576"/>
    <w:rsid w:val="00E83B18"/>
    <w:rsid w:val="00E8405F"/>
    <w:rsid w:val="00E8461F"/>
    <w:rsid w:val="00E84787"/>
    <w:rsid w:val="00E84E2E"/>
    <w:rsid w:val="00E8540C"/>
    <w:rsid w:val="00E854AA"/>
    <w:rsid w:val="00E85890"/>
    <w:rsid w:val="00E86540"/>
    <w:rsid w:val="00E86A61"/>
    <w:rsid w:val="00E86C2E"/>
    <w:rsid w:val="00E876A4"/>
    <w:rsid w:val="00E90E08"/>
    <w:rsid w:val="00E90FD8"/>
    <w:rsid w:val="00E90FDB"/>
    <w:rsid w:val="00E92B6F"/>
    <w:rsid w:val="00E93FDF"/>
    <w:rsid w:val="00E9401D"/>
    <w:rsid w:val="00E94911"/>
    <w:rsid w:val="00E95D9C"/>
    <w:rsid w:val="00E9616A"/>
    <w:rsid w:val="00E96175"/>
    <w:rsid w:val="00E962E3"/>
    <w:rsid w:val="00E97225"/>
    <w:rsid w:val="00E9766B"/>
    <w:rsid w:val="00E97946"/>
    <w:rsid w:val="00E97970"/>
    <w:rsid w:val="00EA0124"/>
    <w:rsid w:val="00EA084E"/>
    <w:rsid w:val="00EA08FF"/>
    <w:rsid w:val="00EA0F99"/>
    <w:rsid w:val="00EA17BE"/>
    <w:rsid w:val="00EA17C9"/>
    <w:rsid w:val="00EA1FC7"/>
    <w:rsid w:val="00EA2767"/>
    <w:rsid w:val="00EA295C"/>
    <w:rsid w:val="00EA2ABF"/>
    <w:rsid w:val="00EA2D71"/>
    <w:rsid w:val="00EA2DE5"/>
    <w:rsid w:val="00EA4507"/>
    <w:rsid w:val="00EA49D5"/>
    <w:rsid w:val="00EA5179"/>
    <w:rsid w:val="00EA5678"/>
    <w:rsid w:val="00EA6EAA"/>
    <w:rsid w:val="00EA7321"/>
    <w:rsid w:val="00EA735B"/>
    <w:rsid w:val="00EA76CA"/>
    <w:rsid w:val="00EA7AD9"/>
    <w:rsid w:val="00EA7E81"/>
    <w:rsid w:val="00EB0AAA"/>
    <w:rsid w:val="00EB1581"/>
    <w:rsid w:val="00EB1619"/>
    <w:rsid w:val="00EB2F2E"/>
    <w:rsid w:val="00EB3003"/>
    <w:rsid w:val="00EB468A"/>
    <w:rsid w:val="00EB664B"/>
    <w:rsid w:val="00EB6FE8"/>
    <w:rsid w:val="00EC047B"/>
    <w:rsid w:val="00EC07BD"/>
    <w:rsid w:val="00EC09A3"/>
    <w:rsid w:val="00EC0F20"/>
    <w:rsid w:val="00EC1019"/>
    <w:rsid w:val="00EC1435"/>
    <w:rsid w:val="00EC1C51"/>
    <w:rsid w:val="00EC2131"/>
    <w:rsid w:val="00EC2560"/>
    <w:rsid w:val="00EC293C"/>
    <w:rsid w:val="00EC3D6F"/>
    <w:rsid w:val="00EC4DB7"/>
    <w:rsid w:val="00EC4E21"/>
    <w:rsid w:val="00EC4FA3"/>
    <w:rsid w:val="00EC59BB"/>
    <w:rsid w:val="00EC59F3"/>
    <w:rsid w:val="00EC69AB"/>
    <w:rsid w:val="00EC7847"/>
    <w:rsid w:val="00ED017F"/>
    <w:rsid w:val="00ED02EC"/>
    <w:rsid w:val="00ED0BE3"/>
    <w:rsid w:val="00ED0F47"/>
    <w:rsid w:val="00ED1A5F"/>
    <w:rsid w:val="00ED1EC2"/>
    <w:rsid w:val="00ED2516"/>
    <w:rsid w:val="00ED3CEE"/>
    <w:rsid w:val="00ED4D0E"/>
    <w:rsid w:val="00ED5177"/>
    <w:rsid w:val="00ED5365"/>
    <w:rsid w:val="00ED5F95"/>
    <w:rsid w:val="00ED6A55"/>
    <w:rsid w:val="00EE0EA3"/>
    <w:rsid w:val="00EE100E"/>
    <w:rsid w:val="00EE1180"/>
    <w:rsid w:val="00EE16B5"/>
    <w:rsid w:val="00EE1920"/>
    <w:rsid w:val="00EE1F29"/>
    <w:rsid w:val="00EE21EC"/>
    <w:rsid w:val="00EE2881"/>
    <w:rsid w:val="00EE2F55"/>
    <w:rsid w:val="00EE34C4"/>
    <w:rsid w:val="00EE48FE"/>
    <w:rsid w:val="00EE49C4"/>
    <w:rsid w:val="00EE5A49"/>
    <w:rsid w:val="00EE79CD"/>
    <w:rsid w:val="00EF06A6"/>
    <w:rsid w:val="00EF092B"/>
    <w:rsid w:val="00EF09B2"/>
    <w:rsid w:val="00EF0EF3"/>
    <w:rsid w:val="00EF0F47"/>
    <w:rsid w:val="00EF1D12"/>
    <w:rsid w:val="00EF1E56"/>
    <w:rsid w:val="00EF1F17"/>
    <w:rsid w:val="00EF29B8"/>
    <w:rsid w:val="00EF3527"/>
    <w:rsid w:val="00EF39CD"/>
    <w:rsid w:val="00EF4184"/>
    <w:rsid w:val="00EF41F1"/>
    <w:rsid w:val="00EF455B"/>
    <w:rsid w:val="00EF460D"/>
    <w:rsid w:val="00EF5031"/>
    <w:rsid w:val="00EF5915"/>
    <w:rsid w:val="00EF5B23"/>
    <w:rsid w:val="00EF5E7C"/>
    <w:rsid w:val="00EF6394"/>
    <w:rsid w:val="00EF6E63"/>
    <w:rsid w:val="00F001D3"/>
    <w:rsid w:val="00F0028C"/>
    <w:rsid w:val="00F00299"/>
    <w:rsid w:val="00F01ABD"/>
    <w:rsid w:val="00F01C46"/>
    <w:rsid w:val="00F0209B"/>
    <w:rsid w:val="00F023F9"/>
    <w:rsid w:val="00F02DD8"/>
    <w:rsid w:val="00F02F4A"/>
    <w:rsid w:val="00F038D0"/>
    <w:rsid w:val="00F0401F"/>
    <w:rsid w:val="00F04519"/>
    <w:rsid w:val="00F047F8"/>
    <w:rsid w:val="00F04867"/>
    <w:rsid w:val="00F04A16"/>
    <w:rsid w:val="00F062D7"/>
    <w:rsid w:val="00F064F4"/>
    <w:rsid w:val="00F06F9D"/>
    <w:rsid w:val="00F06FCF"/>
    <w:rsid w:val="00F10B14"/>
    <w:rsid w:val="00F112E8"/>
    <w:rsid w:val="00F11F9E"/>
    <w:rsid w:val="00F1226F"/>
    <w:rsid w:val="00F1265D"/>
    <w:rsid w:val="00F12695"/>
    <w:rsid w:val="00F12770"/>
    <w:rsid w:val="00F12EB0"/>
    <w:rsid w:val="00F1322F"/>
    <w:rsid w:val="00F135D0"/>
    <w:rsid w:val="00F13788"/>
    <w:rsid w:val="00F13D7F"/>
    <w:rsid w:val="00F14F2E"/>
    <w:rsid w:val="00F15579"/>
    <w:rsid w:val="00F156F4"/>
    <w:rsid w:val="00F17114"/>
    <w:rsid w:val="00F1736D"/>
    <w:rsid w:val="00F1751F"/>
    <w:rsid w:val="00F17555"/>
    <w:rsid w:val="00F17581"/>
    <w:rsid w:val="00F20577"/>
    <w:rsid w:val="00F210CC"/>
    <w:rsid w:val="00F212B7"/>
    <w:rsid w:val="00F214D4"/>
    <w:rsid w:val="00F214E7"/>
    <w:rsid w:val="00F22214"/>
    <w:rsid w:val="00F22964"/>
    <w:rsid w:val="00F23214"/>
    <w:rsid w:val="00F23D04"/>
    <w:rsid w:val="00F249B2"/>
    <w:rsid w:val="00F24BDA"/>
    <w:rsid w:val="00F24F17"/>
    <w:rsid w:val="00F25049"/>
    <w:rsid w:val="00F2556A"/>
    <w:rsid w:val="00F258C0"/>
    <w:rsid w:val="00F25E89"/>
    <w:rsid w:val="00F25FEF"/>
    <w:rsid w:val="00F26220"/>
    <w:rsid w:val="00F26576"/>
    <w:rsid w:val="00F26B15"/>
    <w:rsid w:val="00F274FE"/>
    <w:rsid w:val="00F30101"/>
    <w:rsid w:val="00F30172"/>
    <w:rsid w:val="00F306BC"/>
    <w:rsid w:val="00F30842"/>
    <w:rsid w:val="00F31321"/>
    <w:rsid w:val="00F3166B"/>
    <w:rsid w:val="00F330F7"/>
    <w:rsid w:val="00F33556"/>
    <w:rsid w:val="00F33D98"/>
    <w:rsid w:val="00F33EBB"/>
    <w:rsid w:val="00F3438F"/>
    <w:rsid w:val="00F346B2"/>
    <w:rsid w:val="00F36D89"/>
    <w:rsid w:val="00F37344"/>
    <w:rsid w:val="00F377CB"/>
    <w:rsid w:val="00F378DF"/>
    <w:rsid w:val="00F37F80"/>
    <w:rsid w:val="00F4048C"/>
    <w:rsid w:val="00F404C2"/>
    <w:rsid w:val="00F408E6"/>
    <w:rsid w:val="00F411AA"/>
    <w:rsid w:val="00F4146C"/>
    <w:rsid w:val="00F41E89"/>
    <w:rsid w:val="00F41E8A"/>
    <w:rsid w:val="00F41EBD"/>
    <w:rsid w:val="00F42151"/>
    <w:rsid w:val="00F430DE"/>
    <w:rsid w:val="00F4325C"/>
    <w:rsid w:val="00F4395A"/>
    <w:rsid w:val="00F43E12"/>
    <w:rsid w:val="00F442C6"/>
    <w:rsid w:val="00F444EB"/>
    <w:rsid w:val="00F44847"/>
    <w:rsid w:val="00F44A9A"/>
    <w:rsid w:val="00F45157"/>
    <w:rsid w:val="00F451BF"/>
    <w:rsid w:val="00F456E4"/>
    <w:rsid w:val="00F457E2"/>
    <w:rsid w:val="00F47582"/>
    <w:rsid w:val="00F47F2B"/>
    <w:rsid w:val="00F5055C"/>
    <w:rsid w:val="00F50B96"/>
    <w:rsid w:val="00F51024"/>
    <w:rsid w:val="00F51415"/>
    <w:rsid w:val="00F51EB7"/>
    <w:rsid w:val="00F5243A"/>
    <w:rsid w:val="00F52668"/>
    <w:rsid w:val="00F52746"/>
    <w:rsid w:val="00F52795"/>
    <w:rsid w:val="00F52F31"/>
    <w:rsid w:val="00F530EC"/>
    <w:rsid w:val="00F531EB"/>
    <w:rsid w:val="00F538CD"/>
    <w:rsid w:val="00F54C4B"/>
    <w:rsid w:val="00F55234"/>
    <w:rsid w:val="00F56A59"/>
    <w:rsid w:val="00F573EF"/>
    <w:rsid w:val="00F579A5"/>
    <w:rsid w:val="00F601E5"/>
    <w:rsid w:val="00F6089E"/>
    <w:rsid w:val="00F60E69"/>
    <w:rsid w:val="00F61445"/>
    <w:rsid w:val="00F614C8"/>
    <w:rsid w:val="00F61A37"/>
    <w:rsid w:val="00F61C3C"/>
    <w:rsid w:val="00F61DE5"/>
    <w:rsid w:val="00F61E2F"/>
    <w:rsid w:val="00F61FAB"/>
    <w:rsid w:val="00F620D8"/>
    <w:rsid w:val="00F62116"/>
    <w:rsid w:val="00F6213A"/>
    <w:rsid w:val="00F6278F"/>
    <w:rsid w:val="00F63109"/>
    <w:rsid w:val="00F6435E"/>
    <w:rsid w:val="00F65BB4"/>
    <w:rsid w:val="00F65D23"/>
    <w:rsid w:val="00F66381"/>
    <w:rsid w:val="00F67249"/>
    <w:rsid w:val="00F67AF1"/>
    <w:rsid w:val="00F70901"/>
    <w:rsid w:val="00F70FC0"/>
    <w:rsid w:val="00F70FC3"/>
    <w:rsid w:val="00F711EE"/>
    <w:rsid w:val="00F7143F"/>
    <w:rsid w:val="00F7173A"/>
    <w:rsid w:val="00F71E17"/>
    <w:rsid w:val="00F7264E"/>
    <w:rsid w:val="00F726B5"/>
    <w:rsid w:val="00F726BE"/>
    <w:rsid w:val="00F7275F"/>
    <w:rsid w:val="00F748F7"/>
    <w:rsid w:val="00F75456"/>
    <w:rsid w:val="00F75805"/>
    <w:rsid w:val="00F75DE8"/>
    <w:rsid w:val="00F8008C"/>
    <w:rsid w:val="00F805E3"/>
    <w:rsid w:val="00F812C8"/>
    <w:rsid w:val="00F81FD2"/>
    <w:rsid w:val="00F820DE"/>
    <w:rsid w:val="00F82864"/>
    <w:rsid w:val="00F8391B"/>
    <w:rsid w:val="00F8415A"/>
    <w:rsid w:val="00F848F8"/>
    <w:rsid w:val="00F8495C"/>
    <w:rsid w:val="00F849FD"/>
    <w:rsid w:val="00F84D85"/>
    <w:rsid w:val="00F84DE7"/>
    <w:rsid w:val="00F85603"/>
    <w:rsid w:val="00F864D3"/>
    <w:rsid w:val="00F87152"/>
    <w:rsid w:val="00F8724D"/>
    <w:rsid w:val="00F872E5"/>
    <w:rsid w:val="00F873CD"/>
    <w:rsid w:val="00F87D75"/>
    <w:rsid w:val="00F903C2"/>
    <w:rsid w:val="00F90AA7"/>
    <w:rsid w:val="00F91F7B"/>
    <w:rsid w:val="00F921EF"/>
    <w:rsid w:val="00F9291D"/>
    <w:rsid w:val="00F93125"/>
    <w:rsid w:val="00F932D3"/>
    <w:rsid w:val="00F93407"/>
    <w:rsid w:val="00F935B2"/>
    <w:rsid w:val="00F943E1"/>
    <w:rsid w:val="00F94A76"/>
    <w:rsid w:val="00F95355"/>
    <w:rsid w:val="00F95808"/>
    <w:rsid w:val="00F95CCA"/>
    <w:rsid w:val="00F961CC"/>
    <w:rsid w:val="00F96958"/>
    <w:rsid w:val="00F969AD"/>
    <w:rsid w:val="00F97FEF"/>
    <w:rsid w:val="00FA084B"/>
    <w:rsid w:val="00FA0F26"/>
    <w:rsid w:val="00FA2D0E"/>
    <w:rsid w:val="00FA59B0"/>
    <w:rsid w:val="00FA5DC7"/>
    <w:rsid w:val="00FA5E8C"/>
    <w:rsid w:val="00FA5FEE"/>
    <w:rsid w:val="00FA6ADC"/>
    <w:rsid w:val="00FA7091"/>
    <w:rsid w:val="00FA70B9"/>
    <w:rsid w:val="00FA7876"/>
    <w:rsid w:val="00FA7FCF"/>
    <w:rsid w:val="00FB0E6D"/>
    <w:rsid w:val="00FB1BC9"/>
    <w:rsid w:val="00FB26F4"/>
    <w:rsid w:val="00FB33CC"/>
    <w:rsid w:val="00FB39B9"/>
    <w:rsid w:val="00FB3AA8"/>
    <w:rsid w:val="00FB3E60"/>
    <w:rsid w:val="00FB4A59"/>
    <w:rsid w:val="00FB59E9"/>
    <w:rsid w:val="00FB64FF"/>
    <w:rsid w:val="00FB7611"/>
    <w:rsid w:val="00FB7D84"/>
    <w:rsid w:val="00FC019D"/>
    <w:rsid w:val="00FC0224"/>
    <w:rsid w:val="00FC0487"/>
    <w:rsid w:val="00FC1860"/>
    <w:rsid w:val="00FC196A"/>
    <w:rsid w:val="00FC276F"/>
    <w:rsid w:val="00FC2A7B"/>
    <w:rsid w:val="00FC2C63"/>
    <w:rsid w:val="00FC2D25"/>
    <w:rsid w:val="00FC2E31"/>
    <w:rsid w:val="00FC3691"/>
    <w:rsid w:val="00FC431A"/>
    <w:rsid w:val="00FC5129"/>
    <w:rsid w:val="00FC5F48"/>
    <w:rsid w:val="00FC5FC3"/>
    <w:rsid w:val="00FC62A1"/>
    <w:rsid w:val="00FC679C"/>
    <w:rsid w:val="00FC6DCC"/>
    <w:rsid w:val="00FC70F5"/>
    <w:rsid w:val="00FC778C"/>
    <w:rsid w:val="00FD144B"/>
    <w:rsid w:val="00FD1BEE"/>
    <w:rsid w:val="00FD30DD"/>
    <w:rsid w:val="00FD364B"/>
    <w:rsid w:val="00FD3F82"/>
    <w:rsid w:val="00FD4241"/>
    <w:rsid w:val="00FD4868"/>
    <w:rsid w:val="00FD546E"/>
    <w:rsid w:val="00FD55B3"/>
    <w:rsid w:val="00FD6080"/>
    <w:rsid w:val="00FD6E1F"/>
    <w:rsid w:val="00FD70ED"/>
    <w:rsid w:val="00FD7346"/>
    <w:rsid w:val="00FD73B3"/>
    <w:rsid w:val="00FD7488"/>
    <w:rsid w:val="00FD7AB2"/>
    <w:rsid w:val="00FD7DE9"/>
    <w:rsid w:val="00FD7E94"/>
    <w:rsid w:val="00FE0EDA"/>
    <w:rsid w:val="00FE2A6E"/>
    <w:rsid w:val="00FE3F20"/>
    <w:rsid w:val="00FE43AC"/>
    <w:rsid w:val="00FE5ACE"/>
    <w:rsid w:val="00FE634A"/>
    <w:rsid w:val="00FF0D86"/>
    <w:rsid w:val="00FF199B"/>
    <w:rsid w:val="00FF1E77"/>
    <w:rsid w:val="00FF2C80"/>
    <w:rsid w:val="00FF30A3"/>
    <w:rsid w:val="00FF3BD3"/>
    <w:rsid w:val="00FF3D26"/>
    <w:rsid w:val="00FF3F59"/>
    <w:rsid w:val="00FF4AE4"/>
    <w:rsid w:val="00FF57D3"/>
    <w:rsid w:val="00FF5D4C"/>
    <w:rsid w:val="00FF5F35"/>
    <w:rsid w:val="00FF6087"/>
    <w:rsid w:val="00FF614E"/>
    <w:rsid w:val="00FF6D6C"/>
    <w:rsid w:val="00FF6DA1"/>
    <w:rsid w:val="00FF6FAC"/>
    <w:rsid w:val="00FF7643"/>
    <w:rsid w:val="00FF7B9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48766F"/>
  <w15:chartTrackingRefBased/>
  <w15:docId w15:val="{5D24F4F0-B6CC-4C24-88F2-6821BAF4B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4555"/>
    <w:rPr>
      <w:rFonts w:ascii="Times New Roman" w:eastAsia="Times New Roman" w:hAnsi="Times New Roman" w:cs="Times New Roman"/>
      <w:kern w:val="0"/>
      <w:lang w:eastAsia="en-GB"/>
      <w14:ligatures w14:val="none"/>
    </w:rPr>
  </w:style>
  <w:style w:type="paragraph" w:styleId="Heading1">
    <w:name w:val="heading 1"/>
    <w:basedOn w:val="BodyText"/>
    <w:next w:val="BodyText"/>
    <w:link w:val="Heading1Char"/>
    <w:uiPriority w:val="9"/>
    <w:qFormat/>
    <w:rsid w:val="0027240E"/>
    <w:pPr>
      <w:keepNext/>
      <w:keepLines/>
      <w:pageBreakBefore/>
      <w:numPr>
        <w:numId w:val="32"/>
      </w:numPr>
      <w:spacing w:before="360" w:line="288" w:lineRule="auto"/>
      <w:outlineLvl w:val="0"/>
    </w:pPr>
    <w:rPr>
      <w:rFonts w:ascii="Montserrat" w:eastAsia="Times New Roman" w:hAnsi="Montserrat" w:cs="Calibri"/>
      <w:bCs/>
      <w:color w:val="053341"/>
      <w:kern w:val="0"/>
      <w:sz w:val="32"/>
      <w:szCs w:val="28"/>
      <w14:ligatures w14:val="none"/>
    </w:rPr>
  </w:style>
  <w:style w:type="paragraph" w:styleId="Heading2">
    <w:name w:val="heading 2"/>
    <w:basedOn w:val="BodyText"/>
    <w:next w:val="BodyText"/>
    <w:link w:val="Heading2Char"/>
    <w:uiPriority w:val="1"/>
    <w:qFormat/>
    <w:rsid w:val="0027240E"/>
    <w:pPr>
      <w:keepNext/>
      <w:keepLines/>
      <w:numPr>
        <w:ilvl w:val="1"/>
        <w:numId w:val="32"/>
      </w:numPr>
      <w:spacing w:before="360" w:after="0" w:line="288" w:lineRule="auto"/>
      <w:outlineLvl w:val="1"/>
    </w:pPr>
    <w:rPr>
      <w:rFonts w:ascii="Montserrat" w:eastAsia="Times New Roman" w:hAnsi="Montserrat" w:cs="Calibri"/>
      <w:bCs/>
      <w:color w:val="006579"/>
      <w:kern w:val="0"/>
      <w:sz w:val="28"/>
      <w:szCs w:val="26"/>
      <w14:ligatures w14:val="none"/>
    </w:rPr>
  </w:style>
  <w:style w:type="paragraph" w:styleId="Heading3">
    <w:name w:val="heading 3"/>
    <w:basedOn w:val="BodyText"/>
    <w:next w:val="BodyText"/>
    <w:link w:val="Heading3Char"/>
    <w:uiPriority w:val="1"/>
    <w:qFormat/>
    <w:rsid w:val="0027240E"/>
    <w:pPr>
      <w:keepNext/>
      <w:keepLines/>
      <w:numPr>
        <w:ilvl w:val="2"/>
        <w:numId w:val="32"/>
      </w:numPr>
      <w:spacing w:before="240" w:after="0" w:line="288" w:lineRule="auto"/>
      <w:outlineLvl w:val="2"/>
    </w:pPr>
    <w:rPr>
      <w:rFonts w:ascii="Montserrat" w:eastAsia="Times New Roman" w:hAnsi="Montserrat" w:cs="Calibri"/>
      <w:bCs/>
      <w:color w:val="00968F"/>
      <w:kern w:val="0"/>
      <w:szCs w:val="20"/>
      <w14:ligatures w14:val="none"/>
    </w:rPr>
  </w:style>
  <w:style w:type="paragraph" w:styleId="Heading4">
    <w:name w:val="heading 4"/>
    <w:basedOn w:val="BodyText"/>
    <w:next w:val="BodyText"/>
    <w:link w:val="Heading4Char"/>
    <w:uiPriority w:val="1"/>
    <w:qFormat/>
    <w:rsid w:val="0027240E"/>
    <w:pPr>
      <w:keepNext/>
      <w:keepLines/>
      <w:numPr>
        <w:ilvl w:val="3"/>
        <w:numId w:val="32"/>
      </w:numPr>
      <w:spacing w:before="200" w:after="0" w:line="288" w:lineRule="auto"/>
      <w:outlineLvl w:val="3"/>
    </w:pPr>
    <w:rPr>
      <w:rFonts w:ascii="Montserrat" w:eastAsia="Times New Roman" w:hAnsi="Montserrat" w:cs="Calibri"/>
      <w:bCs/>
      <w:iCs/>
      <w:color w:val="595959"/>
      <w:kern w:val="0"/>
      <w:sz w:val="22"/>
      <w:szCs w:val="20"/>
      <w14:ligatures w14:val="none"/>
    </w:rPr>
  </w:style>
  <w:style w:type="paragraph" w:styleId="Heading5">
    <w:name w:val="heading 5"/>
    <w:basedOn w:val="BodyText"/>
    <w:next w:val="BodyText"/>
    <w:link w:val="Heading5Char"/>
    <w:uiPriority w:val="1"/>
    <w:qFormat/>
    <w:rsid w:val="0027240E"/>
    <w:pPr>
      <w:keepNext/>
      <w:keepLines/>
      <w:spacing w:before="360" w:after="0"/>
      <w:outlineLvl w:val="4"/>
    </w:pPr>
    <w:rPr>
      <w:rFonts w:ascii="Montserrat" w:eastAsia="Calibri" w:hAnsi="Montserrat" w:cs="Calibri"/>
      <w:bCs/>
      <w:iCs/>
      <w:color w:val="70AD47" w:themeColor="accent6"/>
      <w:kern w:val="0"/>
      <w:sz w:val="20"/>
      <w:szCs w:val="22"/>
      <w:lang w:val="en"/>
      <w14:ligatures w14:val="none"/>
    </w:rPr>
  </w:style>
  <w:style w:type="paragraph" w:styleId="Heading6">
    <w:name w:val="heading 6"/>
    <w:basedOn w:val="BodyText"/>
    <w:next w:val="BodyText"/>
    <w:link w:val="Heading6Char"/>
    <w:uiPriority w:val="1"/>
    <w:qFormat/>
    <w:rsid w:val="0027240E"/>
    <w:pPr>
      <w:keepNext/>
      <w:keepLines/>
      <w:spacing w:before="200" w:line="288" w:lineRule="auto"/>
      <w:outlineLvl w:val="5"/>
    </w:pPr>
    <w:rPr>
      <w:rFonts w:ascii="Calibri Light" w:eastAsia="Times New Roman" w:hAnsi="Calibri Light" w:cs="Calibri"/>
      <w:i/>
      <w:iCs/>
      <w:color w:val="806000" w:themeColor="accent4" w:themeShade="80"/>
      <w:kern w:val="0"/>
      <w:sz w:val="19"/>
      <w:szCs w:val="20"/>
      <w14:ligatures w14:val="none"/>
    </w:rPr>
  </w:style>
  <w:style w:type="paragraph" w:styleId="Heading7">
    <w:name w:val="heading 7"/>
    <w:basedOn w:val="BodyText"/>
    <w:next w:val="BodyText"/>
    <w:link w:val="Heading7Char"/>
    <w:uiPriority w:val="1"/>
    <w:qFormat/>
    <w:rsid w:val="0027240E"/>
    <w:pPr>
      <w:keepNext/>
      <w:keepLines/>
      <w:spacing w:before="200" w:line="288" w:lineRule="auto"/>
      <w:outlineLvl w:val="6"/>
    </w:pPr>
    <w:rPr>
      <w:rFonts w:ascii="Cambria" w:eastAsia="Times New Roman" w:hAnsi="Cambria" w:cs="Calibri"/>
      <w:i/>
      <w:iCs/>
      <w:color w:val="404040"/>
      <w:kern w:val="0"/>
      <w:sz w:val="19"/>
      <w:szCs w:val="20"/>
      <w14:ligatures w14:val="none"/>
    </w:rPr>
  </w:style>
  <w:style w:type="paragraph" w:styleId="Heading8">
    <w:name w:val="heading 8"/>
    <w:basedOn w:val="BodyText"/>
    <w:next w:val="BodyText"/>
    <w:link w:val="Heading8Char"/>
    <w:uiPriority w:val="1"/>
    <w:qFormat/>
    <w:rsid w:val="0027240E"/>
    <w:pPr>
      <w:keepNext/>
      <w:keepLines/>
      <w:spacing w:before="200" w:line="288" w:lineRule="auto"/>
      <w:outlineLvl w:val="7"/>
    </w:pPr>
    <w:rPr>
      <w:rFonts w:ascii="Cambria" w:eastAsia="Times New Roman" w:hAnsi="Cambria" w:cs="Calibri"/>
      <w:color w:val="404040"/>
      <w:kern w:val="0"/>
      <w:sz w:val="19"/>
      <w:szCs w:val="20"/>
      <w14:ligatures w14:val="none"/>
    </w:rPr>
  </w:style>
  <w:style w:type="paragraph" w:styleId="Heading9">
    <w:name w:val="heading 9"/>
    <w:basedOn w:val="BodyText"/>
    <w:next w:val="BodyText"/>
    <w:link w:val="Heading9Char"/>
    <w:uiPriority w:val="1"/>
    <w:qFormat/>
    <w:rsid w:val="0027240E"/>
    <w:pPr>
      <w:keepNext/>
      <w:keepLines/>
      <w:spacing w:before="200" w:line="288" w:lineRule="auto"/>
      <w:outlineLvl w:val="8"/>
    </w:pPr>
    <w:rPr>
      <w:rFonts w:ascii="Cambria" w:eastAsia="Times New Roman" w:hAnsi="Cambria" w:cs="Calibri"/>
      <w:i/>
      <w:iCs/>
      <w:color w:val="404040"/>
      <w:kern w:val="0"/>
      <w:sz w:val="19"/>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Summary box,Table Gridbeth,RTI AMCP Table,new style,ASD Table,HealthConsult"/>
    <w:basedOn w:val="TableNormal"/>
    <w:uiPriority w:val="39"/>
    <w:rsid w:val="001E5BA1"/>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ption1">
    <w:name w:val="Caption1"/>
    <w:basedOn w:val="Normal"/>
    <w:link w:val="CAPTIONChar"/>
    <w:qFormat/>
    <w:rsid w:val="001E5BA1"/>
    <w:pPr>
      <w:keepNext/>
      <w:spacing w:before="240" w:after="60"/>
    </w:pPr>
    <w:rPr>
      <w:rFonts w:ascii="Arial Narrow" w:eastAsiaTheme="minorHAnsi" w:hAnsi="Arial Narrow" w:cs="Arial"/>
      <w:b/>
      <w:bCs/>
      <w:color w:val="000000" w:themeColor="text1"/>
      <w:sz w:val="20"/>
      <w:szCs w:val="20"/>
      <w:lang w:eastAsia="en-US"/>
    </w:rPr>
  </w:style>
  <w:style w:type="character" w:customStyle="1" w:styleId="CAPTIONChar">
    <w:name w:val="CAPTION Char"/>
    <w:basedOn w:val="DefaultParagraphFont"/>
    <w:link w:val="Caption1"/>
    <w:rsid w:val="001E5BA1"/>
    <w:rPr>
      <w:rFonts w:ascii="Arial Narrow" w:hAnsi="Arial Narrow" w:cs="Arial"/>
      <w:b/>
      <w:bCs/>
      <w:color w:val="000000" w:themeColor="text1"/>
      <w:kern w:val="0"/>
      <w:sz w:val="20"/>
      <w:szCs w:val="20"/>
      <w14:ligatures w14:val="none"/>
    </w:rPr>
  </w:style>
  <w:style w:type="paragraph" w:customStyle="1" w:styleId="TableText">
    <w:name w:val="Table Text"/>
    <w:basedOn w:val="Normal"/>
    <w:link w:val="TableTextChar"/>
    <w:qFormat/>
    <w:rsid w:val="001E5BA1"/>
    <w:pPr>
      <w:framePr w:hSpace="180" w:wrap="around" w:vAnchor="text" w:hAnchor="text" w:y="-85"/>
    </w:pPr>
    <w:rPr>
      <w:rFonts w:ascii="Arial Narrow" w:eastAsiaTheme="minorHAnsi" w:hAnsi="Arial Narrow" w:cs="Arial"/>
      <w:sz w:val="20"/>
      <w:szCs w:val="20"/>
      <w:lang w:eastAsia="en-US"/>
    </w:rPr>
  </w:style>
  <w:style w:type="character" w:customStyle="1" w:styleId="TableTextChar">
    <w:name w:val="Table Text Char"/>
    <w:basedOn w:val="DefaultParagraphFont"/>
    <w:link w:val="TableText"/>
    <w:rsid w:val="001E5BA1"/>
    <w:rPr>
      <w:rFonts w:ascii="Arial Narrow" w:hAnsi="Arial Narrow" w:cs="Arial"/>
      <w:kern w:val="0"/>
      <w:sz w:val="20"/>
      <w:szCs w:val="20"/>
      <w14:ligatures w14:val="none"/>
    </w:rPr>
  </w:style>
  <w:style w:type="paragraph" w:customStyle="1" w:styleId="TableFigureFooter">
    <w:name w:val="Table/Figure Footer"/>
    <w:basedOn w:val="Normal"/>
    <w:link w:val="TableFigureFooterChar"/>
    <w:qFormat/>
    <w:rsid w:val="001E5BA1"/>
    <w:pPr>
      <w:tabs>
        <w:tab w:val="left" w:pos="284"/>
      </w:tabs>
      <w:spacing w:after="360"/>
      <w:jc w:val="both"/>
    </w:pPr>
    <w:rPr>
      <w:rFonts w:ascii="Arial Narrow" w:hAnsi="Arial Narrow" w:cs="Arial"/>
      <w:snapToGrid w:val="0"/>
      <w:sz w:val="18"/>
      <w:szCs w:val="22"/>
      <w:lang w:eastAsia="en-AU"/>
    </w:rPr>
  </w:style>
  <w:style w:type="character" w:customStyle="1" w:styleId="TableFigureFooterChar">
    <w:name w:val="Table/Figure Footer Char"/>
    <w:link w:val="TableFigureFooter"/>
    <w:rsid w:val="001E5BA1"/>
    <w:rPr>
      <w:rFonts w:ascii="Arial Narrow" w:eastAsia="Times New Roman" w:hAnsi="Arial Narrow" w:cs="Arial"/>
      <w:snapToGrid w:val="0"/>
      <w:kern w:val="0"/>
      <w:sz w:val="18"/>
      <w:szCs w:val="22"/>
      <w:lang w:eastAsia="en-AU"/>
      <w14:ligatures w14:val="none"/>
    </w:rPr>
  </w:style>
  <w:style w:type="paragraph" w:styleId="NormalWeb">
    <w:name w:val="Normal (Web)"/>
    <w:basedOn w:val="Normal"/>
    <w:uiPriority w:val="99"/>
    <w:unhideWhenUsed/>
    <w:rsid w:val="008F5E35"/>
    <w:pPr>
      <w:spacing w:before="100" w:beforeAutospacing="1" w:after="100" w:afterAutospacing="1"/>
    </w:pPr>
  </w:style>
  <w:style w:type="character" w:styleId="CommentReference">
    <w:name w:val="annotation reference"/>
    <w:basedOn w:val="DefaultParagraphFont"/>
    <w:uiPriority w:val="99"/>
    <w:unhideWhenUsed/>
    <w:rsid w:val="008538F2"/>
    <w:rPr>
      <w:sz w:val="16"/>
      <w:szCs w:val="16"/>
    </w:rPr>
  </w:style>
  <w:style w:type="paragraph" w:styleId="CommentText">
    <w:name w:val="annotation text"/>
    <w:basedOn w:val="Normal"/>
    <w:link w:val="CommentTextChar"/>
    <w:uiPriority w:val="99"/>
    <w:unhideWhenUsed/>
    <w:rsid w:val="008538F2"/>
    <w:rPr>
      <w:rFonts w:asciiTheme="minorHAnsi" w:eastAsiaTheme="minorHAnsi" w:hAnsiTheme="minorHAnsi" w:cstheme="minorBidi"/>
      <w:kern w:val="2"/>
      <w:sz w:val="20"/>
      <w:szCs w:val="20"/>
      <w:lang w:eastAsia="en-US"/>
      <w14:ligatures w14:val="standardContextual"/>
    </w:rPr>
  </w:style>
  <w:style w:type="character" w:customStyle="1" w:styleId="CommentTextChar">
    <w:name w:val="Comment Text Char"/>
    <w:basedOn w:val="DefaultParagraphFont"/>
    <w:link w:val="CommentText"/>
    <w:uiPriority w:val="99"/>
    <w:rsid w:val="008538F2"/>
    <w:rPr>
      <w:sz w:val="20"/>
      <w:szCs w:val="20"/>
    </w:rPr>
  </w:style>
  <w:style w:type="paragraph" w:styleId="CommentSubject">
    <w:name w:val="annotation subject"/>
    <w:basedOn w:val="CommentText"/>
    <w:next w:val="CommentText"/>
    <w:link w:val="CommentSubjectChar"/>
    <w:uiPriority w:val="99"/>
    <w:semiHidden/>
    <w:unhideWhenUsed/>
    <w:rsid w:val="008538F2"/>
    <w:rPr>
      <w:b/>
      <w:bCs/>
    </w:rPr>
  </w:style>
  <w:style w:type="character" w:customStyle="1" w:styleId="CommentSubjectChar">
    <w:name w:val="Comment Subject Char"/>
    <w:basedOn w:val="CommentTextChar"/>
    <w:link w:val="CommentSubject"/>
    <w:uiPriority w:val="99"/>
    <w:semiHidden/>
    <w:rsid w:val="008538F2"/>
    <w:rPr>
      <w:b/>
      <w:bCs/>
      <w:sz w:val="20"/>
      <w:szCs w:val="20"/>
    </w:rPr>
  </w:style>
  <w:style w:type="paragraph" w:customStyle="1" w:styleId="c1">
    <w:name w:val="c1"/>
    <w:basedOn w:val="Normal"/>
    <w:rsid w:val="001C11FD"/>
    <w:pPr>
      <w:spacing w:before="100" w:beforeAutospacing="1" w:after="100" w:afterAutospacing="1"/>
    </w:pPr>
  </w:style>
  <w:style w:type="character" w:customStyle="1" w:styleId="c0">
    <w:name w:val="c0"/>
    <w:basedOn w:val="DefaultParagraphFont"/>
    <w:rsid w:val="001C11FD"/>
  </w:style>
  <w:style w:type="numbering" w:customStyle="1" w:styleId="CurrentList1">
    <w:name w:val="Current List1"/>
    <w:uiPriority w:val="99"/>
    <w:rsid w:val="00FF7B9D"/>
    <w:pPr>
      <w:numPr>
        <w:numId w:val="1"/>
      </w:numPr>
    </w:pPr>
  </w:style>
  <w:style w:type="character" w:customStyle="1" w:styleId="Heading1Char">
    <w:name w:val="Heading 1 Char"/>
    <w:basedOn w:val="DefaultParagraphFont"/>
    <w:link w:val="Heading1"/>
    <w:uiPriority w:val="1"/>
    <w:rsid w:val="0027240E"/>
    <w:rPr>
      <w:rFonts w:ascii="Montserrat" w:eastAsia="Times New Roman" w:hAnsi="Montserrat" w:cs="Calibri"/>
      <w:bCs/>
      <w:color w:val="053341"/>
      <w:kern w:val="0"/>
      <w:sz w:val="32"/>
      <w:szCs w:val="28"/>
      <w14:ligatures w14:val="none"/>
    </w:rPr>
  </w:style>
  <w:style w:type="character" w:customStyle="1" w:styleId="Heading2Char">
    <w:name w:val="Heading 2 Char"/>
    <w:basedOn w:val="DefaultParagraphFont"/>
    <w:link w:val="Heading2"/>
    <w:uiPriority w:val="1"/>
    <w:rsid w:val="0027240E"/>
    <w:rPr>
      <w:rFonts w:ascii="Montserrat" w:eastAsia="Times New Roman" w:hAnsi="Montserrat" w:cs="Calibri"/>
      <w:bCs/>
      <w:color w:val="006579"/>
      <w:kern w:val="0"/>
      <w:sz w:val="28"/>
      <w:szCs w:val="26"/>
      <w14:ligatures w14:val="none"/>
    </w:rPr>
  </w:style>
  <w:style w:type="character" w:customStyle="1" w:styleId="Heading3Char">
    <w:name w:val="Heading 3 Char"/>
    <w:basedOn w:val="DefaultParagraphFont"/>
    <w:link w:val="Heading3"/>
    <w:uiPriority w:val="1"/>
    <w:rsid w:val="0027240E"/>
    <w:rPr>
      <w:rFonts w:ascii="Montserrat" w:eastAsia="Times New Roman" w:hAnsi="Montserrat" w:cs="Calibri"/>
      <w:bCs/>
      <w:color w:val="00968F"/>
      <w:kern w:val="0"/>
      <w:szCs w:val="20"/>
      <w14:ligatures w14:val="none"/>
    </w:rPr>
  </w:style>
  <w:style w:type="character" w:customStyle="1" w:styleId="Heading4Char">
    <w:name w:val="Heading 4 Char"/>
    <w:basedOn w:val="DefaultParagraphFont"/>
    <w:link w:val="Heading4"/>
    <w:uiPriority w:val="1"/>
    <w:rsid w:val="0027240E"/>
    <w:rPr>
      <w:rFonts w:ascii="Montserrat" w:eastAsia="Times New Roman" w:hAnsi="Montserrat" w:cs="Calibri"/>
      <w:bCs/>
      <w:iCs/>
      <w:color w:val="595959"/>
      <w:kern w:val="0"/>
      <w:sz w:val="22"/>
      <w:szCs w:val="20"/>
      <w14:ligatures w14:val="none"/>
    </w:rPr>
  </w:style>
  <w:style w:type="character" w:styleId="FootnoteReference">
    <w:name w:val="footnote reference"/>
    <w:basedOn w:val="DefaultParagraphFont"/>
    <w:uiPriority w:val="99"/>
    <w:rsid w:val="003E59EB"/>
    <w:rPr>
      <w:caps w:val="0"/>
      <w:smallCaps w:val="0"/>
      <w:strike w:val="0"/>
      <w:dstrike w:val="0"/>
      <w:vanish w:val="0"/>
      <w:vertAlign w:val="superscript"/>
    </w:rPr>
  </w:style>
  <w:style w:type="paragraph" w:customStyle="1" w:styleId="TableH1">
    <w:name w:val="Table H1"/>
    <w:basedOn w:val="BodyText"/>
    <w:uiPriority w:val="4"/>
    <w:qFormat/>
    <w:rsid w:val="003E59EB"/>
    <w:pPr>
      <w:keepNext/>
      <w:keepLines/>
      <w:spacing w:before="20" w:after="20"/>
    </w:pPr>
    <w:rPr>
      <w:rFonts w:ascii="Montserrat" w:eastAsia="Calibri" w:hAnsi="Montserrat" w:cs="Calibri"/>
      <w:b/>
      <w:color w:val="000000"/>
      <w:kern w:val="0"/>
      <w:sz w:val="18"/>
      <w:szCs w:val="16"/>
      <w:lang w:val="en-US"/>
      <w14:ligatures w14:val="none"/>
    </w:rPr>
  </w:style>
  <w:style w:type="paragraph" w:customStyle="1" w:styleId="TableFigNotes18">
    <w:name w:val="TableFigNotes+18"/>
    <w:basedOn w:val="Normal"/>
    <w:next w:val="BodyText"/>
    <w:link w:val="TableFigNotes18Char"/>
    <w:uiPriority w:val="4"/>
    <w:qFormat/>
    <w:rsid w:val="003E59EB"/>
    <w:pPr>
      <w:keepLines/>
      <w:spacing w:before="60" w:after="360" w:line="276" w:lineRule="auto"/>
      <w:ind w:left="170" w:hanging="170"/>
      <w:contextualSpacing/>
    </w:pPr>
    <w:rPr>
      <w:rFonts w:ascii="Montserrat" w:eastAsia="Calibri" w:hAnsi="Montserrat" w:cs="Calibri"/>
      <w:sz w:val="14"/>
      <w:szCs w:val="20"/>
      <w:lang w:eastAsia="en-US"/>
    </w:rPr>
  </w:style>
  <w:style w:type="character" w:styleId="Strong">
    <w:name w:val="Strong"/>
    <w:uiPriority w:val="22"/>
    <w:qFormat/>
    <w:rsid w:val="003E59EB"/>
    <w:rPr>
      <w:b/>
      <w:bCs/>
    </w:rPr>
  </w:style>
  <w:style w:type="character" w:styleId="Emphasis">
    <w:name w:val="Emphasis"/>
    <w:uiPriority w:val="20"/>
    <w:qFormat/>
    <w:rsid w:val="003E59EB"/>
    <w:rPr>
      <w:i/>
      <w:iCs/>
    </w:rPr>
  </w:style>
  <w:style w:type="character" w:customStyle="1" w:styleId="TableFigNotes18Char">
    <w:name w:val="TableFigNotes+18 Char"/>
    <w:basedOn w:val="DefaultParagraphFont"/>
    <w:link w:val="TableFigNotes18"/>
    <w:uiPriority w:val="4"/>
    <w:locked/>
    <w:rsid w:val="003E59EB"/>
    <w:rPr>
      <w:rFonts w:ascii="Montserrat" w:eastAsia="Calibri" w:hAnsi="Montserrat" w:cs="Calibri"/>
      <w:kern w:val="0"/>
      <w:sz w:val="14"/>
      <w:szCs w:val="20"/>
      <w14:ligatures w14:val="none"/>
    </w:rPr>
  </w:style>
  <w:style w:type="paragraph" w:customStyle="1" w:styleId="Heading4a">
    <w:name w:val="Heading 4a"/>
    <w:basedOn w:val="Heading4"/>
    <w:link w:val="Heading4aChar"/>
    <w:qFormat/>
    <w:rsid w:val="0027240E"/>
    <w:pPr>
      <w:numPr>
        <w:ilvl w:val="0"/>
        <w:numId w:val="0"/>
      </w:numPr>
      <w:outlineLvl w:val="9"/>
    </w:pPr>
    <w:rPr>
      <w:i/>
      <w:sz w:val="18"/>
      <w:szCs w:val="18"/>
    </w:rPr>
  </w:style>
  <w:style w:type="character" w:customStyle="1" w:styleId="Heading4aChar">
    <w:name w:val="Heading 4a Char"/>
    <w:basedOn w:val="Heading4Char"/>
    <w:link w:val="Heading4a"/>
    <w:rsid w:val="0027240E"/>
    <w:rPr>
      <w:rFonts w:ascii="Montserrat" w:eastAsia="Times New Roman" w:hAnsi="Montserrat" w:cs="Calibri"/>
      <w:bCs/>
      <w:i/>
      <w:iCs/>
      <w:color w:val="595959"/>
      <w:kern w:val="0"/>
      <w:sz w:val="18"/>
      <w:szCs w:val="18"/>
      <w14:ligatures w14:val="none"/>
    </w:rPr>
  </w:style>
  <w:style w:type="paragraph" w:customStyle="1" w:styleId="Qualitytext">
    <w:name w:val="Quality text"/>
    <w:basedOn w:val="Tabletext8pt"/>
    <w:link w:val="QualitytextChar"/>
    <w:qFormat/>
    <w:rsid w:val="003E59EB"/>
    <w:pPr>
      <w:jc w:val="center"/>
    </w:pPr>
    <w:rPr>
      <w:caps/>
    </w:rPr>
  </w:style>
  <w:style w:type="paragraph" w:customStyle="1" w:styleId="TableH28pt">
    <w:name w:val="Table H2 8pt"/>
    <w:basedOn w:val="Normal"/>
    <w:qFormat/>
    <w:rsid w:val="003E59EB"/>
    <w:pPr>
      <w:keepNext/>
      <w:keepLines/>
      <w:spacing w:before="20" w:after="20"/>
      <w:contextualSpacing/>
    </w:pPr>
    <w:rPr>
      <w:rFonts w:ascii="Montserrat" w:eastAsia="Calibri" w:hAnsi="Montserrat" w:cs="Calibri"/>
      <w:b/>
      <w:color w:val="000000"/>
      <w:sz w:val="16"/>
      <w:szCs w:val="20"/>
      <w:lang w:eastAsia="en-US"/>
    </w:rPr>
  </w:style>
  <w:style w:type="paragraph" w:customStyle="1" w:styleId="Tabletext8pt">
    <w:name w:val="Table text 8pt"/>
    <w:basedOn w:val="TableText"/>
    <w:link w:val="Tabletext8ptChar"/>
    <w:qFormat/>
    <w:rsid w:val="003E59EB"/>
    <w:pPr>
      <w:keepLines/>
      <w:framePr w:hSpace="0" w:wrap="auto" w:vAnchor="margin" w:yAlign="inline"/>
      <w:spacing w:before="20" w:after="20" w:line="276" w:lineRule="auto"/>
    </w:pPr>
    <w:rPr>
      <w:rFonts w:ascii="Montserrat" w:eastAsia="Calibri" w:hAnsi="Montserrat" w:cs="Calibri"/>
      <w:color w:val="000000"/>
      <w:sz w:val="16"/>
      <w:szCs w:val="16"/>
    </w:rPr>
  </w:style>
  <w:style w:type="character" w:customStyle="1" w:styleId="Tabletext8ptChar">
    <w:name w:val="Table text 8pt Char"/>
    <w:basedOn w:val="TableTextChar"/>
    <w:link w:val="Tabletext8pt"/>
    <w:rsid w:val="003E59EB"/>
    <w:rPr>
      <w:rFonts w:ascii="Montserrat" w:eastAsia="Calibri" w:hAnsi="Montserrat" w:cs="Calibri"/>
      <w:color w:val="000000"/>
      <w:kern w:val="0"/>
      <w:sz w:val="16"/>
      <w:szCs w:val="16"/>
      <w14:ligatures w14:val="none"/>
    </w:rPr>
  </w:style>
  <w:style w:type="character" w:customStyle="1" w:styleId="QualitytextChar">
    <w:name w:val="Quality text Char"/>
    <w:basedOn w:val="Tabletext8ptChar"/>
    <w:link w:val="Qualitytext"/>
    <w:rsid w:val="003E59EB"/>
    <w:rPr>
      <w:rFonts w:ascii="Montserrat" w:eastAsia="Calibri" w:hAnsi="Montserrat" w:cs="Calibri"/>
      <w:caps/>
      <w:color w:val="000000"/>
      <w:kern w:val="0"/>
      <w:sz w:val="16"/>
      <w:szCs w:val="16"/>
      <w14:ligatures w14:val="none"/>
    </w:rPr>
  </w:style>
  <w:style w:type="paragraph" w:styleId="BodyText">
    <w:name w:val="Body Text"/>
    <w:basedOn w:val="Normal"/>
    <w:link w:val="BodyTextChar"/>
    <w:uiPriority w:val="99"/>
    <w:unhideWhenUsed/>
    <w:qFormat/>
    <w:rsid w:val="003E59EB"/>
    <w:pPr>
      <w:spacing w:after="120"/>
    </w:pPr>
    <w:rPr>
      <w:rFonts w:asciiTheme="minorHAnsi" w:eastAsiaTheme="minorHAnsi" w:hAnsiTheme="minorHAnsi" w:cstheme="minorBidi"/>
      <w:kern w:val="2"/>
      <w:lang w:eastAsia="en-US"/>
      <w14:ligatures w14:val="standardContextual"/>
    </w:rPr>
  </w:style>
  <w:style w:type="character" w:customStyle="1" w:styleId="BodyTextChar">
    <w:name w:val="Body Text Char"/>
    <w:basedOn w:val="DefaultParagraphFont"/>
    <w:link w:val="BodyText"/>
    <w:uiPriority w:val="99"/>
    <w:rsid w:val="003E59EB"/>
  </w:style>
  <w:style w:type="character" w:customStyle="1" w:styleId="cf01">
    <w:name w:val="cf01"/>
    <w:basedOn w:val="DefaultParagraphFont"/>
    <w:rsid w:val="00195AA8"/>
    <w:rPr>
      <w:rFonts w:ascii="Segoe UI" w:hAnsi="Segoe UI" w:cs="Segoe UI" w:hint="default"/>
      <w:sz w:val="18"/>
      <w:szCs w:val="18"/>
    </w:rPr>
  </w:style>
  <w:style w:type="paragraph" w:styleId="ListParagraph">
    <w:name w:val="List Paragraph"/>
    <w:aliases w:val="Bullet Point,Bullet point,Bulletr List Paragraph,Content descriptions,FooterText,L,List Bullet 1,List Paragraph1,List Paragraph11,List Paragraph2,List Paragraph21,Listeafsnit1,NFP GP Bulleted List,Paragraphe de liste1,Recommendation,リスト段落"/>
    <w:basedOn w:val="Normal"/>
    <w:link w:val="ListParagraphChar"/>
    <w:uiPriority w:val="34"/>
    <w:qFormat/>
    <w:rsid w:val="00873BDC"/>
    <w:pPr>
      <w:ind w:left="720"/>
      <w:contextualSpacing/>
    </w:pPr>
    <w:rPr>
      <w:rFonts w:asciiTheme="minorHAnsi" w:eastAsiaTheme="minorHAnsi" w:hAnsiTheme="minorHAnsi" w:cstheme="minorBidi"/>
      <w:kern w:val="2"/>
      <w:lang w:eastAsia="en-US"/>
      <w14:ligatures w14:val="standardContextual"/>
    </w:rPr>
  </w:style>
  <w:style w:type="paragraph" w:customStyle="1" w:styleId="2024TABLECAPTION">
    <w:name w:val="2024_TABLE CAPTION"/>
    <w:basedOn w:val="Caption1"/>
    <w:qFormat/>
    <w:rsid w:val="000D7C07"/>
    <w:pPr>
      <w:spacing w:before="0"/>
    </w:pPr>
    <w:rPr>
      <w:rFonts w:ascii="Aptos SemiBold" w:eastAsia="Times New Roman" w:hAnsi="Aptos SemiBold" w:cs="Times New Roman"/>
      <w:lang w:eastAsia="en-GB"/>
    </w:rPr>
  </w:style>
  <w:style w:type="paragraph" w:customStyle="1" w:styleId="2024TABLEHEADER">
    <w:name w:val="2024_TABLE HEADER"/>
    <w:basedOn w:val="Normal"/>
    <w:qFormat/>
    <w:rsid w:val="00757E30"/>
    <w:pPr>
      <w:tabs>
        <w:tab w:val="center" w:pos="4513"/>
        <w:tab w:val="right" w:pos="9026"/>
      </w:tabs>
      <w:spacing w:before="60" w:after="60" w:line="216" w:lineRule="auto"/>
      <w:ind w:right="113"/>
    </w:pPr>
    <w:rPr>
      <w:rFonts w:ascii="Aptos" w:hAnsi="Aptos"/>
      <w:b/>
      <w:bCs/>
      <w:sz w:val="18"/>
      <w:szCs w:val="18"/>
      <w:lang w:eastAsia="en-AU"/>
    </w:rPr>
  </w:style>
  <w:style w:type="paragraph" w:customStyle="1" w:styleId="2024TABLETEXT">
    <w:name w:val="2024_TABLE TEXT"/>
    <w:basedOn w:val="Normal"/>
    <w:qFormat/>
    <w:rsid w:val="0057762E"/>
    <w:pPr>
      <w:framePr w:hSpace="180" w:wrap="around" w:vAnchor="text" w:hAnchor="text" w:y="1"/>
      <w:tabs>
        <w:tab w:val="center" w:pos="4513"/>
        <w:tab w:val="right" w:pos="9026"/>
      </w:tabs>
      <w:spacing w:line="216" w:lineRule="auto"/>
      <w:ind w:right="113"/>
      <w:suppressOverlap/>
    </w:pPr>
    <w:rPr>
      <w:rFonts w:ascii="Aptos" w:hAnsi="Aptos" w:cs="Arial"/>
      <w:sz w:val="18"/>
      <w:szCs w:val="18"/>
      <w:lang w:eastAsia="en-AU"/>
    </w:rPr>
  </w:style>
  <w:style w:type="paragraph" w:customStyle="1" w:styleId="2024TABLEFOOTER">
    <w:name w:val="2024_TABLE FOOTER"/>
    <w:basedOn w:val="TableFigureFooter"/>
    <w:qFormat/>
    <w:rsid w:val="0063083C"/>
    <w:pPr>
      <w:spacing w:after="0" w:line="216" w:lineRule="auto"/>
      <w:jc w:val="left"/>
    </w:pPr>
    <w:rPr>
      <w:rFonts w:ascii="Aptos" w:eastAsia="Calibri" w:hAnsi="Aptos" w:cs="Times New Roman"/>
      <w:snapToGrid/>
      <w:sz w:val="16"/>
      <w:szCs w:val="21"/>
    </w:rPr>
  </w:style>
  <w:style w:type="character" w:styleId="Hyperlink">
    <w:name w:val="Hyperlink"/>
    <w:basedOn w:val="DefaultParagraphFont"/>
    <w:uiPriority w:val="99"/>
    <w:unhideWhenUsed/>
    <w:rsid w:val="00881574"/>
    <w:rPr>
      <w:color w:val="0000FF"/>
      <w:u w:val="single"/>
    </w:rPr>
  </w:style>
  <w:style w:type="paragraph" w:styleId="Revision">
    <w:name w:val="Revision"/>
    <w:hidden/>
    <w:uiPriority w:val="99"/>
    <w:semiHidden/>
    <w:rsid w:val="00881574"/>
  </w:style>
  <w:style w:type="paragraph" w:styleId="Header">
    <w:name w:val="header"/>
    <w:basedOn w:val="Normal"/>
    <w:link w:val="HeaderChar"/>
    <w:uiPriority w:val="99"/>
    <w:unhideWhenUsed/>
    <w:rsid w:val="00881574"/>
    <w:pPr>
      <w:tabs>
        <w:tab w:val="center" w:pos="4513"/>
        <w:tab w:val="right" w:pos="9026"/>
      </w:tabs>
    </w:pPr>
    <w:rPr>
      <w:rFonts w:asciiTheme="minorHAnsi" w:eastAsiaTheme="minorHAnsi" w:hAnsiTheme="minorHAnsi" w:cstheme="minorBidi"/>
      <w:kern w:val="2"/>
      <w:lang w:eastAsia="en-US"/>
      <w14:ligatures w14:val="standardContextual"/>
    </w:rPr>
  </w:style>
  <w:style w:type="character" w:customStyle="1" w:styleId="HeaderChar">
    <w:name w:val="Header Char"/>
    <w:basedOn w:val="DefaultParagraphFont"/>
    <w:link w:val="Header"/>
    <w:uiPriority w:val="99"/>
    <w:rsid w:val="00881574"/>
  </w:style>
  <w:style w:type="paragraph" w:styleId="Footer">
    <w:name w:val="footer"/>
    <w:basedOn w:val="Normal"/>
    <w:link w:val="FooterChar"/>
    <w:uiPriority w:val="99"/>
    <w:unhideWhenUsed/>
    <w:rsid w:val="00881574"/>
    <w:pPr>
      <w:tabs>
        <w:tab w:val="center" w:pos="4513"/>
        <w:tab w:val="right" w:pos="9026"/>
      </w:tabs>
    </w:pPr>
    <w:rPr>
      <w:rFonts w:asciiTheme="minorHAnsi" w:eastAsiaTheme="minorHAnsi" w:hAnsiTheme="minorHAnsi" w:cstheme="minorBidi"/>
      <w:kern w:val="2"/>
      <w:lang w:eastAsia="en-US"/>
      <w14:ligatures w14:val="standardContextual"/>
    </w:rPr>
  </w:style>
  <w:style w:type="character" w:customStyle="1" w:styleId="FooterChar">
    <w:name w:val="Footer Char"/>
    <w:basedOn w:val="DefaultParagraphFont"/>
    <w:link w:val="Footer"/>
    <w:uiPriority w:val="99"/>
    <w:rsid w:val="00881574"/>
  </w:style>
  <w:style w:type="character" w:customStyle="1" w:styleId="ListParagraphChar">
    <w:name w:val="List Paragraph Char"/>
    <w:aliases w:val="Bullet Point Char,Bullet point Char,Bulletr List Paragraph Char,Content descriptions Char,FooterText Char,L Char,List Bullet 1 Char,List Paragraph1 Char,List Paragraph11 Char,List Paragraph2 Char,List Paragraph21 Char,リスト段落 Char"/>
    <w:basedOn w:val="DefaultParagraphFont"/>
    <w:link w:val="ListParagraph"/>
    <w:uiPriority w:val="34"/>
    <w:rsid w:val="00DA024A"/>
  </w:style>
  <w:style w:type="character" w:styleId="UnresolvedMention">
    <w:name w:val="Unresolved Mention"/>
    <w:basedOn w:val="DefaultParagraphFont"/>
    <w:uiPriority w:val="99"/>
    <w:semiHidden/>
    <w:unhideWhenUsed/>
    <w:rsid w:val="00DA024A"/>
    <w:rPr>
      <w:color w:val="605E5C"/>
      <w:shd w:val="clear" w:color="auto" w:fill="E1DFDD"/>
    </w:rPr>
  </w:style>
  <w:style w:type="paragraph" w:customStyle="1" w:styleId="Caption2">
    <w:name w:val="Caption2"/>
    <w:basedOn w:val="Normal"/>
    <w:qFormat/>
    <w:rsid w:val="006A765B"/>
    <w:pPr>
      <w:tabs>
        <w:tab w:val="center" w:pos="4513"/>
        <w:tab w:val="right" w:pos="9026"/>
      </w:tabs>
      <w:spacing w:before="240" w:after="60"/>
      <w:ind w:right="113"/>
    </w:pPr>
    <w:rPr>
      <w:rFonts w:ascii="Arial Narrow" w:hAnsi="Arial Narrow" w:cs="Arial"/>
      <w:b/>
      <w:bCs/>
      <w:sz w:val="22"/>
      <w:szCs w:val="22"/>
    </w:rPr>
  </w:style>
  <w:style w:type="paragraph" w:customStyle="1" w:styleId="TABLE">
    <w:name w:val="TABLE"/>
    <w:basedOn w:val="Footer"/>
    <w:link w:val="TABLEChar"/>
    <w:qFormat/>
    <w:rsid w:val="006A765B"/>
    <w:pPr>
      <w:ind w:right="113"/>
    </w:pPr>
    <w:rPr>
      <w:rFonts w:ascii="Arial Narrow" w:eastAsia="Times New Roman" w:hAnsi="Arial Narrow" w:cs="Arial"/>
      <w:kern w:val="0"/>
      <w:sz w:val="20"/>
      <w:szCs w:val="20"/>
      <w:lang w:eastAsia="en-GB"/>
      <w14:ligatures w14:val="none"/>
    </w:rPr>
  </w:style>
  <w:style w:type="character" w:customStyle="1" w:styleId="TABLEChar">
    <w:name w:val="TABLE Char"/>
    <w:basedOn w:val="FooterChar"/>
    <w:link w:val="TABLE"/>
    <w:rsid w:val="006A765B"/>
    <w:rPr>
      <w:rFonts w:ascii="Arial Narrow" w:eastAsia="Times New Roman" w:hAnsi="Arial Narrow" w:cs="Arial"/>
      <w:kern w:val="0"/>
      <w:sz w:val="20"/>
      <w:szCs w:val="20"/>
      <w:lang w:eastAsia="en-GB"/>
      <w14:ligatures w14:val="none"/>
    </w:rPr>
  </w:style>
  <w:style w:type="paragraph" w:customStyle="1" w:styleId="Heading51">
    <w:name w:val="Heading 51"/>
    <w:basedOn w:val="Normal"/>
    <w:next w:val="Normal"/>
    <w:uiPriority w:val="9"/>
    <w:unhideWhenUsed/>
    <w:qFormat/>
    <w:rsid w:val="00C36211"/>
    <w:pPr>
      <w:keepNext/>
      <w:keepLines/>
      <w:spacing w:before="40" w:line="252" w:lineRule="auto"/>
      <w:outlineLvl w:val="4"/>
    </w:pPr>
    <w:rPr>
      <w:rFonts w:ascii="Calibri Light" w:eastAsia="Yu Gothic Light" w:hAnsi="Calibri Light"/>
      <w:color w:val="2F5496"/>
      <w:sz w:val="21"/>
      <w:szCs w:val="21"/>
    </w:rPr>
  </w:style>
  <w:style w:type="numbering" w:customStyle="1" w:styleId="NoList1">
    <w:name w:val="No List1"/>
    <w:next w:val="NoList"/>
    <w:uiPriority w:val="99"/>
    <w:semiHidden/>
    <w:unhideWhenUsed/>
    <w:rsid w:val="00C36211"/>
  </w:style>
  <w:style w:type="character" w:customStyle="1" w:styleId="Heading5Char">
    <w:name w:val="Heading 5 Char"/>
    <w:basedOn w:val="DefaultParagraphFont"/>
    <w:link w:val="Heading5"/>
    <w:uiPriority w:val="1"/>
    <w:rsid w:val="0027240E"/>
    <w:rPr>
      <w:rFonts w:ascii="Montserrat" w:eastAsia="Calibri" w:hAnsi="Montserrat" w:cs="Calibri"/>
      <w:bCs/>
      <w:iCs/>
      <w:color w:val="70AD47" w:themeColor="accent6"/>
      <w:kern w:val="0"/>
      <w:sz w:val="20"/>
      <w:szCs w:val="22"/>
      <w:lang w:val="en"/>
      <w14:ligatures w14:val="none"/>
    </w:rPr>
  </w:style>
  <w:style w:type="paragraph" w:customStyle="1" w:styleId="Intabledots">
    <w:name w:val="Intable dots"/>
    <w:basedOn w:val="TableText"/>
    <w:qFormat/>
    <w:rsid w:val="00C36211"/>
    <w:pPr>
      <w:framePr w:hSpace="0" w:wrap="auto" w:vAnchor="margin" w:yAlign="inline"/>
      <w:numPr>
        <w:numId w:val="20"/>
      </w:numPr>
      <w:spacing w:before="120"/>
    </w:pPr>
    <w:rPr>
      <w:rFonts w:eastAsia="Times New Roman"/>
      <w:lang w:eastAsia="en-GB"/>
    </w:rPr>
  </w:style>
  <w:style w:type="paragraph" w:styleId="NoSpacing">
    <w:name w:val="No Spacing"/>
    <w:uiPriority w:val="1"/>
    <w:qFormat/>
    <w:rsid w:val="00C36211"/>
    <w:rPr>
      <w:rFonts w:ascii="Arial" w:hAnsi="Arial" w:cs="Arial"/>
      <w:kern w:val="0"/>
      <w:sz w:val="21"/>
      <w:szCs w:val="21"/>
      <w14:ligatures w14:val="none"/>
    </w:rPr>
  </w:style>
  <w:style w:type="paragraph" w:customStyle="1" w:styleId="TitlePage">
    <w:name w:val="Title Page"/>
    <w:basedOn w:val="Normal"/>
    <w:link w:val="TitlePageChar"/>
    <w:qFormat/>
    <w:rsid w:val="00C36211"/>
    <w:pPr>
      <w:spacing w:before="240" w:after="120" w:line="252" w:lineRule="auto"/>
    </w:pPr>
    <w:rPr>
      <w:rFonts w:ascii="Aptos" w:eastAsia="Calibri" w:hAnsi="Aptos" w:cs="Arial"/>
      <w:b/>
      <w:bCs/>
      <w:color w:val="C00000"/>
      <w:sz w:val="40"/>
      <w:szCs w:val="40"/>
      <w:lang w:eastAsia="en-US"/>
    </w:rPr>
  </w:style>
  <w:style w:type="paragraph" w:customStyle="1" w:styleId="smaller1">
    <w:name w:val="smaller1"/>
    <w:basedOn w:val="Normal"/>
    <w:next w:val="Normal"/>
    <w:uiPriority w:val="10"/>
    <w:qFormat/>
    <w:rsid w:val="00C36211"/>
    <w:pPr>
      <w:spacing w:before="120" w:after="120" w:line="252" w:lineRule="auto"/>
    </w:pPr>
    <w:rPr>
      <w:rFonts w:ascii="Aptos" w:hAnsi="Aptos" w:cs="Arial"/>
      <w:color w:val="808080"/>
    </w:rPr>
  </w:style>
  <w:style w:type="character" w:customStyle="1" w:styleId="TitleChar">
    <w:name w:val="Title Char"/>
    <w:aliases w:val="Title page Char,smaller Char"/>
    <w:basedOn w:val="DefaultParagraphFont"/>
    <w:link w:val="Title"/>
    <w:uiPriority w:val="10"/>
    <w:rsid w:val="00C36211"/>
    <w:rPr>
      <w:rFonts w:ascii="Arial" w:hAnsi="Arial" w:cs="Arial"/>
      <w:color w:val="808080"/>
      <w:sz w:val="24"/>
      <w:szCs w:val="24"/>
    </w:rPr>
  </w:style>
  <w:style w:type="character" w:customStyle="1" w:styleId="TitlePageChar">
    <w:name w:val="Title Page Char"/>
    <w:basedOn w:val="DefaultParagraphFont"/>
    <w:link w:val="TitlePage"/>
    <w:rsid w:val="00C36211"/>
    <w:rPr>
      <w:rFonts w:ascii="Aptos" w:eastAsia="Calibri" w:hAnsi="Aptos" w:cs="Arial"/>
      <w:b/>
      <w:bCs/>
      <w:color w:val="C00000"/>
      <w:kern w:val="0"/>
      <w:sz w:val="40"/>
      <w:szCs w:val="40"/>
      <w14:ligatures w14:val="none"/>
    </w:rPr>
  </w:style>
  <w:style w:type="character" w:customStyle="1" w:styleId="UnresolvedMention1">
    <w:name w:val="Unresolved Mention1"/>
    <w:basedOn w:val="DefaultParagraphFont"/>
    <w:uiPriority w:val="99"/>
    <w:semiHidden/>
    <w:unhideWhenUsed/>
    <w:rsid w:val="00C36211"/>
    <w:rPr>
      <w:color w:val="605E5C"/>
      <w:shd w:val="clear" w:color="auto" w:fill="E1DFDD"/>
    </w:rPr>
  </w:style>
  <w:style w:type="paragraph" w:customStyle="1" w:styleId="TOCHeading1">
    <w:name w:val="TOC Heading1"/>
    <w:basedOn w:val="Heading1"/>
    <w:next w:val="Normal"/>
    <w:uiPriority w:val="39"/>
    <w:unhideWhenUsed/>
    <w:qFormat/>
    <w:rsid w:val="00C36211"/>
    <w:pPr>
      <w:spacing w:before="120" w:line="259" w:lineRule="auto"/>
      <w:ind w:left="0" w:firstLine="0"/>
      <w:outlineLvl w:val="9"/>
    </w:pPr>
    <w:rPr>
      <w:rFonts w:ascii="Calibri Light" w:eastAsia="Yu Gothic Light" w:hAnsi="Calibri Light" w:cs="Times New Roman"/>
      <w:b/>
      <w:bCs w:val="0"/>
      <w:color w:val="2F5496"/>
      <w:sz w:val="36"/>
      <w:szCs w:val="36"/>
      <w:lang w:val="en-US"/>
    </w:rPr>
  </w:style>
  <w:style w:type="paragraph" w:styleId="TOC1">
    <w:name w:val="toc 1"/>
    <w:basedOn w:val="Normal"/>
    <w:next w:val="Normal"/>
    <w:autoRedefine/>
    <w:uiPriority w:val="39"/>
    <w:unhideWhenUsed/>
    <w:rsid w:val="00100DD4"/>
    <w:pPr>
      <w:tabs>
        <w:tab w:val="right" w:leader="dot" w:pos="9016"/>
      </w:tabs>
      <w:spacing w:before="120" w:after="100" w:line="252" w:lineRule="auto"/>
    </w:pPr>
    <w:rPr>
      <w:rFonts w:ascii="Aptos" w:hAnsi="Aptos" w:cs="Arial"/>
      <w:color w:val="C00000"/>
      <w:sz w:val="21"/>
      <w:szCs w:val="21"/>
    </w:rPr>
  </w:style>
  <w:style w:type="paragraph" w:styleId="TOC2">
    <w:name w:val="toc 2"/>
    <w:basedOn w:val="Normal"/>
    <w:next w:val="Normal"/>
    <w:autoRedefine/>
    <w:uiPriority w:val="39"/>
    <w:unhideWhenUsed/>
    <w:rsid w:val="00C36211"/>
    <w:pPr>
      <w:tabs>
        <w:tab w:val="right" w:leader="dot" w:pos="9016"/>
      </w:tabs>
      <w:spacing w:before="120" w:after="100" w:line="252" w:lineRule="auto"/>
      <w:ind w:left="210"/>
    </w:pPr>
    <w:rPr>
      <w:rFonts w:ascii="Aptos" w:hAnsi="Aptos" w:cs="Arial"/>
      <w:sz w:val="21"/>
      <w:szCs w:val="21"/>
    </w:rPr>
  </w:style>
  <w:style w:type="paragraph" w:styleId="TOC3">
    <w:name w:val="toc 3"/>
    <w:basedOn w:val="Normal"/>
    <w:next w:val="Normal"/>
    <w:autoRedefine/>
    <w:uiPriority w:val="39"/>
    <w:unhideWhenUsed/>
    <w:rsid w:val="00C36211"/>
    <w:pPr>
      <w:spacing w:before="120" w:after="100" w:line="252" w:lineRule="auto"/>
      <w:ind w:left="420"/>
    </w:pPr>
    <w:rPr>
      <w:rFonts w:ascii="Aptos" w:hAnsi="Aptos" w:cs="Arial"/>
      <w:sz w:val="21"/>
      <w:szCs w:val="21"/>
    </w:rPr>
  </w:style>
  <w:style w:type="paragraph" w:customStyle="1" w:styleId="EndNoteBibliographyTitle">
    <w:name w:val="EndNote Bibliography Title"/>
    <w:basedOn w:val="Normal"/>
    <w:link w:val="EndNoteBibliographyTitleChar"/>
    <w:rsid w:val="00C36211"/>
    <w:pPr>
      <w:spacing w:before="120" w:after="120" w:line="252" w:lineRule="auto"/>
      <w:jc w:val="center"/>
    </w:pPr>
    <w:rPr>
      <w:szCs w:val="21"/>
      <w:lang w:val="en-US"/>
    </w:rPr>
  </w:style>
  <w:style w:type="character" w:customStyle="1" w:styleId="EndNoteBibliographyTitleChar">
    <w:name w:val="EndNote Bibliography Title Char"/>
    <w:basedOn w:val="DefaultParagraphFont"/>
    <w:link w:val="EndNoteBibliographyTitle"/>
    <w:rsid w:val="00C36211"/>
    <w:rPr>
      <w:rFonts w:ascii="Times New Roman" w:eastAsia="Times New Roman" w:hAnsi="Times New Roman" w:cs="Times New Roman"/>
      <w:kern w:val="0"/>
      <w:szCs w:val="21"/>
      <w:lang w:val="en-US" w:eastAsia="en-GB"/>
      <w14:ligatures w14:val="none"/>
    </w:rPr>
  </w:style>
  <w:style w:type="paragraph" w:customStyle="1" w:styleId="EndNoteBibliography">
    <w:name w:val="EndNote Bibliography"/>
    <w:basedOn w:val="Normal"/>
    <w:link w:val="EndNoteBibliographyChar"/>
    <w:rsid w:val="00C36211"/>
    <w:pPr>
      <w:spacing w:before="120" w:after="120"/>
    </w:pPr>
    <w:rPr>
      <w:szCs w:val="21"/>
      <w:lang w:val="en-US"/>
    </w:rPr>
  </w:style>
  <w:style w:type="character" w:customStyle="1" w:styleId="EndNoteBibliographyChar">
    <w:name w:val="EndNote Bibliography Char"/>
    <w:basedOn w:val="DefaultParagraphFont"/>
    <w:link w:val="EndNoteBibliography"/>
    <w:rsid w:val="00C36211"/>
    <w:rPr>
      <w:rFonts w:ascii="Times New Roman" w:eastAsia="Times New Roman" w:hAnsi="Times New Roman" w:cs="Times New Roman"/>
      <w:kern w:val="0"/>
      <w:szCs w:val="21"/>
      <w:lang w:val="en-US" w:eastAsia="en-GB"/>
      <w14:ligatures w14:val="none"/>
    </w:rPr>
  </w:style>
  <w:style w:type="paragraph" w:customStyle="1" w:styleId="Subtitle1">
    <w:name w:val="Subtitle1"/>
    <w:basedOn w:val="Normal"/>
    <w:next w:val="Normal"/>
    <w:uiPriority w:val="11"/>
    <w:qFormat/>
    <w:rsid w:val="00C36211"/>
    <w:pPr>
      <w:spacing w:before="120" w:after="120" w:line="252" w:lineRule="auto"/>
    </w:pPr>
    <w:rPr>
      <w:rFonts w:ascii="Aptos" w:hAnsi="Aptos" w:cs="Arial"/>
      <w:color w:val="808080"/>
      <w:sz w:val="18"/>
      <w:szCs w:val="18"/>
    </w:rPr>
  </w:style>
  <w:style w:type="character" w:customStyle="1" w:styleId="SubtitleChar">
    <w:name w:val="Subtitle Char"/>
    <w:basedOn w:val="DefaultParagraphFont"/>
    <w:link w:val="Subtitle"/>
    <w:uiPriority w:val="11"/>
    <w:rsid w:val="00C36211"/>
    <w:rPr>
      <w:rFonts w:ascii="Arial" w:hAnsi="Arial" w:cs="Arial"/>
      <w:color w:val="808080"/>
      <w:sz w:val="18"/>
      <w:szCs w:val="18"/>
    </w:rPr>
  </w:style>
  <w:style w:type="paragraph" w:customStyle="1" w:styleId="Caption3">
    <w:name w:val="Caption3"/>
    <w:basedOn w:val="Normal"/>
    <w:next w:val="Normal"/>
    <w:uiPriority w:val="35"/>
    <w:unhideWhenUsed/>
    <w:qFormat/>
    <w:rsid w:val="00C36211"/>
    <w:pPr>
      <w:spacing w:before="120" w:after="200"/>
    </w:pPr>
    <w:rPr>
      <w:rFonts w:ascii="Aptos" w:hAnsi="Aptos" w:cs="Arial"/>
      <w:i/>
      <w:iCs/>
      <w:color w:val="44546A"/>
      <w:sz w:val="18"/>
      <w:szCs w:val="18"/>
    </w:rPr>
  </w:style>
  <w:style w:type="paragraph" w:customStyle="1" w:styleId="Dotpoints">
    <w:name w:val="Dot points"/>
    <w:basedOn w:val="ListParagraph"/>
    <w:link w:val="DotpointsChar"/>
    <w:qFormat/>
    <w:rsid w:val="00C36211"/>
    <w:pPr>
      <w:numPr>
        <w:numId w:val="18"/>
      </w:numPr>
      <w:spacing w:before="120" w:after="120" w:line="252" w:lineRule="auto"/>
    </w:pPr>
    <w:rPr>
      <w:rFonts w:ascii="Aptos" w:eastAsia="Times New Roman" w:hAnsi="Aptos" w:cs="Arial"/>
      <w:kern w:val="0"/>
      <w:sz w:val="21"/>
      <w:szCs w:val="21"/>
      <w:lang w:eastAsia="en-GB"/>
      <w14:ligatures w14:val="none"/>
    </w:rPr>
  </w:style>
  <w:style w:type="character" w:customStyle="1" w:styleId="DotpointsChar">
    <w:name w:val="Dot points Char"/>
    <w:basedOn w:val="DefaultParagraphFont"/>
    <w:link w:val="Dotpoints"/>
    <w:rsid w:val="00C36211"/>
    <w:rPr>
      <w:rFonts w:ascii="Aptos" w:eastAsia="Times New Roman" w:hAnsi="Aptos" w:cs="Arial"/>
      <w:kern w:val="0"/>
      <w:sz w:val="21"/>
      <w:szCs w:val="21"/>
      <w:lang w:eastAsia="en-GB"/>
      <w14:ligatures w14:val="none"/>
    </w:rPr>
  </w:style>
  <w:style w:type="character" w:customStyle="1" w:styleId="FollowedHyperlink1">
    <w:name w:val="FollowedHyperlink1"/>
    <w:basedOn w:val="DefaultParagraphFont"/>
    <w:uiPriority w:val="99"/>
    <w:semiHidden/>
    <w:unhideWhenUsed/>
    <w:rsid w:val="00C36211"/>
    <w:rPr>
      <w:color w:val="954F72"/>
      <w:u w:val="single"/>
    </w:rPr>
  </w:style>
  <w:style w:type="paragraph" w:styleId="BalloonText">
    <w:name w:val="Balloon Text"/>
    <w:basedOn w:val="Normal"/>
    <w:link w:val="BalloonTextChar"/>
    <w:uiPriority w:val="99"/>
    <w:semiHidden/>
    <w:unhideWhenUsed/>
    <w:rsid w:val="00C36211"/>
    <w:pPr>
      <w:spacing w:before="12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6211"/>
    <w:rPr>
      <w:rFonts w:ascii="Segoe UI" w:eastAsia="Times New Roman" w:hAnsi="Segoe UI" w:cs="Segoe UI"/>
      <w:kern w:val="0"/>
      <w:sz w:val="18"/>
      <w:szCs w:val="18"/>
      <w:lang w:eastAsia="en-GB"/>
      <w14:ligatures w14:val="none"/>
    </w:rPr>
  </w:style>
  <w:style w:type="character" w:customStyle="1" w:styleId="UnresolvedMention2">
    <w:name w:val="Unresolved Mention2"/>
    <w:basedOn w:val="DefaultParagraphFont"/>
    <w:uiPriority w:val="99"/>
    <w:semiHidden/>
    <w:unhideWhenUsed/>
    <w:rsid w:val="00C36211"/>
    <w:rPr>
      <w:color w:val="605E5C"/>
      <w:shd w:val="clear" w:color="auto" w:fill="E1DFDD"/>
    </w:rPr>
  </w:style>
  <w:style w:type="paragraph" w:customStyle="1" w:styleId="In-tableHeading">
    <w:name w:val="In-table Heading"/>
    <w:basedOn w:val="Normal"/>
    <w:qFormat/>
    <w:rsid w:val="00C36211"/>
    <w:pPr>
      <w:framePr w:hSpace="180" w:wrap="around" w:vAnchor="text" w:hAnchor="text" w:y="-85"/>
      <w:spacing w:before="120"/>
    </w:pPr>
    <w:rPr>
      <w:rFonts w:ascii="Arial Narrow" w:hAnsi="Arial Narrow" w:cs="Arial"/>
      <w:b/>
      <w:bCs/>
      <w:sz w:val="20"/>
      <w:szCs w:val="20"/>
    </w:rPr>
  </w:style>
  <w:style w:type="paragraph" w:customStyle="1" w:styleId="TOC41">
    <w:name w:val="TOC 41"/>
    <w:basedOn w:val="Normal"/>
    <w:next w:val="Normal"/>
    <w:autoRedefine/>
    <w:uiPriority w:val="39"/>
    <w:unhideWhenUsed/>
    <w:rsid w:val="00C36211"/>
    <w:pPr>
      <w:spacing w:before="120" w:after="100"/>
      <w:ind w:left="720"/>
    </w:pPr>
    <w:rPr>
      <w:rFonts w:ascii="Calibri" w:eastAsia="Yu Mincho" w:hAnsi="Calibri" w:cs="Arial"/>
    </w:rPr>
  </w:style>
  <w:style w:type="paragraph" w:customStyle="1" w:styleId="TOC51">
    <w:name w:val="TOC 51"/>
    <w:basedOn w:val="Normal"/>
    <w:next w:val="Normal"/>
    <w:autoRedefine/>
    <w:uiPriority w:val="39"/>
    <w:unhideWhenUsed/>
    <w:rsid w:val="00C36211"/>
    <w:pPr>
      <w:spacing w:before="120" w:after="100"/>
      <w:ind w:left="960"/>
    </w:pPr>
    <w:rPr>
      <w:rFonts w:ascii="Calibri" w:eastAsia="Yu Mincho" w:hAnsi="Calibri" w:cs="Arial"/>
    </w:rPr>
  </w:style>
  <w:style w:type="paragraph" w:customStyle="1" w:styleId="TOC61">
    <w:name w:val="TOC 61"/>
    <w:basedOn w:val="Normal"/>
    <w:next w:val="Normal"/>
    <w:autoRedefine/>
    <w:uiPriority w:val="39"/>
    <w:unhideWhenUsed/>
    <w:rsid w:val="00C36211"/>
    <w:pPr>
      <w:spacing w:before="120" w:after="100"/>
      <w:ind w:left="1200"/>
    </w:pPr>
    <w:rPr>
      <w:rFonts w:ascii="Calibri" w:eastAsia="Yu Mincho" w:hAnsi="Calibri" w:cs="Arial"/>
    </w:rPr>
  </w:style>
  <w:style w:type="paragraph" w:customStyle="1" w:styleId="TOC71">
    <w:name w:val="TOC 71"/>
    <w:basedOn w:val="Normal"/>
    <w:next w:val="Normal"/>
    <w:autoRedefine/>
    <w:uiPriority w:val="39"/>
    <w:unhideWhenUsed/>
    <w:rsid w:val="00C36211"/>
    <w:pPr>
      <w:spacing w:before="120" w:after="100"/>
      <w:ind w:left="1440"/>
    </w:pPr>
    <w:rPr>
      <w:rFonts w:ascii="Calibri" w:eastAsia="Yu Mincho" w:hAnsi="Calibri" w:cs="Arial"/>
    </w:rPr>
  </w:style>
  <w:style w:type="paragraph" w:customStyle="1" w:styleId="TOC81">
    <w:name w:val="TOC 81"/>
    <w:basedOn w:val="Normal"/>
    <w:next w:val="Normal"/>
    <w:autoRedefine/>
    <w:uiPriority w:val="39"/>
    <w:unhideWhenUsed/>
    <w:rsid w:val="00C36211"/>
    <w:pPr>
      <w:spacing w:before="120" w:after="100"/>
      <w:ind w:left="1680"/>
    </w:pPr>
    <w:rPr>
      <w:rFonts w:ascii="Calibri" w:eastAsia="Yu Mincho" w:hAnsi="Calibri" w:cs="Arial"/>
    </w:rPr>
  </w:style>
  <w:style w:type="paragraph" w:customStyle="1" w:styleId="TOC91">
    <w:name w:val="TOC 91"/>
    <w:basedOn w:val="Normal"/>
    <w:next w:val="Normal"/>
    <w:autoRedefine/>
    <w:uiPriority w:val="39"/>
    <w:unhideWhenUsed/>
    <w:rsid w:val="00C36211"/>
    <w:pPr>
      <w:spacing w:before="120" w:after="100"/>
      <w:ind w:left="1920"/>
    </w:pPr>
    <w:rPr>
      <w:rFonts w:ascii="Calibri" w:eastAsia="Yu Mincho" w:hAnsi="Calibri" w:cs="Arial"/>
    </w:rPr>
  </w:style>
  <w:style w:type="numbering" w:customStyle="1" w:styleId="CurrentList11">
    <w:name w:val="Current List11"/>
    <w:uiPriority w:val="99"/>
    <w:rsid w:val="00C36211"/>
    <w:pPr>
      <w:numPr>
        <w:numId w:val="19"/>
      </w:numPr>
    </w:pPr>
  </w:style>
  <w:style w:type="character" w:styleId="Mention">
    <w:name w:val="Mention"/>
    <w:basedOn w:val="DefaultParagraphFont"/>
    <w:uiPriority w:val="99"/>
    <w:unhideWhenUsed/>
    <w:rsid w:val="00C36211"/>
    <w:rPr>
      <w:color w:val="2B579A"/>
      <w:shd w:val="clear" w:color="auto" w:fill="E1DFDD"/>
    </w:rPr>
  </w:style>
  <w:style w:type="paragraph" w:customStyle="1" w:styleId="H2-notoccolour">
    <w:name w:val="H2-notoccolour"/>
    <w:basedOn w:val="Normal"/>
    <w:next w:val="BodyText"/>
    <w:qFormat/>
    <w:rsid w:val="00C36211"/>
    <w:pPr>
      <w:keepNext/>
      <w:keepLines/>
      <w:spacing w:before="360" w:line="252" w:lineRule="auto"/>
    </w:pPr>
    <w:rPr>
      <w:rFonts w:ascii="Tahoma" w:hAnsi="Tahoma" w:cs="Calibri"/>
      <w:b/>
      <w:bCs/>
      <w:color w:val="FFC000"/>
      <w:szCs w:val="26"/>
      <w14:textFill>
        <w14:solidFill>
          <w14:srgbClr w14:val="FFC000">
            <w14:lumMod w14:val="75000"/>
            <w14:lumMod w14:val="60000"/>
            <w14:lumOff w14:val="40000"/>
          </w14:srgbClr>
        </w14:solidFill>
      </w14:textFill>
    </w:rPr>
  </w:style>
  <w:style w:type="paragraph" w:customStyle="1" w:styleId="H1-NoNumColour">
    <w:name w:val="H1-NoNumColour"/>
    <w:basedOn w:val="Normal"/>
    <w:next w:val="BodyText"/>
    <w:qFormat/>
    <w:rsid w:val="00C36211"/>
    <w:pPr>
      <w:keepNext/>
      <w:keepLines/>
      <w:pageBreakBefore/>
      <w:spacing w:before="360" w:after="120" w:line="252" w:lineRule="auto"/>
      <w:ind w:left="709" w:hanging="709"/>
      <w:outlineLvl w:val="0"/>
    </w:pPr>
    <w:rPr>
      <w:rFonts w:ascii="Tahoma" w:eastAsia="Yu Gothic Light" w:hAnsi="Tahoma" w:cs="Calibri"/>
      <w:b/>
      <w:bCs/>
      <w:color w:val="833C0B"/>
      <w:sz w:val="28"/>
      <w:szCs w:val="28"/>
    </w:rPr>
  </w:style>
  <w:style w:type="paragraph" w:styleId="TableofFigures">
    <w:name w:val="table of figures"/>
    <w:basedOn w:val="Normal"/>
    <w:next w:val="Normal"/>
    <w:uiPriority w:val="99"/>
    <w:unhideWhenUsed/>
    <w:rsid w:val="00C36211"/>
    <w:pPr>
      <w:spacing w:before="120" w:line="252" w:lineRule="auto"/>
    </w:pPr>
    <w:rPr>
      <w:rFonts w:ascii="Aptos" w:hAnsi="Aptos" w:cs="Arial"/>
      <w:sz w:val="21"/>
      <w:szCs w:val="21"/>
    </w:rPr>
  </w:style>
  <w:style w:type="paragraph" w:customStyle="1" w:styleId="Tabletext0">
    <w:name w:val="Table text"/>
    <w:basedOn w:val="BodyText"/>
    <w:link w:val="TabletextChar0"/>
    <w:uiPriority w:val="4"/>
    <w:qFormat/>
    <w:rsid w:val="00C36211"/>
    <w:pPr>
      <w:keepLines/>
      <w:spacing w:before="20" w:after="20"/>
    </w:pPr>
    <w:rPr>
      <w:rFonts w:ascii="Calibri" w:eastAsia="Calibri" w:hAnsi="Calibri" w:cs="Calibri"/>
      <w:bCs/>
      <w:kern w:val="0"/>
      <w:sz w:val="20"/>
      <w:szCs w:val="10"/>
      <w14:ligatures w14:val="none"/>
    </w:rPr>
  </w:style>
  <w:style w:type="character" w:customStyle="1" w:styleId="TabletextChar0">
    <w:name w:val="Table text Char"/>
    <w:basedOn w:val="DefaultParagraphFont"/>
    <w:link w:val="Tabletext0"/>
    <w:uiPriority w:val="4"/>
    <w:locked/>
    <w:rsid w:val="00C36211"/>
    <w:rPr>
      <w:rFonts w:ascii="Calibri" w:eastAsia="Calibri" w:hAnsi="Calibri" w:cs="Calibri"/>
      <w:bCs/>
      <w:kern w:val="0"/>
      <w:sz w:val="20"/>
      <w:szCs w:val="10"/>
      <w14:ligatures w14:val="none"/>
    </w:rPr>
  </w:style>
  <w:style w:type="table" w:customStyle="1" w:styleId="TableGridLight1">
    <w:name w:val="Table Grid Light1"/>
    <w:basedOn w:val="TableNormal"/>
    <w:next w:val="TableGridLight"/>
    <w:uiPriority w:val="40"/>
    <w:rsid w:val="00C36211"/>
    <w:rPr>
      <w:rFonts w:ascii="Calibri" w:hAnsi="Calibri"/>
      <w:kern w:val="0"/>
      <w:sz w:val="22"/>
      <w:szCs w:val="22"/>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Bullet12">
    <w:name w:val="Bullet+12"/>
    <w:basedOn w:val="Bullet0"/>
    <w:next w:val="BodyText"/>
    <w:uiPriority w:val="2"/>
    <w:qFormat/>
    <w:rsid w:val="00C36211"/>
    <w:pPr>
      <w:spacing w:after="240"/>
      <w:ind w:left="714" w:hanging="357"/>
      <w:contextualSpacing/>
    </w:pPr>
  </w:style>
  <w:style w:type="paragraph" w:customStyle="1" w:styleId="Bullet0">
    <w:name w:val="Bullet+0"/>
    <w:basedOn w:val="BodyText"/>
    <w:uiPriority w:val="2"/>
    <w:qFormat/>
    <w:rsid w:val="00C36211"/>
    <w:pPr>
      <w:numPr>
        <w:numId w:val="21"/>
      </w:numPr>
      <w:tabs>
        <w:tab w:val="left" w:pos="765"/>
      </w:tabs>
      <w:spacing w:after="0" w:line="276" w:lineRule="auto"/>
    </w:pPr>
    <w:rPr>
      <w:rFonts w:ascii="Calibri" w:eastAsia="Calibri" w:hAnsi="Calibri" w:cs="Calibri"/>
      <w:kern w:val="0"/>
      <w:sz w:val="22"/>
      <w:szCs w:val="20"/>
      <w14:ligatures w14:val="none"/>
    </w:rPr>
  </w:style>
  <w:style w:type="paragraph" w:customStyle="1" w:styleId="authors">
    <w:name w:val="authors"/>
    <w:basedOn w:val="Normal"/>
    <w:rsid w:val="00C36211"/>
    <w:pPr>
      <w:spacing w:before="100" w:beforeAutospacing="1" w:after="100" w:afterAutospacing="1"/>
    </w:pPr>
  </w:style>
  <w:style w:type="paragraph" w:customStyle="1" w:styleId="journal">
    <w:name w:val="journal"/>
    <w:basedOn w:val="Normal"/>
    <w:rsid w:val="00C36211"/>
    <w:pPr>
      <w:spacing w:before="100" w:beforeAutospacing="1" w:after="100" w:afterAutospacing="1"/>
    </w:pPr>
  </w:style>
  <w:style w:type="character" w:customStyle="1" w:styleId="highlight">
    <w:name w:val="highlight"/>
    <w:basedOn w:val="DefaultParagraphFont"/>
    <w:rsid w:val="00C36211"/>
  </w:style>
  <w:style w:type="paragraph" w:customStyle="1" w:styleId="TableHEAD">
    <w:name w:val="TableHEAD"/>
    <w:basedOn w:val="TABLE"/>
    <w:qFormat/>
    <w:rsid w:val="00C36211"/>
    <w:pPr>
      <w:spacing w:before="120"/>
      <w:ind w:left="21"/>
    </w:pPr>
    <w:rPr>
      <w:rFonts w:eastAsia="Calibri"/>
      <w:b/>
      <w:bCs/>
      <w:lang w:eastAsia="en-US"/>
    </w:rPr>
  </w:style>
  <w:style w:type="paragraph" w:customStyle="1" w:styleId="CCS-Heading5">
    <w:name w:val="CCS-Heading5"/>
    <w:basedOn w:val="Normal"/>
    <w:qFormat/>
    <w:rsid w:val="00C36211"/>
    <w:pPr>
      <w:spacing w:before="240" w:after="120" w:line="252" w:lineRule="auto"/>
    </w:pPr>
    <w:rPr>
      <w:rFonts w:ascii="Aptos" w:eastAsia="Calibri" w:hAnsi="Aptos" w:cs="Arial"/>
      <w:b/>
      <w:color w:val="A60000"/>
      <w:sz w:val="20"/>
      <w:szCs w:val="20"/>
      <w:lang w:eastAsia="zh-CN" w:bidi="th-TH"/>
    </w:rPr>
  </w:style>
  <w:style w:type="paragraph" w:customStyle="1" w:styleId="CCSNormalText">
    <w:name w:val="CCS Normal Text"/>
    <w:basedOn w:val="Normal"/>
    <w:link w:val="CCSNormalTextChar"/>
    <w:qFormat/>
    <w:rsid w:val="00C36211"/>
    <w:pPr>
      <w:spacing w:before="60" w:after="120" w:line="252" w:lineRule="auto"/>
    </w:pPr>
    <w:rPr>
      <w:rFonts w:ascii="Aptos" w:eastAsia="Calibri" w:hAnsi="Aptos" w:cs="Arial"/>
      <w:sz w:val="20"/>
      <w:szCs w:val="20"/>
      <w:lang w:eastAsia="zh-CN" w:bidi="th-TH"/>
    </w:rPr>
  </w:style>
  <w:style w:type="character" w:customStyle="1" w:styleId="CCSNormalTextChar">
    <w:name w:val="CCS Normal Text Char"/>
    <w:basedOn w:val="DefaultParagraphFont"/>
    <w:link w:val="CCSNormalText"/>
    <w:locked/>
    <w:rsid w:val="00C36211"/>
    <w:rPr>
      <w:rFonts w:ascii="Aptos" w:eastAsia="Calibri" w:hAnsi="Aptos" w:cs="Arial"/>
      <w:kern w:val="0"/>
      <w:sz w:val="20"/>
      <w:szCs w:val="20"/>
      <w:lang w:eastAsia="zh-CN" w:bidi="th-TH"/>
      <w14:ligatures w14:val="none"/>
    </w:rPr>
  </w:style>
  <w:style w:type="paragraph" w:styleId="FootnoteText">
    <w:name w:val="footnote text"/>
    <w:basedOn w:val="TABLE"/>
    <w:link w:val="FootnoteTextChar"/>
    <w:unhideWhenUsed/>
    <w:rsid w:val="00C36211"/>
    <w:pPr>
      <w:spacing w:before="60" w:after="240"/>
    </w:pPr>
    <w:rPr>
      <w:rFonts w:eastAsia="Calibri"/>
      <w:lang w:eastAsia="en-US"/>
    </w:rPr>
  </w:style>
  <w:style w:type="character" w:customStyle="1" w:styleId="FootnoteTextChar">
    <w:name w:val="Footnote Text Char"/>
    <w:basedOn w:val="DefaultParagraphFont"/>
    <w:link w:val="FootnoteText"/>
    <w:rsid w:val="00C36211"/>
    <w:rPr>
      <w:rFonts w:ascii="Arial Narrow" w:eastAsia="Calibri" w:hAnsi="Arial Narrow" w:cs="Arial"/>
      <w:kern w:val="0"/>
      <w:sz w:val="20"/>
      <w:szCs w:val="20"/>
      <w14:ligatures w14:val="none"/>
    </w:rPr>
  </w:style>
  <w:style w:type="paragraph" w:customStyle="1" w:styleId="01BodyText">
    <w:name w:val="01. Body Text"/>
    <w:link w:val="01BodyTextChar"/>
    <w:qFormat/>
    <w:rsid w:val="00C36211"/>
    <w:pPr>
      <w:spacing w:before="240"/>
    </w:pPr>
    <w:rPr>
      <w:rFonts w:eastAsia="Calibri" w:cs="Times New Roman"/>
      <w:kern w:val="0"/>
      <w:sz w:val="22"/>
      <w:szCs w:val="22"/>
      <w14:ligatures w14:val="none"/>
    </w:rPr>
  </w:style>
  <w:style w:type="character" w:customStyle="1" w:styleId="01BodyTextChar">
    <w:name w:val="01. Body Text Char"/>
    <w:basedOn w:val="DefaultParagraphFont"/>
    <w:link w:val="01BodyText"/>
    <w:rsid w:val="00C36211"/>
    <w:rPr>
      <w:rFonts w:eastAsia="Calibri" w:cs="Times New Roman"/>
      <w:kern w:val="0"/>
      <w:sz w:val="22"/>
      <w:szCs w:val="22"/>
      <w14:ligatures w14:val="none"/>
    </w:rPr>
  </w:style>
  <w:style w:type="paragraph" w:customStyle="1" w:styleId="04Bulletsonelongsentence">
    <w:name w:val="04. Bullets – one long sentence"/>
    <w:basedOn w:val="Normal"/>
    <w:link w:val="04BulletsonelongsentenceChar"/>
    <w:qFormat/>
    <w:rsid w:val="00C36211"/>
    <w:pPr>
      <w:numPr>
        <w:numId w:val="23"/>
      </w:numPr>
      <w:spacing w:before="120"/>
    </w:pPr>
    <w:rPr>
      <w:rFonts w:ascii="Aptos" w:eastAsia="Calibri" w:hAnsi="Aptos"/>
      <w:sz w:val="22"/>
      <w:szCs w:val="22"/>
      <w:lang w:eastAsia="en-US"/>
    </w:rPr>
  </w:style>
  <w:style w:type="character" w:customStyle="1" w:styleId="04BulletsonelongsentenceChar">
    <w:name w:val="04. Bullets – one long sentence Char"/>
    <w:link w:val="04Bulletsonelongsentence"/>
    <w:rsid w:val="00C36211"/>
    <w:rPr>
      <w:rFonts w:ascii="Aptos" w:eastAsia="Calibri" w:hAnsi="Aptos" w:cs="Times New Roman"/>
      <w:kern w:val="0"/>
      <w:sz w:val="22"/>
      <w:szCs w:val="22"/>
      <w14:ligatures w14:val="none"/>
    </w:rPr>
  </w:style>
  <w:style w:type="paragraph" w:customStyle="1" w:styleId="02Bodytextbeforesingle-sentencebullets">
    <w:name w:val="02. Body text before single-sentence bullets"/>
    <w:basedOn w:val="Normal"/>
    <w:next w:val="Normal"/>
    <w:qFormat/>
    <w:rsid w:val="00C36211"/>
    <w:pPr>
      <w:keepNext/>
      <w:spacing w:before="240" w:after="120"/>
    </w:pPr>
    <w:rPr>
      <w:rFonts w:ascii="Aptos" w:eastAsia="Calibri" w:hAnsi="Aptos"/>
      <w:sz w:val="22"/>
      <w:szCs w:val="22"/>
      <w:lang w:eastAsia="en-US"/>
    </w:rPr>
  </w:style>
  <w:style w:type="paragraph" w:customStyle="1" w:styleId="Default">
    <w:name w:val="Default"/>
    <w:rsid w:val="00C36211"/>
    <w:pPr>
      <w:autoSpaceDE w:val="0"/>
      <w:autoSpaceDN w:val="0"/>
      <w:adjustRightInd w:val="0"/>
    </w:pPr>
    <w:rPr>
      <w:rFonts w:ascii="Calibri" w:eastAsia="Arial" w:hAnsi="Calibri" w:cs="Calibri"/>
      <w:color w:val="000000"/>
      <w:kern w:val="0"/>
      <w:lang w:eastAsia="zh-CN"/>
      <w14:ligatures w14:val="none"/>
    </w:rPr>
  </w:style>
  <w:style w:type="character" w:customStyle="1" w:styleId="Heading5Char1">
    <w:name w:val="Heading 5 Char1"/>
    <w:basedOn w:val="DefaultParagraphFont"/>
    <w:uiPriority w:val="9"/>
    <w:semiHidden/>
    <w:rsid w:val="00C36211"/>
    <w:rPr>
      <w:rFonts w:asciiTheme="majorHAnsi" w:eastAsiaTheme="majorEastAsia" w:hAnsiTheme="majorHAnsi" w:cstheme="majorBidi"/>
      <w:color w:val="2F5496" w:themeColor="accent1" w:themeShade="BF"/>
      <w:kern w:val="0"/>
      <w:lang w:eastAsia="en-GB"/>
      <w14:ligatures w14:val="none"/>
    </w:rPr>
  </w:style>
  <w:style w:type="paragraph" w:styleId="Title">
    <w:name w:val="Title"/>
    <w:aliases w:val="Title page,smaller"/>
    <w:basedOn w:val="Normal"/>
    <w:next w:val="Normal"/>
    <w:link w:val="TitleChar"/>
    <w:uiPriority w:val="10"/>
    <w:qFormat/>
    <w:rsid w:val="00C36211"/>
    <w:pPr>
      <w:contextualSpacing/>
    </w:pPr>
    <w:rPr>
      <w:rFonts w:ascii="Arial" w:eastAsiaTheme="minorHAnsi" w:hAnsi="Arial" w:cs="Arial"/>
      <w:color w:val="808080"/>
      <w:kern w:val="2"/>
      <w:lang w:eastAsia="en-US"/>
      <w14:ligatures w14:val="standardContextual"/>
    </w:rPr>
  </w:style>
  <w:style w:type="character" w:customStyle="1" w:styleId="TitleChar1">
    <w:name w:val="Title Char1"/>
    <w:basedOn w:val="DefaultParagraphFont"/>
    <w:uiPriority w:val="10"/>
    <w:rsid w:val="00C36211"/>
    <w:rPr>
      <w:rFonts w:asciiTheme="majorHAnsi" w:eastAsiaTheme="majorEastAsia" w:hAnsiTheme="majorHAnsi" w:cstheme="majorBidi"/>
      <w:spacing w:val="-10"/>
      <w:kern w:val="28"/>
      <w:sz w:val="56"/>
      <w:szCs w:val="56"/>
      <w:lang w:eastAsia="en-GB"/>
      <w14:ligatures w14:val="none"/>
    </w:rPr>
  </w:style>
  <w:style w:type="paragraph" w:styleId="Subtitle">
    <w:name w:val="Subtitle"/>
    <w:basedOn w:val="Normal"/>
    <w:next w:val="Normal"/>
    <w:link w:val="SubtitleChar"/>
    <w:uiPriority w:val="11"/>
    <w:qFormat/>
    <w:rsid w:val="00C36211"/>
    <w:pPr>
      <w:numPr>
        <w:ilvl w:val="1"/>
      </w:numPr>
      <w:spacing w:after="160"/>
    </w:pPr>
    <w:rPr>
      <w:rFonts w:ascii="Arial" w:eastAsiaTheme="minorHAnsi" w:hAnsi="Arial" w:cs="Arial"/>
      <w:color w:val="808080"/>
      <w:kern w:val="2"/>
      <w:sz w:val="18"/>
      <w:szCs w:val="18"/>
      <w:lang w:eastAsia="en-US"/>
      <w14:ligatures w14:val="standardContextual"/>
    </w:rPr>
  </w:style>
  <w:style w:type="character" w:customStyle="1" w:styleId="SubtitleChar1">
    <w:name w:val="Subtitle Char1"/>
    <w:basedOn w:val="DefaultParagraphFont"/>
    <w:uiPriority w:val="11"/>
    <w:rsid w:val="00C36211"/>
    <w:rPr>
      <w:rFonts w:eastAsiaTheme="minorEastAsia"/>
      <w:color w:val="5A5A5A" w:themeColor="text1" w:themeTint="A5"/>
      <w:spacing w:val="15"/>
      <w:kern w:val="0"/>
      <w:sz w:val="22"/>
      <w:szCs w:val="22"/>
      <w:lang w:eastAsia="en-GB"/>
      <w14:ligatures w14:val="none"/>
    </w:rPr>
  </w:style>
  <w:style w:type="character" w:styleId="FollowedHyperlink">
    <w:name w:val="FollowedHyperlink"/>
    <w:basedOn w:val="DefaultParagraphFont"/>
    <w:uiPriority w:val="99"/>
    <w:semiHidden/>
    <w:unhideWhenUsed/>
    <w:rsid w:val="00C36211"/>
    <w:rPr>
      <w:color w:val="954F72" w:themeColor="followedHyperlink"/>
      <w:u w:val="single"/>
    </w:rPr>
  </w:style>
  <w:style w:type="table" w:styleId="TableGridLight">
    <w:name w:val="Grid Table Light"/>
    <w:basedOn w:val="TableNormal"/>
    <w:uiPriority w:val="40"/>
    <w:rsid w:val="00C3621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2024HEADER1">
    <w:name w:val="2024_HEADER 1"/>
    <w:basedOn w:val="Heading1"/>
    <w:qFormat/>
    <w:rsid w:val="0007181F"/>
    <w:pPr>
      <w:keepNext w:val="0"/>
      <w:keepLines w:val="0"/>
      <w:numPr>
        <w:numId w:val="24"/>
      </w:numPr>
      <w:spacing w:before="480" w:after="180" w:line="252" w:lineRule="auto"/>
      <w:ind w:left="851" w:hanging="851"/>
    </w:pPr>
    <w:rPr>
      <w:rFonts w:ascii="Aptos" w:hAnsi="Aptos" w:cs="Times New Roman"/>
      <w:sz w:val="36"/>
      <w:szCs w:val="36"/>
    </w:rPr>
  </w:style>
  <w:style w:type="paragraph" w:customStyle="1" w:styleId="2024HEADER2">
    <w:name w:val="2024_HEADER 2"/>
    <w:basedOn w:val="Heading2"/>
    <w:qFormat/>
    <w:rsid w:val="0007181F"/>
    <w:pPr>
      <w:keepNext w:val="0"/>
      <w:keepLines w:val="0"/>
      <w:numPr>
        <w:numId w:val="24"/>
      </w:numPr>
      <w:spacing w:before="240" w:after="180" w:line="240" w:lineRule="auto"/>
    </w:pPr>
    <w:rPr>
      <w:rFonts w:ascii="Aptos" w:hAnsi="Aptos" w:cs="Times New Roman"/>
      <w:b/>
      <w:color w:val="C00000"/>
      <w:spacing w:val="-2"/>
      <w:w w:val="105"/>
      <w:szCs w:val="28"/>
      <w:lang w:eastAsia="en-GB"/>
    </w:rPr>
  </w:style>
  <w:style w:type="paragraph" w:customStyle="1" w:styleId="2024HEADER3">
    <w:name w:val="2024_HEADER 3"/>
    <w:basedOn w:val="Heading3"/>
    <w:qFormat/>
    <w:rsid w:val="0007181F"/>
    <w:pPr>
      <w:keepNext w:val="0"/>
      <w:keepLines w:val="0"/>
      <w:numPr>
        <w:numId w:val="24"/>
      </w:numPr>
      <w:spacing w:after="120" w:line="252" w:lineRule="auto"/>
    </w:pPr>
    <w:rPr>
      <w:rFonts w:ascii="Aptos SemiBold" w:hAnsi="Aptos SemiBold" w:cs="Times New Roman"/>
      <w:b/>
      <w:color w:val="C00000"/>
      <w:szCs w:val="24"/>
      <w:lang w:eastAsia="en-GB"/>
    </w:rPr>
  </w:style>
  <w:style w:type="character" w:customStyle="1" w:styleId="identifier">
    <w:name w:val="identifier"/>
    <w:basedOn w:val="DefaultParagraphFont"/>
    <w:rsid w:val="0033598F"/>
  </w:style>
  <w:style w:type="character" w:customStyle="1" w:styleId="id-label">
    <w:name w:val="id-label"/>
    <w:basedOn w:val="DefaultParagraphFont"/>
    <w:rsid w:val="0033598F"/>
  </w:style>
  <w:style w:type="paragraph" w:customStyle="1" w:styleId="msonormal0">
    <w:name w:val="msonormal"/>
    <w:basedOn w:val="Normal"/>
    <w:rsid w:val="0081223D"/>
    <w:pPr>
      <w:spacing w:before="100" w:beforeAutospacing="1" w:after="100" w:afterAutospacing="1"/>
    </w:pPr>
  </w:style>
  <w:style w:type="paragraph" w:customStyle="1" w:styleId="xl64">
    <w:name w:val="xl64"/>
    <w:basedOn w:val="Normal"/>
    <w:rsid w:val="0081223D"/>
    <w:pPr>
      <w:spacing w:before="100" w:beforeAutospacing="1" w:after="100" w:afterAutospacing="1"/>
    </w:pPr>
  </w:style>
  <w:style w:type="paragraph" w:customStyle="1" w:styleId="font5">
    <w:name w:val="font5"/>
    <w:basedOn w:val="Normal"/>
    <w:rsid w:val="00FC6DCC"/>
    <w:pPr>
      <w:spacing w:before="100" w:beforeAutospacing="1" w:after="100" w:afterAutospacing="1"/>
    </w:pPr>
    <w:rPr>
      <w:rFonts w:ascii="Calibri" w:hAnsi="Calibri" w:cs="Calibri"/>
      <w:color w:val="000000"/>
      <w:sz w:val="20"/>
      <w:szCs w:val="20"/>
    </w:rPr>
  </w:style>
  <w:style w:type="paragraph" w:customStyle="1" w:styleId="font6">
    <w:name w:val="font6"/>
    <w:basedOn w:val="Normal"/>
    <w:rsid w:val="00FC6DCC"/>
    <w:pPr>
      <w:spacing w:before="100" w:beforeAutospacing="1" w:after="100" w:afterAutospacing="1"/>
    </w:pPr>
    <w:rPr>
      <w:rFonts w:ascii="Calibri" w:hAnsi="Calibri" w:cs="Calibri"/>
      <w:b/>
      <w:bCs/>
      <w:color w:val="000000"/>
      <w:sz w:val="20"/>
      <w:szCs w:val="20"/>
    </w:rPr>
  </w:style>
  <w:style w:type="paragraph" w:customStyle="1" w:styleId="xl63">
    <w:name w:val="xl63"/>
    <w:basedOn w:val="Normal"/>
    <w:rsid w:val="00FC6DCC"/>
    <w:pPr>
      <w:spacing w:before="100" w:beforeAutospacing="1" w:after="100" w:afterAutospacing="1"/>
    </w:pPr>
    <w:rPr>
      <w:sz w:val="20"/>
      <w:szCs w:val="20"/>
    </w:rPr>
  </w:style>
  <w:style w:type="paragraph" w:customStyle="1" w:styleId="xl65">
    <w:name w:val="xl65"/>
    <w:basedOn w:val="Normal"/>
    <w:rsid w:val="00FC6DCC"/>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b/>
      <w:bCs/>
      <w:sz w:val="20"/>
      <w:szCs w:val="20"/>
    </w:rPr>
  </w:style>
  <w:style w:type="paragraph" w:customStyle="1" w:styleId="xl66">
    <w:name w:val="xl66"/>
    <w:basedOn w:val="Normal"/>
    <w:rsid w:val="00FC6DCC"/>
    <w:pPr>
      <w:pBdr>
        <w:top w:val="single" w:sz="4" w:space="0" w:color="auto"/>
        <w:left w:val="single" w:sz="4" w:space="0" w:color="auto"/>
        <w:bottom w:val="single" w:sz="4" w:space="0" w:color="auto"/>
        <w:right w:val="single" w:sz="4" w:space="0" w:color="auto"/>
      </w:pBdr>
      <w:shd w:val="clear" w:color="000000" w:fill="FFDEF7"/>
      <w:spacing w:before="100" w:beforeAutospacing="1" w:after="100" w:afterAutospacing="1"/>
      <w:jc w:val="center"/>
      <w:textAlignment w:val="center"/>
    </w:pPr>
    <w:rPr>
      <w:b/>
      <w:bCs/>
      <w:sz w:val="20"/>
      <w:szCs w:val="20"/>
    </w:rPr>
  </w:style>
  <w:style w:type="paragraph" w:customStyle="1" w:styleId="xl67">
    <w:name w:val="xl67"/>
    <w:basedOn w:val="Normal"/>
    <w:rsid w:val="00FC6DCC"/>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jc w:val="center"/>
      <w:textAlignment w:val="center"/>
    </w:pPr>
    <w:rPr>
      <w:b/>
      <w:bCs/>
      <w:sz w:val="20"/>
      <w:szCs w:val="20"/>
    </w:rPr>
  </w:style>
  <w:style w:type="paragraph" w:customStyle="1" w:styleId="xl68">
    <w:name w:val="xl68"/>
    <w:basedOn w:val="Normal"/>
    <w:rsid w:val="00FC6DCC"/>
    <w:pPr>
      <w:pBdr>
        <w:top w:val="single" w:sz="4" w:space="0" w:color="auto"/>
        <w:left w:val="single" w:sz="4" w:space="0" w:color="auto"/>
        <w:bottom w:val="single" w:sz="4" w:space="0" w:color="auto"/>
        <w:right w:val="single" w:sz="4" w:space="0" w:color="auto"/>
      </w:pBdr>
      <w:shd w:val="clear" w:color="000000" w:fill="FFBBB2"/>
      <w:spacing w:before="100" w:beforeAutospacing="1" w:after="100" w:afterAutospacing="1"/>
      <w:jc w:val="center"/>
      <w:textAlignment w:val="center"/>
    </w:pPr>
    <w:rPr>
      <w:b/>
      <w:bCs/>
      <w:sz w:val="20"/>
      <w:szCs w:val="20"/>
    </w:rPr>
  </w:style>
  <w:style w:type="paragraph" w:customStyle="1" w:styleId="xl69">
    <w:name w:val="xl69"/>
    <w:basedOn w:val="Normal"/>
    <w:rsid w:val="00FC6DCC"/>
    <w:pPr>
      <w:pBdr>
        <w:top w:val="single" w:sz="4" w:space="0" w:color="auto"/>
        <w:left w:val="single" w:sz="4" w:space="0" w:color="auto"/>
        <w:bottom w:val="single" w:sz="4" w:space="0" w:color="auto"/>
        <w:right w:val="single" w:sz="4" w:space="0" w:color="auto"/>
      </w:pBdr>
      <w:shd w:val="clear" w:color="000000" w:fill="FFDEF7"/>
      <w:spacing w:before="100" w:beforeAutospacing="1" w:after="100" w:afterAutospacing="1"/>
      <w:jc w:val="center"/>
      <w:textAlignment w:val="center"/>
    </w:pPr>
    <w:rPr>
      <w:sz w:val="20"/>
      <w:szCs w:val="20"/>
    </w:rPr>
  </w:style>
  <w:style w:type="paragraph" w:customStyle="1" w:styleId="xl70">
    <w:name w:val="xl70"/>
    <w:basedOn w:val="Normal"/>
    <w:rsid w:val="00FC6DCC"/>
    <w:pPr>
      <w:pBdr>
        <w:top w:val="single" w:sz="4" w:space="0" w:color="auto"/>
        <w:left w:val="single" w:sz="4" w:space="0" w:color="auto"/>
        <w:bottom w:val="single" w:sz="4" w:space="0" w:color="auto"/>
        <w:right w:val="single" w:sz="4" w:space="0" w:color="auto"/>
      </w:pBdr>
      <w:shd w:val="clear" w:color="000000" w:fill="FFD966"/>
      <w:spacing w:before="100" w:beforeAutospacing="1" w:after="100" w:afterAutospacing="1"/>
      <w:jc w:val="center"/>
      <w:textAlignment w:val="center"/>
    </w:pPr>
    <w:rPr>
      <w:sz w:val="20"/>
      <w:szCs w:val="20"/>
    </w:rPr>
  </w:style>
  <w:style w:type="paragraph" w:customStyle="1" w:styleId="xl71">
    <w:name w:val="xl71"/>
    <w:basedOn w:val="Normal"/>
    <w:rsid w:val="00FC6DCC"/>
    <w:pPr>
      <w:pBdr>
        <w:top w:val="single" w:sz="4" w:space="0" w:color="auto"/>
        <w:left w:val="single" w:sz="4" w:space="0" w:color="auto"/>
        <w:right w:val="single" w:sz="4" w:space="0" w:color="auto"/>
      </w:pBdr>
      <w:shd w:val="clear" w:color="000000" w:fill="FFD966"/>
      <w:spacing w:before="100" w:beforeAutospacing="1" w:after="100" w:afterAutospacing="1"/>
      <w:jc w:val="center"/>
      <w:textAlignment w:val="center"/>
    </w:pPr>
    <w:rPr>
      <w:b/>
      <w:bCs/>
      <w:sz w:val="20"/>
      <w:szCs w:val="20"/>
    </w:rPr>
  </w:style>
  <w:style w:type="paragraph" w:customStyle="1" w:styleId="font7">
    <w:name w:val="font7"/>
    <w:basedOn w:val="Normal"/>
    <w:rsid w:val="00F306BC"/>
    <w:pPr>
      <w:spacing w:before="100" w:beforeAutospacing="1" w:after="100" w:afterAutospacing="1"/>
    </w:pPr>
    <w:rPr>
      <w:rFonts w:ascii="Calibri" w:hAnsi="Calibri" w:cs="Calibri"/>
      <w:sz w:val="22"/>
      <w:szCs w:val="22"/>
    </w:rPr>
  </w:style>
  <w:style w:type="paragraph" w:customStyle="1" w:styleId="font8">
    <w:name w:val="font8"/>
    <w:basedOn w:val="Normal"/>
    <w:rsid w:val="00F306BC"/>
    <w:pPr>
      <w:spacing w:before="100" w:beforeAutospacing="1" w:after="100" w:afterAutospacing="1"/>
    </w:pPr>
    <w:rPr>
      <w:rFonts w:ascii="Calibri" w:hAnsi="Calibri" w:cs="Calibri"/>
      <w:color w:val="222222"/>
      <w:sz w:val="22"/>
      <w:szCs w:val="22"/>
    </w:rPr>
  </w:style>
  <w:style w:type="paragraph" w:customStyle="1" w:styleId="font9">
    <w:name w:val="font9"/>
    <w:basedOn w:val="Normal"/>
    <w:rsid w:val="00F306BC"/>
    <w:pPr>
      <w:spacing w:before="100" w:beforeAutospacing="1" w:after="100" w:afterAutospacing="1"/>
    </w:pPr>
    <w:rPr>
      <w:rFonts w:ascii="Calibri" w:hAnsi="Calibri" w:cs="Calibri"/>
      <w:color w:val="000000"/>
      <w:sz w:val="22"/>
      <w:szCs w:val="22"/>
      <w:u w:val="single"/>
    </w:rPr>
  </w:style>
  <w:style w:type="paragraph" w:customStyle="1" w:styleId="xl72">
    <w:name w:val="xl72"/>
    <w:basedOn w:val="Normal"/>
    <w:rsid w:val="00F306BC"/>
    <w:pPr>
      <w:pBdr>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73">
    <w:name w:val="xl73"/>
    <w:basedOn w:val="Normal"/>
    <w:rsid w:val="00F306BC"/>
    <w:pPr>
      <w:pBdr>
        <w:bottom w:val="single" w:sz="4" w:space="0" w:color="auto"/>
        <w:right w:val="single" w:sz="4" w:space="0" w:color="auto"/>
      </w:pBdr>
      <w:spacing w:before="100" w:beforeAutospacing="1" w:after="100" w:afterAutospacing="1"/>
      <w:textAlignment w:val="center"/>
    </w:pPr>
  </w:style>
  <w:style w:type="paragraph" w:customStyle="1" w:styleId="xl74">
    <w:name w:val="xl74"/>
    <w:basedOn w:val="Normal"/>
    <w:rsid w:val="00F306BC"/>
    <w:pPr>
      <w:pBdr>
        <w:bottom w:val="single" w:sz="4" w:space="0" w:color="auto"/>
        <w:right w:val="single" w:sz="4" w:space="0" w:color="auto"/>
      </w:pBdr>
      <w:spacing w:before="100" w:beforeAutospacing="1" w:after="100" w:afterAutospacing="1"/>
      <w:textAlignment w:val="center"/>
    </w:pPr>
    <w:rPr>
      <w:color w:val="000000"/>
    </w:rPr>
  </w:style>
  <w:style w:type="paragraph" w:customStyle="1" w:styleId="xl75">
    <w:name w:val="xl75"/>
    <w:basedOn w:val="Normal"/>
    <w:rsid w:val="00F306BC"/>
    <w:pPr>
      <w:pBdr>
        <w:bottom w:val="single" w:sz="4" w:space="0" w:color="auto"/>
        <w:right w:val="single" w:sz="4" w:space="0" w:color="auto"/>
      </w:pBdr>
      <w:spacing w:before="100" w:beforeAutospacing="1" w:after="100" w:afterAutospacing="1"/>
    </w:pPr>
    <w:rPr>
      <w:color w:val="000000"/>
    </w:rPr>
  </w:style>
  <w:style w:type="paragraph" w:customStyle="1" w:styleId="xl76">
    <w:name w:val="xl76"/>
    <w:basedOn w:val="Normal"/>
    <w:rsid w:val="00F306BC"/>
    <w:pPr>
      <w:pBdr>
        <w:bottom w:val="single" w:sz="4" w:space="0" w:color="auto"/>
        <w:right w:val="single" w:sz="4" w:space="0" w:color="auto"/>
      </w:pBdr>
      <w:spacing w:before="100" w:beforeAutospacing="1" w:after="100" w:afterAutospacing="1"/>
      <w:textAlignment w:val="center"/>
    </w:pPr>
    <w:rPr>
      <w:color w:val="212121"/>
    </w:rPr>
  </w:style>
  <w:style w:type="paragraph" w:customStyle="1" w:styleId="xl77">
    <w:name w:val="xl77"/>
    <w:basedOn w:val="Normal"/>
    <w:rsid w:val="00F306BC"/>
    <w:pPr>
      <w:pBdr>
        <w:bottom w:val="single" w:sz="4" w:space="0" w:color="auto"/>
        <w:right w:val="single" w:sz="4" w:space="0" w:color="auto"/>
      </w:pBdr>
      <w:spacing w:before="100" w:beforeAutospacing="1" w:after="100" w:afterAutospacing="1"/>
      <w:textAlignment w:val="center"/>
    </w:pPr>
    <w:rPr>
      <w:color w:val="222222"/>
    </w:rPr>
  </w:style>
  <w:style w:type="paragraph" w:customStyle="1" w:styleId="xl78">
    <w:name w:val="xl78"/>
    <w:basedOn w:val="Normal"/>
    <w:rsid w:val="00F306BC"/>
    <w:pPr>
      <w:pBdr>
        <w:bottom w:val="single" w:sz="4" w:space="0" w:color="auto"/>
        <w:right w:val="single" w:sz="4" w:space="0" w:color="auto"/>
      </w:pBdr>
      <w:spacing w:before="100" w:beforeAutospacing="1" w:after="100" w:afterAutospacing="1"/>
      <w:textAlignment w:val="center"/>
    </w:pPr>
    <w:rPr>
      <w:i/>
      <w:iCs/>
      <w:color w:val="222222"/>
    </w:rPr>
  </w:style>
  <w:style w:type="paragraph" w:customStyle="1" w:styleId="xl79">
    <w:name w:val="xl79"/>
    <w:basedOn w:val="Normal"/>
    <w:rsid w:val="00F306BC"/>
    <w:pPr>
      <w:pBdr>
        <w:bottom w:val="single" w:sz="4" w:space="0" w:color="auto"/>
        <w:right w:val="single" w:sz="4" w:space="0" w:color="auto"/>
      </w:pBdr>
      <w:spacing w:before="100" w:beforeAutospacing="1" w:after="100" w:afterAutospacing="1"/>
      <w:textAlignment w:val="center"/>
    </w:pPr>
    <w:rPr>
      <w:color w:val="333333"/>
    </w:rPr>
  </w:style>
  <w:style w:type="paragraph" w:customStyle="1" w:styleId="xl80">
    <w:name w:val="xl80"/>
    <w:basedOn w:val="Normal"/>
    <w:rsid w:val="00F306BC"/>
    <w:pPr>
      <w:pBdr>
        <w:bottom w:val="single" w:sz="4" w:space="0" w:color="auto"/>
        <w:right w:val="single" w:sz="4" w:space="0" w:color="auto"/>
      </w:pBdr>
      <w:spacing w:before="100" w:beforeAutospacing="1" w:after="100" w:afterAutospacing="1"/>
      <w:textAlignment w:val="center"/>
    </w:pPr>
    <w:rPr>
      <w:i/>
      <w:iCs/>
      <w:color w:val="000000"/>
    </w:rPr>
  </w:style>
  <w:style w:type="paragraph" w:customStyle="1" w:styleId="xl81">
    <w:name w:val="xl81"/>
    <w:basedOn w:val="Normal"/>
    <w:rsid w:val="00F306BC"/>
    <w:pPr>
      <w:pBdr>
        <w:bottom w:val="single" w:sz="4" w:space="0" w:color="auto"/>
        <w:right w:val="single" w:sz="4" w:space="0" w:color="auto"/>
      </w:pBdr>
      <w:spacing w:before="100" w:beforeAutospacing="1" w:after="100" w:afterAutospacing="1"/>
      <w:textAlignment w:val="center"/>
    </w:pPr>
    <w:rPr>
      <w:color w:val="000000"/>
      <w:u w:val="single"/>
    </w:rPr>
  </w:style>
  <w:style w:type="paragraph" w:customStyle="1" w:styleId="xl82">
    <w:name w:val="xl82"/>
    <w:basedOn w:val="Normal"/>
    <w:rsid w:val="00F306BC"/>
    <w:pPr>
      <w:pBdr>
        <w:bottom w:val="single" w:sz="4" w:space="0" w:color="auto"/>
        <w:right w:val="single" w:sz="4" w:space="0" w:color="auto"/>
      </w:pBdr>
      <w:spacing w:before="100" w:beforeAutospacing="1" w:after="100" w:afterAutospacing="1"/>
      <w:textAlignment w:val="center"/>
    </w:pPr>
    <w:rPr>
      <w:color w:val="0563C1"/>
      <w:u w:val="single"/>
    </w:rPr>
  </w:style>
  <w:style w:type="paragraph" w:customStyle="1" w:styleId="xl83">
    <w:name w:val="xl83"/>
    <w:basedOn w:val="Normal"/>
    <w:rsid w:val="00F306BC"/>
    <w:pPr>
      <w:pBdr>
        <w:bottom w:val="single" w:sz="4" w:space="0" w:color="auto"/>
        <w:right w:val="single" w:sz="4" w:space="0" w:color="auto"/>
      </w:pBdr>
      <w:spacing w:before="100" w:beforeAutospacing="1" w:after="100" w:afterAutospacing="1"/>
      <w:textAlignment w:val="center"/>
    </w:pPr>
    <w:rPr>
      <w:color w:val="212121"/>
    </w:rPr>
  </w:style>
  <w:style w:type="paragraph" w:customStyle="1" w:styleId="xl84">
    <w:name w:val="xl84"/>
    <w:basedOn w:val="Normal"/>
    <w:rsid w:val="00F306BC"/>
    <w:pPr>
      <w:pBdr>
        <w:bottom w:val="single" w:sz="4" w:space="0" w:color="auto"/>
        <w:right w:val="single" w:sz="4" w:space="0" w:color="auto"/>
      </w:pBdr>
      <w:spacing w:before="100" w:beforeAutospacing="1" w:after="100" w:afterAutospacing="1"/>
      <w:textAlignment w:val="center"/>
    </w:pPr>
    <w:rPr>
      <w:color w:val="0563C1"/>
      <w:u w:val="single"/>
    </w:rPr>
  </w:style>
  <w:style w:type="character" w:customStyle="1" w:styleId="period">
    <w:name w:val="period"/>
    <w:basedOn w:val="DefaultParagraphFont"/>
    <w:rsid w:val="008F0616"/>
  </w:style>
  <w:style w:type="paragraph" w:customStyle="1" w:styleId="2024TitleNONUMBER">
    <w:name w:val="2024_Title NO NUMBER"/>
    <w:basedOn w:val="TitlePage"/>
    <w:qFormat/>
    <w:rsid w:val="00531D31"/>
    <w:pPr>
      <w:spacing w:after="180"/>
    </w:pPr>
    <w:rPr>
      <w:rFonts w:eastAsia="Times New Roman" w:cs="Times New Roman"/>
      <w:sz w:val="36"/>
      <w:szCs w:val="36"/>
      <w:lang w:eastAsia="en-GB"/>
    </w:rPr>
  </w:style>
  <w:style w:type="paragraph" w:customStyle="1" w:styleId="2024SMALLTITLENONUMBER">
    <w:name w:val="2024_SMALL TITLE NO NUMBER"/>
    <w:basedOn w:val="TitlePage"/>
    <w:qFormat/>
    <w:rsid w:val="00531D31"/>
    <w:pPr>
      <w:spacing w:after="180"/>
    </w:pPr>
    <w:rPr>
      <w:rFonts w:eastAsia="Times New Roman" w:cs="Times New Roman"/>
      <w:sz w:val="28"/>
      <w:szCs w:val="28"/>
      <w:lang w:eastAsia="en-GB"/>
    </w:rPr>
  </w:style>
  <w:style w:type="paragraph" w:customStyle="1" w:styleId="Heading1caps">
    <w:name w:val="Heading 1 caps"/>
    <w:basedOn w:val="Heading1"/>
    <w:link w:val="Heading1capsChar"/>
    <w:qFormat/>
    <w:rsid w:val="0027240E"/>
    <w:pPr>
      <w:numPr>
        <w:numId w:val="0"/>
      </w:numPr>
    </w:pPr>
    <w:rPr>
      <w:caps/>
    </w:rPr>
  </w:style>
  <w:style w:type="character" w:customStyle="1" w:styleId="Heading1capsChar">
    <w:name w:val="Heading 1 caps Char"/>
    <w:basedOn w:val="Heading1Char"/>
    <w:link w:val="Heading1caps"/>
    <w:rsid w:val="0027240E"/>
    <w:rPr>
      <w:rFonts w:ascii="Montserrat" w:eastAsia="Times New Roman" w:hAnsi="Montserrat" w:cs="Calibri"/>
      <w:bCs/>
      <w:caps/>
      <w:color w:val="053341"/>
      <w:kern w:val="0"/>
      <w:sz w:val="32"/>
      <w:szCs w:val="28"/>
      <w14:ligatures w14:val="none"/>
    </w:rPr>
  </w:style>
  <w:style w:type="paragraph" w:customStyle="1" w:styleId="Heading2caps">
    <w:name w:val="Heading 2 caps"/>
    <w:basedOn w:val="Heading2"/>
    <w:qFormat/>
    <w:rsid w:val="0027240E"/>
    <w:pPr>
      <w:numPr>
        <w:ilvl w:val="0"/>
        <w:numId w:val="0"/>
      </w:numPr>
    </w:pPr>
    <w:rPr>
      <w:caps/>
    </w:rPr>
  </w:style>
  <w:style w:type="paragraph" w:customStyle="1" w:styleId="Heading3caps">
    <w:name w:val="Heading 3 caps"/>
    <w:basedOn w:val="Heading3"/>
    <w:qFormat/>
    <w:rsid w:val="0027240E"/>
    <w:pPr>
      <w:numPr>
        <w:ilvl w:val="0"/>
        <w:numId w:val="0"/>
      </w:numPr>
    </w:pPr>
    <w:rPr>
      <w:caps/>
    </w:rPr>
  </w:style>
  <w:style w:type="paragraph" w:customStyle="1" w:styleId="Heading5a">
    <w:name w:val="Heading 5a"/>
    <w:basedOn w:val="Normal"/>
    <w:link w:val="Heading5aChar"/>
    <w:qFormat/>
    <w:rsid w:val="0027240E"/>
    <w:pPr>
      <w:keepNext/>
      <w:keepLines/>
      <w:pBdr>
        <w:top w:val="nil"/>
        <w:left w:val="nil"/>
        <w:bottom w:val="nil"/>
        <w:right w:val="nil"/>
        <w:between w:val="nil"/>
      </w:pBdr>
      <w:spacing w:before="120" w:after="120" w:line="276" w:lineRule="auto"/>
      <w:ind w:left="864" w:hanging="864"/>
    </w:pPr>
    <w:rPr>
      <w:rFonts w:ascii="Montserrat" w:hAnsi="Montserrat" w:cs="Calibri"/>
      <w:b/>
      <w:color w:val="273341"/>
      <w:sz w:val="20"/>
      <w:szCs w:val="20"/>
      <w:lang w:eastAsia="en-US"/>
    </w:rPr>
  </w:style>
  <w:style w:type="character" w:customStyle="1" w:styleId="Heading5aChar">
    <w:name w:val="Heading 5a Char"/>
    <w:basedOn w:val="DefaultParagraphFont"/>
    <w:link w:val="Heading5a"/>
    <w:rsid w:val="0027240E"/>
    <w:rPr>
      <w:rFonts w:ascii="Montserrat" w:eastAsia="Times New Roman" w:hAnsi="Montserrat" w:cs="Calibri"/>
      <w:b/>
      <w:color w:val="273341"/>
      <w:kern w:val="0"/>
      <w:sz w:val="20"/>
      <w:szCs w:val="20"/>
      <w14:ligatures w14:val="none"/>
    </w:rPr>
  </w:style>
  <w:style w:type="character" w:customStyle="1" w:styleId="Heading6Char">
    <w:name w:val="Heading 6 Char"/>
    <w:basedOn w:val="DefaultParagraphFont"/>
    <w:link w:val="Heading6"/>
    <w:uiPriority w:val="1"/>
    <w:rsid w:val="0027240E"/>
    <w:rPr>
      <w:rFonts w:ascii="Calibri Light" w:eastAsia="Times New Roman" w:hAnsi="Calibri Light" w:cs="Calibri"/>
      <w:i/>
      <w:iCs/>
      <w:color w:val="806000" w:themeColor="accent4" w:themeShade="80"/>
      <w:kern w:val="0"/>
      <w:sz w:val="19"/>
      <w:szCs w:val="20"/>
      <w14:ligatures w14:val="none"/>
    </w:rPr>
  </w:style>
  <w:style w:type="character" w:customStyle="1" w:styleId="Heading7Char">
    <w:name w:val="Heading 7 Char"/>
    <w:basedOn w:val="DefaultParagraphFont"/>
    <w:link w:val="Heading7"/>
    <w:uiPriority w:val="1"/>
    <w:rsid w:val="0027240E"/>
    <w:rPr>
      <w:rFonts w:ascii="Cambria" w:eastAsia="Times New Roman" w:hAnsi="Cambria" w:cs="Calibri"/>
      <w:i/>
      <w:iCs/>
      <w:color w:val="404040"/>
      <w:kern w:val="0"/>
      <w:sz w:val="19"/>
      <w:szCs w:val="20"/>
      <w14:ligatures w14:val="none"/>
    </w:rPr>
  </w:style>
  <w:style w:type="character" w:customStyle="1" w:styleId="Heading8Char">
    <w:name w:val="Heading 8 Char"/>
    <w:basedOn w:val="DefaultParagraphFont"/>
    <w:link w:val="Heading8"/>
    <w:uiPriority w:val="1"/>
    <w:rsid w:val="0027240E"/>
    <w:rPr>
      <w:rFonts w:ascii="Cambria" w:eastAsia="Times New Roman" w:hAnsi="Cambria" w:cs="Calibri"/>
      <w:color w:val="404040"/>
      <w:kern w:val="0"/>
      <w:sz w:val="19"/>
      <w:szCs w:val="20"/>
      <w14:ligatures w14:val="none"/>
    </w:rPr>
  </w:style>
  <w:style w:type="character" w:customStyle="1" w:styleId="Heading9Char">
    <w:name w:val="Heading 9 Char"/>
    <w:basedOn w:val="DefaultParagraphFont"/>
    <w:link w:val="Heading9"/>
    <w:uiPriority w:val="1"/>
    <w:rsid w:val="0027240E"/>
    <w:rPr>
      <w:rFonts w:ascii="Cambria" w:eastAsia="Times New Roman" w:hAnsi="Cambria" w:cs="Calibri"/>
      <w:i/>
      <w:iCs/>
      <w:color w:val="404040"/>
      <w:kern w:val="0"/>
      <w:sz w:val="19"/>
      <w:szCs w:val="20"/>
      <w14:ligatures w14:val="none"/>
    </w:rPr>
  </w:style>
  <w:style w:type="paragraph" w:customStyle="1" w:styleId="heading3numbers">
    <w:name w:val="heading 3 numbers"/>
    <w:basedOn w:val="Heading3"/>
    <w:link w:val="heading3numbersChar"/>
    <w:qFormat/>
    <w:rsid w:val="0027240E"/>
    <w:rPr>
      <w:rFonts w:ascii="Aptos" w:eastAsia="Calibri" w:hAnsi="Aptos"/>
      <w:b/>
      <w:bCs w:val="0"/>
      <w:color w:val="C00000"/>
    </w:rPr>
  </w:style>
  <w:style w:type="character" w:customStyle="1" w:styleId="heading3numbersChar">
    <w:name w:val="heading 3 numbers Char"/>
    <w:basedOn w:val="Heading3Char"/>
    <w:link w:val="heading3numbers"/>
    <w:rsid w:val="0027240E"/>
    <w:rPr>
      <w:rFonts w:ascii="Aptos" w:eastAsia="Calibri" w:hAnsi="Aptos" w:cs="Calibri"/>
      <w:b/>
      <w:bCs w:val="0"/>
      <w:color w:val="C00000"/>
      <w:kern w:val="0"/>
      <w:szCs w:val="20"/>
      <w14:ligatures w14:val="none"/>
    </w:rPr>
  </w:style>
  <w:style w:type="paragraph" w:customStyle="1" w:styleId="heading2numbers">
    <w:name w:val="heading 2 numbers"/>
    <w:basedOn w:val="Heading2"/>
    <w:link w:val="heading2numbersChar"/>
    <w:qFormat/>
    <w:rsid w:val="0027240E"/>
    <w:rPr>
      <w:rFonts w:ascii="Aptos" w:eastAsia="Calibri" w:hAnsi="Aptos"/>
      <w:b/>
      <w:bCs w:val="0"/>
      <w:color w:val="C00000"/>
      <w:w w:val="105"/>
    </w:rPr>
  </w:style>
  <w:style w:type="character" w:customStyle="1" w:styleId="heading2numbersChar">
    <w:name w:val="heading 2 numbers Char"/>
    <w:basedOn w:val="Heading2Char"/>
    <w:link w:val="heading2numbers"/>
    <w:rsid w:val="0027240E"/>
    <w:rPr>
      <w:rFonts w:ascii="Aptos" w:eastAsia="Calibri" w:hAnsi="Aptos" w:cs="Calibri"/>
      <w:b/>
      <w:bCs w:val="0"/>
      <w:color w:val="C00000"/>
      <w:w w:val="105"/>
      <w:kern w:val="0"/>
      <w:sz w:val="28"/>
      <w:szCs w:val="26"/>
      <w14:ligatures w14:val="none"/>
    </w:rPr>
  </w:style>
  <w:style w:type="paragraph" w:styleId="Caption">
    <w:name w:val="caption"/>
    <w:basedOn w:val="Normal"/>
    <w:next w:val="Normal"/>
    <w:uiPriority w:val="35"/>
    <w:unhideWhenUsed/>
    <w:qFormat/>
    <w:rsid w:val="001042C2"/>
    <w:pPr>
      <w:keepNext/>
      <w:spacing w:after="200"/>
    </w:pPr>
    <w:rPr>
      <w:rFonts w:ascii="Aptos SemiBold" w:hAnsi="Aptos SemiBold"/>
      <w:b/>
      <w:bCs/>
      <w:sz w:val="20"/>
      <w:szCs w:val="20"/>
    </w:rPr>
  </w:style>
  <w:style w:type="paragraph" w:styleId="HTMLPreformatted">
    <w:name w:val="HTML Preformatted"/>
    <w:basedOn w:val="Normal"/>
    <w:link w:val="HTMLPreformattedChar"/>
    <w:uiPriority w:val="99"/>
    <w:semiHidden/>
    <w:unhideWhenUsed/>
    <w:rsid w:val="0049513B"/>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49513B"/>
    <w:rPr>
      <w:rFonts w:ascii="Consolas" w:eastAsia="Times New Roman" w:hAnsi="Consolas" w:cs="Consolas"/>
      <w:kern w:val="0"/>
      <w:sz w:val="20"/>
      <w:szCs w:val="20"/>
      <w:lang w:eastAsia="en-GB"/>
      <w14:ligatures w14:val="none"/>
    </w:rPr>
  </w:style>
  <w:style w:type="paragraph" w:styleId="TOC4">
    <w:name w:val="toc 4"/>
    <w:basedOn w:val="Normal"/>
    <w:next w:val="Normal"/>
    <w:autoRedefine/>
    <w:uiPriority w:val="39"/>
    <w:unhideWhenUsed/>
    <w:rsid w:val="00954AFC"/>
    <w:pPr>
      <w:spacing w:after="100" w:line="278" w:lineRule="auto"/>
      <w:ind w:left="720"/>
    </w:pPr>
    <w:rPr>
      <w:rFonts w:asciiTheme="minorHAnsi" w:eastAsiaTheme="minorEastAsia" w:hAnsiTheme="minorHAnsi" w:cstheme="minorBidi"/>
      <w:kern w:val="2"/>
      <w14:ligatures w14:val="standardContextual"/>
    </w:rPr>
  </w:style>
  <w:style w:type="paragraph" w:styleId="TOC5">
    <w:name w:val="toc 5"/>
    <w:basedOn w:val="Normal"/>
    <w:next w:val="Normal"/>
    <w:autoRedefine/>
    <w:uiPriority w:val="39"/>
    <w:unhideWhenUsed/>
    <w:rsid w:val="00954AFC"/>
    <w:pPr>
      <w:spacing w:after="100" w:line="278" w:lineRule="auto"/>
      <w:ind w:left="960"/>
    </w:pPr>
    <w:rPr>
      <w:rFonts w:asciiTheme="minorHAnsi" w:eastAsiaTheme="minorEastAsia" w:hAnsiTheme="minorHAnsi" w:cstheme="minorBidi"/>
      <w:kern w:val="2"/>
      <w14:ligatures w14:val="standardContextual"/>
    </w:rPr>
  </w:style>
  <w:style w:type="paragraph" w:styleId="TOC6">
    <w:name w:val="toc 6"/>
    <w:basedOn w:val="Normal"/>
    <w:next w:val="Normal"/>
    <w:autoRedefine/>
    <w:uiPriority w:val="39"/>
    <w:unhideWhenUsed/>
    <w:rsid w:val="00954AFC"/>
    <w:pPr>
      <w:spacing w:after="100" w:line="278" w:lineRule="auto"/>
      <w:ind w:left="1200"/>
    </w:pPr>
    <w:rPr>
      <w:rFonts w:asciiTheme="minorHAnsi" w:eastAsiaTheme="minorEastAsia" w:hAnsiTheme="minorHAnsi" w:cstheme="minorBidi"/>
      <w:kern w:val="2"/>
      <w14:ligatures w14:val="standardContextual"/>
    </w:rPr>
  </w:style>
  <w:style w:type="paragraph" w:styleId="TOC7">
    <w:name w:val="toc 7"/>
    <w:basedOn w:val="Normal"/>
    <w:next w:val="Normal"/>
    <w:autoRedefine/>
    <w:uiPriority w:val="39"/>
    <w:unhideWhenUsed/>
    <w:rsid w:val="00954AFC"/>
    <w:pPr>
      <w:spacing w:after="100" w:line="278" w:lineRule="auto"/>
      <w:ind w:left="1440"/>
    </w:pPr>
    <w:rPr>
      <w:rFonts w:asciiTheme="minorHAnsi" w:eastAsiaTheme="minorEastAsia" w:hAnsiTheme="minorHAnsi" w:cstheme="minorBidi"/>
      <w:kern w:val="2"/>
      <w14:ligatures w14:val="standardContextual"/>
    </w:rPr>
  </w:style>
  <w:style w:type="paragraph" w:styleId="TOC8">
    <w:name w:val="toc 8"/>
    <w:basedOn w:val="Normal"/>
    <w:next w:val="Normal"/>
    <w:autoRedefine/>
    <w:uiPriority w:val="39"/>
    <w:unhideWhenUsed/>
    <w:rsid w:val="00954AFC"/>
    <w:pPr>
      <w:spacing w:after="100" w:line="278" w:lineRule="auto"/>
      <w:ind w:left="1680"/>
    </w:pPr>
    <w:rPr>
      <w:rFonts w:asciiTheme="minorHAnsi" w:eastAsiaTheme="minorEastAsia" w:hAnsiTheme="minorHAnsi" w:cstheme="minorBidi"/>
      <w:kern w:val="2"/>
      <w14:ligatures w14:val="standardContextual"/>
    </w:rPr>
  </w:style>
  <w:style w:type="paragraph" w:styleId="TOC9">
    <w:name w:val="toc 9"/>
    <w:basedOn w:val="Normal"/>
    <w:next w:val="Normal"/>
    <w:autoRedefine/>
    <w:uiPriority w:val="39"/>
    <w:unhideWhenUsed/>
    <w:rsid w:val="00954AFC"/>
    <w:pPr>
      <w:spacing w:after="100" w:line="278" w:lineRule="auto"/>
      <w:ind w:left="1920"/>
    </w:pPr>
    <w:rPr>
      <w:rFonts w:asciiTheme="minorHAnsi" w:eastAsiaTheme="minorEastAsia" w:hAnsiTheme="minorHAnsi" w:cstheme="minorBidi"/>
      <w:kern w:val="2"/>
      <w14:ligatures w14:val="standardContextual"/>
    </w:rPr>
  </w:style>
  <w:style w:type="paragraph" w:styleId="Bibliography">
    <w:name w:val="Bibliography"/>
    <w:basedOn w:val="Normal"/>
    <w:next w:val="Normal"/>
    <w:uiPriority w:val="37"/>
    <w:semiHidden/>
    <w:unhideWhenUsed/>
    <w:rsid w:val="00C426C6"/>
  </w:style>
  <w:style w:type="paragraph" w:styleId="BlockText">
    <w:name w:val="Block Text"/>
    <w:basedOn w:val="Normal"/>
    <w:uiPriority w:val="99"/>
    <w:semiHidden/>
    <w:unhideWhenUsed/>
    <w:rsid w:val="00C426C6"/>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uiPriority w:val="99"/>
    <w:semiHidden/>
    <w:unhideWhenUsed/>
    <w:rsid w:val="00C426C6"/>
    <w:pPr>
      <w:spacing w:after="120" w:line="480" w:lineRule="auto"/>
    </w:pPr>
  </w:style>
  <w:style w:type="character" w:customStyle="1" w:styleId="BodyText2Char">
    <w:name w:val="Body Text 2 Char"/>
    <w:basedOn w:val="DefaultParagraphFont"/>
    <w:link w:val="BodyText2"/>
    <w:uiPriority w:val="99"/>
    <w:semiHidden/>
    <w:rsid w:val="00C426C6"/>
    <w:rPr>
      <w:rFonts w:ascii="Times New Roman" w:eastAsia="Times New Roman" w:hAnsi="Times New Roman" w:cs="Times New Roman"/>
      <w:kern w:val="0"/>
      <w:lang w:eastAsia="en-GB"/>
      <w14:ligatures w14:val="none"/>
    </w:rPr>
  </w:style>
  <w:style w:type="paragraph" w:styleId="BodyText3">
    <w:name w:val="Body Text 3"/>
    <w:basedOn w:val="Normal"/>
    <w:link w:val="BodyText3Char"/>
    <w:uiPriority w:val="99"/>
    <w:semiHidden/>
    <w:unhideWhenUsed/>
    <w:rsid w:val="00C426C6"/>
    <w:pPr>
      <w:spacing w:after="120"/>
    </w:pPr>
    <w:rPr>
      <w:sz w:val="16"/>
      <w:szCs w:val="16"/>
    </w:rPr>
  </w:style>
  <w:style w:type="character" w:customStyle="1" w:styleId="BodyText3Char">
    <w:name w:val="Body Text 3 Char"/>
    <w:basedOn w:val="DefaultParagraphFont"/>
    <w:link w:val="BodyText3"/>
    <w:uiPriority w:val="99"/>
    <w:semiHidden/>
    <w:rsid w:val="00C426C6"/>
    <w:rPr>
      <w:rFonts w:ascii="Times New Roman" w:eastAsia="Times New Roman" w:hAnsi="Times New Roman" w:cs="Times New Roman"/>
      <w:kern w:val="0"/>
      <w:sz w:val="16"/>
      <w:szCs w:val="16"/>
      <w:lang w:eastAsia="en-GB"/>
      <w14:ligatures w14:val="none"/>
    </w:rPr>
  </w:style>
  <w:style w:type="paragraph" w:styleId="BodyTextFirstIndent">
    <w:name w:val="Body Text First Indent"/>
    <w:basedOn w:val="BodyText"/>
    <w:link w:val="BodyTextFirstIndentChar"/>
    <w:uiPriority w:val="99"/>
    <w:semiHidden/>
    <w:unhideWhenUsed/>
    <w:rsid w:val="00C426C6"/>
    <w:pPr>
      <w:spacing w:after="0"/>
      <w:ind w:firstLine="360"/>
    </w:pPr>
    <w:rPr>
      <w:rFonts w:ascii="Times New Roman" w:eastAsia="Times New Roman" w:hAnsi="Times New Roman" w:cs="Times New Roman"/>
      <w:kern w:val="0"/>
      <w:lang w:eastAsia="en-GB"/>
      <w14:ligatures w14:val="none"/>
    </w:rPr>
  </w:style>
  <w:style w:type="character" w:customStyle="1" w:styleId="BodyTextFirstIndentChar">
    <w:name w:val="Body Text First Indent Char"/>
    <w:basedOn w:val="BodyTextChar"/>
    <w:link w:val="BodyTextFirstIndent"/>
    <w:uiPriority w:val="99"/>
    <w:semiHidden/>
    <w:rsid w:val="00C426C6"/>
    <w:rPr>
      <w:rFonts w:ascii="Times New Roman" w:eastAsia="Times New Roman" w:hAnsi="Times New Roman" w:cs="Times New Roman"/>
      <w:kern w:val="0"/>
      <w:lang w:eastAsia="en-GB"/>
      <w14:ligatures w14:val="none"/>
    </w:rPr>
  </w:style>
  <w:style w:type="paragraph" w:styleId="BodyTextIndent">
    <w:name w:val="Body Text Indent"/>
    <w:basedOn w:val="Normal"/>
    <w:link w:val="BodyTextIndentChar"/>
    <w:uiPriority w:val="99"/>
    <w:semiHidden/>
    <w:unhideWhenUsed/>
    <w:rsid w:val="00C426C6"/>
    <w:pPr>
      <w:spacing w:after="120"/>
      <w:ind w:left="283"/>
    </w:pPr>
  </w:style>
  <w:style w:type="character" w:customStyle="1" w:styleId="BodyTextIndentChar">
    <w:name w:val="Body Text Indent Char"/>
    <w:basedOn w:val="DefaultParagraphFont"/>
    <w:link w:val="BodyTextIndent"/>
    <w:uiPriority w:val="99"/>
    <w:semiHidden/>
    <w:rsid w:val="00C426C6"/>
    <w:rPr>
      <w:rFonts w:ascii="Times New Roman" w:eastAsia="Times New Roman" w:hAnsi="Times New Roman" w:cs="Times New Roman"/>
      <w:kern w:val="0"/>
      <w:lang w:eastAsia="en-GB"/>
      <w14:ligatures w14:val="none"/>
    </w:rPr>
  </w:style>
  <w:style w:type="paragraph" w:styleId="BodyTextFirstIndent2">
    <w:name w:val="Body Text First Indent 2"/>
    <w:basedOn w:val="BodyTextIndent"/>
    <w:link w:val="BodyTextFirstIndent2Char"/>
    <w:uiPriority w:val="99"/>
    <w:semiHidden/>
    <w:unhideWhenUsed/>
    <w:rsid w:val="00C426C6"/>
    <w:pPr>
      <w:spacing w:after="0"/>
      <w:ind w:left="360" w:firstLine="360"/>
    </w:pPr>
  </w:style>
  <w:style w:type="character" w:customStyle="1" w:styleId="BodyTextFirstIndent2Char">
    <w:name w:val="Body Text First Indent 2 Char"/>
    <w:basedOn w:val="BodyTextIndentChar"/>
    <w:link w:val="BodyTextFirstIndent2"/>
    <w:uiPriority w:val="99"/>
    <w:semiHidden/>
    <w:rsid w:val="00C426C6"/>
    <w:rPr>
      <w:rFonts w:ascii="Times New Roman" w:eastAsia="Times New Roman" w:hAnsi="Times New Roman" w:cs="Times New Roman"/>
      <w:kern w:val="0"/>
      <w:lang w:eastAsia="en-GB"/>
      <w14:ligatures w14:val="none"/>
    </w:rPr>
  </w:style>
  <w:style w:type="paragraph" w:styleId="BodyTextIndent2">
    <w:name w:val="Body Text Indent 2"/>
    <w:basedOn w:val="Normal"/>
    <w:link w:val="BodyTextIndent2Char"/>
    <w:uiPriority w:val="99"/>
    <w:semiHidden/>
    <w:unhideWhenUsed/>
    <w:rsid w:val="00C426C6"/>
    <w:pPr>
      <w:spacing w:after="120" w:line="480" w:lineRule="auto"/>
      <w:ind w:left="283"/>
    </w:pPr>
  </w:style>
  <w:style w:type="character" w:customStyle="1" w:styleId="BodyTextIndent2Char">
    <w:name w:val="Body Text Indent 2 Char"/>
    <w:basedOn w:val="DefaultParagraphFont"/>
    <w:link w:val="BodyTextIndent2"/>
    <w:uiPriority w:val="99"/>
    <w:semiHidden/>
    <w:rsid w:val="00C426C6"/>
    <w:rPr>
      <w:rFonts w:ascii="Times New Roman" w:eastAsia="Times New Roman" w:hAnsi="Times New Roman" w:cs="Times New Roman"/>
      <w:kern w:val="0"/>
      <w:lang w:eastAsia="en-GB"/>
      <w14:ligatures w14:val="none"/>
    </w:rPr>
  </w:style>
  <w:style w:type="paragraph" w:styleId="BodyTextIndent3">
    <w:name w:val="Body Text Indent 3"/>
    <w:basedOn w:val="Normal"/>
    <w:link w:val="BodyTextIndent3Char"/>
    <w:uiPriority w:val="99"/>
    <w:semiHidden/>
    <w:unhideWhenUsed/>
    <w:rsid w:val="00C426C6"/>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C426C6"/>
    <w:rPr>
      <w:rFonts w:ascii="Times New Roman" w:eastAsia="Times New Roman" w:hAnsi="Times New Roman" w:cs="Times New Roman"/>
      <w:kern w:val="0"/>
      <w:sz w:val="16"/>
      <w:szCs w:val="16"/>
      <w:lang w:eastAsia="en-GB"/>
      <w14:ligatures w14:val="none"/>
    </w:rPr>
  </w:style>
  <w:style w:type="paragraph" w:styleId="Closing">
    <w:name w:val="Closing"/>
    <w:basedOn w:val="Normal"/>
    <w:link w:val="ClosingChar"/>
    <w:uiPriority w:val="99"/>
    <w:semiHidden/>
    <w:unhideWhenUsed/>
    <w:rsid w:val="00C426C6"/>
    <w:pPr>
      <w:ind w:left="4252"/>
    </w:pPr>
  </w:style>
  <w:style w:type="character" w:customStyle="1" w:styleId="ClosingChar">
    <w:name w:val="Closing Char"/>
    <w:basedOn w:val="DefaultParagraphFont"/>
    <w:link w:val="Closing"/>
    <w:uiPriority w:val="99"/>
    <w:semiHidden/>
    <w:rsid w:val="00C426C6"/>
    <w:rPr>
      <w:rFonts w:ascii="Times New Roman" w:eastAsia="Times New Roman" w:hAnsi="Times New Roman" w:cs="Times New Roman"/>
      <w:kern w:val="0"/>
      <w:lang w:eastAsia="en-GB"/>
      <w14:ligatures w14:val="none"/>
    </w:rPr>
  </w:style>
  <w:style w:type="paragraph" w:styleId="Date">
    <w:name w:val="Date"/>
    <w:basedOn w:val="Normal"/>
    <w:next w:val="Normal"/>
    <w:link w:val="DateChar"/>
    <w:uiPriority w:val="99"/>
    <w:semiHidden/>
    <w:unhideWhenUsed/>
    <w:rsid w:val="00C426C6"/>
  </w:style>
  <w:style w:type="character" w:customStyle="1" w:styleId="DateChar">
    <w:name w:val="Date Char"/>
    <w:basedOn w:val="DefaultParagraphFont"/>
    <w:link w:val="Date"/>
    <w:uiPriority w:val="99"/>
    <w:semiHidden/>
    <w:rsid w:val="00C426C6"/>
    <w:rPr>
      <w:rFonts w:ascii="Times New Roman" w:eastAsia="Times New Roman" w:hAnsi="Times New Roman" w:cs="Times New Roman"/>
      <w:kern w:val="0"/>
      <w:lang w:eastAsia="en-GB"/>
      <w14:ligatures w14:val="none"/>
    </w:rPr>
  </w:style>
  <w:style w:type="paragraph" w:styleId="DocumentMap">
    <w:name w:val="Document Map"/>
    <w:basedOn w:val="Normal"/>
    <w:link w:val="DocumentMapChar"/>
    <w:uiPriority w:val="99"/>
    <w:semiHidden/>
    <w:unhideWhenUsed/>
    <w:rsid w:val="00C426C6"/>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426C6"/>
    <w:rPr>
      <w:rFonts w:ascii="Segoe UI" w:eastAsia="Times New Roman" w:hAnsi="Segoe UI" w:cs="Segoe UI"/>
      <w:kern w:val="0"/>
      <w:sz w:val="16"/>
      <w:szCs w:val="16"/>
      <w:lang w:eastAsia="en-GB"/>
      <w14:ligatures w14:val="none"/>
    </w:rPr>
  </w:style>
  <w:style w:type="paragraph" w:styleId="E-mailSignature">
    <w:name w:val="E-mail Signature"/>
    <w:basedOn w:val="Normal"/>
    <w:link w:val="E-mailSignatureChar"/>
    <w:uiPriority w:val="99"/>
    <w:semiHidden/>
    <w:unhideWhenUsed/>
    <w:rsid w:val="00C426C6"/>
  </w:style>
  <w:style w:type="character" w:customStyle="1" w:styleId="E-mailSignatureChar">
    <w:name w:val="E-mail Signature Char"/>
    <w:basedOn w:val="DefaultParagraphFont"/>
    <w:link w:val="E-mailSignature"/>
    <w:uiPriority w:val="99"/>
    <w:semiHidden/>
    <w:rsid w:val="00C426C6"/>
    <w:rPr>
      <w:rFonts w:ascii="Times New Roman" w:eastAsia="Times New Roman" w:hAnsi="Times New Roman" w:cs="Times New Roman"/>
      <w:kern w:val="0"/>
      <w:lang w:eastAsia="en-GB"/>
      <w14:ligatures w14:val="none"/>
    </w:rPr>
  </w:style>
  <w:style w:type="paragraph" w:styleId="EndnoteText">
    <w:name w:val="endnote text"/>
    <w:basedOn w:val="Normal"/>
    <w:link w:val="EndnoteTextChar"/>
    <w:uiPriority w:val="99"/>
    <w:semiHidden/>
    <w:unhideWhenUsed/>
    <w:rsid w:val="00C426C6"/>
    <w:rPr>
      <w:sz w:val="20"/>
      <w:szCs w:val="20"/>
    </w:rPr>
  </w:style>
  <w:style w:type="character" w:customStyle="1" w:styleId="EndnoteTextChar">
    <w:name w:val="Endnote Text Char"/>
    <w:basedOn w:val="DefaultParagraphFont"/>
    <w:link w:val="EndnoteText"/>
    <w:uiPriority w:val="99"/>
    <w:semiHidden/>
    <w:rsid w:val="00C426C6"/>
    <w:rPr>
      <w:rFonts w:ascii="Times New Roman" w:eastAsia="Times New Roman" w:hAnsi="Times New Roman" w:cs="Times New Roman"/>
      <w:kern w:val="0"/>
      <w:sz w:val="20"/>
      <w:szCs w:val="20"/>
      <w:lang w:eastAsia="en-GB"/>
      <w14:ligatures w14:val="none"/>
    </w:rPr>
  </w:style>
  <w:style w:type="paragraph" w:styleId="EnvelopeAddress">
    <w:name w:val="envelope address"/>
    <w:basedOn w:val="Normal"/>
    <w:uiPriority w:val="99"/>
    <w:semiHidden/>
    <w:unhideWhenUsed/>
    <w:rsid w:val="00C426C6"/>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426C6"/>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C426C6"/>
    <w:rPr>
      <w:i/>
      <w:iCs/>
    </w:rPr>
  </w:style>
  <w:style w:type="character" w:customStyle="1" w:styleId="HTMLAddressChar">
    <w:name w:val="HTML Address Char"/>
    <w:basedOn w:val="DefaultParagraphFont"/>
    <w:link w:val="HTMLAddress"/>
    <w:uiPriority w:val="99"/>
    <w:semiHidden/>
    <w:rsid w:val="00C426C6"/>
    <w:rPr>
      <w:rFonts w:ascii="Times New Roman" w:eastAsia="Times New Roman" w:hAnsi="Times New Roman" w:cs="Times New Roman"/>
      <w:i/>
      <w:iCs/>
      <w:kern w:val="0"/>
      <w:lang w:eastAsia="en-GB"/>
      <w14:ligatures w14:val="none"/>
    </w:rPr>
  </w:style>
  <w:style w:type="paragraph" w:styleId="Index1">
    <w:name w:val="index 1"/>
    <w:basedOn w:val="Normal"/>
    <w:next w:val="Normal"/>
    <w:autoRedefine/>
    <w:uiPriority w:val="99"/>
    <w:semiHidden/>
    <w:unhideWhenUsed/>
    <w:rsid w:val="00C426C6"/>
    <w:pPr>
      <w:ind w:left="240" w:hanging="240"/>
    </w:pPr>
  </w:style>
  <w:style w:type="paragraph" w:styleId="Index2">
    <w:name w:val="index 2"/>
    <w:basedOn w:val="Normal"/>
    <w:next w:val="Normal"/>
    <w:autoRedefine/>
    <w:uiPriority w:val="99"/>
    <w:semiHidden/>
    <w:unhideWhenUsed/>
    <w:rsid w:val="00C426C6"/>
    <w:pPr>
      <w:ind w:left="480" w:hanging="240"/>
    </w:pPr>
  </w:style>
  <w:style w:type="paragraph" w:styleId="Index3">
    <w:name w:val="index 3"/>
    <w:basedOn w:val="Normal"/>
    <w:next w:val="Normal"/>
    <w:autoRedefine/>
    <w:uiPriority w:val="99"/>
    <w:semiHidden/>
    <w:unhideWhenUsed/>
    <w:rsid w:val="00C426C6"/>
    <w:pPr>
      <w:ind w:left="720" w:hanging="240"/>
    </w:pPr>
  </w:style>
  <w:style w:type="paragraph" w:styleId="Index4">
    <w:name w:val="index 4"/>
    <w:basedOn w:val="Normal"/>
    <w:next w:val="Normal"/>
    <w:autoRedefine/>
    <w:uiPriority w:val="99"/>
    <w:semiHidden/>
    <w:unhideWhenUsed/>
    <w:rsid w:val="00C426C6"/>
    <w:pPr>
      <w:ind w:left="960" w:hanging="240"/>
    </w:pPr>
  </w:style>
  <w:style w:type="paragraph" w:styleId="Index5">
    <w:name w:val="index 5"/>
    <w:basedOn w:val="Normal"/>
    <w:next w:val="Normal"/>
    <w:autoRedefine/>
    <w:uiPriority w:val="99"/>
    <w:semiHidden/>
    <w:unhideWhenUsed/>
    <w:rsid w:val="00C426C6"/>
    <w:pPr>
      <w:ind w:left="1200" w:hanging="240"/>
    </w:pPr>
  </w:style>
  <w:style w:type="paragraph" w:styleId="Index6">
    <w:name w:val="index 6"/>
    <w:basedOn w:val="Normal"/>
    <w:next w:val="Normal"/>
    <w:autoRedefine/>
    <w:uiPriority w:val="99"/>
    <w:semiHidden/>
    <w:unhideWhenUsed/>
    <w:rsid w:val="00C426C6"/>
    <w:pPr>
      <w:ind w:left="1440" w:hanging="240"/>
    </w:pPr>
  </w:style>
  <w:style w:type="paragraph" w:styleId="Index7">
    <w:name w:val="index 7"/>
    <w:basedOn w:val="Normal"/>
    <w:next w:val="Normal"/>
    <w:autoRedefine/>
    <w:uiPriority w:val="99"/>
    <w:semiHidden/>
    <w:unhideWhenUsed/>
    <w:rsid w:val="00C426C6"/>
    <w:pPr>
      <w:ind w:left="1680" w:hanging="240"/>
    </w:pPr>
  </w:style>
  <w:style w:type="paragraph" w:styleId="Index8">
    <w:name w:val="index 8"/>
    <w:basedOn w:val="Normal"/>
    <w:next w:val="Normal"/>
    <w:autoRedefine/>
    <w:uiPriority w:val="99"/>
    <w:semiHidden/>
    <w:unhideWhenUsed/>
    <w:rsid w:val="00C426C6"/>
    <w:pPr>
      <w:ind w:left="1920" w:hanging="240"/>
    </w:pPr>
  </w:style>
  <w:style w:type="paragraph" w:styleId="Index9">
    <w:name w:val="index 9"/>
    <w:basedOn w:val="Normal"/>
    <w:next w:val="Normal"/>
    <w:autoRedefine/>
    <w:uiPriority w:val="99"/>
    <w:semiHidden/>
    <w:unhideWhenUsed/>
    <w:rsid w:val="00C426C6"/>
    <w:pPr>
      <w:ind w:left="2160" w:hanging="240"/>
    </w:pPr>
  </w:style>
  <w:style w:type="paragraph" w:styleId="IndexHeading">
    <w:name w:val="index heading"/>
    <w:basedOn w:val="Normal"/>
    <w:next w:val="Index1"/>
    <w:uiPriority w:val="99"/>
    <w:semiHidden/>
    <w:unhideWhenUsed/>
    <w:rsid w:val="00C426C6"/>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426C6"/>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426C6"/>
    <w:rPr>
      <w:rFonts w:ascii="Times New Roman" w:eastAsia="Times New Roman" w:hAnsi="Times New Roman" w:cs="Times New Roman"/>
      <w:i/>
      <w:iCs/>
      <w:color w:val="4472C4" w:themeColor="accent1"/>
      <w:kern w:val="0"/>
      <w:lang w:eastAsia="en-GB"/>
      <w14:ligatures w14:val="none"/>
    </w:rPr>
  </w:style>
  <w:style w:type="paragraph" w:styleId="List">
    <w:name w:val="List"/>
    <w:basedOn w:val="Normal"/>
    <w:uiPriority w:val="99"/>
    <w:semiHidden/>
    <w:unhideWhenUsed/>
    <w:rsid w:val="00C426C6"/>
    <w:pPr>
      <w:ind w:left="283" w:hanging="283"/>
      <w:contextualSpacing/>
    </w:pPr>
  </w:style>
  <w:style w:type="paragraph" w:styleId="List2">
    <w:name w:val="List 2"/>
    <w:basedOn w:val="Normal"/>
    <w:uiPriority w:val="99"/>
    <w:semiHidden/>
    <w:unhideWhenUsed/>
    <w:rsid w:val="00C426C6"/>
    <w:pPr>
      <w:ind w:left="566" w:hanging="283"/>
      <w:contextualSpacing/>
    </w:pPr>
  </w:style>
  <w:style w:type="paragraph" w:styleId="List3">
    <w:name w:val="List 3"/>
    <w:basedOn w:val="Normal"/>
    <w:uiPriority w:val="99"/>
    <w:semiHidden/>
    <w:unhideWhenUsed/>
    <w:rsid w:val="00C426C6"/>
    <w:pPr>
      <w:ind w:left="849" w:hanging="283"/>
      <w:contextualSpacing/>
    </w:pPr>
  </w:style>
  <w:style w:type="paragraph" w:styleId="List4">
    <w:name w:val="List 4"/>
    <w:basedOn w:val="Normal"/>
    <w:uiPriority w:val="99"/>
    <w:semiHidden/>
    <w:unhideWhenUsed/>
    <w:rsid w:val="00C426C6"/>
    <w:pPr>
      <w:ind w:left="1132" w:hanging="283"/>
      <w:contextualSpacing/>
    </w:pPr>
  </w:style>
  <w:style w:type="paragraph" w:styleId="List5">
    <w:name w:val="List 5"/>
    <w:basedOn w:val="Normal"/>
    <w:uiPriority w:val="99"/>
    <w:semiHidden/>
    <w:unhideWhenUsed/>
    <w:rsid w:val="00C426C6"/>
    <w:pPr>
      <w:ind w:left="1415" w:hanging="283"/>
      <w:contextualSpacing/>
    </w:pPr>
  </w:style>
  <w:style w:type="paragraph" w:styleId="ListBullet">
    <w:name w:val="List Bullet"/>
    <w:basedOn w:val="Normal"/>
    <w:uiPriority w:val="99"/>
    <w:semiHidden/>
    <w:unhideWhenUsed/>
    <w:rsid w:val="00C426C6"/>
    <w:pPr>
      <w:numPr>
        <w:numId w:val="69"/>
      </w:numPr>
      <w:contextualSpacing/>
    </w:pPr>
  </w:style>
  <w:style w:type="paragraph" w:styleId="ListBullet2">
    <w:name w:val="List Bullet 2"/>
    <w:basedOn w:val="Normal"/>
    <w:uiPriority w:val="99"/>
    <w:semiHidden/>
    <w:unhideWhenUsed/>
    <w:rsid w:val="00C426C6"/>
    <w:pPr>
      <w:numPr>
        <w:numId w:val="70"/>
      </w:numPr>
      <w:contextualSpacing/>
    </w:pPr>
  </w:style>
  <w:style w:type="paragraph" w:styleId="ListBullet3">
    <w:name w:val="List Bullet 3"/>
    <w:basedOn w:val="Normal"/>
    <w:uiPriority w:val="99"/>
    <w:semiHidden/>
    <w:unhideWhenUsed/>
    <w:rsid w:val="00C426C6"/>
    <w:pPr>
      <w:numPr>
        <w:numId w:val="71"/>
      </w:numPr>
      <w:contextualSpacing/>
    </w:pPr>
  </w:style>
  <w:style w:type="paragraph" w:styleId="ListBullet4">
    <w:name w:val="List Bullet 4"/>
    <w:basedOn w:val="Normal"/>
    <w:uiPriority w:val="99"/>
    <w:semiHidden/>
    <w:unhideWhenUsed/>
    <w:rsid w:val="00C426C6"/>
    <w:pPr>
      <w:numPr>
        <w:numId w:val="72"/>
      </w:numPr>
      <w:contextualSpacing/>
    </w:pPr>
  </w:style>
  <w:style w:type="paragraph" w:styleId="ListBullet5">
    <w:name w:val="List Bullet 5"/>
    <w:basedOn w:val="Normal"/>
    <w:uiPriority w:val="99"/>
    <w:semiHidden/>
    <w:unhideWhenUsed/>
    <w:rsid w:val="00C426C6"/>
    <w:pPr>
      <w:numPr>
        <w:numId w:val="73"/>
      </w:numPr>
      <w:contextualSpacing/>
    </w:pPr>
  </w:style>
  <w:style w:type="paragraph" w:styleId="ListContinue">
    <w:name w:val="List Continue"/>
    <w:basedOn w:val="Normal"/>
    <w:uiPriority w:val="99"/>
    <w:semiHidden/>
    <w:unhideWhenUsed/>
    <w:rsid w:val="00C426C6"/>
    <w:pPr>
      <w:spacing w:after="120"/>
      <w:ind w:left="283"/>
      <w:contextualSpacing/>
    </w:pPr>
  </w:style>
  <w:style w:type="paragraph" w:styleId="ListContinue2">
    <w:name w:val="List Continue 2"/>
    <w:basedOn w:val="Normal"/>
    <w:uiPriority w:val="99"/>
    <w:semiHidden/>
    <w:unhideWhenUsed/>
    <w:rsid w:val="00C426C6"/>
    <w:pPr>
      <w:spacing w:after="120"/>
      <w:ind w:left="566"/>
      <w:contextualSpacing/>
    </w:pPr>
  </w:style>
  <w:style w:type="paragraph" w:styleId="ListContinue3">
    <w:name w:val="List Continue 3"/>
    <w:basedOn w:val="Normal"/>
    <w:uiPriority w:val="99"/>
    <w:semiHidden/>
    <w:unhideWhenUsed/>
    <w:rsid w:val="00C426C6"/>
    <w:pPr>
      <w:spacing w:after="120"/>
      <w:ind w:left="849"/>
      <w:contextualSpacing/>
    </w:pPr>
  </w:style>
  <w:style w:type="paragraph" w:styleId="ListContinue4">
    <w:name w:val="List Continue 4"/>
    <w:basedOn w:val="Normal"/>
    <w:uiPriority w:val="99"/>
    <w:semiHidden/>
    <w:unhideWhenUsed/>
    <w:rsid w:val="00C426C6"/>
    <w:pPr>
      <w:spacing w:after="120"/>
      <w:ind w:left="1132"/>
      <w:contextualSpacing/>
    </w:pPr>
  </w:style>
  <w:style w:type="paragraph" w:styleId="ListContinue5">
    <w:name w:val="List Continue 5"/>
    <w:basedOn w:val="Normal"/>
    <w:uiPriority w:val="99"/>
    <w:semiHidden/>
    <w:unhideWhenUsed/>
    <w:rsid w:val="00C426C6"/>
    <w:pPr>
      <w:spacing w:after="120"/>
      <w:ind w:left="1415"/>
      <w:contextualSpacing/>
    </w:pPr>
  </w:style>
  <w:style w:type="paragraph" w:styleId="ListNumber">
    <w:name w:val="List Number"/>
    <w:basedOn w:val="Normal"/>
    <w:uiPriority w:val="99"/>
    <w:semiHidden/>
    <w:unhideWhenUsed/>
    <w:rsid w:val="00C426C6"/>
    <w:pPr>
      <w:numPr>
        <w:numId w:val="74"/>
      </w:numPr>
      <w:contextualSpacing/>
    </w:pPr>
  </w:style>
  <w:style w:type="paragraph" w:styleId="ListNumber2">
    <w:name w:val="List Number 2"/>
    <w:basedOn w:val="Normal"/>
    <w:uiPriority w:val="99"/>
    <w:semiHidden/>
    <w:unhideWhenUsed/>
    <w:rsid w:val="00C426C6"/>
    <w:pPr>
      <w:numPr>
        <w:numId w:val="75"/>
      </w:numPr>
      <w:contextualSpacing/>
    </w:pPr>
  </w:style>
  <w:style w:type="paragraph" w:styleId="ListNumber3">
    <w:name w:val="List Number 3"/>
    <w:basedOn w:val="Normal"/>
    <w:uiPriority w:val="99"/>
    <w:semiHidden/>
    <w:unhideWhenUsed/>
    <w:rsid w:val="00C426C6"/>
    <w:pPr>
      <w:numPr>
        <w:numId w:val="76"/>
      </w:numPr>
      <w:contextualSpacing/>
    </w:pPr>
  </w:style>
  <w:style w:type="paragraph" w:styleId="ListNumber4">
    <w:name w:val="List Number 4"/>
    <w:basedOn w:val="Normal"/>
    <w:uiPriority w:val="99"/>
    <w:semiHidden/>
    <w:unhideWhenUsed/>
    <w:rsid w:val="00C426C6"/>
    <w:pPr>
      <w:numPr>
        <w:numId w:val="77"/>
      </w:numPr>
      <w:contextualSpacing/>
    </w:pPr>
  </w:style>
  <w:style w:type="paragraph" w:styleId="ListNumber5">
    <w:name w:val="List Number 5"/>
    <w:basedOn w:val="Normal"/>
    <w:uiPriority w:val="99"/>
    <w:semiHidden/>
    <w:unhideWhenUsed/>
    <w:rsid w:val="00C426C6"/>
    <w:pPr>
      <w:numPr>
        <w:numId w:val="78"/>
      </w:numPr>
      <w:contextualSpacing/>
    </w:pPr>
  </w:style>
  <w:style w:type="paragraph" w:styleId="MacroText">
    <w:name w:val="macro"/>
    <w:link w:val="MacroTextChar"/>
    <w:uiPriority w:val="99"/>
    <w:semiHidden/>
    <w:unhideWhenUsed/>
    <w:rsid w:val="00C426C6"/>
    <w:pPr>
      <w:tabs>
        <w:tab w:val="left" w:pos="480"/>
        <w:tab w:val="left" w:pos="960"/>
        <w:tab w:val="left" w:pos="1440"/>
        <w:tab w:val="left" w:pos="1920"/>
        <w:tab w:val="left" w:pos="2400"/>
        <w:tab w:val="left" w:pos="2880"/>
        <w:tab w:val="left" w:pos="3360"/>
        <w:tab w:val="left" w:pos="3840"/>
        <w:tab w:val="left" w:pos="4320"/>
      </w:tabs>
    </w:pPr>
    <w:rPr>
      <w:rFonts w:ascii="Consolas" w:eastAsia="Times New Roman" w:hAnsi="Consolas" w:cs="Times New Roman"/>
      <w:kern w:val="0"/>
      <w:sz w:val="20"/>
      <w:szCs w:val="20"/>
      <w:lang w:eastAsia="en-GB"/>
      <w14:ligatures w14:val="none"/>
    </w:rPr>
  </w:style>
  <w:style w:type="character" w:customStyle="1" w:styleId="MacroTextChar">
    <w:name w:val="Macro Text Char"/>
    <w:basedOn w:val="DefaultParagraphFont"/>
    <w:link w:val="MacroText"/>
    <w:uiPriority w:val="99"/>
    <w:semiHidden/>
    <w:rsid w:val="00C426C6"/>
    <w:rPr>
      <w:rFonts w:ascii="Consolas" w:eastAsia="Times New Roman" w:hAnsi="Consolas" w:cs="Times New Roman"/>
      <w:kern w:val="0"/>
      <w:sz w:val="20"/>
      <w:szCs w:val="20"/>
      <w:lang w:eastAsia="en-GB"/>
      <w14:ligatures w14:val="none"/>
    </w:rPr>
  </w:style>
  <w:style w:type="paragraph" w:styleId="MessageHeader">
    <w:name w:val="Message Header"/>
    <w:basedOn w:val="Normal"/>
    <w:link w:val="MessageHeaderChar"/>
    <w:uiPriority w:val="99"/>
    <w:semiHidden/>
    <w:unhideWhenUsed/>
    <w:rsid w:val="00C426C6"/>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426C6"/>
    <w:rPr>
      <w:rFonts w:asciiTheme="majorHAnsi" w:eastAsiaTheme="majorEastAsia" w:hAnsiTheme="majorHAnsi" w:cstheme="majorBidi"/>
      <w:kern w:val="0"/>
      <w:shd w:val="pct20" w:color="auto" w:fill="auto"/>
      <w:lang w:eastAsia="en-GB"/>
      <w14:ligatures w14:val="none"/>
    </w:rPr>
  </w:style>
  <w:style w:type="paragraph" w:styleId="NormalIndent">
    <w:name w:val="Normal Indent"/>
    <w:basedOn w:val="Normal"/>
    <w:uiPriority w:val="99"/>
    <w:semiHidden/>
    <w:unhideWhenUsed/>
    <w:rsid w:val="00C426C6"/>
    <w:pPr>
      <w:ind w:left="720"/>
    </w:pPr>
  </w:style>
  <w:style w:type="paragraph" w:styleId="NoteHeading">
    <w:name w:val="Note Heading"/>
    <w:basedOn w:val="Normal"/>
    <w:next w:val="Normal"/>
    <w:link w:val="NoteHeadingChar"/>
    <w:uiPriority w:val="99"/>
    <w:semiHidden/>
    <w:unhideWhenUsed/>
    <w:rsid w:val="00C426C6"/>
  </w:style>
  <w:style w:type="character" w:customStyle="1" w:styleId="NoteHeadingChar">
    <w:name w:val="Note Heading Char"/>
    <w:basedOn w:val="DefaultParagraphFont"/>
    <w:link w:val="NoteHeading"/>
    <w:uiPriority w:val="99"/>
    <w:semiHidden/>
    <w:rsid w:val="00C426C6"/>
    <w:rPr>
      <w:rFonts w:ascii="Times New Roman" w:eastAsia="Times New Roman" w:hAnsi="Times New Roman" w:cs="Times New Roman"/>
      <w:kern w:val="0"/>
      <w:lang w:eastAsia="en-GB"/>
      <w14:ligatures w14:val="none"/>
    </w:rPr>
  </w:style>
  <w:style w:type="paragraph" w:styleId="PlainText">
    <w:name w:val="Plain Text"/>
    <w:basedOn w:val="Normal"/>
    <w:link w:val="PlainTextChar"/>
    <w:uiPriority w:val="99"/>
    <w:semiHidden/>
    <w:unhideWhenUsed/>
    <w:rsid w:val="00C426C6"/>
    <w:rPr>
      <w:rFonts w:ascii="Consolas" w:hAnsi="Consolas"/>
      <w:sz w:val="21"/>
      <w:szCs w:val="21"/>
    </w:rPr>
  </w:style>
  <w:style w:type="character" w:customStyle="1" w:styleId="PlainTextChar">
    <w:name w:val="Plain Text Char"/>
    <w:basedOn w:val="DefaultParagraphFont"/>
    <w:link w:val="PlainText"/>
    <w:uiPriority w:val="99"/>
    <w:semiHidden/>
    <w:rsid w:val="00C426C6"/>
    <w:rPr>
      <w:rFonts w:ascii="Consolas" w:eastAsia="Times New Roman" w:hAnsi="Consolas" w:cs="Times New Roman"/>
      <w:kern w:val="0"/>
      <w:sz w:val="21"/>
      <w:szCs w:val="21"/>
      <w:lang w:eastAsia="en-GB"/>
      <w14:ligatures w14:val="none"/>
    </w:rPr>
  </w:style>
  <w:style w:type="paragraph" w:styleId="Quote">
    <w:name w:val="Quote"/>
    <w:basedOn w:val="Normal"/>
    <w:next w:val="Normal"/>
    <w:link w:val="QuoteChar"/>
    <w:uiPriority w:val="29"/>
    <w:qFormat/>
    <w:rsid w:val="00C426C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426C6"/>
    <w:rPr>
      <w:rFonts w:ascii="Times New Roman" w:eastAsia="Times New Roman" w:hAnsi="Times New Roman" w:cs="Times New Roman"/>
      <w:i/>
      <w:iCs/>
      <w:color w:val="404040" w:themeColor="text1" w:themeTint="BF"/>
      <w:kern w:val="0"/>
      <w:lang w:eastAsia="en-GB"/>
      <w14:ligatures w14:val="none"/>
    </w:rPr>
  </w:style>
  <w:style w:type="paragraph" w:styleId="Salutation">
    <w:name w:val="Salutation"/>
    <w:basedOn w:val="Normal"/>
    <w:next w:val="Normal"/>
    <w:link w:val="SalutationChar"/>
    <w:uiPriority w:val="99"/>
    <w:semiHidden/>
    <w:unhideWhenUsed/>
    <w:rsid w:val="00C426C6"/>
  </w:style>
  <w:style w:type="character" w:customStyle="1" w:styleId="SalutationChar">
    <w:name w:val="Salutation Char"/>
    <w:basedOn w:val="DefaultParagraphFont"/>
    <w:link w:val="Salutation"/>
    <w:uiPriority w:val="99"/>
    <w:semiHidden/>
    <w:rsid w:val="00C426C6"/>
    <w:rPr>
      <w:rFonts w:ascii="Times New Roman" w:eastAsia="Times New Roman" w:hAnsi="Times New Roman" w:cs="Times New Roman"/>
      <w:kern w:val="0"/>
      <w:lang w:eastAsia="en-GB"/>
      <w14:ligatures w14:val="none"/>
    </w:rPr>
  </w:style>
  <w:style w:type="paragraph" w:styleId="Signature">
    <w:name w:val="Signature"/>
    <w:basedOn w:val="Normal"/>
    <w:link w:val="SignatureChar"/>
    <w:uiPriority w:val="99"/>
    <w:semiHidden/>
    <w:unhideWhenUsed/>
    <w:rsid w:val="00C426C6"/>
    <w:pPr>
      <w:ind w:left="4252"/>
    </w:pPr>
  </w:style>
  <w:style w:type="character" w:customStyle="1" w:styleId="SignatureChar">
    <w:name w:val="Signature Char"/>
    <w:basedOn w:val="DefaultParagraphFont"/>
    <w:link w:val="Signature"/>
    <w:uiPriority w:val="99"/>
    <w:semiHidden/>
    <w:rsid w:val="00C426C6"/>
    <w:rPr>
      <w:rFonts w:ascii="Times New Roman" w:eastAsia="Times New Roman" w:hAnsi="Times New Roman" w:cs="Times New Roman"/>
      <w:kern w:val="0"/>
      <w:lang w:eastAsia="en-GB"/>
      <w14:ligatures w14:val="none"/>
    </w:rPr>
  </w:style>
  <w:style w:type="paragraph" w:styleId="TableofAuthorities">
    <w:name w:val="table of authorities"/>
    <w:basedOn w:val="Normal"/>
    <w:next w:val="Normal"/>
    <w:uiPriority w:val="99"/>
    <w:semiHidden/>
    <w:unhideWhenUsed/>
    <w:rsid w:val="00C426C6"/>
    <w:pPr>
      <w:ind w:left="240" w:hanging="240"/>
    </w:pPr>
  </w:style>
  <w:style w:type="paragraph" w:styleId="TOAHeading">
    <w:name w:val="toa heading"/>
    <w:basedOn w:val="Normal"/>
    <w:next w:val="Normal"/>
    <w:uiPriority w:val="99"/>
    <w:semiHidden/>
    <w:unhideWhenUsed/>
    <w:rsid w:val="00C426C6"/>
    <w:pPr>
      <w:spacing w:before="120"/>
    </w:pPr>
    <w:rPr>
      <w:rFonts w:asciiTheme="majorHAnsi" w:eastAsiaTheme="majorEastAsia" w:hAnsiTheme="majorHAnsi" w:cstheme="majorBidi"/>
      <w:b/>
      <w:bCs/>
    </w:rPr>
  </w:style>
  <w:style w:type="paragraph" w:styleId="TOCHeading">
    <w:name w:val="TOC Heading"/>
    <w:basedOn w:val="Heading1"/>
    <w:next w:val="Normal"/>
    <w:uiPriority w:val="39"/>
    <w:semiHidden/>
    <w:unhideWhenUsed/>
    <w:qFormat/>
    <w:rsid w:val="00C426C6"/>
    <w:pPr>
      <w:pageBreakBefore w:val="0"/>
      <w:numPr>
        <w:numId w:val="0"/>
      </w:numPr>
      <w:spacing w:before="240" w:after="0" w:line="240" w:lineRule="auto"/>
      <w:outlineLvl w:val="9"/>
    </w:pPr>
    <w:rPr>
      <w:rFonts w:asciiTheme="majorHAnsi" w:eastAsiaTheme="majorEastAsia" w:hAnsiTheme="majorHAnsi" w:cstheme="majorBidi"/>
      <w:bCs w:val="0"/>
      <w:color w:val="2F5496" w:themeColor="accent1" w:themeShade="BF"/>
      <w:szCs w:val="3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13922">
      <w:bodyDiv w:val="1"/>
      <w:marLeft w:val="0"/>
      <w:marRight w:val="0"/>
      <w:marTop w:val="0"/>
      <w:marBottom w:val="0"/>
      <w:divBdr>
        <w:top w:val="none" w:sz="0" w:space="0" w:color="auto"/>
        <w:left w:val="none" w:sz="0" w:space="0" w:color="auto"/>
        <w:bottom w:val="none" w:sz="0" w:space="0" w:color="auto"/>
        <w:right w:val="none" w:sz="0" w:space="0" w:color="auto"/>
      </w:divBdr>
    </w:div>
    <w:div w:id="31076198">
      <w:bodyDiv w:val="1"/>
      <w:marLeft w:val="0"/>
      <w:marRight w:val="0"/>
      <w:marTop w:val="0"/>
      <w:marBottom w:val="0"/>
      <w:divBdr>
        <w:top w:val="none" w:sz="0" w:space="0" w:color="auto"/>
        <w:left w:val="none" w:sz="0" w:space="0" w:color="auto"/>
        <w:bottom w:val="none" w:sz="0" w:space="0" w:color="auto"/>
        <w:right w:val="none" w:sz="0" w:space="0" w:color="auto"/>
      </w:divBdr>
    </w:div>
    <w:div w:id="85008210">
      <w:bodyDiv w:val="1"/>
      <w:marLeft w:val="0"/>
      <w:marRight w:val="0"/>
      <w:marTop w:val="0"/>
      <w:marBottom w:val="0"/>
      <w:divBdr>
        <w:top w:val="none" w:sz="0" w:space="0" w:color="auto"/>
        <w:left w:val="none" w:sz="0" w:space="0" w:color="auto"/>
        <w:bottom w:val="none" w:sz="0" w:space="0" w:color="auto"/>
        <w:right w:val="none" w:sz="0" w:space="0" w:color="auto"/>
      </w:divBdr>
      <w:divsChild>
        <w:div w:id="1883245319">
          <w:marLeft w:val="0"/>
          <w:marRight w:val="0"/>
          <w:marTop w:val="0"/>
          <w:marBottom w:val="0"/>
          <w:divBdr>
            <w:top w:val="none" w:sz="0" w:space="0" w:color="auto"/>
            <w:left w:val="none" w:sz="0" w:space="0" w:color="auto"/>
            <w:bottom w:val="none" w:sz="0" w:space="0" w:color="auto"/>
            <w:right w:val="none" w:sz="0" w:space="0" w:color="auto"/>
          </w:divBdr>
          <w:divsChild>
            <w:div w:id="606086690">
              <w:marLeft w:val="0"/>
              <w:marRight w:val="0"/>
              <w:marTop w:val="0"/>
              <w:marBottom w:val="0"/>
              <w:divBdr>
                <w:top w:val="none" w:sz="0" w:space="0" w:color="auto"/>
                <w:left w:val="none" w:sz="0" w:space="0" w:color="auto"/>
                <w:bottom w:val="none" w:sz="0" w:space="0" w:color="auto"/>
                <w:right w:val="none" w:sz="0" w:space="0" w:color="auto"/>
              </w:divBdr>
              <w:divsChild>
                <w:div w:id="1823544846">
                  <w:marLeft w:val="0"/>
                  <w:marRight w:val="0"/>
                  <w:marTop w:val="0"/>
                  <w:marBottom w:val="0"/>
                  <w:divBdr>
                    <w:top w:val="none" w:sz="0" w:space="0" w:color="auto"/>
                    <w:left w:val="none" w:sz="0" w:space="0" w:color="auto"/>
                    <w:bottom w:val="none" w:sz="0" w:space="0" w:color="auto"/>
                    <w:right w:val="none" w:sz="0" w:space="0" w:color="auto"/>
                  </w:divBdr>
                  <w:divsChild>
                    <w:div w:id="22257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736627">
      <w:bodyDiv w:val="1"/>
      <w:marLeft w:val="0"/>
      <w:marRight w:val="0"/>
      <w:marTop w:val="0"/>
      <w:marBottom w:val="0"/>
      <w:divBdr>
        <w:top w:val="none" w:sz="0" w:space="0" w:color="auto"/>
        <w:left w:val="none" w:sz="0" w:space="0" w:color="auto"/>
        <w:bottom w:val="none" w:sz="0" w:space="0" w:color="auto"/>
        <w:right w:val="none" w:sz="0" w:space="0" w:color="auto"/>
      </w:divBdr>
      <w:divsChild>
        <w:div w:id="65884589">
          <w:marLeft w:val="0"/>
          <w:marRight w:val="0"/>
          <w:marTop w:val="0"/>
          <w:marBottom w:val="0"/>
          <w:divBdr>
            <w:top w:val="none" w:sz="0" w:space="0" w:color="auto"/>
            <w:left w:val="none" w:sz="0" w:space="0" w:color="auto"/>
            <w:bottom w:val="none" w:sz="0" w:space="0" w:color="auto"/>
            <w:right w:val="none" w:sz="0" w:space="0" w:color="auto"/>
          </w:divBdr>
          <w:divsChild>
            <w:div w:id="1784114227">
              <w:marLeft w:val="0"/>
              <w:marRight w:val="0"/>
              <w:marTop w:val="0"/>
              <w:marBottom w:val="0"/>
              <w:divBdr>
                <w:top w:val="single" w:sz="6" w:space="0" w:color="5B616B"/>
                <w:left w:val="single" w:sz="6" w:space="0" w:color="5B616B"/>
                <w:bottom w:val="single" w:sz="6" w:space="0" w:color="5B616B"/>
                <w:right w:val="single" w:sz="6" w:space="0" w:color="5B616B"/>
              </w:divBdr>
            </w:div>
          </w:divsChild>
        </w:div>
        <w:div w:id="1834294727">
          <w:marLeft w:val="0"/>
          <w:marRight w:val="0"/>
          <w:marTop w:val="0"/>
          <w:marBottom w:val="0"/>
          <w:divBdr>
            <w:top w:val="none" w:sz="0" w:space="0" w:color="auto"/>
            <w:left w:val="none" w:sz="0" w:space="0" w:color="auto"/>
            <w:bottom w:val="none" w:sz="0" w:space="0" w:color="auto"/>
            <w:right w:val="none" w:sz="0" w:space="0" w:color="auto"/>
          </w:divBdr>
        </w:div>
      </w:divsChild>
    </w:div>
    <w:div w:id="112216247">
      <w:bodyDiv w:val="1"/>
      <w:marLeft w:val="0"/>
      <w:marRight w:val="0"/>
      <w:marTop w:val="0"/>
      <w:marBottom w:val="0"/>
      <w:divBdr>
        <w:top w:val="none" w:sz="0" w:space="0" w:color="auto"/>
        <w:left w:val="none" w:sz="0" w:space="0" w:color="auto"/>
        <w:bottom w:val="none" w:sz="0" w:space="0" w:color="auto"/>
        <w:right w:val="none" w:sz="0" w:space="0" w:color="auto"/>
      </w:divBdr>
    </w:div>
    <w:div w:id="135227959">
      <w:bodyDiv w:val="1"/>
      <w:marLeft w:val="0"/>
      <w:marRight w:val="0"/>
      <w:marTop w:val="0"/>
      <w:marBottom w:val="0"/>
      <w:divBdr>
        <w:top w:val="none" w:sz="0" w:space="0" w:color="auto"/>
        <w:left w:val="none" w:sz="0" w:space="0" w:color="auto"/>
        <w:bottom w:val="none" w:sz="0" w:space="0" w:color="auto"/>
        <w:right w:val="none" w:sz="0" w:space="0" w:color="auto"/>
      </w:divBdr>
    </w:div>
    <w:div w:id="136727380">
      <w:bodyDiv w:val="1"/>
      <w:marLeft w:val="0"/>
      <w:marRight w:val="0"/>
      <w:marTop w:val="0"/>
      <w:marBottom w:val="0"/>
      <w:divBdr>
        <w:top w:val="none" w:sz="0" w:space="0" w:color="auto"/>
        <w:left w:val="none" w:sz="0" w:space="0" w:color="auto"/>
        <w:bottom w:val="none" w:sz="0" w:space="0" w:color="auto"/>
        <w:right w:val="none" w:sz="0" w:space="0" w:color="auto"/>
      </w:divBdr>
    </w:div>
    <w:div w:id="166212105">
      <w:bodyDiv w:val="1"/>
      <w:marLeft w:val="0"/>
      <w:marRight w:val="0"/>
      <w:marTop w:val="0"/>
      <w:marBottom w:val="0"/>
      <w:divBdr>
        <w:top w:val="none" w:sz="0" w:space="0" w:color="auto"/>
        <w:left w:val="none" w:sz="0" w:space="0" w:color="auto"/>
        <w:bottom w:val="none" w:sz="0" w:space="0" w:color="auto"/>
        <w:right w:val="none" w:sz="0" w:space="0" w:color="auto"/>
      </w:divBdr>
    </w:div>
    <w:div w:id="175729919">
      <w:bodyDiv w:val="1"/>
      <w:marLeft w:val="0"/>
      <w:marRight w:val="0"/>
      <w:marTop w:val="0"/>
      <w:marBottom w:val="0"/>
      <w:divBdr>
        <w:top w:val="none" w:sz="0" w:space="0" w:color="auto"/>
        <w:left w:val="none" w:sz="0" w:space="0" w:color="auto"/>
        <w:bottom w:val="none" w:sz="0" w:space="0" w:color="auto"/>
        <w:right w:val="none" w:sz="0" w:space="0" w:color="auto"/>
      </w:divBdr>
    </w:div>
    <w:div w:id="186259095">
      <w:bodyDiv w:val="1"/>
      <w:marLeft w:val="0"/>
      <w:marRight w:val="0"/>
      <w:marTop w:val="0"/>
      <w:marBottom w:val="0"/>
      <w:divBdr>
        <w:top w:val="none" w:sz="0" w:space="0" w:color="auto"/>
        <w:left w:val="none" w:sz="0" w:space="0" w:color="auto"/>
        <w:bottom w:val="none" w:sz="0" w:space="0" w:color="auto"/>
        <w:right w:val="none" w:sz="0" w:space="0" w:color="auto"/>
      </w:divBdr>
      <w:divsChild>
        <w:div w:id="1279680331">
          <w:marLeft w:val="0"/>
          <w:marRight w:val="0"/>
          <w:marTop w:val="75"/>
          <w:marBottom w:val="0"/>
          <w:divBdr>
            <w:top w:val="single" w:sz="2" w:space="0" w:color="auto"/>
            <w:left w:val="single" w:sz="2" w:space="0" w:color="auto"/>
            <w:bottom w:val="single" w:sz="2" w:space="0" w:color="auto"/>
            <w:right w:val="single" w:sz="2" w:space="0" w:color="auto"/>
          </w:divBdr>
        </w:div>
        <w:div w:id="1715544350">
          <w:marLeft w:val="0"/>
          <w:marRight w:val="0"/>
          <w:marTop w:val="0"/>
          <w:marBottom w:val="0"/>
          <w:divBdr>
            <w:top w:val="single" w:sz="2" w:space="0" w:color="auto"/>
            <w:left w:val="single" w:sz="2" w:space="0" w:color="auto"/>
            <w:bottom w:val="single" w:sz="2" w:space="0" w:color="auto"/>
            <w:right w:val="single" w:sz="2" w:space="0" w:color="auto"/>
          </w:divBdr>
        </w:div>
      </w:divsChild>
    </w:div>
    <w:div w:id="187760668">
      <w:bodyDiv w:val="1"/>
      <w:marLeft w:val="0"/>
      <w:marRight w:val="0"/>
      <w:marTop w:val="0"/>
      <w:marBottom w:val="0"/>
      <w:divBdr>
        <w:top w:val="none" w:sz="0" w:space="0" w:color="auto"/>
        <w:left w:val="none" w:sz="0" w:space="0" w:color="auto"/>
        <w:bottom w:val="none" w:sz="0" w:space="0" w:color="auto"/>
        <w:right w:val="none" w:sz="0" w:space="0" w:color="auto"/>
      </w:divBdr>
      <w:divsChild>
        <w:div w:id="586574716">
          <w:marLeft w:val="0"/>
          <w:marRight w:val="0"/>
          <w:marTop w:val="0"/>
          <w:marBottom w:val="0"/>
          <w:divBdr>
            <w:top w:val="none" w:sz="0" w:space="0" w:color="auto"/>
            <w:left w:val="none" w:sz="0" w:space="0" w:color="auto"/>
            <w:bottom w:val="none" w:sz="0" w:space="0" w:color="auto"/>
            <w:right w:val="none" w:sz="0" w:space="0" w:color="auto"/>
          </w:divBdr>
          <w:divsChild>
            <w:div w:id="521666968">
              <w:marLeft w:val="0"/>
              <w:marRight w:val="0"/>
              <w:marTop w:val="0"/>
              <w:marBottom w:val="0"/>
              <w:divBdr>
                <w:top w:val="none" w:sz="0" w:space="0" w:color="auto"/>
                <w:left w:val="none" w:sz="0" w:space="0" w:color="auto"/>
                <w:bottom w:val="none" w:sz="0" w:space="0" w:color="auto"/>
                <w:right w:val="none" w:sz="0" w:space="0" w:color="auto"/>
              </w:divBdr>
              <w:divsChild>
                <w:div w:id="787506090">
                  <w:marLeft w:val="0"/>
                  <w:marRight w:val="0"/>
                  <w:marTop w:val="0"/>
                  <w:marBottom w:val="0"/>
                  <w:divBdr>
                    <w:top w:val="none" w:sz="0" w:space="0" w:color="auto"/>
                    <w:left w:val="none" w:sz="0" w:space="0" w:color="auto"/>
                    <w:bottom w:val="none" w:sz="0" w:space="0" w:color="auto"/>
                    <w:right w:val="none" w:sz="0" w:space="0" w:color="auto"/>
                  </w:divBdr>
                  <w:divsChild>
                    <w:div w:id="7477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6283635">
      <w:bodyDiv w:val="1"/>
      <w:marLeft w:val="0"/>
      <w:marRight w:val="0"/>
      <w:marTop w:val="0"/>
      <w:marBottom w:val="0"/>
      <w:divBdr>
        <w:top w:val="none" w:sz="0" w:space="0" w:color="auto"/>
        <w:left w:val="none" w:sz="0" w:space="0" w:color="auto"/>
        <w:bottom w:val="none" w:sz="0" w:space="0" w:color="auto"/>
        <w:right w:val="none" w:sz="0" w:space="0" w:color="auto"/>
      </w:divBdr>
    </w:div>
    <w:div w:id="269163908">
      <w:bodyDiv w:val="1"/>
      <w:marLeft w:val="0"/>
      <w:marRight w:val="0"/>
      <w:marTop w:val="0"/>
      <w:marBottom w:val="0"/>
      <w:divBdr>
        <w:top w:val="none" w:sz="0" w:space="0" w:color="auto"/>
        <w:left w:val="none" w:sz="0" w:space="0" w:color="auto"/>
        <w:bottom w:val="none" w:sz="0" w:space="0" w:color="auto"/>
        <w:right w:val="none" w:sz="0" w:space="0" w:color="auto"/>
      </w:divBdr>
    </w:div>
    <w:div w:id="271862848">
      <w:bodyDiv w:val="1"/>
      <w:marLeft w:val="0"/>
      <w:marRight w:val="0"/>
      <w:marTop w:val="0"/>
      <w:marBottom w:val="0"/>
      <w:divBdr>
        <w:top w:val="none" w:sz="0" w:space="0" w:color="auto"/>
        <w:left w:val="none" w:sz="0" w:space="0" w:color="auto"/>
        <w:bottom w:val="none" w:sz="0" w:space="0" w:color="auto"/>
        <w:right w:val="none" w:sz="0" w:space="0" w:color="auto"/>
      </w:divBdr>
      <w:divsChild>
        <w:div w:id="971861667">
          <w:marLeft w:val="0"/>
          <w:marRight w:val="0"/>
          <w:marTop w:val="0"/>
          <w:marBottom w:val="0"/>
          <w:divBdr>
            <w:top w:val="none" w:sz="0" w:space="0" w:color="auto"/>
            <w:left w:val="none" w:sz="0" w:space="0" w:color="auto"/>
            <w:bottom w:val="none" w:sz="0" w:space="0" w:color="auto"/>
            <w:right w:val="none" w:sz="0" w:space="0" w:color="auto"/>
          </w:divBdr>
          <w:divsChild>
            <w:div w:id="716707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797675">
      <w:bodyDiv w:val="1"/>
      <w:marLeft w:val="0"/>
      <w:marRight w:val="0"/>
      <w:marTop w:val="0"/>
      <w:marBottom w:val="0"/>
      <w:divBdr>
        <w:top w:val="none" w:sz="0" w:space="0" w:color="auto"/>
        <w:left w:val="none" w:sz="0" w:space="0" w:color="auto"/>
        <w:bottom w:val="none" w:sz="0" w:space="0" w:color="auto"/>
        <w:right w:val="none" w:sz="0" w:space="0" w:color="auto"/>
      </w:divBdr>
      <w:divsChild>
        <w:div w:id="2036955862">
          <w:marLeft w:val="0"/>
          <w:marRight w:val="0"/>
          <w:marTop w:val="0"/>
          <w:marBottom w:val="0"/>
          <w:divBdr>
            <w:top w:val="none" w:sz="0" w:space="0" w:color="auto"/>
            <w:left w:val="none" w:sz="0" w:space="0" w:color="auto"/>
            <w:bottom w:val="none" w:sz="0" w:space="0" w:color="auto"/>
            <w:right w:val="none" w:sz="0" w:space="0" w:color="auto"/>
          </w:divBdr>
          <w:divsChild>
            <w:div w:id="164758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185997">
      <w:bodyDiv w:val="1"/>
      <w:marLeft w:val="0"/>
      <w:marRight w:val="0"/>
      <w:marTop w:val="0"/>
      <w:marBottom w:val="0"/>
      <w:divBdr>
        <w:top w:val="none" w:sz="0" w:space="0" w:color="auto"/>
        <w:left w:val="none" w:sz="0" w:space="0" w:color="auto"/>
        <w:bottom w:val="none" w:sz="0" w:space="0" w:color="auto"/>
        <w:right w:val="none" w:sz="0" w:space="0" w:color="auto"/>
      </w:divBdr>
      <w:divsChild>
        <w:div w:id="261498501">
          <w:marLeft w:val="0"/>
          <w:marRight w:val="0"/>
          <w:marTop w:val="0"/>
          <w:marBottom w:val="0"/>
          <w:divBdr>
            <w:top w:val="single" w:sz="2" w:space="5" w:color="auto"/>
            <w:left w:val="single" w:sz="2" w:space="0" w:color="auto"/>
            <w:bottom w:val="single" w:sz="2" w:space="5" w:color="auto"/>
            <w:right w:val="single" w:sz="2" w:space="0" w:color="auto"/>
          </w:divBdr>
        </w:div>
        <w:div w:id="1099254309">
          <w:marLeft w:val="0"/>
          <w:marRight w:val="0"/>
          <w:marTop w:val="0"/>
          <w:marBottom w:val="0"/>
          <w:divBdr>
            <w:top w:val="single" w:sz="2" w:space="0" w:color="auto"/>
            <w:left w:val="single" w:sz="2" w:space="0" w:color="auto"/>
            <w:bottom w:val="single" w:sz="2" w:space="0" w:color="auto"/>
            <w:right w:val="single" w:sz="2" w:space="0" w:color="auto"/>
          </w:divBdr>
        </w:div>
      </w:divsChild>
    </w:div>
    <w:div w:id="313726650">
      <w:bodyDiv w:val="1"/>
      <w:marLeft w:val="0"/>
      <w:marRight w:val="0"/>
      <w:marTop w:val="0"/>
      <w:marBottom w:val="0"/>
      <w:divBdr>
        <w:top w:val="none" w:sz="0" w:space="0" w:color="auto"/>
        <w:left w:val="none" w:sz="0" w:space="0" w:color="auto"/>
        <w:bottom w:val="none" w:sz="0" w:space="0" w:color="auto"/>
        <w:right w:val="none" w:sz="0" w:space="0" w:color="auto"/>
      </w:divBdr>
    </w:div>
    <w:div w:id="315498297">
      <w:bodyDiv w:val="1"/>
      <w:marLeft w:val="0"/>
      <w:marRight w:val="0"/>
      <w:marTop w:val="0"/>
      <w:marBottom w:val="0"/>
      <w:divBdr>
        <w:top w:val="none" w:sz="0" w:space="0" w:color="auto"/>
        <w:left w:val="none" w:sz="0" w:space="0" w:color="auto"/>
        <w:bottom w:val="none" w:sz="0" w:space="0" w:color="auto"/>
        <w:right w:val="none" w:sz="0" w:space="0" w:color="auto"/>
      </w:divBdr>
    </w:div>
    <w:div w:id="331493230">
      <w:bodyDiv w:val="1"/>
      <w:marLeft w:val="0"/>
      <w:marRight w:val="0"/>
      <w:marTop w:val="0"/>
      <w:marBottom w:val="0"/>
      <w:divBdr>
        <w:top w:val="none" w:sz="0" w:space="0" w:color="auto"/>
        <w:left w:val="none" w:sz="0" w:space="0" w:color="auto"/>
        <w:bottom w:val="none" w:sz="0" w:space="0" w:color="auto"/>
        <w:right w:val="none" w:sz="0" w:space="0" w:color="auto"/>
      </w:divBdr>
      <w:divsChild>
        <w:div w:id="868303553">
          <w:marLeft w:val="0"/>
          <w:marRight w:val="0"/>
          <w:marTop w:val="0"/>
          <w:marBottom w:val="0"/>
          <w:divBdr>
            <w:top w:val="none" w:sz="0" w:space="0" w:color="auto"/>
            <w:left w:val="none" w:sz="0" w:space="0" w:color="auto"/>
            <w:bottom w:val="none" w:sz="0" w:space="0" w:color="auto"/>
            <w:right w:val="none" w:sz="0" w:space="0" w:color="auto"/>
          </w:divBdr>
          <w:divsChild>
            <w:div w:id="1603951467">
              <w:marLeft w:val="0"/>
              <w:marRight w:val="0"/>
              <w:marTop w:val="0"/>
              <w:marBottom w:val="0"/>
              <w:divBdr>
                <w:top w:val="none" w:sz="0" w:space="0" w:color="auto"/>
                <w:left w:val="none" w:sz="0" w:space="0" w:color="auto"/>
                <w:bottom w:val="none" w:sz="0" w:space="0" w:color="auto"/>
                <w:right w:val="none" w:sz="0" w:space="0" w:color="auto"/>
              </w:divBdr>
              <w:divsChild>
                <w:div w:id="82410507">
                  <w:marLeft w:val="0"/>
                  <w:marRight w:val="0"/>
                  <w:marTop w:val="0"/>
                  <w:marBottom w:val="0"/>
                  <w:divBdr>
                    <w:top w:val="none" w:sz="0" w:space="0" w:color="auto"/>
                    <w:left w:val="none" w:sz="0" w:space="0" w:color="auto"/>
                    <w:bottom w:val="none" w:sz="0" w:space="0" w:color="auto"/>
                    <w:right w:val="none" w:sz="0" w:space="0" w:color="auto"/>
                  </w:divBdr>
                  <w:divsChild>
                    <w:div w:id="817913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3845019">
      <w:bodyDiv w:val="1"/>
      <w:marLeft w:val="0"/>
      <w:marRight w:val="0"/>
      <w:marTop w:val="0"/>
      <w:marBottom w:val="0"/>
      <w:divBdr>
        <w:top w:val="none" w:sz="0" w:space="0" w:color="auto"/>
        <w:left w:val="none" w:sz="0" w:space="0" w:color="auto"/>
        <w:bottom w:val="none" w:sz="0" w:space="0" w:color="auto"/>
        <w:right w:val="none" w:sz="0" w:space="0" w:color="auto"/>
      </w:divBdr>
    </w:div>
    <w:div w:id="370737576">
      <w:bodyDiv w:val="1"/>
      <w:marLeft w:val="0"/>
      <w:marRight w:val="0"/>
      <w:marTop w:val="0"/>
      <w:marBottom w:val="0"/>
      <w:divBdr>
        <w:top w:val="none" w:sz="0" w:space="0" w:color="auto"/>
        <w:left w:val="none" w:sz="0" w:space="0" w:color="auto"/>
        <w:bottom w:val="none" w:sz="0" w:space="0" w:color="auto"/>
        <w:right w:val="none" w:sz="0" w:space="0" w:color="auto"/>
      </w:divBdr>
      <w:divsChild>
        <w:div w:id="971012872">
          <w:marLeft w:val="0"/>
          <w:marRight w:val="0"/>
          <w:marTop w:val="0"/>
          <w:marBottom w:val="0"/>
          <w:divBdr>
            <w:top w:val="none" w:sz="0" w:space="0" w:color="auto"/>
            <w:left w:val="none" w:sz="0" w:space="0" w:color="auto"/>
            <w:bottom w:val="none" w:sz="0" w:space="0" w:color="auto"/>
            <w:right w:val="none" w:sz="0" w:space="0" w:color="auto"/>
          </w:divBdr>
          <w:divsChild>
            <w:div w:id="568078584">
              <w:marLeft w:val="0"/>
              <w:marRight w:val="0"/>
              <w:marTop w:val="0"/>
              <w:marBottom w:val="0"/>
              <w:divBdr>
                <w:top w:val="none" w:sz="0" w:space="0" w:color="auto"/>
                <w:left w:val="none" w:sz="0" w:space="0" w:color="auto"/>
                <w:bottom w:val="none" w:sz="0" w:space="0" w:color="auto"/>
                <w:right w:val="none" w:sz="0" w:space="0" w:color="auto"/>
              </w:divBdr>
              <w:divsChild>
                <w:div w:id="155453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1879575">
      <w:bodyDiv w:val="1"/>
      <w:marLeft w:val="0"/>
      <w:marRight w:val="0"/>
      <w:marTop w:val="0"/>
      <w:marBottom w:val="0"/>
      <w:divBdr>
        <w:top w:val="none" w:sz="0" w:space="0" w:color="auto"/>
        <w:left w:val="none" w:sz="0" w:space="0" w:color="auto"/>
        <w:bottom w:val="none" w:sz="0" w:space="0" w:color="auto"/>
        <w:right w:val="none" w:sz="0" w:space="0" w:color="auto"/>
      </w:divBdr>
      <w:divsChild>
        <w:div w:id="392704297">
          <w:marLeft w:val="0"/>
          <w:marRight w:val="0"/>
          <w:marTop w:val="0"/>
          <w:marBottom w:val="0"/>
          <w:divBdr>
            <w:top w:val="none" w:sz="0" w:space="0" w:color="auto"/>
            <w:left w:val="none" w:sz="0" w:space="0" w:color="auto"/>
            <w:bottom w:val="none" w:sz="0" w:space="0" w:color="auto"/>
            <w:right w:val="none" w:sz="0" w:space="0" w:color="auto"/>
          </w:divBdr>
          <w:divsChild>
            <w:div w:id="211347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977240">
      <w:bodyDiv w:val="1"/>
      <w:marLeft w:val="0"/>
      <w:marRight w:val="0"/>
      <w:marTop w:val="0"/>
      <w:marBottom w:val="0"/>
      <w:divBdr>
        <w:top w:val="none" w:sz="0" w:space="0" w:color="auto"/>
        <w:left w:val="none" w:sz="0" w:space="0" w:color="auto"/>
        <w:bottom w:val="none" w:sz="0" w:space="0" w:color="auto"/>
        <w:right w:val="none" w:sz="0" w:space="0" w:color="auto"/>
      </w:divBdr>
    </w:div>
    <w:div w:id="426735164">
      <w:bodyDiv w:val="1"/>
      <w:marLeft w:val="0"/>
      <w:marRight w:val="0"/>
      <w:marTop w:val="0"/>
      <w:marBottom w:val="0"/>
      <w:divBdr>
        <w:top w:val="none" w:sz="0" w:space="0" w:color="auto"/>
        <w:left w:val="none" w:sz="0" w:space="0" w:color="auto"/>
        <w:bottom w:val="none" w:sz="0" w:space="0" w:color="auto"/>
        <w:right w:val="none" w:sz="0" w:space="0" w:color="auto"/>
      </w:divBdr>
    </w:div>
    <w:div w:id="446119953">
      <w:bodyDiv w:val="1"/>
      <w:marLeft w:val="0"/>
      <w:marRight w:val="0"/>
      <w:marTop w:val="0"/>
      <w:marBottom w:val="0"/>
      <w:divBdr>
        <w:top w:val="none" w:sz="0" w:space="0" w:color="auto"/>
        <w:left w:val="none" w:sz="0" w:space="0" w:color="auto"/>
        <w:bottom w:val="none" w:sz="0" w:space="0" w:color="auto"/>
        <w:right w:val="none" w:sz="0" w:space="0" w:color="auto"/>
      </w:divBdr>
      <w:divsChild>
        <w:div w:id="96872765">
          <w:marLeft w:val="0"/>
          <w:marRight w:val="0"/>
          <w:marTop w:val="0"/>
          <w:marBottom w:val="0"/>
          <w:divBdr>
            <w:top w:val="none" w:sz="0" w:space="0" w:color="auto"/>
            <w:left w:val="none" w:sz="0" w:space="0" w:color="auto"/>
            <w:bottom w:val="none" w:sz="0" w:space="0" w:color="auto"/>
            <w:right w:val="none" w:sz="0" w:space="0" w:color="auto"/>
          </w:divBdr>
          <w:divsChild>
            <w:div w:id="16104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45180">
      <w:bodyDiv w:val="1"/>
      <w:marLeft w:val="0"/>
      <w:marRight w:val="0"/>
      <w:marTop w:val="0"/>
      <w:marBottom w:val="0"/>
      <w:divBdr>
        <w:top w:val="none" w:sz="0" w:space="0" w:color="auto"/>
        <w:left w:val="none" w:sz="0" w:space="0" w:color="auto"/>
        <w:bottom w:val="none" w:sz="0" w:space="0" w:color="auto"/>
        <w:right w:val="none" w:sz="0" w:space="0" w:color="auto"/>
      </w:divBdr>
      <w:divsChild>
        <w:div w:id="1054888599">
          <w:marLeft w:val="0"/>
          <w:marRight w:val="0"/>
          <w:marTop w:val="0"/>
          <w:marBottom w:val="0"/>
          <w:divBdr>
            <w:top w:val="none" w:sz="0" w:space="0" w:color="auto"/>
            <w:left w:val="none" w:sz="0" w:space="0" w:color="auto"/>
            <w:bottom w:val="none" w:sz="0" w:space="0" w:color="auto"/>
            <w:right w:val="none" w:sz="0" w:space="0" w:color="auto"/>
          </w:divBdr>
          <w:divsChild>
            <w:div w:id="186740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876582">
      <w:bodyDiv w:val="1"/>
      <w:marLeft w:val="0"/>
      <w:marRight w:val="0"/>
      <w:marTop w:val="0"/>
      <w:marBottom w:val="0"/>
      <w:divBdr>
        <w:top w:val="none" w:sz="0" w:space="0" w:color="auto"/>
        <w:left w:val="none" w:sz="0" w:space="0" w:color="auto"/>
        <w:bottom w:val="none" w:sz="0" w:space="0" w:color="auto"/>
        <w:right w:val="none" w:sz="0" w:space="0" w:color="auto"/>
      </w:divBdr>
      <w:divsChild>
        <w:div w:id="2071145889">
          <w:marLeft w:val="0"/>
          <w:marRight w:val="0"/>
          <w:marTop w:val="200"/>
          <w:marBottom w:val="200"/>
          <w:divBdr>
            <w:top w:val="none" w:sz="0" w:space="0" w:color="auto"/>
            <w:left w:val="none" w:sz="0" w:space="0" w:color="auto"/>
            <w:bottom w:val="none" w:sz="0" w:space="0" w:color="auto"/>
            <w:right w:val="none" w:sz="0" w:space="0" w:color="auto"/>
          </w:divBdr>
        </w:div>
      </w:divsChild>
    </w:div>
    <w:div w:id="561675253">
      <w:bodyDiv w:val="1"/>
      <w:marLeft w:val="0"/>
      <w:marRight w:val="0"/>
      <w:marTop w:val="0"/>
      <w:marBottom w:val="0"/>
      <w:divBdr>
        <w:top w:val="none" w:sz="0" w:space="0" w:color="auto"/>
        <w:left w:val="none" w:sz="0" w:space="0" w:color="auto"/>
        <w:bottom w:val="none" w:sz="0" w:space="0" w:color="auto"/>
        <w:right w:val="none" w:sz="0" w:space="0" w:color="auto"/>
      </w:divBdr>
    </w:div>
    <w:div w:id="608464419">
      <w:bodyDiv w:val="1"/>
      <w:marLeft w:val="0"/>
      <w:marRight w:val="0"/>
      <w:marTop w:val="0"/>
      <w:marBottom w:val="0"/>
      <w:divBdr>
        <w:top w:val="none" w:sz="0" w:space="0" w:color="auto"/>
        <w:left w:val="none" w:sz="0" w:space="0" w:color="auto"/>
        <w:bottom w:val="none" w:sz="0" w:space="0" w:color="auto"/>
        <w:right w:val="none" w:sz="0" w:space="0" w:color="auto"/>
      </w:divBdr>
      <w:divsChild>
        <w:div w:id="596837314">
          <w:marLeft w:val="0"/>
          <w:marRight w:val="0"/>
          <w:marTop w:val="0"/>
          <w:marBottom w:val="0"/>
          <w:divBdr>
            <w:top w:val="none" w:sz="0" w:space="0" w:color="auto"/>
            <w:left w:val="none" w:sz="0" w:space="0" w:color="auto"/>
            <w:bottom w:val="none" w:sz="0" w:space="0" w:color="auto"/>
            <w:right w:val="none" w:sz="0" w:space="0" w:color="auto"/>
          </w:divBdr>
          <w:divsChild>
            <w:div w:id="536085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171756">
      <w:bodyDiv w:val="1"/>
      <w:marLeft w:val="0"/>
      <w:marRight w:val="0"/>
      <w:marTop w:val="0"/>
      <w:marBottom w:val="0"/>
      <w:divBdr>
        <w:top w:val="none" w:sz="0" w:space="0" w:color="auto"/>
        <w:left w:val="none" w:sz="0" w:space="0" w:color="auto"/>
        <w:bottom w:val="none" w:sz="0" w:space="0" w:color="auto"/>
        <w:right w:val="none" w:sz="0" w:space="0" w:color="auto"/>
      </w:divBdr>
      <w:divsChild>
        <w:div w:id="1393848212">
          <w:marLeft w:val="0"/>
          <w:marRight w:val="0"/>
          <w:marTop w:val="0"/>
          <w:marBottom w:val="0"/>
          <w:divBdr>
            <w:top w:val="none" w:sz="0" w:space="0" w:color="auto"/>
            <w:left w:val="none" w:sz="0" w:space="0" w:color="auto"/>
            <w:bottom w:val="none" w:sz="0" w:space="0" w:color="auto"/>
            <w:right w:val="none" w:sz="0" w:space="0" w:color="auto"/>
          </w:divBdr>
          <w:divsChild>
            <w:div w:id="171577364">
              <w:marLeft w:val="0"/>
              <w:marRight w:val="0"/>
              <w:marTop w:val="0"/>
              <w:marBottom w:val="0"/>
              <w:divBdr>
                <w:top w:val="none" w:sz="0" w:space="0" w:color="auto"/>
                <w:left w:val="none" w:sz="0" w:space="0" w:color="auto"/>
                <w:bottom w:val="none" w:sz="0" w:space="0" w:color="auto"/>
                <w:right w:val="none" w:sz="0" w:space="0" w:color="auto"/>
              </w:divBdr>
              <w:divsChild>
                <w:div w:id="629673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559410">
      <w:bodyDiv w:val="1"/>
      <w:marLeft w:val="0"/>
      <w:marRight w:val="0"/>
      <w:marTop w:val="0"/>
      <w:marBottom w:val="0"/>
      <w:divBdr>
        <w:top w:val="none" w:sz="0" w:space="0" w:color="auto"/>
        <w:left w:val="none" w:sz="0" w:space="0" w:color="auto"/>
        <w:bottom w:val="none" w:sz="0" w:space="0" w:color="auto"/>
        <w:right w:val="none" w:sz="0" w:space="0" w:color="auto"/>
      </w:divBdr>
    </w:div>
    <w:div w:id="618923654">
      <w:bodyDiv w:val="1"/>
      <w:marLeft w:val="0"/>
      <w:marRight w:val="0"/>
      <w:marTop w:val="0"/>
      <w:marBottom w:val="0"/>
      <w:divBdr>
        <w:top w:val="none" w:sz="0" w:space="0" w:color="auto"/>
        <w:left w:val="none" w:sz="0" w:space="0" w:color="auto"/>
        <w:bottom w:val="none" w:sz="0" w:space="0" w:color="auto"/>
        <w:right w:val="none" w:sz="0" w:space="0" w:color="auto"/>
      </w:divBdr>
      <w:divsChild>
        <w:div w:id="371344531">
          <w:marLeft w:val="0"/>
          <w:marRight w:val="0"/>
          <w:marTop w:val="0"/>
          <w:marBottom w:val="0"/>
          <w:divBdr>
            <w:top w:val="none" w:sz="0" w:space="0" w:color="auto"/>
            <w:left w:val="none" w:sz="0" w:space="0" w:color="auto"/>
            <w:bottom w:val="none" w:sz="0" w:space="0" w:color="auto"/>
            <w:right w:val="none" w:sz="0" w:space="0" w:color="auto"/>
          </w:divBdr>
        </w:div>
        <w:div w:id="2117171963">
          <w:marLeft w:val="0"/>
          <w:marRight w:val="0"/>
          <w:marTop w:val="0"/>
          <w:marBottom w:val="0"/>
          <w:divBdr>
            <w:top w:val="none" w:sz="0" w:space="0" w:color="auto"/>
            <w:left w:val="none" w:sz="0" w:space="0" w:color="auto"/>
            <w:bottom w:val="none" w:sz="0" w:space="0" w:color="auto"/>
            <w:right w:val="none" w:sz="0" w:space="0" w:color="auto"/>
          </w:divBdr>
          <w:divsChild>
            <w:div w:id="1377122972">
              <w:marLeft w:val="0"/>
              <w:marRight w:val="0"/>
              <w:marTop w:val="0"/>
              <w:marBottom w:val="0"/>
              <w:divBdr>
                <w:top w:val="single" w:sz="6" w:space="0" w:color="5B616B"/>
                <w:left w:val="single" w:sz="6" w:space="0" w:color="5B616B"/>
                <w:bottom w:val="single" w:sz="6" w:space="0" w:color="5B616B"/>
                <w:right w:val="single" w:sz="6" w:space="0" w:color="5B616B"/>
              </w:divBdr>
            </w:div>
          </w:divsChild>
        </w:div>
      </w:divsChild>
    </w:div>
    <w:div w:id="623772999">
      <w:bodyDiv w:val="1"/>
      <w:marLeft w:val="0"/>
      <w:marRight w:val="0"/>
      <w:marTop w:val="0"/>
      <w:marBottom w:val="0"/>
      <w:divBdr>
        <w:top w:val="none" w:sz="0" w:space="0" w:color="auto"/>
        <w:left w:val="none" w:sz="0" w:space="0" w:color="auto"/>
        <w:bottom w:val="none" w:sz="0" w:space="0" w:color="auto"/>
        <w:right w:val="none" w:sz="0" w:space="0" w:color="auto"/>
      </w:divBdr>
      <w:divsChild>
        <w:div w:id="281422418">
          <w:marLeft w:val="0"/>
          <w:marRight w:val="0"/>
          <w:marTop w:val="0"/>
          <w:marBottom w:val="0"/>
          <w:divBdr>
            <w:top w:val="single" w:sz="2" w:space="0" w:color="auto"/>
            <w:left w:val="single" w:sz="2" w:space="0" w:color="auto"/>
            <w:bottom w:val="single" w:sz="2" w:space="0" w:color="auto"/>
            <w:right w:val="single" w:sz="2" w:space="0" w:color="auto"/>
          </w:divBdr>
        </w:div>
        <w:div w:id="1283657769">
          <w:marLeft w:val="0"/>
          <w:marRight w:val="0"/>
          <w:marTop w:val="0"/>
          <w:marBottom w:val="0"/>
          <w:divBdr>
            <w:top w:val="single" w:sz="2" w:space="5" w:color="auto"/>
            <w:left w:val="single" w:sz="2" w:space="0" w:color="auto"/>
            <w:bottom w:val="single" w:sz="2" w:space="5" w:color="auto"/>
            <w:right w:val="single" w:sz="2" w:space="0" w:color="auto"/>
          </w:divBdr>
        </w:div>
      </w:divsChild>
    </w:div>
    <w:div w:id="634218300">
      <w:bodyDiv w:val="1"/>
      <w:marLeft w:val="0"/>
      <w:marRight w:val="0"/>
      <w:marTop w:val="0"/>
      <w:marBottom w:val="0"/>
      <w:divBdr>
        <w:top w:val="none" w:sz="0" w:space="0" w:color="auto"/>
        <w:left w:val="none" w:sz="0" w:space="0" w:color="auto"/>
        <w:bottom w:val="none" w:sz="0" w:space="0" w:color="auto"/>
        <w:right w:val="none" w:sz="0" w:space="0" w:color="auto"/>
      </w:divBdr>
    </w:div>
    <w:div w:id="652292674">
      <w:bodyDiv w:val="1"/>
      <w:marLeft w:val="0"/>
      <w:marRight w:val="0"/>
      <w:marTop w:val="0"/>
      <w:marBottom w:val="0"/>
      <w:divBdr>
        <w:top w:val="none" w:sz="0" w:space="0" w:color="auto"/>
        <w:left w:val="none" w:sz="0" w:space="0" w:color="auto"/>
        <w:bottom w:val="none" w:sz="0" w:space="0" w:color="auto"/>
        <w:right w:val="none" w:sz="0" w:space="0" w:color="auto"/>
      </w:divBdr>
    </w:div>
    <w:div w:id="662899478">
      <w:bodyDiv w:val="1"/>
      <w:marLeft w:val="0"/>
      <w:marRight w:val="0"/>
      <w:marTop w:val="0"/>
      <w:marBottom w:val="0"/>
      <w:divBdr>
        <w:top w:val="none" w:sz="0" w:space="0" w:color="auto"/>
        <w:left w:val="none" w:sz="0" w:space="0" w:color="auto"/>
        <w:bottom w:val="none" w:sz="0" w:space="0" w:color="auto"/>
        <w:right w:val="none" w:sz="0" w:space="0" w:color="auto"/>
      </w:divBdr>
    </w:div>
    <w:div w:id="685139139">
      <w:bodyDiv w:val="1"/>
      <w:marLeft w:val="0"/>
      <w:marRight w:val="0"/>
      <w:marTop w:val="0"/>
      <w:marBottom w:val="0"/>
      <w:divBdr>
        <w:top w:val="none" w:sz="0" w:space="0" w:color="auto"/>
        <w:left w:val="none" w:sz="0" w:space="0" w:color="auto"/>
        <w:bottom w:val="none" w:sz="0" w:space="0" w:color="auto"/>
        <w:right w:val="none" w:sz="0" w:space="0" w:color="auto"/>
      </w:divBdr>
    </w:div>
    <w:div w:id="711153272">
      <w:bodyDiv w:val="1"/>
      <w:marLeft w:val="0"/>
      <w:marRight w:val="0"/>
      <w:marTop w:val="0"/>
      <w:marBottom w:val="0"/>
      <w:divBdr>
        <w:top w:val="none" w:sz="0" w:space="0" w:color="auto"/>
        <w:left w:val="none" w:sz="0" w:space="0" w:color="auto"/>
        <w:bottom w:val="none" w:sz="0" w:space="0" w:color="auto"/>
        <w:right w:val="none" w:sz="0" w:space="0" w:color="auto"/>
      </w:divBdr>
      <w:divsChild>
        <w:div w:id="2066757277">
          <w:marLeft w:val="0"/>
          <w:marRight w:val="0"/>
          <w:marTop w:val="0"/>
          <w:marBottom w:val="0"/>
          <w:divBdr>
            <w:top w:val="none" w:sz="0" w:space="0" w:color="auto"/>
            <w:left w:val="none" w:sz="0" w:space="0" w:color="auto"/>
            <w:bottom w:val="none" w:sz="0" w:space="0" w:color="auto"/>
            <w:right w:val="none" w:sz="0" w:space="0" w:color="auto"/>
          </w:divBdr>
          <w:divsChild>
            <w:div w:id="1601523300">
              <w:marLeft w:val="0"/>
              <w:marRight w:val="0"/>
              <w:marTop w:val="0"/>
              <w:marBottom w:val="0"/>
              <w:divBdr>
                <w:top w:val="none" w:sz="0" w:space="0" w:color="auto"/>
                <w:left w:val="none" w:sz="0" w:space="0" w:color="auto"/>
                <w:bottom w:val="none" w:sz="0" w:space="0" w:color="auto"/>
                <w:right w:val="none" w:sz="0" w:space="0" w:color="auto"/>
              </w:divBdr>
              <w:divsChild>
                <w:div w:id="236719471">
                  <w:marLeft w:val="0"/>
                  <w:marRight w:val="0"/>
                  <w:marTop w:val="0"/>
                  <w:marBottom w:val="0"/>
                  <w:divBdr>
                    <w:top w:val="none" w:sz="0" w:space="0" w:color="auto"/>
                    <w:left w:val="none" w:sz="0" w:space="0" w:color="auto"/>
                    <w:bottom w:val="none" w:sz="0" w:space="0" w:color="auto"/>
                    <w:right w:val="none" w:sz="0" w:space="0" w:color="auto"/>
                  </w:divBdr>
                  <w:divsChild>
                    <w:div w:id="723017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095475">
      <w:bodyDiv w:val="1"/>
      <w:marLeft w:val="0"/>
      <w:marRight w:val="0"/>
      <w:marTop w:val="0"/>
      <w:marBottom w:val="0"/>
      <w:divBdr>
        <w:top w:val="none" w:sz="0" w:space="0" w:color="auto"/>
        <w:left w:val="none" w:sz="0" w:space="0" w:color="auto"/>
        <w:bottom w:val="none" w:sz="0" w:space="0" w:color="auto"/>
        <w:right w:val="none" w:sz="0" w:space="0" w:color="auto"/>
      </w:divBdr>
      <w:divsChild>
        <w:div w:id="196703101">
          <w:marLeft w:val="0"/>
          <w:marRight w:val="0"/>
          <w:marTop w:val="0"/>
          <w:marBottom w:val="0"/>
          <w:divBdr>
            <w:top w:val="none" w:sz="0" w:space="0" w:color="auto"/>
            <w:left w:val="none" w:sz="0" w:space="0" w:color="auto"/>
            <w:bottom w:val="none" w:sz="0" w:space="0" w:color="auto"/>
            <w:right w:val="none" w:sz="0" w:space="0" w:color="auto"/>
          </w:divBdr>
          <w:divsChild>
            <w:div w:id="1834956530">
              <w:marLeft w:val="0"/>
              <w:marRight w:val="0"/>
              <w:marTop w:val="0"/>
              <w:marBottom w:val="0"/>
              <w:divBdr>
                <w:top w:val="none" w:sz="0" w:space="0" w:color="auto"/>
                <w:left w:val="none" w:sz="0" w:space="0" w:color="auto"/>
                <w:bottom w:val="none" w:sz="0" w:space="0" w:color="auto"/>
                <w:right w:val="none" w:sz="0" w:space="0" w:color="auto"/>
              </w:divBdr>
              <w:divsChild>
                <w:div w:id="110364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781768">
      <w:bodyDiv w:val="1"/>
      <w:marLeft w:val="0"/>
      <w:marRight w:val="0"/>
      <w:marTop w:val="0"/>
      <w:marBottom w:val="0"/>
      <w:divBdr>
        <w:top w:val="none" w:sz="0" w:space="0" w:color="auto"/>
        <w:left w:val="none" w:sz="0" w:space="0" w:color="auto"/>
        <w:bottom w:val="none" w:sz="0" w:space="0" w:color="auto"/>
        <w:right w:val="none" w:sz="0" w:space="0" w:color="auto"/>
      </w:divBdr>
    </w:div>
    <w:div w:id="774055905">
      <w:bodyDiv w:val="1"/>
      <w:marLeft w:val="0"/>
      <w:marRight w:val="0"/>
      <w:marTop w:val="0"/>
      <w:marBottom w:val="0"/>
      <w:divBdr>
        <w:top w:val="none" w:sz="0" w:space="0" w:color="auto"/>
        <w:left w:val="none" w:sz="0" w:space="0" w:color="auto"/>
        <w:bottom w:val="none" w:sz="0" w:space="0" w:color="auto"/>
        <w:right w:val="none" w:sz="0" w:space="0" w:color="auto"/>
      </w:divBdr>
    </w:div>
    <w:div w:id="777219485">
      <w:bodyDiv w:val="1"/>
      <w:marLeft w:val="0"/>
      <w:marRight w:val="0"/>
      <w:marTop w:val="0"/>
      <w:marBottom w:val="0"/>
      <w:divBdr>
        <w:top w:val="none" w:sz="0" w:space="0" w:color="auto"/>
        <w:left w:val="none" w:sz="0" w:space="0" w:color="auto"/>
        <w:bottom w:val="none" w:sz="0" w:space="0" w:color="auto"/>
        <w:right w:val="none" w:sz="0" w:space="0" w:color="auto"/>
      </w:divBdr>
      <w:divsChild>
        <w:div w:id="298732433">
          <w:marLeft w:val="0"/>
          <w:marRight w:val="0"/>
          <w:marTop w:val="0"/>
          <w:marBottom w:val="0"/>
          <w:divBdr>
            <w:top w:val="single" w:sz="2" w:space="5" w:color="auto"/>
            <w:left w:val="single" w:sz="2" w:space="0" w:color="auto"/>
            <w:bottom w:val="single" w:sz="2" w:space="5" w:color="auto"/>
            <w:right w:val="single" w:sz="2" w:space="0" w:color="auto"/>
          </w:divBdr>
        </w:div>
        <w:div w:id="500899850">
          <w:marLeft w:val="0"/>
          <w:marRight w:val="0"/>
          <w:marTop w:val="0"/>
          <w:marBottom w:val="0"/>
          <w:divBdr>
            <w:top w:val="single" w:sz="2" w:space="0" w:color="auto"/>
            <w:left w:val="single" w:sz="2" w:space="0" w:color="auto"/>
            <w:bottom w:val="single" w:sz="2" w:space="0" w:color="auto"/>
            <w:right w:val="single" w:sz="2" w:space="0" w:color="auto"/>
          </w:divBdr>
        </w:div>
      </w:divsChild>
    </w:div>
    <w:div w:id="783771567">
      <w:bodyDiv w:val="1"/>
      <w:marLeft w:val="0"/>
      <w:marRight w:val="0"/>
      <w:marTop w:val="0"/>
      <w:marBottom w:val="0"/>
      <w:divBdr>
        <w:top w:val="none" w:sz="0" w:space="0" w:color="auto"/>
        <w:left w:val="none" w:sz="0" w:space="0" w:color="auto"/>
        <w:bottom w:val="none" w:sz="0" w:space="0" w:color="auto"/>
        <w:right w:val="none" w:sz="0" w:space="0" w:color="auto"/>
      </w:divBdr>
    </w:div>
    <w:div w:id="789402107">
      <w:bodyDiv w:val="1"/>
      <w:marLeft w:val="0"/>
      <w:marRight w:val="0"/>
      <w:marTop w:val="0"/>
      <w:marBottom w:val="0"/>
      <w:divBdr>
        <w:top w:val="none" w:sz="0" w:space="0" w:color="auto"/>
        <w:left w:val="none" w:sz="0" w:space="0" w:color="auto"/>
        <w:bottom w:val="none" w:sz="0" w:space="0" w:color="auto"/>
        <w:right w:val="none" w:sz="0" w:space="0" w:color="auto"/>
      </w:divBdr>
    </w:div>
    <w:div w:id="791510414">
      <w:bodyDiv w:val="1"/>
      <w:marLeft w:val="0"/>
      <w:marRight w:val="0"/>
      <w:marTop w:val="0"/>
      <w:marBottom w:val="0"/>
      <w:divBdr>
        <w:top w:val="none" w:sz="0" w:space="0" w:color="auto"/>
        <w:left w:val="none" w:sz="0" w:space="0" w:color="auto"/>
        <w:bottom w:val="none" w:sz="0" w:space="0" w:color="auto"/>
        <w:right w:val="none" w:sz="0" w:space="0" w:color="auto"/>
      </w:divBdr>
      <w:divsChild>
        <w:div w:id="1871651316">
          <w:marLeft w:val="0"/>
          <w:marRight w:val="0"/>
          <w:marTop w:val="0"/>
          <w:marBottom w:val="0"/>
          <w:divBdr>
            <w:top w:val="none" w:sz="0" w:space="0" w:color="auto"/>
            <w:left w:val="none" w:sz="0" w:space="0" w:color="auto"/>
            <w:bottom w:val="none" w:sz="0" w:space="0" w:color="auto"/>
            <w:right w:val="none" w:sz="0" w:space="0" w:color="auto"/>
          </w:divBdr>
          <w:divsChild>
            <w:div w:id="1034691065">
              <w:marLeft w:val="0"/>
              <w:marRight w:val="0"/>
              <w:marTop w:val="0"/>
              <w:marBottom w:val="0"/>
              <w:divBdr>
                <w:top w:val="none" w:sz="0" w:space="0" w:color="auto"/>
                <w:left w:val="none" w:sz="0" w:space="0" w:color="auto"/>
                <w:bottom w:val="none" w:sz="0" w:space="0" w:color="auto"/>
                <w:right w:val="none" w:sz="0" w:space="0" w:color="auto"/>
              </w:divBdr>
              <w:divsChild>
                <w:div w:id="413286850">
                  <w:marLeft w:val="0"/>
                  <w:marRight w:val="0"/>
                  <w:marTop w:val="0"/>
                  <w:marBottom w:val="0"/>
                  <w:divBdr>
                    <w:top w:val="none" w:sz="0" w:space="0" w:color="auto"/>
                    <w:left w:val="none" w:sz="0" w:space="0" w:color="auto"/>
                    <w:bottom w:val="none" w:sz="0" w:space="0" w:color="auto"/>
                    <w:right w:val="none" w:sz="0" w:space="0" w:color="auto"/>
                  </w:divBdr>
                  <w:divsChild>
                    <w:div w:id="120772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8493352">
      <w:bodyDiv w:val="1"/>
      <w:marLeft w:val="0"/>
      <w:marRight w:val="0"/>
      <w:marTop w:val="0"/>
      <w:marBottom w:val="0"/>
      <w:divBdr>
        <w:top w:val="none" w:sz="0" w:space="0" w:color="auto"/>
        <w:left w:val="none" w:sz="0" w:space="0" w:color="auto"/>
        <w:bottom w:val="none" w:sz="0" w:space="0" w:color="auto"/>
        <w:right w:val="none" w:sz="0" w:space="0" w:color="auto"/>
      </w:divBdr>
    </w:div>
    <w:div w:id="808669146">
      <w:bodyDiv w:val="1"/>
      <w:marLeft w:val="0"/>
      <w:marRight w:val="0"/>
      <w:marTop w:val="0"/>
      <w:marBottom w:val="0"/>
      <w:divBdr>
        <w:top w:val="none" w:sz="0" w:space="0" w:color="auto"/>
        <w:left w:val="none" w:sz="0" w:space="0" w:color="auto"/>
        <w:bottom w:val="none" w:sz="0" w:space="0" w:color="auto"/>
        <w:right w:val="none" w:sz="0" w:space="0" w:color="auto"/>
      </w:divBdr>
      <w:divsChild>
        <w:div w:id="624770684">
          <w:marLeft w:val="0"/>
          <w:marRight w:val="0"/>
          <w:marTop w:val="0"/>
          <w:marBottom w:val="0"/>
          <w:divBdr>
            <w:top w:val="none" w:sz="0" w:space="0" w:color="auto"/>
            <w:left w:val="none" w:sz="0" w:space="0" w:color="auto"/>
            <w:bottom w:val="none" w:sz="0" w:space="0" w:color="auto"/>
            <w:right w:val="none" w:sz="0" w:space="0" w:color="auto"/>
          </w:divBdr>
          <w:divsChild>
            <w:div w:id="237904586">
              <w:marLeft w:val="0"/>
              <w:marRight w:val="0"/>
              <w:marTop w:val="0"/>
              <w:marBottom w:val="0"/>
              <w:divBdr>
                <w:top w:val="none" w:sz="0" w:space="0" w:color="auto"/>
                <w:left w:val="none" w:sz="0" w:space="0" w:color="auto"/>
                <w:bottom w:val="none" w:sz="0" w:space="0" w:color="auto"/>
                <w:right w:val="none" w:sz="0" w:space="0" w:color="auto"/>
              </w:divBdr>
              <w:divsChild>
                <w:div w:id="916672715">
                  <w:marLeft w:val="0"/>
                  <w:marRight w:val="0"/>
                  <w:marTop w:val="0"/>
                  <w:marBottom w:val="0"/>
                  <w:divBdr>
                    <w:top w:val="none" w:sz="0" w:space="0" w:color="auto"/>
                    <w:left w:val="none" w:sz="0" w:space="0" w:color="auto"/>
                    <w:bottom w:val="none" w:sz="0" w:space="0" w:color="auto"/>
                    <w:right w:val="none" w:sz="0" w:space="0" w:color="auto"/>
                  </w:divBdr>
                  <w:divsChild>
                    <w:div w:id="1237935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6841314">
      <w:bodyDiv w:val="1"/>
      <w:marLeft w:val="0"/>
      <w:marRight w:val="0"/>
      <w:marTop w:val="0"/>
      <w:marBottom w:val="0"/>
      <w:divBdr>
        <w:top w:val="none" w:sz="0" w:space="0" w:color="auto"/>
        <w:left w:val="none" w:sz="0" w:space="0" w:color="auto"/>
        <w:bottom w:val="none" w:sz="0" w:space="0" w:color="auto"/>
        <w:right w:val="none" w:sz="0" w:space="0" w:color="auto"/>
      </w:divBdr>
      <w:divsChild>
        <w:div w:id="72746005">
          <w:marLeft w:val="0"/>
          <w:marRight w:val="0"/>
          <w:marTop w:val="0"/>
          <w:marBottom w:val="0"/>
          <w:divBdr>
            <w:top w:val="none" w:sz="0" w:space="0" w:color="auto"/>
            <w:left w:val="none" w:sz="0" w:space="0" w:color="auto"/>
            <w:bottom w:val="none" w:sz="0" w:space="0" w:color="auto"/>
            <w:right w:val="none" w:sz="0" w:space="0" w:color="auto"/>
          </w:divBdr>
          <w:divsChild>
            <w:div w:id="156745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82899">
      <w:bodyDiv w:val="1"/>
      <w:marLeft w:val="0"/>
      <w:marRight w:val="0"/>
      <w:marTop w:val="0"/>
      <w:marBottom w:val="0"/>
      <w:divBdr>
        <w:top w:val="none" w:sz="0" w:space="0" w:color="auto"/>
        <w:left w:val="none" w:sz="0" w:space="0" w:color="auto"/>
        <w:bottom w:val="none" w:sz="0" w:space="0" w:color="auto"/>
        <w:right w:val="none" w:sz="0" w:space="0" w:color="auto"/>
      </w:divBdr>
    </w:div>
    <w:div w:id="879247928">
      <w:bodyDiv w:val="1"/>
      <w:marLeft w:val="0"/>
      <w:marRight w:val="0"/>
      <w:marTop w:val="0"/>
      <w:marBottom w:val="0"/>
      <w:divBdr>
        <w:top w:val="none" w:sz="0" w:space="0" w:color="auto"/>
        <w:left w:val="none" w:sz="0" w:space="0" w:color="auto"/>
        <w:bottom w:val="none" w:sz="0" w:space="0" w:color="auto"/>
        <w:right w:val="none" w:sz="0" w:space="0" w:color="auto"/>
      </w:divBdr>
      <w:divsChild>
        <w:div w:id="2095740144">
          <w:marLeft w:val="0"/>
          <w:marRight w:val="0"/>
          <w:marTop w:val="0"/>
          <w:marBottom w:val="0"/>
          <w:divBdr>
            <w:top w:val="none" w:sz="0" w:space="0" w:color="auto"/>
            <w:left w:val="none" w:sz="0" w:space="0" w:color="auto"/>
            <w:bottom w:val="none" w:sz="0" w:space="0" w:color="auto"/>
            <w:right w:val="none" w:sz="0" w:space="0" w:color="auto"/>
          </w:divBdr>
          <w:divsChild>
            <w:div w:id="1810052680">
              <w:marLeft w:val="0"/>
              <w:marRight w:val="0"/>
              <w:marTop w:val="0"/>
              <w:marBottom w:val="0"/>
              <w:divBdr>
                <w:top w:val="none" w:sz="0" w:space="0" w:color="auto"/>
                <w:left w:val="none" w:sz="0" w:space="0" w:color="auto"/>
                <w:bottom w:val="none" w:sz="0" w:space="0" w:color="auto"/>
                <w:right w:val="none" w:sz="0" w:space="0" w:color="auto"/>
              </w:divBdr>
              <w:divsChild>
                <w:div w:id="416174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933953">
      <w:bodyDiv w:val="1"/>
      <w:marLeft w:val="0"/>
      <w:marRight w:val="0"/>
      <w:marTop w:val="0"/>
      <w:marBottom w:val="0"/>
      <w:divBdr>
        <w:top w:val="none" w:sz="0" w:space="0" w:color="auto"/>
        <w:left w:val="none" w:sz="0" w:space="0" w:color="auto"/>
        <w:bottom w:val="none" w:sz="0" w:space="0" w:color="auto"/>
        <w:right w:val="none" w:sz="0" w:space="0" w:color="auto"/>
      </w:divBdr>
      <w:divsChild>
        <w:div w:id="1768652520">
          <w:marLeft w:val="0"/>
          <w:marRight w:val="0"/>
          <w:marTop w:val="0"/>
          <w:marBottom w:val="0"/>
          <w:divBdr>
            <w:top w:val="none" w:sz="0" w:space="0" w:color="auto"/>
            <w:left w:val="none" w:sz="0" w:space="0" w:color="auto"/>
            <w:bottom w:val="none" w:sz="0" w:space="0" w:color="auto"/>
            <w:right w:val="none" w:sz="0" w:space="0" w:color="auto"/>
          </w:divBdr>
          <w:divsChild>
            <w:div w:id="89712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686991">
      <w:bodyDiv w:val="1"/>
      <w:marLeft w:val="0"/>
      <w:marRight w:val="0"/>
      <w:marTop w:val="0"/>
      <w:marBottom w:val="0"/>
      <w:divBdr>
        <w:top w:val="none" w:sz="0" w:space="0" w:color="auto"/>
        <w:left w:val="none" w:sz="0" w:space="0" w:color="auto"/>
        <w:bottom w:val="none" w:sz="0" w:space="0" w:color="auto"/>
        <w:right w:val="none" w:sz="0" w:space="0" w:color="auto"/>
      </w:divBdr>
    </w:div>
    <w:div w:id="957103745">
      <w:bodyDiv w:val="1"/>
      <w:marLeft w:val="0"/>
      <w:marRight w:val="0"/>
      <w:marTop w:val="0"/>
      <w:marBottom w:val="0"/>
      <w:divBdr>
        <w:top w:val="none" w:sz="0" w:space="0" w:color="auto"/>
        <w:left w:val="none" w:sz="0" w:space="0" w:color="auto"/>
        <w:bottom w:val="none" w:sz="0" w:space="0" w:color="auto"/>
        <w:right w:val="none" w:sz="0" w:space="0" w:color="auto"/>
      </w:divBdr>
    </w:div>
    <w:div w:id="981538791">
      <w:bodyDiv w:val="1"/>
      <w:marLeft w:val="0"/>
      <w:marRight w:val="0"/>
      <w:marTop w:val="0"/>
      <w:marBottom w:val="0"/>
      <w:divBdr>
        <w:top w:val="none" w:sz="0" w:space="0" w:color="auto"/>
        <w:left w:val="none" w:sz="0" w:space="0" w:color="auto"/>
        <w:bottom w:val="none" w:sz="0" w:space="0" w:color="auto"/>
        <w:right w:val="none" w:sz="0" w:space="0" w:color="auto"/>
      </w:divBdr>
    </w:div>
    <w:div w:id="992953325">
      <w:bodyDiv w:val="1"/>
      <w:marLeft w:val="0"/>
      <w:marRight w:val="0"/>
      <w:marTop w:val="0"/>
      <w:marBottom w:val="0"/>
      <w:divBdr>
        <w:top w:val="none" w:sz="0" w:space="0" w:color="auto"/>
        <w:left w:val="none" w:sz="0" w:space="0" w:color="auto"/>
        <w:bottom w:val="none" w:sz="0" w:space="0" w:color="auto"/>
        <w:right w:val="none" w:sz="0" w:space="0" w:color="auto"/>
      </w:divBdr>
      <w:divsChild>
        <w:div w:id="2076387509">
          <w:marLeft w:val="0"/>
          <w:marRight w:val="0"/>
          <w:marTop w:val="0"/>
          <w:marBottom w:val="0"/>
          <w:divBdr>
            <w:top w:val="none" w:sz="0" w:space="0" w:color="auto"/>
            <w:left w:val="none" w:sz="0" w:space="0" w:color="auto"/>
            <w:bottom w:val="none" w:sz="0" w:space="0" w:color="auto"/>
            <w:right w:val="none" w:sz="0" w:space="0" w:color="auto"/>
          </w:divBdr>
          <w:divsChild>
            <w:div w:id="1858423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384284">
      <w:bodyDiv w:val="1"/>
      <w:marLeft w:val="0"/>
      <w:marRight w:val="0"/>
      <w:marTop w:val="0"/>
      <w:marBottom w:val="0"/>
      <w:divBdr>
        <w:top w:val="none" w:sz="0" w:space="0" w:color="auto"/>
        <w:left w:val="none" w:sz="0" w:space="0" w:color="auto"/>
        <w:bottom w:val="none" w:sz="0" w:space="0" w:color="auto"/>
        <w:right w:val="none" w:sz="0" w:space="0" w:color="auto"/>
      </w:divBdr>
    </w:div>
    <w:div w:id="1018233698">
      <w:bodyDiv w:val="1"/>
      <w:marLeft w:val="0"/>
      <w:marRight w:val="0"/>
      <w:marTop w:val="0"/>
      <w:marBottom w:val="0"/>
      <w:divBdr>
        <w:top w:val="none" w:sz="0" w:space="0" w:color="auto"/>
        <w:left w:val="none" w:sz="0" w:space="0" w:color="auto"/>
        <w:bottom w:val="none" w:sz="0" w:space="0" w:color="auto"/>
        <w:right w:val="none" w:sz="0" w:space="0" w:color="auto"/>
      </w:divBdr>
    </w:div>
    <w:div w:id="1022709888">
      <w:bodyDiv w:val="1"/>
      <w:marLeft w:val="0"/>
      <w:marRight w:val="0"/>
      <w:marTop w:val="0"/>
      <w:marBottom w:val="0"/>
      <w:divBdr>
        <w:top w:val="none" w:sz="0" w:space="0" w:color="auto"/>
        <w:left w:val="none" w:sz="0" w:space="0" w:color="auto"/>
        <w:bottom w:val="none" w:sz="0" w:space="0" w:color="auto"/>
        <w:right w:val="none" w:sz="0" w:space="0" w:color="auto"/>
      </w:divBdr>
      <w:divsChild>
        <w:div w:id="376513776">
          <w:marLeft w:val="0"/>
          <w:marRight w:val="0"/>
          <w:marTop w:val="0"/>
          <w:marBottom w:val="0"/>
          <w:divBdr>
            <w:top w:val="single" w:sz="2" w:space="5" w:color="auto"/>
            <w:left w:val="single" w:sz="2" w:space="0" w:color="auto"/>
            <w:bottom w:val="single" w:sz="2" w:space="5" w:color="auto"/>
            <w:right w:val="single" w:sz="2" w:space="0" w:color="auto"/>
          </w:divBdr>
        </w:div>
        <w:div w:id="726100694">
          <w:marLeft w:val="0"/>
          <w:marRight w:val="0"/>
          <w:marTop w:val="0"/>
          <w:marBottom w:val="0"/>
          <w:divBdr>
            <w:top w:val="single" w:sz="2" w:space="0" w:color="auto"/>
            <w:left w:val="single" w:sz="2" w:space="0" w:color="auto"/>
            <w:bottom w:val="single" w:sz="2" w:space="0" w:color="auto"/>
            <w:right w:val="single" w:sz="2" w:space="0" w:color="auto"/>
          </w:divBdr>
        </w:div>
      </w:divsChild>
    </w:div>
    <w:div w:id="1045250970">
      <w:bodyDiv w:val="1"/>
      <w:marLeft w:val="0"/>
      <w:marRight w:val="0"/>
      <w:marTop w:val="0"/>
      <w:marBottom w:val="0"/>
      <w:divBdr>
        <w:top w:val="none" w:sz="0" w:space="0" w:color="auto"/>
        <w:left w:val="none" w:sz="0" w:space="0" w:color="auto"/>
        <w:bottom w:val="none" w:sz="0" w:space="0" w:color="auto"/>
        <w:right w:val="none" w:sz="0" w:space="0" w:color="auto"/>
      </w:divBdr>
      <w:divsChild>
        <w:div w:id="1117143923">
          <w:marLeft w:val="0"/>
          <w:marRight w:val="0"/>
          <w:marTop w:val="0"/>
          <w:marBottom w:val="0"/>
          <w:divBdr>
            <w:top w:val="none" w:sz="0" w:space="0" w:color="auto"/>
            <w:left w:val="none" w:sz="0" w:space="0" w:color="auto"/>
            <w:bottom w:val="none" w:sz="0" w:space="0" w:color="auto"/>
            <w:right w:val="none" w:sz="0" w:space="0" w:color="auto"/>
          </w:divBdr>
          <w:divsChild>
            <w:div w:id="1696268536">
              <w:marLeft w:val="0"/>
              <w:marRight w:val="0"/>
              <w:marTop w:val="0"/>
              <w:marBottom w:val="0"/>
              <w:divBdr>
                <w:top w:val="none" w:sz="0" w:space="0" w:color="auto"/>
                <w:left w:val="none" w:sz="0" w:space="0" w:color="auto"/>
                <w:bottom w:val="none" w:sz="0" w:space="0" w:color="auto"/>
                <w:right w:val="none" w:sz="0" w:space="0" w:color="auto"/>
              </w:divBdr>
              <w:divsChild>
                <w:div w:id="71770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8454890">
      <w:bodyDiv w:val="1"/>
      <w:marLeft w:val="0"/>
      <w:marRight w:val="0"/>
      <w:marTop w:val="0"/>
      <w:marBottom w:val="0"/>
      <w:divBdr>
        <w:top w:val="none" w:sz="0" w:space="0" w:color="auto"/>
        <w:left w:val="none" w:sz="0" w:space="0" w:color="auto"/>
        <w:bottom w:val="none" w:sz="0" w:space="0" w:color="auto"/>
        <w:right w:val="none" w:sz="0" w:space="0" w:color="auto"/>
      </w:divBdr>
      <w:divsChild>
        <w:div w:id="793255673">
          <w:marLeft w:val="0"/>
          <w:marRight w:val="0"/>
          <w:marTop w:val="200"/>
          <w:marBottom w:val="200"/>
          <w:divBdr>
            <w:top w:val="none" w:sz="0" w:space="0" w:color="auto"/>
            <w:left w:val="none" w:sz="0" w:space="0" w:color="auto"/>
            <w:bottom w:val="none" w:sz="0" w:space="0" w:color="auto"/>
            <w:right w:val="none" w:sz="0" w:space="0" w:color="auto"/>
          </w:divBdr>
        </w:div>
      </w:divsChild>
    </w:div>
    <w:div w:id="1055394267">
      <w:bodyDiv w:val="1"/>
      <w:marLeft w:val="0"/>
      <w:marRight w:val="0"/>
      <w:marTop w:val="0"/>
      <w:marBottom w:val="0"/>
      <w:divBdr>
        <w:top w:val="none" w:sz="0" w:space="0" w:color="auto"/>
        <w:left w:val="none" w:sz="0" w:space="0" w:color="auto"/>
        <w:bottom w:val="none" w:sz="0" w:space="0" w:color="auto"/>
        <w:right w:val="none" w:sz="0" w:space="0" w:color="auto"/>
      </w:divBdr>
    </w:div>
    <w:div w:id="1063872434">
      <w:bodyDiv w:val="1"/>
      <w:marLeft w:val="0"/>
      <w:marRight w:val="0"/>
      <w:marTop w:val="0"/>
      <w:marBottom w:val="0"/>
      <w:divBdr>
        <w:top w:val="none" w:sz="0" w:space="0" w:color="auto"/>
        <w:left w:val="none" w:sz="0" w:space="0" w:color="auto"/>
        <w:bottom w:val="none" w:sz="0" w:space="0" w:color="auto"/>
        <w:right w:val="none" w:sz="0" w:space="0" w:color="auto"/>
      </w:divBdr>
    </w:div>
    <w:div w:id="1073353975">
      <w:bodyDiv w:val="1"/>
      <w:marLeft w:val="0"/>
      <w:marRight w:val="0"/>
      <w:marTop w:val="0"/>
      <w:marBottom w:val="0"/>
      <w:divBdr>
        <w:top w:val="none" w:sz="0" w:space="0" w:color="auto"/>
        <w:left w:val="none" w:sz="0" w:space="0" w:color="auto"/>
        <w:bottom w:val="none" w:sz="0" w:space="0" w:color="auto"/>
        <w:right w:val="none" w:sz="0" w:space="0" w:color="auto"/>
      </w:divBdr>
      <w:divsChild>
        <w:div w:id="1341472711">
          <w:marLeft w:val="0"/>
          <w:marRight w:val="0"/>
          <w:marTop w:val="0"/>
          <w:marBottom w:val="0"/>
          <w:divBdr>
            <w:top w:val="none" w:sz="0" w:space="0" w:color="auto"/>
            <w:left w:val="none" w:sz="0" w:space="0" w:color="auto"/>
            <w:bottom w:val="none" w:sz="0" w:space="0" w:color="auto"/>
            <w:right w:val="none" w:sz="0" w:space="0" w:color="auto"/>
          </w:divBdr>
          <w:divsChild>
            <w:div w:id="729503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0979686">
      <w:bodyDiv w:val="1"/>
      <w:marLeft w:val="0"/>
      <w:marRight w:val="0"/>
      <w:marTop w:val="0"/>
      <w:marBottom w:val="0"/>
      <w:divBdr>
        <w:top w:val="none" w:sz="0" w:space="0" w:color="auto"/>
        <w:left w:val="none" w:sz="0" w:space="0" w:color="auto"/>
        <w:bottom w:val="none" w:sz="0" w:space="0" w:color="auto"/>
        <w:right w:val="none" w:sz="0" w:space="0" w:color="auto"/>
      </w:divBdr>
    </w:div>
    <w:div w:id="1133328048">
      <w:bodyDiv w:val="1"/>
      <w:marLeft w:val="0"/>
      <w:marRight w:val="0"/>
      <w:marTop w:val="0"/>
      <w:marBottom w:val="0"/>
      <w:divBdr>
        <w:top w:val="none" w:sz="0" w:space="0" w:color="auto"/>
        <w:left w:val="none" w:sz="0" w:space="0" w:color="auto"/>
        <w:bottom w:val="none" w:sz="0" w:space="0" w:color="auto"/>
        <w:right w:val="none" w:sz="0" w:space="0" w:color="auto"/>
      </w:divBdr>
    </w:div>
    <w:div w:id="1135178632">
      <w:bodyDiv w:val="1"/>
      <w:marLeft w:val="0"/>
      <w:marRight w:val="0"/>
      <w:marTop w:val="0"/>
      <w:marBottom w:val="0"/>
      <w:divBdr>
        <w:top w:val="none" w:sz="0" w:space="0" w:color="auto"/>
        <w:left w:val="none" w:sz="0" w:space="0" w:color="auto"/>
        <w:bottom w:val="none" w:sz="0" w:space="0" w:color="auto"/>
        <w:right w:val="none" w:sz="0" w:space="0" w:color="auto"/>
      </w:divBdr>
      <w:divsChild>
        <w:div w:id="1578704132">
          <w:marLeft w:val="0"/>
          <w:marRight w:val="0"/>
          <w:marTop w:val="0"/>
          <w:marBottom w:val="0"/>
          <w:divBdr>
            <w:top w:val="none" w:sz="0" w:space="0" w:color="auto"/>
            <w:left w:val="none" w:sz="0" w:space="0" w:color="auto"/>
            <w:bottom w:val="none" w:sz="0" w:space="0" w:color="auto"/>
            <w:right w:val="none" w:sz="0" w:space="0" w:color="auto"/>
          </w:divBdr>
          <w:divsChild>
            <w:div w:id="450324793">
              <w:marLeft w:val="0"/>
              <w:marRight w:val="0"/>
              <w:marTop w:val="0"/>
              <w:marBottom w:val="0"/>
              <w:divBdr>
                <w:top w:val="none" w:sz="0" w:space="0" w:color="auto"/>
                <w:left w:val="none" w:sz="0" w:space="0" w:color="auto"/>
                <w:bottom w:val="none" w:sz="0" w:space="0" w:color="auto"/>
                <w:right w:val="none" w:sz="0" w:space="0" w:color="auto"/>
              </w:divBdr>
              <w:divsChild>
                <w:div w:id="1995718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6995385">
      <w:bodyDiv w:val="1"/>
      <w:marLeft w:val="0"/>
      <w:marRight w:val="0"/>
      <w:marTop w:val="0"/>
      <w:marBottom w:val="0"/>
      <w:divBdr>
        <w:top w:val="none" w:sz="0" w:space="0" w:color="auto"/>
        <w:left w:val="none" w:sz="0" w:space="0" w:color="auto"/>
        <w:bottom w:val="none" w:sz="0" w:space="0" w:color="auto"/>
        <w:right w:val="none" w:sz="0" w:space="0" w:color="auto"/>
      </w:divBdr>
    </w:div>
    <w:div w:id="1275821158">
      <w:bodyDiv w:val="1"/>
      <w:marLeft w:val="0"/>
      <w:marRight w:val="0"/>
      <w:marTop w:val="0"/>
      <w:marBottom w:val="0"/>
      <w:divBdr>
        <w:top w:val="none" w:sz="0" w:space="0" w:color="auto"/>
        <w:left w:val="none" w:sz="0" w:space="0" w:color="auto"/>
        <w:bottom w:val="none" w:sz="0" w:space="0" w:color="auto"/>
        <w:right w:val="none" w:sz="0" w:space="0" w:color="auto"/>
      </w:divBdr>
    </w:div>
    <w:div w:id="1278217554">
      <w:bodyDiv w:val="1"/>
      <w:marLeft w:val="0"/>
      <w:marRight w:val="0"/>
      <w:marTop w:val="0"/>
      <w:marBottom w:val="0"/>
      <w:divBdr>
        <w:top w:val="none" w:sz="0" w:space="0" w:color="auto"/>
        <w:left w:val="none" w:sz="0" w:space="0" w:color="auto"/>
        <w:bottom w:val="none" w:sz="0" w:space="0" w:color="auto"/>
        <w:right w:val="none" w:sz="0" w:space="0" w:color="auto"/>
      </w:divBdr>
      <w:divsChild>
        <w:div w:id="1593273163">
          <w:marLeft w:val="0"/>
          <w:marRight w:val="0"/>
          <w:marTop w:val="0"/>
          <w:marBottom w:val="0"/>
          <w:divBdr>
            <w:top w:val="none" w:sz="0" w:space="0" w:color="auto"/>
            <w:left w:val="none" w:sz="0" w:space="0" w:color="auto"/>
            <w:bottom w:val="none" w:sz="0" w:space="0" w:color="auto"/>
            <w:right w:val="none" w:sz="0" w:space="0" w:color="auto"/>
          </w:divBdr>
          <w:divsChild>
            <w:div w:id="2136949687">
              <w:marLeft w:val="0"/>
              <w:marRight w:val="0"/>
              <w:marTop w:val="0"/>
              <w:marBottom w:val="0"/>
              <w:divBdr>
                <w:top w:val="single" w:sz="6" w:space="0" w:color="5B616B"/>
                <w:left w:val="single" w:sz="6" w:space="0" w:color="5B616B"/>
                <w:bottom w:val="single" w:sz="6" w:space="0" w:color="5B616B"/>
                <w:right w:val="single" w:sz="6" w:space="0" w:color="5B616B"/>
              </w:divBdr>
            </w:div>
          </w:divsChild>
        </w:div>
        <w:div w:id="1964337783">
          <w:marLeft w:val="0"/>
          <w:marRight w:val="0"/>
          <w:marTop w:val="0"/>
          <w:marBottom w:val="0"/>
          <w:divBdr>
            <w:top w:val="none" w:sz="0" w:space="0" w:color="auto"/>
            <w:left w:val="none" w:sz="0" w:space="0" w:color="auto"/>
            <w:bottom w:val="none" w:sz="0" w:space="0" w:color="auto"/>
            <w:right w:val="none" w:sz="0" w:space="0" w:color="auto"/>
          </w:divBdr>
        </w:div>
      </w:divsChild>
    </w:div>
    <w:div w:id="1279335557">
      <w:bodyDiv w:val="1"/>
      <w:marLeft w:val="0"/>
      <w:marRight w:val="0"/>
      <w:marTop w:val="0"/>
      <w:marBottom w:val="0"/>
      <w:divBdr>
        <w:top w:val="none" w:sz="0" w:space="0" w:color="auto"/>
        <w:left w:val="none" w:sz="0" w:space="0" w:color="auto"/>
        <w:bottom w:val="none" w:sz="0" w:space="0" w:color="auto"/>
        <w:right w:val="none" w:sz="0" w:space="0" w:color="auto"/>
      </w:divBdr>
    </w:div>
    <w:div w:id="1288973523">
      <w:bodyDiv w:val="1"/>
      <w:marLeft w:val="0"/>
      <w:marRight w:val="0"/>
      <w:marTop w:val="0"/>
      <w:marBottom w:val="0"/>
      <w:divBdr>
        <w:top w:val="none" w:sz="0" w:space="0" w:color="auto"/>
        <w:left w:val="none" w:sz="0" w:space="0" w:color="auto"/>
        <w:bottom w:val="none" w:sz="0" w:space="0" w:color="auto"/>
        <w:right w:val="none" w:sz="0" w:space="0" w:color="auto"/>
      </w:divBdr>
    </w:div>
    <w:div w:id="1314488163">
      <w:bodyDiv w:val="1"/>
      <w:marLeft w:val="0"/>
      <w:marRight w:val="0"/>
      <w:marTop w:val="0"/>
      <w:marBottom w:val="0"/>
      <w:divBdr>
        <w:top w:val="none" w:sz="0" w:space="0" w:color="auto"/>
        <w:left w:val="none" w:sz="0" w:space="0" w:color="auto"/>
        <w:bottom w:val="none" w:sz="0" w:space="0" w:color="auto"/>
        <w:right w:val="none" w:sz="0" w:space="0" w:color="auto"/>
      </w:divBdr>
      <w:divsChild>
        <w:div w:id="2030376350">
          <w:marLeft w:val="0"/>
          <w:marRight w:val="0"/>
          <w:marTop w:val="0"/>
          <w:marBottom w:val="0"/>
          <w:divBdr>
            <w:top w:val="none" w:sz="0" w:space="0" w:color="auto"/>
            <w:left w:val="none" w:sz="0" w:space="0" w:color="auto"/>
            <w:bottom w:val="none" w:sz="0" w:space="0" w:color="auto"/>
            <w:right w:val="none" w:sz="0" w:space="0" w:color="auto"/>
          </w:divBdr>
          <w:divsChild>
            <w:div w:id="47414167">
              <w:marLeft w:val="0"/>
              <w:marRight w:val="0"/>
              <w:marTop w:val="0"/>
              <w:marBottom w:val="0"/>
              <w:divBdr>
                <w:top w:val="none" w:sz="0" w:space="0" w:color="auto"/>
                <w:left w:val="none" w:sz="0" w:space="0" w:color="auto"/>
                <w:bottom w:val="none" w:sz="0" w:space="0" w:color="auto"/>
                <w:right w:val="none" w:sz="0" w:space="0" w:color="auto"/>
              </w:divBdr>
              <w:divsChild>
                <w:div w:id="207534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0717427">
      <w:bodyDiv w:val="1"/>
      <w:marLeft w:val="0"/>
      <w:marRight w:val="0"/>
      <w:marTop w:val="0"/>
      <w:marBottom w:val="0"/>
      <w:divBdr>
        <w:top w:val="none" w:sz="0" w:space="0" w:color="auto"/>
        <w:left w:val="none" w:sz="0" w:space="0" w:color="auto"/>
        <w:bottom w:val="none" w:sz="0" w:space="0" w:color="auto"/>
        <w:right w:val="none" w:sz="0" w:space="0" w:color="auto"/>
      </w:divBdr>
    </w:div>
    <w:div w:id="1340817634">
      <w:bodyDiv w:val="1"/>
      <w:marLeft w:val="0"/>
      <w:marRight w:val="0"/>
      <w:marTop w:val="0"/>
      <w:marBottom w:val="0"/>
      <w:divBdr>
        <w:top w:val="none" w:sz="0" w:space="0" w:color="auto"/>
        <w:left w:val="none" w:sz="0" w:space="0" w:color="auto"/>
        <w:bottom w:val="none" w:sz="0" w:space="0" w:color="auto"/>
        <w:right w:val="none" w:sz="0" w:space="0" w:color="auto"/>
      </w:divBdr>
    </w:div>
    <w:div w:id="1349255283">
      <w:bodyDiv w:val="1"/>
      <w:marLeft w:val="0"/>
      <w:marRight w:val="0"/>
      <w:marTop w:val="0"/>
      <w:marBottom w:val="0"/>
      <w:divBdr>
        <w:top w:val="none" w:sz="0" w:space="0" w:color="auto"/>
        <w:left w:val="none" w:sz="0" w:space="0" w:color="auto"/>
        <w:bottom w:val="none" w:sz="0" w:space="0" w:color="auto"/>
        <w:right w:val="none" w:sz="0" w:space="0" w:color="auto"/>
      </w:divBdr>
      <w:divsChild>
        <w:div w:id="1624851229">
          <w:marLeft w:val="0"/>
          <w:marRight w:val="0"/>
          <w:marTop w:val="0"/>
          <w:marBottom w:val="0"/>
          <w:divBdr>
            <w:top w:val="none" w:sz="0" w:space="0" w:color="auto"/>
            <w:left w:val="none" w:sz="0" w:space="0" w:color="auto"/>
            <w:bottom w:val="none" w:sz="0" w:space="0" w:color="auto"/>
            <w:right w:val="none" w:sz="0" w:space="0" w:color="auto"/>
          </w:divBdr>
          <w:divsChild>
            <w:div w:id="509872191">
              <w:marLeft w:val="0"/>
              <w:marRight w:val="0"/>
              <w:marTop w:val="0"/>
              <w:marBottom w:val="0"/>
              <w:divBdr>
                <w:top w:val="none" w:sz="0" w:space="0" w:color="auto"/>
                <w:left w:val="none" w:sz="0" w:space="0" w:color="auto"/>
                <w:bottom w:val="none" w:sz="0" w:space="0" w:color="auto"/>
                <w:right w:val="none" w:sz="0" w:space="0" w:color="auto"/>
              </w:divBdr>
              <w:divsChild>
                <w:div w:id="541946682">
                  <w:marLeft w:val="0"/>
                  <w:marRight w:val="0"/>
                  <w:marTop w:val="0"/>
                  <w:marBottom w:val="0"/>
                  <w:divBdr>
                    <w:top w:val="none" w:sz="0" w:space="0" w:color="auto"/>
                    <w:left w:val="none" w:sz="0" w:space="0" w:color="auto"/>
                    <w:bottom w:val="none" w:sz="0" w:space="0" w:color="auto"/>
                    <w:right w:val="none" w:sz="0" w:space="0" w:color="auto"/>
                  </w:divBdr>
                  <w:divsChild>
                    <w:div w:id="746272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5108941">
      <w:bodyDiv w:val="1"/>
      <w:marLeft w:val="0"/>
      <w:marRight w:val="0"/>
      <w:marTop w:val="0"/>
      <w:marBottom w:val="0"/>
      <w:divBdr>
        <w:top w:val="none" w:sz="0" w:space="0" w:color="auto"/>
        <w:left w:val="none" w:sz="0" w:space="0" w:color="auto"/>
        <w:bottom w:val="none" w:sz="0" w:space="0" w:color="auto"/>
        <w:right w:val="none" w:sz="0" w:space="0" w:color="auto"/>
      </w:divBdr>
    </w:div>
    <w:div w:id="1380856844">
      <w:bodyDiv w:val="1"/>
      <w:marLeft w:val="0"/>
      <w:marRight w:val="0"/>
      <w:marTop w:val="0"/>
      <w:marBottom w:val="0"/>
      <w:divBdr>
        <w:top w:val="none" w:sz="0" w:space="0" w:color="auto"/>
        <w:left w:val="none" w:sz="0" w:space="0" w:color="auto"/>
        <w:bottom w:val="none" w:sz="0" w:space="0" w:color="auto"/>
        <w:right w:val="none" w:sz="0" w:space="0" w:color="auto"/>
      </w:divBdr>
    </w:div>
    <w:div w:id="1408960965">
      <w:bodyDiv w:val="1"/>
      <w:marLeft w:val="0"/>
      <w:marRight w:val="0"/>
      <w:marTop w:val="0"/>
      <w:marBottom w:val="0"/>
      <w:divBdr>
        <w:top w:val="none" w:sz="0" w:space="0" w:color="auto"/>
        <w:left w:val="none" w:sz="0" w:space="0" w:color="auto"/>
        <w:bottom w:val="none" w:sz="0" w:space="0" w:color="auto"/>
        <w:right w:val="none" w:sz="0" w:space="0" w:color="auto"/>
      </w:divBdr>
    </w:div>
    <w:div w:id="1450275254">
      <w:bodyDiv w:val="1"/>
      <w:marLeft w:val="0"/>
      <w:marRight w:val="0"/>
      <w:marTop w:val="0"/>
      <w:marBottom w:val="0"/>
      <w:divBdr>
        <w:top w:val="none" w:sz="0" w:space="0" w:color="auto"/>
        <w:left w:val="none" w:sz="0" w:space="0" w:color="auto"/>
        <w:bottom w:val="none" w:sz="0" w:space="0" w:color="auto"/>
        <w:right w:val="none" w:sz="0" w:space="0" w:color="auto"/>
      </w:divBdr>
      <w:divsChild>
        <w:div w:id="116073952">
          <w:marLeft w:val="0"/>
          <w:marRight w:val="0"/>
          <w:marTop w:val="0"/>
          <w:marBottom w:val="0"/>
          <w:divBdr>
            <w:top w:val="none" w:sz="0" w:space="0" w:color="auto"/>
            <w:left w:val="none" w:sz="0" w:space="0" w:color="auto"/>
            <w:bottom w:val="none" w:sz="0" w:space="0" w:color="auto"/>
            <w:right w:val="none" w:sz="0" w:space="0" w:color="auto"/>
          </w:divBdr>
        </w:div>
        <w:div w:id="140050761">
          <w:marLeft w:val="0"/>
          <w:marRight w:val="0"/>
          <w:marTop w:val="0"/>
          <w:marBottom w:val="0"/>
          <w:divBdr>
            <w:top w:val="none" w:sz="0" w:space="0" w:color="auto"/>
            <w:left w:val="none" w:sz="0" w:space="0" w:color="auto"/>
            <w:bottom w:val="none" w:sz="0" w:space="0" w:color="auto"/>
            <w:right w:val="none" w:sz="0" w:space="0" w:color="auto"/>
          </w:divBdr>
        </w:div>
        <w:div w:id="212272029">
          <w:marLeft w:val="0"/>
          <w:marRight w:val="0"/>
          <w:marTop w:val="0"/>
          <w:marBottom w:val="0"/>
          <w:divBdr>
            <w:top w:val="none" w:sz="0" w:space="0" w:color="auto"/>
            <w:left w:val="none" w:sz="0" w:space="0" w:color="auto"/>
            <w:bottom w:val="none" w:sz="0" w:space="0" w:color="auto"/>
            <w:right w:val="none" w:sz="0" w:space="0" w:color="auto"/>
          </w:divBdr>
        </w:div>
        <w:div w:id="588857780">
          <w:marLeft w:val="0"/>
          <w:marRight w:val="0"/>
          <w:marTop w:val="0"/>
          <w:marBottom w:val="0"/>
          <w:divBdr>
            <w:top w:val="none" w:sz="0" w:space="0" w:color="auto"/>
            <w:left w:val="none" w:sz="0" w:space="0" w:color="auto"/>
            <w:bottom w:val="none" w:sz="0" w:space="0" w:color="auto"/>
            <w:right w:val="none" w:sz="0" w:space="0" w:color="auto"/>
          </w:divBdr>
        </w:div>
        <w:div w:id="781416277">
          <w:marLeft w:val="0"/>
          <w:marRight w:val="0"/>
          <w:marTop w:val="0"/>
          <w:marBottom w:val="0"/>
          <w:divBdr>
            <w:top w:val="none" w:sz="0" w:space="0" w:color="auto"/>
            <w:left w:val="none" w:sz="0" w:space="0" w:color="auto"/>
            <w:bottom w:val="none" w:sz="0" w:space="0" w:color="auto"/>
            <w:right w:val="none" w:sz="0" w:space="0" w:color="auto"/>
          </w:divBdr>
        </w:div>
      </w:divsChild>
    </w:div>
    <w:div w:id="1509170746">
      <w:bodyDiv w:val="1"/>
      <w:marLeft w:val="0"/>
      <w:marRight w:val="0"/>
      <w:marTop w:val="0"/>
      <w:marBottom w:val="0"/>
      <w:divBdr>
        <w:top w:val="none" w:sz="0" w:space="0" w:color="auto"/>
        <w:left w:val="none" w:sz="0" w:space="0" w:color="auto"/>
        <w:bottom w:val="none" w:sz="0" w:space="0" w:color="auto"/>
        <w:right w:val="none" w:sz="0" w:space="0" w:color="auto"/>
      </w:divBdr>
      <w:divsChild>
        <w:div w:id="305202472">
          <w:marLeft w:val="0"/>
          <w:marRight w:val="0"/>
          <w:marTop w:val="0"/>
          <w:marBottom w:val="0"/>
          <w:divBdr>
            <w:top w:val="none" w:sz="0" w:space="0" w:color="auto"/>
            <w:left w:val="none" w:sz="0" w:space="0" w:color="auto"/>
            <w:bottom w:val="none" w:sz="0" w:space="0" w:color="auto"/>
            <w:right w:val="none" w:sz="0" w:space="0" w:color="auto"/>
          </w:divBdr>
          <w:divsChild>
            <w:div w:id="580262380">
              <w:marLeft w:val="0"/>
              <w:marRight w:val="0"/>
              <w:marTop w:val="0"/>
              <w:marBottom w:val="0"/>
              <w:divBdr>
                <w:top w:val="none" w:sz="0" w:space="0" w:color="auto"/>
                <w:left w:val="none" w:sz="0" w:space="0" w:color="auto"/>
                <w:bottom w:val="none" w:sz="0" w:space="0" w:color="auto"/>
                <w:right w:val="none" w:sz="0" w:space="0" w:color="auto"/>
              </w:divBdr>
              <w:divsChild>
                <w:div w:id="198661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567172">
      <w:bodyDiv w:val="1"/>
      <w:marLeft w:val="0"/>
      <w:marRight w:val="0"/>
      <w:marTop w:val="0"/>
      <w:marBottom w:val="0"/>
      <w:divBdr>
        <w:top w:val="none" w:sz="0" w:space="0" w:color="auto"/>
        <w:left w:val="none" w:sz="0" w:space="0" w:color="auto"/>
        <w:bottom w:val="none" w:sz="0" w:space="0" w:color="auto"/>
        <w:right w:val="none" w:sz="0" w:space="0" w:color="auto"/>
      </w:divBdr>
    </w:div>
    <w:div w:id="1543902260">
      <w:bodyDiv w:val="1"/>
      <w:marLeft w:val="0"/>
      <w:marRight w:val="0"/>
      <w:marTop w:val="0"/>
      <w:marBottom w:val="0"/>
      <w:divBdr>
        <w:top w:val="none" w:sz="0" w:space="0" w:color="auto"/>
        <w:left w:val="none" w:sz="0" w:space="0" w:color="auto"/>
        <w:bottom w:val="none" w:sz="0" w:space="0" w:color="auto"/>
        <w:right w:val="none" w:sz="0" w:space="0" w:color="auto"/>
      </w:divBdr>
    </w:div>
    <w:div w:id="1543906307">
      <w:bodyDiv w:val="1"/>
      <w:marLeft w:val="0"/>
      <w:marRight w:val="0"/>
      <w:marTop w:val="0"/>
      <w:marBottom w:val="0"/>
      <w:divBdr>
        <w:top w:val="none" w:sz="0" w:space="0" w:color="auto"/>
        <w:left w:val="none" w:sz="0" w:space="0" w:color="auto"/>
        <w:bottom w:val="none" w:sz="0" w:space="0" w:color="auto"/>
        <w:right w:val="none" w:sz="0" w:space="0" w:color="auto"/>
      </w:divBdr>
    </w:div>
    <w:div w:id="1559633338">
      <w:bodyDiv w:val="1"/>
      <w:marLeft w:val="0"/>
      <w:marRight w:val="0"/>
      <w:marTop w:val="0"/>
      <w:marBottom w:val="0"/>
      <w:divBdr>
        <w:top w:val="none" w:sz="0" w:space="0" w:color="auto"/>
        <w:left w:val="none" w:sz="0" w:space="0" w:color="auto"/>
        <w:bottom w:val="none" w:sz="0" w:space="0" w:color="auto"/>
        <w:right w:val="none" w:sz="0" w:space="0" w:color="auto"/>
      </w:divBdr>
    </w:div>
    <w:div w:id="1565490390">
      <w:bodyDiv w:val="1"/>
      <w:marLeft w:val="0"/>
      <w:marRight w:val="0"/>
      <w:marTop w:val="0"/>
      <w:marBottom w:val="0"/>
      <w:divBdr>
        <w:top w:val="none" w:sz="0" w:space="0" w:color="auto"/>
        <w:left w:val="none" w:sz="0" w:space="0" w:color="auto"/>
        <w:bottom w:val="none" w:sz="0" w:space="0" w:color="auto"/>
        <w:right w:val="none" w:sz="0" w:space="0" w:color="auto"/>
      </w:divBdr>
    </w:div>
    <w:div w:id="1582256006">
      <w:bodyDiv w:val="1"/>
      <w:marLeft w:val="0"/>
      <w:marRight w:val="0"/>
      <w:marTop w:val="0"/>
      <w:marBottom w:val="0"/>
      <w:divBdr>
        <w:top w:val="none" w:sz="0" w:space="0" w:color="auto"/>
        <w:left w:val="none" w:sz="0" w:space="0" w:color="auto"/>
        <w:bottom w:val="none" w:sz="0" w:space="0" w:color="auto"/>
        <w:right w:val="none" w:sz="0" w:space="0" w:color="auto"/>
      </w:divBdr>
      <w:divsChild>
        <w:div w:id="641155809">
          <w:marLeft w:val="0"/>
          <w:marRight w:val="0"/>
          <w:marTop w:val="0"/>
          <w:marBottom w:val="0"/>
          <w:divBdr>
            <w:top w:val="single" w:sz="2" w:space="0" w:color="auto"/>
            <w:left w:val="single" w:sz="2" w:space="0" w:color="auto"/>
            <w:bottom w:val="single" w:sz="2" w:space="0" w:color="auto"/>
            <w:right w:val="single" w:sz="2" w:space="0" w:color="auto"/>
          </w:divBdr>
        </w:div>
        <w:div w:id="1098212060">
          <w:marLeft w:val="0"/>
          <w:marRight w:val="0"/>
          <w:marTop w:val="0"/>
          <w:marBottom w:val="0"/>
          <w:divBdr>
            <w:top w:val="single" w:sz="2" w:space="5" w:color="auto"/>
            <w:left w:val="single" w:sz="2" w:space="0" w:color="auto"/>
            <w:bottom w:val="single" w:sz="2" w:space="5" w:color="auto"/>
            <w:right w:val="single" w:sz="2" w:space="0" w:color="auto"/>
          </w:divBdr>
        </w:div>
      </w:divsChild>
    </w:div>
    <w:div w:id="1585258310">
      <w:bodyDiv w:val="1"/>
      <w:marLeft w:val="0"/>
      <w:marRight w:val="0"/>
      <w:marTop w:val="0"/>
      <w:marBottom w:val="0"/>
      <w:divBdr>
        <w:top w:val="none" w:sz="0" w:space="0" w:color="auto"/>
        <w:left w:val="none" w:sz="0" w:space="0" w:color="auto"/>
        <w:bottom w:val="none" w:sz="0" w:space="0" w:color="auto"/>
        <w:right w:val="none" w:sz="0" w:space="0" w:color="auto"/>
      </w:divBdr>
    </w:div>
    <w:div w:id="1613172706">
      <w:bodyDiv w:val="1"/>
      <w:marLeft w:val="0"/>
      <w:marRight w:val="0"/>
      <w:marTop w:val="0"/>
      <w:marBottom w:val="0"/>
      <w:divBdr>
        <w:top w:val="none" w:sz="0" w:space="0" w:color="auto"/>
        <w:left w:val="none" w:sz="0" w:space="0" w:color="auto"/>
        <w:bottom w:val="none" w:sz="0" w:space="0" w:color="auto"/>
        <w:right w:val="none" w:sz="0" w:space="0" w:color="auto"/>
      </w:divBdr>
    </w:div>
    <w:div w:id="1675187417">
      <w:bodyDiv w:val="1"/>
      <w:marLeft w:val="0"/>
      <w:marRight w:val="0"/>
      <w:marTop w:val="0"/>
      <w:marBottom w:val="0"/>
      <w:divBdr>
        <w:top w:val="none" w:sz="0" w:space="0" w:color="auto"/>
        <w:left w:val="none" w:sz="0" w:space="0" w:color="auto"/>
        <w:bottom w:val="none" w:sz="0" w:space="0" w:color="auto"/>
        <w:right w:val="none" w:sz="0" w:space="0" w:color="auto"/>
      </w:divBdr>
    </w:div>
    <w:div w:id="1683161885">
      <w:bodyDiv w:val="1"/>
      <w:marLeft w:val="0"/>
      <w:marRight w:val="0"/>
      <w:marTop w:val="0"/>
      <w:marBottom w:val="0"/>
      <w:divBdr>
        <w:top w:val="none" w:sz="0" w:space="0" w:color="auto"/>
        <w:left w:val="none" w:sz="0" w:space="0" w:color="auto"/>
        <w:bottom w:val="none" w:sz="0" w:space="0" w:color="auto"/>
        <w:right w:val="none" w:sz="0" w:space="0" w:color="auto"/>
      </w:divBdr>
    </w:div>
    <w:div w:id="1692953531">
      <w:bodyDiv w:val="1"/>
      <w:marLeft w:val="0"/>
      <w:marRight w:val="0"/>
      <w:marTop w:val="0"/>
      <w:marBottom w:val="0"/>
      <w:divBdr>
        <w:top w:val="none" w:sz="0" w:space="0" w:color="auto"/>
        <w:left w:val="none" w:sz="0" w:space="0" w:color="auto"/>
        <w:bottom w:val="none" w:sz="0" w:space="0" w:color="auto"/>
        <w:right w:val="none" w:sz="0" w:space="0" w:color="auto"/>
      </w:divBdr>
      <w:divsChild>
        <w:div w:id="131757911">
          <w:marLeft w:val="0"/>
          <w:marRight w:val="0"/>
          <w:marTop w:val="0"/>
          <w:marBottom w:val="0"/>
          <w:divBdr>
            <w:top w:val="none" w:sz="0" w:space="0" w:color="auto"/>
            <w:left w:val="none" w:sz="0" w:space="0" w:color="auto"/>
            <w:bottom w:val="none" w:sz="0" w:space="0" w:color="auto"/>
            <w:right w:val="none" w:sz="0" w:space="0" w:color="auto"/>
          </w:divBdr>
          <w:divsChild>
            <w:div w:id="1287812985">
              <w:marLeft w:val="0"/>
              <w:marRight w:val="0"/>
              <w:marTop w:val="0"/>
              <w:marBottom w:val="0"/>
              <w:divBdr>
                <w:top w:val="none" w:sz="0" w:space="0" w:color="auto"/>
                <w:left w:val="none" w:sz="0" w:space="0" w:color="auto"/>
                <w:bottom w:val="none" w:sz="0" w:space="0" w:color="auto"/>
                <w:right w:val="none" w:sz="0" w:space="0" w:color="auto"/>
              </w:divBdr>
              <w:divsChild>
                <w:div w:id="53978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9041780">
      <w:bodyDiv w:val="1"/>
      <w:marLeft w:val="0"/>
      <w:marRight w:val="0"/>
      <w:marTop w:val="0"/>
      <w:marBottom w:val="0"/>
      <w:divBdr>
        <w:top w:val="none" w:sz="0" w:space="0" w:color="auto"/>
        <w:left w:val="none" w:sz="0" w:space="0" w:color="auto"/>
        <w:bottom w:val="none" w:sz="0" w:space="0" w:color="auto"/>
        <w:right w:val="none" w:sz="0" w:space="0" w:color="auto"/>
      </w:divBdr>
    </w:div>
    <w:div w:id="1712029673">
      <w:bodyDiv w:val="1"/>
      <w:marLeft w:val="0"/>
      <w:marRight w:val="0"/>
      <w:marTop w:val="0"/>
      <w:marBottom w:val="0"/>
      <w:divBdr>
        <w:top w:val="none" w:sz="0" w:space="0" w:color="auto"/>
        <w:left w:val="none" w:sz="0" w:space="0" w:color="auto"/>
        <w:bottom w:val="none" w:sz="0" w:space="0" w:color="auto"/>
        <w:right w:val="none" w:sz="0" w:space="0" w:color="auto"/>
      </w:divBdr>
      <w:divsChild>
        <w:div w:id="297688266">
          <w:marLeft w:val="0"/>
          <w:marRight w:val="0"/>
          <w:marTop w:val="0"/>
          <w:marBottom w:val="0"/>
          <w:divBdr>
            <w:top w:val="single" w:sz="2" w:space="0" w:color="auto"/>
            <w:left w:val="single" w:sz="2" w:space="0" w:color="auto"/>
            <w:bottom w:val="single" w:sz="2" w:space="0" w:color="auto"/>
            <w:right w:val="single" w:sz="2" w:space="0" w:color="auto"/>
          </w:divBdr>
        </w:div>
        <w:div w:id="1253513361">
          <w:marLeft w:val="0"/>
          <w:marRight w:val="0"/>
          <w:marTop w:val="0"/>
          <w:marBottom w:val="0"/>
          <w:divBdr>
            <w:top w:val="single" w:sz="2" w:space="5" w:color="auto"/>
            <w:left w:val="single" w:sz="2" w:space="0" w:color="auto"/>
            <w:bottom w:val="single" w:sz="2" w:space="5" w:color="auto"/>
            <w:right w:val="single" w:sz="2" w:space="0" w:color="auto"/>
          </w:divBdr>
        </w:div>
      </w:divsChild>
    </w:div>
    <w:div w:id="1728798282">
      <w:bodyDiv w:val="1"/>
      <w:marLeft w:val="0"/>
      <w:marRight w:val="0"/>
      <w:marTop w:val="0"/>
      <w:marBottom w:val="0"/>
      <w:divBdr>
        <w:top w:val="none" w:sz="0" w:space="0" w:color="auto"/>
        <w:left w:val="none" w:sz="0" w:space="0" w:color="auto"/>
        <w:bottom w:val="none" w:sz="0" w:space="0" w:color="auto"/>
        <w:right w:val="none" w:sz="0" w:space="0" w:color="auto"/>
      </w:divBdr>
      <w:divsChild>
        <w:div w:id="1694066955">
          <w:marLeft w:val="0"/>
          <w:marRight w:val="0"/>
          <w:marTop w:val="0"/>
          <w:marBottom w:val="0"/>
          <w:divBdr>
            <w:top w:val="none" w:sz="0" w:space="0" w:color="auto"/>
            <w:left w:val="none" w:sz="0" w:space="0" w:color="auto"/>
            <w:bottom w:val="none" w:sz="0" w:space="0" w:color="auto"/>
            <w:right w:val="none" w:sz="0" w:space="0" w:color="auto"/>
          </w:divBdr>
          <w:divsChild>
            <w:div w:id="5678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711088">
      <w:bodyDiv w:val="1"/>
      <w:marLeft w:val="0"/>
      <w:marRight w:val="0"/>
      <w:marTop w:val="0"/>
      <w:marBottom w:val="0"/>
      <w:divBdr>
        <w:top w:val="none" w:sz="0" w:space="0" w:color="auto"/>
        <w:left w:val="none" w:sz="0" w:space="0" w:color="auto"/>
        <w:bottom w:val="none" w:sz="0" w:space="0" w:color="auto"/>
        <w:right w:val="none" w:sz="0" w:space="0" w:color="auto"/>
      </w:divBdr>
    </w:div>
    <w:div w:id="1772434500">
      <w:bodyDiv w:val="1"/>
      <w:marLeft w:val="0"/>
      <w:marRight w:val="0"/>
      <w:marTop w:val="0"/>
      <w:marBottom w:val="0"/>
      <w:divBdr>
        <w:top w:val="none" w:sz="0" w:space="0" w:color="auto"/>
        <w:left w:val="none" w:sz="0" w:space="0" w:color="auto"/>
        <w:bottom w:val="none" w:sz="0" w:space="0" w:color="auto"/>
        <w:right w:val="none" w:sz="0" w:space="0" w:color="auto"/>
      </w:divBdr>
    </w:div>
    <w:div w:id="1777367388">
      <w:bodyDiv w:val="1"/>
      <w:marLeft w:val="0"/>
      <w:marRight w:val="0"/>
      <w:marTop w:val="0"/>
      <w:marBottom w:val="0"/>
      <w:divBdr>
        <w:top w:val="none" w:sz="0" w:space="0" w:color="auto"/>
        <w:left w:val="none" w:sz="0" w:space="0" w:color="auto"/>
        <w:bottom w:val="none" w:sz="0" w:space="0" w:color="auto"/>
        <w:right w:val="none" w:sz="0" w:space="0" w:color="auto"/>
      </w:divBdr>
    </w:div>
    <w:div w:id="1784880537">
      <w:bodyDiv w:val="1"/>
      <w:marLeft w:val="0"/>
      <w:marRight w:val="0"/>
      <w:marTop w:val="0"/>
      <w:marBottom w:val="0"/>
      <w:divBdr>
        <w:top w:val="none" w:sz="0" w:space="0" w:color="auto"/>
        <w:left w:val="none" w:sz="0" w:space="0" w:color="auto"/>
        <w:bottom w:val="none" w:sz="0" w:space="0" w:color="auto"/>
        <w:right w:val="none" w:sz="0" w:space="0" w:color="auto"/>
      </w:divBdr>
    </w:div>
    <w:div w:id="1785926420">
      <w:bodyDiv w:val="1"/>
      <w:marLeft w:val="0"/>
      <w:marRight w:val="0"/>
      <w:marTop w:val="0"/>
      <w:marBottom w:val="0"/>
      <w:divBdr>
        <w:top w:val="none" w:sz="0" w:space="0" w:color="auto"/>
        <w:left w:val="none" w:sz="0" w:space="0" w:color="auto"/>
        <w:bottom w:val="none" w:sz="0" w:space="0" w:color="auto"/>
        <w:right w:val="none" w:sz="0" w:space="0" w:color="auto"/>
      </w:divBdr>
    </w:div>
    <w:div w:id="1790777255">
      <w:bodyDiv w:val="1"/>
      <w:marLeft w:val="0"/>
      <w:marRight w:val="0"/>
      <w:marTop w:val="0"/>
      <w:marBottom w:val="0"/>
      <w:divBdr>
        <w:top w:val="none" w:sz="0" w:space="0" w:color="auto"/>
        <w:left w:val="none" w:sz="0" w:space="0" w:color="auto"/>
        <w:bottom w:val="none" w:sz="0" w:space="0" w:color="auto"/>
        <w:right w:val="none" w:sz="0" w:space="0" w:color="auto"/>
      </w:divBdr>
    </w:div>
    <w:div w:id="1801458792">
      <w:bodyDiv w:val="1"/>
      <w:marLeft w:val="0"/>
      <w:marRight w:val="0"/>
      <w:marTop w:val="0"/>
      <w:marBottom w:val="0"/>
      <w:divBdr>
        <w:top w:val="none" w:sz="0" w:space="0" w:color="auto"/>
        <w:left w:val="none" w:sz="0" w:space="0" w:color="auto"/>
        <w:bottom w:val="none" w:sz="0" w:space="0" w:color="auto"/>
        <w:right w:val="none" w:sz="0" w:space="0" w:color="auto"/>
      </w:divBdr>
    </w:div>
    <w:div w:id="1832408476">
      <w:bodyDiv w:val="1"/>
      <w:marLeft w:val="0"/>
      <w:marRight w:val="0"/>
      <w:marTop w:val="0"/>
      <w:marBottom w:val="0"/>
      <w:divBdr>
        <w:top w:val="none" w:sz="0" w:space="0" w:color="auto"/>
        <w:left w:val="none" w:sz="0" w:space="0" w:color="auto"/>
        <w:bottom w:val="none" w:sz="0" w:space="0" w:color="auto"/>
        <w:right w:val="none" w:sz="0" w:space="0" w:color="auto"/>
      </w:divBdr>
      <w:divsChild>
        <w:div w:id="2132701732">
          <w:marLeft w:val="0"/>
          <w:marRight w:val="0"/>
          <w:marTop w:val="0"/>
          <w:marBottom w:val="0"/>
          <w:divBdr>
            <w:top w:val="none" w:sz="0" w:space="0" w:color="auto"/>
            <w:left w:val="none" w:sz="0" w:space="0" w:color="auto"/>
            <w:bottom w:val="none" w:sz="0" w:space="0" w:color="auto"/>
            <w:right w:val="none" w:sz="0" w:space="0" w:color="auto"/>
          </w:divBdr>
          <w:divsChild>
            <w:div w:id="60445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795648">
      <w:bodyDiv w:val="1"/>
      <w:marLeft w:val="0"/>
      <w:marRight w:val="0"/>
      <w:marTop w:val="0"/>
      <w:marBottom w:val="0"/>
      <w:divBdr>
        <w:top w:val="none" w:sz="0" w:space="0" w:color="auto"/>
        <w:left w:val="none" w:sz="0" w:space="0" w:color="auto"/>
        <w:bottom w:val="none" w:sz="0" w:space="0" w:color="auto"/>
        <w:right w:val="none" w:sz="0" w:space="0" w:color="auto"/>
      </w:divBdr>
      <w:divsChild>
        <w:div w:id="742026983">
          <w:marLeft w:val="0"/>
          <w:marRight w:val="0"/>
          <w:marTop w:val="0"/>
          <w:marBottom w:val="0"/>
          <w:divBdr>
            <w:top w:val="none" w:sz="0" w:space="0" w:color="auto"/>
            <w:left w:val="none" w:sz="0" w:space="0" w:color="auto"/>
            <w:bottom w:val="none" w:sz="0" w:space="0" w:color="auto"/>
            <w:right w:val="none" w:sz="0" w:space="0" w:color="auto"/>
          </w:divBdr>
        </w:div>
        <w:div w:id="1085415521">
          <w:marLeft w:val="0"/>
          <w:marRight w:val="0"/>
          <w:marTop w:val="0"/>
          <w:marBottom w:val="0"/>
          <w:divBdr>
            <w:top w:val="none" w:sz="0" w:space="0" w:color="auto"/>
            <w:left w:val="none" w:sz="0" w:space="0" w:color="auto"/>
            <w:bottom w:val="none" w:sz="0" w:space="0" w:color="auto"/>
            <w:right w:val="none" w:sz="0" w:space="0" w:color="auto"/>
          </w:divBdr>
        </w:div>
        <w:div w:id="1511750612">
          <w:marLeft w:val="0"/>
          <w:marRight w:val="0"/>
          <w:marTop w:val="0"/>
          <w:marBottom w:val="0"/>
          <w:divBdr>
            <w:top w:val="none" w:sz="0" w:space="0" w:color="auto"/>
            <w:left w:val="none" w:sz="0" w:space="0" w:color="auto"/>
            <w:bottom w:val="none" w:sz="0" w:space="0" w:color="auto"/>
            <w:right w:val="none" w:sz="0" w:space="0" w:color="auto"/>
          </w:divBdr>
        </w:div>
        <w:div w:id="1526946304">
          <w:marLeft w:val="0"/>
          <w:marRight w:val="0"/>
          <w:marTop w:val="0"/>
          <w:marBottom w:val="0"/>
          <w:divBdr>
            <w:top w:val="none" w:sz="0" w:space="0" w:color="auto"/>
            <w:left w:val="none" w:sz="0" w:space="0" w:color="auto"/>
            <w:bottom w:val="none" w:sz="0" w:space="0" w:color="auto"/>
            <w:right w:val="none" w:sz="0" w:space="0" w:color="auto"/>
          </w:divBdr>
        </w:div>
        <w:div w:id="1939949384">
          <w:marLeft w:val="0"/>
          <w:marRight w:val="0"/>
          <w:marTop w:val="0"/>
          <w:marBottom w:val="0"/>
          <w:divBdr>
            <w:top w:val="none" w:sz="0" w:space="0" w:color="auto"/>
            <w:left w:val="none" w:sz="0" w:space="0" w:color="auto"/>
            <w:bottom w:val="none" w:sz="0" w:space="0" w:color="auto"/>
            <w:right w:val="none" w:sz="0" w:space="0" w:color="auto"/>
          </w:divBdr>
        </w:div>
      </w:divsChild>
    </w:div>
    <w:div w:id="1845898143">
      <w:bodyDiv w:val="1"/>
      <w:marLeft w:val="0"/>
      <w:marRight w:val="0"/>
      <w:marTop w:val="0"/>
      <w:marBottom w:val="0"/>
      <w:divBdr>
        <w:top w:val="none" w:sz="0" w:space="0" w:color="auto"/>
        <w:left w:val="none" w:sz="0" w:space="0" w:color="auto"/>
        <w:bottom w:val="none" w:sz="0" w:space="0" w:color="auto"/>
        <w:right w:val="none" w:sz="0" w:space="0" w:color="auto"/>
      </w:divBdr>
    </w:div>
    <w:div w:id="1853228868">
      <w:bodyDiv w:val="1"/>
      <w:marLeft w:val="0"/>
      <w:marRight w:val="0"/>
      <w:marTop w:val="0"/>
      <w:marBottom w:val="0"/>
      <w:divBdr>
        <w:top w:val="none" w:sz="0" w:space="0" w:color="auto"/>
        <w:left w:val="none" w:sz="0" w:space="0" w:color="auto"/>
        <w:bottom w:val="none" w:sz="0" w:space="0" w:color="auto"/>
        <w:right w:val="none" w:sz="0" w:space="0" w:color="auto"/>
      </w:divBdr>
    </w:div>
    <w:div w:id="1875070415">
      <w:bodyDiv w:val="1"/>
      <w:marLeft w:val="0"/>
      <w:marRight w:val="0"/>
      <w:marTop w:val="0"/>
      <w:marBottom w:val="0"/>
      <w:divBdr>
        <w:top w:val="none" w:sz="0" w:space="0" w:color="auto"/>
        <w:left w:val="none" w:sz="0" w:space="0" w:color="auto"/>
        <w:bottom w:val="none" w:sz="0" w:space="0" w:color="auto"/>
        <w:right w:val="none" w:sz="0" w:space="0" w:color="auto"/>
      </w:divBdr>
    </w:div>
    <w:div w:id="1880168896">
      <w:bodyDiv w:val="1"/>
      <w:marLeft w:val="0"/>
      <w:marRight w:val="0"/>
      <w:marTop w:val="0"/>
      <w:marBottom w:val="0"/>
      <w:divBdr>
        <w:top w:val="none" w:sz="0" w:space="0" w:color="auto"/>
        <w:left w:val="none" w:sz="0" w:space="0" w:color="auto"/>
        <w:bottom w:val="none" w:sz="0" w:space="0" w:color="auto"/>
        <w:right w:val="none" w:sz="0" w:space="0" w:color="auto"/>
      </w:divBdr>
      <w:divsChild>
        <w:div w:id="757555647">
          <w:marLeft w:val="0"/>
          <w:marRight w:val="0"/>
          <w:marTop w:val="0"/>
          <w:marBottom w:val="0"/>
          <w:divBdr>
            <w:top w:val="none" w:sz="0" w:space="0" w:color="auto"/>
            <w:left w:val="none" w:sz="0" w:space="0" w:color="auto"/>
            <w:bottom w:val="none" w:sz="0" w:space="0" w:color="auto"/>
            <w:right w:val="none" w:sz="0" w:space="0" w:color="auto"/>
          </w:divBdr>
          <w:divsChild>
            <w:div w:id="573248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491241">
      <w:bodyDiv w:val="1"/>
      <w:marLeft w:val="0"/>
      <w:marRight w:val="0"/>
      <w:marTop w:val="0"/>
      <w:marBottom w:val="0"/>
      <w:divBdr>
        <w:top w:val="none" w:sz="0" w:space="0" w:color="auto"/>
        <w:left w:val="none" w:sz="0" w:space="0" w:color="auto"/>
        <w:bottom w:val="none" w:sz="0" w:space="0" w:color="auto"/>
        <w:right w:val="none" w:sz="0" w:space="0" w:color="auto"/>
      </w:divBdr>
    </w:div>
    <w:div w:id="1926264878">
      <w:bodyDiv w:val="1"/>
      <w:marLeft w:val="0"/>
      <w:marRight w:val="0"/>
      <w:marTop w:val="0"/>
      <w:marBottom w:val="0"/>
      <w:divBdr>
        <w:top w:val="none" w:sz="0" w:space="0" w:color="auto"/>
        <w:left w:val="none" w:sz="0" w:space="0" w:color="auto"/>
        <w:bottom w:val="none" w:sz="0" w:space="0" w:color="auto"/>
        <w:right w:val="none" w:sz="0" w:space="0" w:color="auto"/>
      </w:divBdr>
      <w:divsChild>
        <w:div w:id="270288997">
          <w:marLeft w:val="0"/>
          <w:marRight w:val="0"/>
          <w:marTop w:val="0"/>
          <w:marBottom w:val="0"/>
          <w:divBdr>
            <w:top w:val="none" w:sz="0" w:space="0" w:color="auto"/>
            <w:left w:val="none" w:sz="0" w:space="0" w:color="auto"/>
            <w:bottom w:val="none" w:sz="0" w:space="0" w:color="auto"/>
            <w:right w:val="none" w:sz="0" w:space="0" w:color="auto"/>
          </w:divBdr>
        </w:div>
        <w:div w:id="297885021">
          <w:marLeft w:val="0"/>
          <w:marRight w:val="0"/>
          <w:marTop w:val="0"/>
          <w:marBottom w:val="0"/>
          <w:divBdr>
            <w:top w:val="none" w:sz="0" w:space="0" w:color="auto"/>
            <w:left w:val="none" w:sz="0" w:space="0" w:color="auto"/>
            <w:bottom w:val="none" w:sz="0" w:space="0" w:color="auto"/>
            <w:right w:val="none" w:sz="0" w:space="0" w:color="auto"/>
          </w:divBdr>
        </w:div>
        <w:div w:id="734082925">
          <w:marLeft w:val="0"/>
          <w:marRight w:val="0"/>
          <w:marTop w:val="0"/>
          <w:marBottom w:val="0"/>
          <w:divBdr>
            <w:top w:val="none" w:sz="0" w:space="0" w:color="auto"/>
            <w:left w:val="none" w:sz="0" w:space="0" w:color="auto"/>
            <w:bottom w:val="none" w:sz="0" w:space="0" w:color="auto"/>
            <w:right w:val="none" w:sz="0" w:space="0" w:color="auto"/>
          </w:divBdr>
        </w:div>
        <w:div w:id="866718305">
          <w:marLeft w:val="0"/>
          <w:marRight w:val="0"/>
          <w:marTop w:val="0"/>
          <w:marBottom w:val="0"/>
          <w:divBdr>
            <w:top w:val="none" w:sz="0" w:space="0" w:color="auto"/>
            <w:left w:val="none" w:sz="0" w:space="0" w:color="auto"/>
            <w:bottom w:val="none" w:sz="0" w:space="0" w:color="auto"/>
            <w:right w:val="none" w:sz="0" w:space="0" w:color="auto"/>
          </w:divBdr>
        </w:div>
        <w:div w:id="1093403684">
          <w:marLeft w:val="0"/>
          <w:marRight w:val="0"/>
          <w:marTop w:val="0"/>
          <w:marBottom w:val="0"/>
          <w:divBdr>
            <w:top w:val="none" w:sz="0" w:space="0" w:color="auto"/>
            <w:left w:val="none" w:sz="0" w:space="0" w:color="auto"/>
            <w:bottom w:val="none" w:sz="0" w:space="0" w:color="auto"/>
            <w:right w:val="none" w:sz="0" w:space="0" w:color="auto"/>
          </w:divBdr>
        </w:div>
      </w:divsChild>
    </w:div>
    <w:div w:id="1926524299">
      <w:bodyDiv w:val="1"/>
      <w:marLeft w:val="0"/>
      <w:marRight w:val="0"/>
      <w:marTop w:val="0"/>
      <w:marBottom w:val="0"/>
      <w:divBdr>
        <w:top w:val="none" w:sz="0" w:space="0" w:color="auto"/>
        <w:left w:val="none" w:sz="0" w:space="0" w:color="auto"/>
        <w:bottom w:val="none" w:sz="0" w:space="0" w:color="auto"/>
        <w:right w:val="none" w:sz="0" w:space="0" w:color="auto"/>
      </w:divBdr>
      <w:divsChild>
        <w:div w:id="673845976">
          <w:marLeft w:val="0"/>
          <w:marRight w:val="0"/>
          <w:marTop w:val="0"/>
          <w:marBottom w:val="0"/>
          <w:divBdr>
            <w:top w:val="single" w:sz="2" w:space="5" w:color="auto"/>
            <w:left w:val="single" w:sz="2" w:space="0" w:color="auto"/>
            <w:bottom w:val="single" w:sz="2" w:space="5" w:color="auto"/>
            <w:right w:val="single" w:sz="2" w:space="0" w:color="auto"/>
          </w:divBdr>
        </w:div>
        <w:div w:id="1739940947">
          <w:marLeft w:val="0"/>
          <w:marRight w:val="0"/>
          <w:marTop w:val="0"/>
          <w:marBottom w:val="0"/>
          <w:divBdr>
            <w:top w:val="single" w:sz="2" w:space="0" w:color="auto"/>
            <w:left w:val="single" w:sz="2" w:space="0" w:color="auto"/>
            <w:bottom w:val="single" w:sz="2" w:space="0" w:color="auto"/>
            <w:right w:val="single" w:sz="2" w:space="0" w:color="auto"/>
          </w:divBdr>
        </w:div>
      </w:divsChild>
    </w:div>
    <w:div w:id="1940601321">
      <w:bodyDiv w:val="1"/>
      <w:marLeft w:val="0"/>
      <w:marRight w:val="0"/>
      <w:marTop w:val="0"/>
      <w:marBottom w:val="0"/>
      <w:divBdr>
        <w:top w:val="none" w:sz="0" w:space="0" w:color="auto"/>
        <w:left w:val="none" w:sz="0" w:space="0" w:color="auto"/>
        <w:bottom w:val="none" w:sz="0" w:space="0" w:color="auto"/>
        <w:right w:val="none" w:sz="0" w:space="0" w:color="auto"/>
      </w:divBdr>
      <w:divsChild>
        <w:div w:id="45447600">
          <w:marLeft w:val="0"/>
          <w:marRight w:val="0"/>
          <w:marTop w:val="0"/>
          <w:marBottom w:val="0"/>
          <w:divBdr>
            <w:top w:val="none" w:sz="0" w:space="0" w:color="auto"/>
            <w:left w:val="none" w:sz="0" w:space="0" w:color="auto"/>
            <w:bottom w:val="none" w:sz="0" w:space="0" w:color="auto"/>
            <w:right w:val="none" w:sz="0" w:space="0" w:color="auto"/>
          </w:divBdr>
          <w:divsChild>
            <w:div w:id="42434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878862">
      <w:bodyDiv w:val="1"/>
      <w:marLeft w:val="0"/>
      <w:marRight w:val="0"/>
      <w:marTop w:val="0"/>
      <w:marBottom w:val="0"/>
      <w:divBdr>
        <w:top w:val="none" w:sz="0" w:space="0" w:color="auto"/>
        <w:left w:val="none" w:sz="0" w:space="0" w:color="auto"/>
        <w:bottom w:val="none" w:sz="0" w:space="0" w:color="auto"/>
        <w:right w:val="none" w:sz="0" w:space="0" w:color="auto"/>
      </w:divBdr>
      <w:divsChild>
        <w:div w:id="1751000920">
          <w:marLeft w:val="0"/>
          <w:marRight w:val="0"/>
          <w:marTop w:val="0"/>
          <w:marBottom w:val="0"/>
          <w:divBdr>
            <w:top w:val="none" w:sz="0" w:space="0" w:color="auto"/>
            <w:left w:val="none" w:sz="0" w:space="0" w:color="auto"/>
            <w:bottom w:val="none" w:sz="0" w:space="0" w:color="auto"/>
            <w:right w:val="none" w:sz="0" w:space="0" w:color="auto"/>
          </w:divBdr>
        </w:div>
        <w:div w:id="1963223410">
          <w:marLeft w:val="0"/>
          <w:marRight w:val="0"/>
          <w:marTop w:val="0"/>
          <w:marBottom w:val="0"/>
          <w:divBdr>
            <w:top w:val="none" w:sz="0" w:space="0" w:color="auto"/>
            <w:left w:val="none" w:sz="0" w:space="0" w:color="auto"/>
            <w:bottom w:val="none" w:sz="0" w:space="0" w:color="auto"/>
            <w:right w:val="none" w:sz="0" w:space="0" w:color="auto"/>
          </w:divBdr>
        </w:div>
      </w:divsChild>
    </w:div>
    <w:div w:id="1998344718">
      <w:bodyDiv w:val="1"/>
      <w:marLeft w:val="0"/>
      <w:marRight w:val="0"/>
      <w:marTop w:val="0"/>
      <w:marBottom w:val="0"/>
      <w:divBdr>
        <w:top w:val="none" w:sz="0" w:space="0" w:color="auto"/>
        <w:left w:val="none" w:sz="0" w:space="0" w:color="auto"/>
        <w:bottom w:val="none" w:sz="0" w:space="0" w:color="auto"/>
        <w:right w:val="none" w:sz="0" w:space="0" w:color="auto"/>
      </w:divBdr>
      <w:divsChild>
        <w:div w:id="78062621">
          <w:marLeft w:val="0"/>
          <w:marRight w:val="0"/>
          <w:marTop w:val="0"/>
          <w:marBottom w:val="0"/>
          <w:divBdr>
            <w:top w:val="single" w:sz="2" w:space="5" w:color="auto"/>
            <w:left w:val="single" w:sz="2" w:space="0" w:color="auto"/>
            <w:bottom w:val="single" w:sz="2" w:space="5" w:color="auto"/>
            <w:right w:val="single" w:sz="2" w:space="0" w:color="auto"/>
          </w:divBdr>
        </w:div>
        <w:div w:id="276301097">
          <w:marLeft w:val="0"/>
          <w:marRight w:val="0"/>
          <w:marTop w:val="0"/>
          <w:marBottom w:val="0"/>
          <w:divBdr>
            <w:top w:val="single" w:sz="2" w:space="0" w:color="auto"/>
            <w:left w:val="single" w:sz="2" w:space="0" w:color="auto"/>
            <w:bottom w:val="single" w:sz="2" w:space="0" w:color="auto"/>
            <w:right w:val="single" w:sz="2" w:space="0" w:color="auto"/>
          </w:divBdr>
        </w:div>
      </w:divsChild>
    </w:div>
    <w:div w:id="2004502929">
      <w:bodyDiv w:val="1"/>
      <w:marLeft w:val="0"/>
      <w:marRight w:val="0"/>
      <w:marTop w:val="0"/>
      <w:marBottom w:val="0"/>
      <w:divBdr>
        <w:top w:val="none" w:sz="0" w:space="0" w:color="auto"/>
        <w:left w:val="none" w:sz="0" w:space="0" w:color="auto"/>
        <w:bottom w:val="none" w:sz="0" w:space="0" w:color="auto"/>
        <w:right w:val="none" w:sz="0" w:space="0" w:color="auto"/>
      </w:divBdr>
    </w:div>
    <w:div w:id="2030988767">
      <w:bodyDiv w:val="1"/>
      <w:marLeft w:val="0"/>
      <w:marRight w:val="0"/>
      <w:marTop w:val="0"/>
      <w:marBottom w:val="0"/>
      <w:divBdr>
        <w:top w:val="none" w:sz="0" w:space="0" w:color="auto"/>
        <w:left w:val="none" w:sz="0" w:space="0" w:color="auto"/>
        <w:bottom w:val="none" w:sz="0" w:space="0" w:color="auto"/>
        <w:right w:val="none" w:sz="0" w:space="0" w:color="auto"/>
      </w:divBdr>
      <w:divsChild>
        <w:div w:id="1009989075">
          <w:marLeft w:val="0"/>
          <w:marRight w:val="0"/>
          <w:marTop w:val="75"/>
          <w:marBottom w:val="0"/>
          <w:divBdr>
            <w:top w:val="single" w:sz="2" w:space="0" w:color="auto"/>
            <w:left w:val="single" w:sz="2" w:space="0" w:color="auto"/>
            <w:bottom w:val="single" w:sz="2" w:space="0" w:color="auto"/>
            <w:right w:val="single" w:sz="2" w:space="0" w:color="auto"/>
          </w:divBdr>
        </w:div>
        <w:div w:id="1797795626">
          <w:marLeft w:val="0"/>
          <w:marRight w:val="0"/>
          <w:marTop w:val="0"/>
          <w:marBottom w:val="0"/>
          <w:divBdr>
            <w:top w:val="single" w:sz="2" w:space="0" w:color="auto"/>
            <w:left w:val="single" w:sz="2" w:space="0" w:color="auto"/>
            <w:bottom w:val="single" w:sz="2" w:space="0" w:color="auto"/>
            <w:right w:val="single" w:sz="2" w:space="0" w:color="auto"/>
          </w:divBdr>
        </w:div>
      </w:divsChild>
    </w:div>
    <w:div w:id="2033411728">
      <w:bodyDiv w:val="1"/>
      <w:marLeft w:val="0"/>
      <w:marRight w:val="0"/>
      <w:marTop w:val="0"/>
      <w:marBottom w:val="0"/>
      <w:divBdr>
        <w:top w:val="none" w:sz="0" w:space="0" w:color="auto"/>
        <w:left w:val="none" w:sz="0" w:space="0" w:color="auto"/>
        <w:bottom w:val="none" w:sz="0" w:space="0" w:color="auto"/>
        <w:right w:val="none" w:sz="0" w:space="0" w:color="auto"/>
      </w:divBdr>
    </w:div>
    <w:div w:id="2086563314">
      <w:bodyDiv w:val="1"/>
      <w:marLeft w:val="0"/>
      <w:marRight w:val="0"/>
      <w:marTop w:val="0"/>
      <w:marBottom w:val="0"/>
      <w:divBdr>
        <w:top w:val="none" w:sz="0" w:space="0" w:color="auto"/>
        <w:left w:val="none" w:sz="0" w:space="0" w:color="auto"/>
        <w:bottom w:val="none" w:sz="0" w:space="0" w:color="auto"/>
        <w:right w:val="none" w:sz="0" w:space="0" w:color="auto"/>
      </w:divBdr>
    </w:div>
    <w:div w:id="2100128458">
      <w:bodyDiv w:val="1"/>
      <w:marLeft w:val="0"/>
      <w:marRight w:val="0"/>
      <w:marTop w:val="0"/>
      <w:marBottom w:val="0"/>
      <w:divBdr>
        <w:top w:val="none" w:sz="0" w:space="0" w:color="auto"/>
        <w:left w:val="none" w:sz="0" w:space="0" w:color="auto"/>
        <w:bottom w:val="none" w:sz="0" w:space="0" w:color="auto"/>
        <w:right w:val="none" w:sz="0" w:space="0" w:color="auto"/>
      </w:divBdr>
    </w:div>
    <w:div w:id="2102943235">
      <w:bodyDiv w:val="1"/>
      <w:marLeft w:val="0"/>
      <w:marRight w:val="0"/>
      <w:marTop w:val="0"/>
      <w:marBottom w:val="0"/>
      <w:divBdr>
        <w:top w:val="none" w:sz="0" w:space="0" w:color="auto"/>
        <w:left w:val="none" w:sz="0" w:space="0" w:color="auto"/>
        <w:bottom w:val="none" w:sz="0" w:space="0" w:color="auto"/>
        <w:right w:val="none" w:sz="0" w:space="0" w:color="auto"/>
      </w:divBdr>
    </w:div>
    <w:div w:id="2112118205">
      <w:bodyDiv w:val="1"/>
      <w:marLeft w:val="0"/>
      <w:marRight w:val="0"/>
      <w:marTop w:val="0"/>
      <w:marBottom w:val="0"/>
      <w:divBdr>
        <w:top w:val="none" w:sz="0" w:space="0" w:color="auto"/>
        <w:left w:val="none" w:sz="0" w:space="0" w:color="auto"/>
        <w:bottom w:val="none" w:sz="0" w:space="0" w:color="auto"/>
        <w:right w:val="none" w:sz="0" w:space="0" w:color="auto"/>
      </w:divBdr>
    </w:div>
    <w:div w:id="2138453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ealth.gov.au/committees-and-groups/natural-therapies-review-expert-advisory-panel" TargetMode="External"/><Relationship Id="rId18" Type="http://schemas.openxmlformats.org/officeDocument/2006/relationships/diagramData" Target="diagrams/data1.xml"/><Relationship Id="rId26" Type="http://schemas.openxmlformats.org/officeDocument/2006/relationships/header" Target="header3.xml"/><Relationship Id="rId39" Type="http://schemas.openxmlformats.org/officeDocument/2006/relationships/hyperlink" Target="https://www.crd.york.ac.uk/prospero/display_record.php?ID=CRD42022373766" TargetMode="External"/><Relationship Id="rId21" Type="http://schemas.openxmlformats.org/officeDocument/2006/relationships/diagramColors" Target="diagrams/colors1.xml"/><Relationship Id="rId34" Type="http://schemas.openxmlformats.org/officeDocument/2006/relationships/hyperlink" Target="https://www.crd.york.ac.uk/prospero/display_record.php?ID=CRD42022314249" TargetMode="External"/><Relationship Id="rId42" Type="http://schemas.openxmlformats.org/officeDocument/2006/relationships/hyperlink" Target="https://doi.org/10.3389/fimmu.2023.1136343" TargetMode="External"/><Relationship Id="rId47" Type="http://schemas.openxmlformats.org/officeDocument/2006/relationships/hyperlink" Target="https://www.crd.york.ac.uk/prospero/display_record.php?ID=CRD42018089566" TargetMode="External"/><Relationship Id="rId50" Type="http://schemas.openxmlformats.org/officeDocument/2006/relationships/hyperlink" Target="https://www.crd.york.ac.uk/prospero/display_record.php?ID=CRD42022354101" TargetMode="External"/><Relationship Id="rId55" Type="http://schemas.openxmlformats.org/officeDocument/2006/relationships/hyperlink" Target="https://doi.org/10.1016/j.ajog.2016.11.792" TargetMode="External"/><Relationship Id="rId63" Type="http://schemas.openxmlformats.org/officeDocument/2006/relationships/hyperlink" Target="https://www.crd.york.ac.uk/prospero/display_record.php?ID=CRD42021261056" TargetMode="External"/><Relationship Id="rId68" Type="http://schemas.openxmlformats.org/officeDocument/2006/relationships/hyperlink" Target="https://www.crd.york.ac.uk/prospero/display_record.php?ID=CRD42020197189" TargetMode="External"/><Relationship Id="rId76" Type="http://schemas.openxmlformats.org/officeDocument/2006/relationships/hyperlink" Target="https://www.crd.york.ac.uk/prospero/display_record.php?ID=CRD42023388050" TargetMode="External"/><Relationship Id="rId84" Type="http://schemas.openxmlformats.org/officeDocument/2006/relationships/hyperlink" Target="https://www.crd.york.ac.uk/prospero/display_record.php?ID=CRD42021284560" TargetMode="External"/><Relationship Id="rId89"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s://www.crd.york.ac.uk/prospero/display_record.php?ID=CRD42020215333" TargetMode="External"/><Relationship Id="rId2" Type="http://schemas.openxmlformats.org/officeDocument/2006/relationships/customXml" Target="../customXml/item2.xml"/><Relationship Id="rId16" Type="http://schemas.openxmlformats.org/officeDocument/2006/relationships/hyperlink" Target="http://www.covidence.org/" TargetMode="External"/><Relationship Id="rId29" Type="http://schemas.openxmlformats.org/officeDocument/2006/relationships/hyperlink" Target="https://www.ncbi.nlm.nih.gov/books/n/hscompeffcollect/" TargetMode="External"/><Relationship Id="rId11" Type="http://schemas.openxmlformats.org/officeDocument/2006/relationships/image" Target="media/image1.jpeg"/><Relationship Id="rId24" Type="http://schemas.openxmlformats.org/officeDocument/2006/relationships/header" Target="header2.xml"/><Relationship Id="rId32" Type="http://schemas.openxmlformats.org/officeDocument/2006/relationships/hyperlink" Target="https://www.crd.york.ac.uk/prospero/display_record.php?ID=CRD42018108040" TargetMode="External"/><Relationship Id="rId37" Type="http://schemas.openxmlformats.org/officeDocument/2006/relationships/hyperlink" Target="https://www.crd.york.ac.uk/prospero/display_record.php?ID=CRD42023387351" TargetMode="External"/><Relationship Id="rId40" Type="http://schemas.openxmlformats.org/officeDocument/2006/relationships/hyperlink" Target="https://www.crd.york.ac.uk/prospero/display_record.php?ID=CRD42019127391" TargetMode="External"/><Relationship Id="rId45" Type="http://schemas.openxmlformats.org/officeDocument/2006/relationships/hyperlink" Target="https://www.crd.york.ac.uk/prospero/display_record.php?ID=CRD42013004439" TargetMode="External"/><Relationship Id="rId53" Type="http://schemas.openxmlformats.org/officeDocument/2006/relationships/hyperlink" Target="https://www.crd.york.ac.uk/prospero/display_record.php?ID=CRD42018090915" TargetMode="External"/><Relationship Id="rId58" Type="http://schemas.openxmlformats.org/officeDocument/2006/relationships/hyperlink" Target="https://www.crd.york.ac.uk/prospero/display_record.php?ID=CRD42022372178" TargetMode="External"/><Relationship Id="rId66" Type="http://schemas.openxmlformats.org/officeDocument/2006/relationships/hyperlink" Target="https://www.crd.york.ac.uk/prospero/display_record.php?ID=CRD42021284814" TargetMode="External"/><Relationship Id="rId74" Type="http://schemas.openxmlformats.org/officeDocument/2006/relationships/hyperlink" Target="https://www.crd.york.ac.uk/prospero/display_record.php?ID=CRD42021270615" TargetMode="External"/><Relationship Id="rId79" Type="http://schemas.openxmlformats.org/officeDocument/2006/relationships/hyperlink" Target="https://www.crd.york.ac.uk/prospero/display_record.php?ID=CRD42023417473" TargetMode="External"/><Relationship Id="rId87" Type="http://schemas.openxmlformats.org/officeDocument/2006/relationships/hyperlink" Target="https://doi.org/10.1080/07315724.1989.10720312" TargetMode="External"/><Relationship Id="rId5" Type="http://schemas.openxmlformats.org/officeDocument/2006/relationships/numbering" Target="numbering.xml"/><Relationship Id="rId61" Type="http://schemas.openxmlformats.org/officeDocument/2006/relationships/hyperlink" Target="https://www.crd.york.ac.uk/prospero/display_record.php?ID=CRD42020211872" TargetMode="External"/><Relationship Id="rId82" Type="http://schemas.openxmlformats.org/officeDocument/2006/relationships/hyperlink" Target="https://www.crd.york.ac.uk/prospero/display_record.php?ID=CRD42023405471" TargetMode="Externa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hmrc.gov.au/about-us/leadership-and-governance/committees/natural-therapies-working-committee" TargetMode="External"/><Relationship Id="rId22" Type="http://schemas.microsoft.com/office/2007/relationships/diagramDrawing" Target="diagrams/drawing1.xml"/><Relationship Id="rId27" Type="http://schemas.openxmlformats.org/officeDocument/2006/relationships/hyperlink" Target="https://www.ncbi.nlm.nih.gov/pmc/articles/PMC10583081/" TargetMode="External"/><Relationship Id="rId30" Type="http://schemas.openxmlformats.org/officeDocument/2006/relationships/hyperlink" Target="https://bmccancer.biomedcentral.com/" TargetMode="External"/><Relationship Id="rId35" Type="http://schemas.openxmlformats.org/officeDocument/2006/relationships/hyperlink" Target="https://www.crd.york.ac.uk/prospero/display_record.php?ID=CRD42022334442" TargetMode="External"/><Relationship Id="rId43" Type="http://schemas.openxmlformats.org/officeDocument/2006/relationships/hyperlink" Target="https://www.crd.york.ac.uk/prospero/display_record.php?ID=CRD42020147113" TargetMode="External"/><Relationship Id="rId48" Type="http://schemas.openxmlformats.org/officeDocument/2006/relationships/hyperlink" Target="https://www.crd.york.ac.uk/prospero/display_record.php?ID=CRD42018092042" TargetMode="External"/><Relationship Id="rId56" Type="http://schemas.openxmlformats.org/officeDocument/2006/relationships/hyperlink" Target="https://www.crd.york.ac.uk/prospero/display_record.php?ID=CRD42020168416" TargetMode="External"/><Relationship Id="rId64" Type="http://schemas.openxmlformats.org/officeDocument/2006/relationships/hyperlink" Target="https://www.crd.york.ac.uk/prospero/display_record.php?ID=CRD42021242640" TargetMode="External"/><Relationship Id="rId69" Type="http://schemas.openxmlformats.org/officeDocument/2006/relationships/hyperlink" Target="https://www.crd.york.ac.uk/prospero/display_record.php?ID=CRD42018103284" TargetMode="External"/><Relationship Id="rId77" Type="http://schemas.openxmlformats.org/officeDocument/2006/relationships/hyperlink" Target="https://www.crd.york.ac.uk/prospero/display_record.php?ID=CRD42018081367" TargetMode="External"/><Relationship Id="rId8" Type="http://schemas.openxmlformats.org/officeDocument/2006/relationships/webSettings" Target="webSettings.xml"/><Relationship Id="rId51" Type="http://schemas.openxmlformats.org/officeDocument/2006/relationships/hyperlink" Target="https://www.crd.york.ac.uk/prospero/display_record.php?ID=CRD42015020481" TargetMode="External"/><Relationship Id="rId72" Type="http://schemas.openxmlformats.org/officeDocument/2006/relationships/hyperlink" Target="https://www.crd.york.ac.uk/prospero/display_record.php?ID=CRD42020151893" TargetMode="External"/><Relationship Id="rId80" Type="http://schemas.openxmlformats.org/officeDocument/2006/relationships/hyperlink" Target="https://www.crd.york.ac.uk/prospero/display_record.php?ID=CRD42018088479" TargetMode="External"/><Relationship Id="rId85" Type="http://schemas.openxmlformats.org/officeDocument/2006/relationships/hyperlink" Target="https://www.crd.york.ac.uk/prospero/display_record.php?ID=CRD42022313682" TargetMode="External"/><Relationship Id="rId3" Type="http://schemas.openxmlformats.org/officeDocument/2006/relationships/customXml" Target="../customXml/item3.xml"/><Relationship Id="rId12" Type="http://schemas.openxmlformats.org/officeDocument/2006/relationships/hyperlink" Target="mailto:communications@nhmrc.gov.au" TargetMode="External"/><Relationship Id="rId17" Type="http://schemas.openxmlformats.org/officeDocument/2006/relationships/hyperlink" Target="https://gradepro.org" TargetMode="External"/><Relationship Id="rId25" Type="http://schemas.openxmlformats.org/officeDocument/2006/relationships/footer" Target="footer1.xml"/><Relationship Id="rId33" Type="http://schemas.openxmlformats.org/officeDocument/2006/relationships/hyperlink" Target="https://www.crd.york.ac.uk/prospero/display_record.php?ID=CRD42023392814" TargetMode="External"/><Relationship Id="rId38" Type="http://schemas.openxmlformats.org/officeDocument/2006/relationships/hyperlink" Target="https://www.crd.york.ac.uk/prospero/display_record.php?ID=CRD42021242937" TargetMode="External"/><Relationship Id="rId46" Type="http://schemas.openxmlformats.org/officeDocument/2006/relationships/hyperlink" Target="https://www.crd.york.ac.uk/prospero/display_record.php?ID=CRD42018089566" TargetMode="External"/><Relationship Id="rId59" Type="http://schemas.openxmlformats.org/officeDocument/2006/relationships/hyperlink" Target="https://doi.org/10.1080/10408398.2023.2212817" TargetMode="External"/><Relationship Id="rId67" Type="http://schemas.openxmlformats.org/officeDocument/2006/relationships/hyperlink" Target="https://www.crd.york.ac.uk/prospero/display_record.php?ID=CRD42022314485" TargetMode="External"/><Relationship Id="rId20" Type="http://schemas.openxmlformats.org/officeDocument/2006/relationships/diagramQuickStyle" Target="diagrams/quickStyle1.xml"/><Relationship Id="rId41" Type="http://schemas.openxmlformats.org/officeDocument/2006/relationships/hyperlink" Target="https://www.crd.york.ac.uk/prospero/display_record.php?ID=CRD42021289422" TargetMode="External"/><Relationship Id="rId54" Type="http://schemas.openxmlformats.org/officeDocument/2006/relationships/hyperlink" Target="https://www.crd.york.ac.uk/prospero/display_record.php?ID=CRD42016043584" TargetMode="External"/><Relationship Id="rId62" Type="http://schemas.openxmlformats.org/officeDocument/2006/relationships/hyperlink" Target="https://www.crd.york.ac.uk/prospero/display_record.php?ID=CRD42021266262" TargetMode="External"/><Relationship Id="rId70" Type="http://schemas.openxmlformats.org/officeDocument/2006/relationships/hyperlink" Target="https://doi.org/10.1213/ane.0000000000004673" TargetMode="External"/><Relationship Id="rId75" Type="http://schemas.openxmlformats.org/officeDocument/2006/relationships/hyperlink" Target="https://www.crd.york.ac.uk/prospero/display_record.php?ID=CRD42020222530" TargetMode="External"/><Relationship Id="rId83" Type="http://schemas.openxmlformats.org/officeDocument/2006/relationships/hyperlink" Target="https://www.crd.york.ac.uk/prospero/display_record.php?ID=CRD42023397877"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endnote.com/" TargetMode="External"/><Relationship Id="rId23" Type="http://schemas.openxmlformats.org/officeDocument/2006/relationships/header" Target="header1.xml"/><Relationship Id="rId28" Type="http://schemas.openxmlformats.org/officeDocument/2006/relationships/hyperlink" Target="https://www.ncbi.nlm.nih.gov/pmc/articles/PMC6785755/" TargetMode="External"/><Relationship Id="rId36" Type="http://schemas.openxmlformats.org/officeDocument/2006/relationships/hyperlink" Target="https://www.crd.york.ac.uk/prospero/display_record.php?ID=CRD42021258186" TargetMode="External"/><Relationship Id="rId49" Type="http://schemas.openxmlformats.org/officeDocument/2006/relationships/hyperlink" Target="https://doi.org/10.1007%2Fs12011-023-03690-4" TargetMode="External"/><Relationship Id="rId57" Type="http://schemas.openxmlformats.org/officeDocument/2006/relationships/hyperlink" Target="https://www.crd.york.ac.uk/prospero/display_record.php?ID=CRD42017072569" TargetMode="External"/><Relationship Id="rId10" Type="http://schemas.openxmlformats.org/officeDocument/2006/relationships/endnotes" Target="endnotes.xml"/><Relationship Id="rId31" Type="http://schemas.openxmlformats.org/officeDocument/2006/relationships/hyperlink" Target="https://www.crd.york.ac.uk/prospero/display_record.php?ID=CRD42022382414" TargetMode="External"/><Relationship Id="rId44" Type="http://schemas.openxmlformats.org/officeDocument/2006/relationships/hyperlink" Target="https://www.crd.york.ac.uk/prospero/display_record.php?ID=CRD42023408698" TargetMode="External"/><Relationship Id="rId52" Type="http://schemas.openxmlformats.org/officeDocument/2006/relationships/hyperlink" Target="https://doi.org/10.1002/14651858.CD011353.pub2" TargetMode="External"/><Relationship Id="rId60" Type="http://schemas.openxmlformats.org/officeDocument/2006/relationships/hyperlink" Target="https://www.crd.york.ac.uk/prospero/display_record.php?ID=CRD42023423045" TargetMode="External"/><Relationship Id="rId65" Type="http://schemas.openxmlformats.org/officeDocument/2006/relationships/hyperlink" Target="https://www.crd.york.ac.uk/prospero/display_record.php?ID=CRD42022328633" TargetMode="External"/><Relationship Id="rId73" Type="http://schemas.openxmlformats.org/officeDocument/2006/relationships/hyperlink" Target="https://www.crd.york.ac.uk/prospero/display_record.php?ID=CRD42023424345" TargetMode="External"/><Relationship Id="rId78" Type="http://schemas.openxmlformats.org/officeDocument/2006/relationships/hyperlink" Target="https://www.crd.york.ac.uk/prospero/display_record.php?ID=CRD42017063940" TargetMode="External"/><Relationship Id="rId81" Type="http://schemas.openxmlformats.org/officeDocument/2006/relationships/hyperlink" Target="https://www.crd.york.ac.uk/prospero/display_record.php?ID=CRD42020156632" TargetMode="External"/><Relationship Id="rId86" Type="http://schemas.openxmlformats.org/officeDocument/2006/relationships/hyperlink" Target="http://cjns.metapress.com/content/b8311210p2528qt4/?p=4bc8b3cf0a404edfae1649923cd403a5&amp;pi=0"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4C9647E-2F48-4401-A4EB-71C345867CCF}"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en-US"/>
        </a:p>
      </dgm:t>
    </dgm:pt>
    <dgm:pt modelId="{0351B4D1-F886-4F5F-A916-ECCA1F4435E0}">
      <dgm:prSet phldrT="[Text]" custT="1"/>
      <dgm:spPr/>
      <dgm:t>
        <a:bodyPr/>
        <a:lstStyle/>
        <a:p>
          <a:r>
            <a:rPr lang="en-US" sz="800"/>
            <a:t>1. Included studies identified</a:t>
          </a:r>
        </a:p>
      </dgm:t>
    </dgm:pt>
    <dgm:pt modelId="{69801E98-EA24-4209-B9F3-A0DFBF3A6AD2}" type="parTrans" cxnId="{6B5433B2-8143-4198-8181-0500755DDE48}">
      <dgm:prSet/>
      <dgm:spPr/>
      <dgm:t>
        <a:bodyPr/>
        <a:lstStyle/>
        <a:p>
          <a:endParaRPr lang="en-US" sz="800"/>
        </a:p>
      </dgm:t>
    </dgm:pt>
    <dgm:pt modelId="{638DDB1C-D485-4FC8-BF91-0F3608F34732}" type="sibTrans" cxnId="{6B5433B2-8143-4198-8181-0500755DDE48}">
      <dgm:prSet/>
      <dgm:spPr/>
      <dgm:t>
        <a:bodyPr/>
        <a:lstStyle/>
        <a:p>
          <a:endParaRPr lang="en-US" sz="800"/>
        </a:p>
      </dgm:t>
    </dgm:pt>
    <dgm:pt modelId="{43F71A4A-9647-477F-AB39-DC0BADC43D48}">
      <dgm:prSet phldrT="[Text]" custT="1"/>
      <dgm:spPr/>
      <dgm:t>
        <a:bodyPr/>
        <a:lstStyle/>
        <a:p>
          <a:r>
            <a:rPr lang="en-US" sz="800"/>
            <a:t>Reviewers conduct searches</a:t>
          </a:r>
        </a:p>
      </dgm:t>
    </dgm:pt>
    <dgm:pt modelId="{76B5C51B-7134-4C76-8C2A-6CF7EB0E6F96}" type="parTrans" cxnId="{768A7280-5FAC-4AD3-BD7A-3654B5B1ED68}">
      <dgm:prSet/>
      <dgm:spPr/>
      <dgm:t>
        <a:bodyPr/>
        <a:lstStyle/>
        <a:p>
          <a:endParaRPr lang="en-US" sz="800"/>
        </a:p>
      </dgm:t>
    </dgm:pt>
    <dgm:pt modelId="{F9739B42-7D06-48B6-87C3-77581B42F129}" type="sibTrans" cxnId="{768A7280-5FAC-4AD3-BD7A-3654B5B1ED68}">
      <dgm:prSet/>
      <dgm:spPr/>
      <dgm:t>
        <a:bodyPr/>
        <a:lstStyle/>
        <a:p>
          <a:endParaRPr lang="en-US" sz="800"/>
        </a:p>
      </dgm:t>
    </dgm:pt>
    <dgm:pt modelId="{38405E91-4B4A-40DA-B2A7-AC66D791E945}">
      <dgm:prSet phldrT="[Text]" custT="1"/>
      <dgm:spPr/>
      <dgm:t>
        <a:bodyPr/>
        <a:lstStyle/>
        <a:p>
          <a:r>
            <a:rPr lang="en-US" sz="800"/>
            <a:t>2. Populations and outcome domains listed</a:t>
          </a:r>
        </a:p>
      </dgm:t>
    </dgm:pt>
    <dgm:pt modelId="{ABE76246-7D36-4F48-9CDC-0290E903B0EE}" type="parTrans" cxnId="{9757378B-C8A9-4751-A659-6A333DD253ED}">
      <dgm:prSet/>
      <dgm:spPr/>
      <dgm:t>
        <a:bodyPr/>
        <a:lstStyle/>
        <a:p>
          <a:endParaRPr lang="en-US" sz="800"/>
        </a:p>
      </dgm:t>
    </dgm:pt>
    <dgm:pt modelId="{270C251B-23FA-48CF-971C-CF67C31BD3ED}" type="sibTrans" cxnId="{9757378B-C8A9-4751-A659-6A333DD253ED}">
      <dgm:prSet/>
      <dgm:spPr/>
      <dgm:t>
        <a:bodyPr/>
        <a:lstStyle/>
        <a:p>
          <a:endParaRPr lang="en-US" sz="800"/>
        </a:p>
      </dgm:t>
    </dgm:pt>
    <dgm:pt modelId="{07C27182-F7BE-4D0E-BDB0-AB30E09C0C1D}">
      <dgm:prSet phldrT="[Text]" custT="1"/>
      <dgm:spPr/>
      <dgm:t>
        <a:bodyPr/>
        <a:lstStyle/>
        <a:p>
          <a:r>
            <a:rPr lang="en-US" sz="800"/>
            <a:t>Reviewers identify populations from included studies</a:t>
          </a:r>
        </a:p>
      </dgm:t>
    </dgm:pt>
    <dgm:pt modelId="{F9ACF7BF-C3F0-4A76-83D6-C5E45D86EE22}" type="parTrans" cxnId="{274464D7-12D3-465D-98B3-78A25E367348}">
      <dgm:prSet/>
      <dgm:spPr/>
      <dgm:t>
        <a:bodyPr/>
        <a:lstStyle/>
        <a:p>
          <a:endParaRPr lang="en-US" sz="800"/>
        </a:p>
      </dgm:t>
    </dgm:pt>
    <dgm:pt modelId="{6447CE3E-2686-4569-9A5B-C5BB9F13F688}" type="sibTrans" cxnId="{274464D7-12D3-465D-98B3-78A25E367348}">
      <dgm:prSet/>
      <dgm:spPr/>
      <dgm:t>
        <a:bodyPr/>
        <a:lstStyle/>
        <a:p>
          <a:endParaRPr lang="en-US" sz="800"/>
        </a:p>
      </dgm:t>
    </dgm:pt>
    <dgm:pt modelId="{238F3349-015B-42BE-A541-A7ABC11F196B}">
      <dgm:prSet phldrT="[Text]" custT="1"/>
      <dgm:spPr/>
      <dgm:t>
        <a:bodyPr/>
        <a:lstStyle/>
        <a:p>
          <a:r>
            <a:rPr lang="en-US" sz="800"/>
            <a:t>3. Outcome domains prioritised</a:t>
          </a:r>
        </a:p>
      </dgm:t>
    </dgm:pt>
    <dgm:pt modelId="{4A46ADB0-2F80-4B43-B8E9-46194209F72C}" type="parTrans" cxnId="{A83D9414-B415-4D30-A0A0-1959CDC83971}">
      <dgm:prSet/>
      <dgm:spPr/>
      <dgm:t>
        <a:bodyPr/>
        <a:lstStyle/>
        <a:p>
          <a:endParaRPr lang="en-US" sz="800"/>
        </a:p>
      </dgm:t>
    </dgm:pt>
    <dgm:pt modelId="{181E3741-7516-4B26-BB49-58D2A1D79555}" type="sibTrans" cxnId="{A83D9414-B415-4D30-A0A0-1959CDC83971}">
      <dgm:prSet/>
      <dgm:spPr/>
      <dgm:t>
        <a:bodyPr/>
        <a:lstStyle/>
        <a:p>
          <a:endParaRPr lang="en-US" sz="800"/>
        </a:p>
      </dgm:t>
    </dgm:pt>
    <dgm:pt modelId="{340092FC-A839-469D-B4D7-5520CCE6A26E}">
      <dgm:prSet phldrT="[Text]" custT="1"/>
      <dgm:spPr/>
      <dgm:t>
        <a:bodyPr/>
        <a:lstStyle/>
        <a:p>
          <a:r>
            <a:rPr lang="en-US" sz="800"/>
            <a:t>NTWC considers all potentially relevant outcome domains and identifies those most relevant to decision-making</a:t>
          </a:r>
        </a:p>
      </dgm:t>
    </dgm:pt>
    <dgm:pt modelId="{F7BE4921-BE55-44EB-9A7A-B52D6FC5DA96}" type="parTrans" cxnId="{86A4AA31-2EA9-49F7-95BF-3FD8B33E9F01}">
      <dgm:prSet/>
      <dgm:spPr/>
      <dgm:t>
        <a:bodyPr/>
        <a:lstStyle/>
        <a:p>
          <a:endParaRPr lang="en-US" sz="800"/>
        </a:p>
      </dgm:t>
    </dgm:pt>
    <dgm:pt modelId="{BFFE359A-3211-4521-99C4-0A8541AF81FF}" type="sibTrans" cxnId="{86A4AA31-2EA9-49F7-95BF-3FD8B33E9F01}">
      <dgm:prSet/>
      <dgm:spPr/>
      <dgm:t>
        <a:bodyPr/>
        <a:lstStyle/>
        <a:p>
          <a:endParaRPr lang="en-US" sz="800"/>
        </a:p>
      </dgm:t>
    </dgm:pt>
    <dgm:pt modelId="{0A3B19E8-01FF-4AE2-B72C-141C6D7B4F89}">
      <dgm:prSet custT="1"/>
      <dgm:spPr/>
      <dgm:t>
        <a:bodyPr/>
        <a:lstStyle/>
        <a:p>
          <a:r>
            <a:rPr lang="en-US" sz="800"/>
            <a:t>4. Outcome measures selected</a:t>
          </a:r>
        </a:p>
      </dgm:t>
    </dgm:pt>
    <dgm:pt modelId="{BB6F58BE-F8AE-463D-AE8D-B4031067D130}" type="parTrans" cxnId="{575EEB55-B2CC-4B52-BEB3-7F2DD6457FD9}">
      <dgm:prSet/>
      <dgm:spPr/>
      <dgm:t>
        <a:bodyPr/>
        <a:lstStyle/>
        <a:p>
          <a:endParaRPr lang="en-US" sz="800"/>
        </a:p>
      </dgm:t>
    </dgm:pt>
    <dgm:pt modelId="{E74F7369-F10E-4334-996E-B1B842ADBE1B}" type="sibTrans" cxnId="{575EEB55-B2CC-4B52-BEB3-7F2DD6457FD9}">
      <dgm:prSet/>
      <dgm:spPr/>
      <dgm:t>
        <a:bodyPr/>
        <a:lstStyle/>
        <a:p>
          <a:endParaRPr lang="en-US" sz="800"/>
        </a:p>
      </dgm:t>
    </dgm:pt>
    <dgm:pt modelId="{FF999DEF-7A62-46E3-B10D-1A00ABEE30D3}">
      <dgm:prSet phldrT="[Text]" custT="1"/>
      <dgm:spPr/>
      <dgm:t>
        <a:bodyPr/>
        <a:lstStyle/>
        <a:p>
          <a:r>
            <a:rPr lang="en-US" sz="800"/>
            <a:t>Additional potentially relevant outcome domains added to spreadsheet based on domains rated as important by Core Outcome Sets and Cochrane reviews</a:t>
          </a:r>
        </a:p>
      </dgm:t>
    </dgm:pt>
    <dgm:pt modelId="{B46A2761-2136-45C2-9D84-CF164D292678}" type="parTrans" cxnId="{AC28F519-8F8D-4FB4-85BC-7164DABD9769}">
      <dgm:prSet/>
      <dgm:spPr/>
      <dgm:t>
        <a:bodyPr/>
        <a:lstStyle/>
        <a:p>
          <a:endParaRPr lang="en-US" sz="800"/>
        </a:p>
      </dgm:t>
    </dgm:pt>
    <dgm:pt modelId="{5EC41B7F-7389-41D1-B55B-006E71653159}" type="sibTrans" cxnId="{AC28F519-8F8D-4FB4-85BC-7164DABD9769}">
      <dgm:prSet/>
      <dgm:spPr/>
      <dgm:t>
        <a:bodyPr/>
        <a:lstStyle/>
        <a:p>
          <a:endParaRPr lang="en-US" sz="800"/>
        </a:p>
      </dgm:t>
    </dgm:pt>
    <dgm:pt modelId="{9A5DF821-22FA-464F-A1F4-46142B9D7FDE}">
      <dgm:prSet custT="1"/>
      <dgm:spPr/>
      <dgm:t>
        <a:bodyPr/>
        <a:lstStyle/>
        <a:p>
          <a:r>
            <a:rPr lang="en-US" sz="800"/>
            <a:t>NTWC receives a list of all potentially relevant outcome measures within each of the prioritised domains</a:t>
          </a:r>
        </a:p>
      </dgm:t>
    </dgm:pt>
    <dgm:pt modelId="{0D3C88A6-5A41-42B1-ACA2-6C389164ABCD}" type="parTrans" cxnId="{15A19718-4737-4DF9-A518-3B6D0F07398F}">
      <dgm:prSet/>
      <dgm:spPr/>
      <dgm:t>
        <a:bodyPr/>
        <a:lstStyle/>
        <a:p>
          <a:endParaRPr lang="en-US" sz="800"/>
        </a:p>
      </dgm:t>
    </dgm:pt>
    <dgm:pt modelId="{5CA17B99-5189-4F91-8259-CE45F7648579}" type="sibTrans" cxnId="{15A19718-4737-4DF9-A518-3B6D0F07398F}">
      <dgm:prSet/>
      <dgm:spPr/>
      <dgm:t>
        <a:bodyPr/>
        <a:lstStyle/>
        <a:p>
          <a:endParaRPr lang="en-US" sz="800"/>
        </a:p>
      </dgm:t>
    </dgm:pt>
    <dgm:pt modelId="{474049A7-1CEB-4DC7-99AC-DA02CD325FE1}">
      <dgm:prSet phldrT="[Text]" custT="1"/>
      <dgm:spPr/>
      <dgm:t>
        <a:bodyPr/>
        <a:lstStyle/>
        <a:p>
          <a:r>
            <a:rPr lang="en-US" sz="800"/>
            <a:t>Identify eligible studies to be included in the review</a:t>
          </a:r>
        </a:p>
      </dgm:t>
    </dgm:pt>
    <dgm:pt modelId="{15E07D7D-D6B9-4E21-8F01-DA27E146538D}" type="parTrans" cxnId="{362DE2BE-A1AD-4108-8BAD-5939998EE651}">
      <dgm:prSet/>
      <dgm:spPr/>
      <dgm:t>
        <a:bodyPr/>
        <a:lstStyle/>
        <a:p>
          <a:endParaRPr lang="en-US" sz="800"/>
        </a:p>
      </dgm:t>
    </dgm:pt>
    <dgm:pt modelId="{767E2FD5-B6AB-4F8F-BA20-FAA293B4F5BA}" type="sibTrans" cxnId="{362DE2BE-A1AD-4108-8BAD-5939998EE651}">
      <dgm:prSet/>
      <dgm:spPr/>
      <dgm:t>
        <a:bodyPr/>
        <a:lstStyle/>
        <a:p>
          <a:endParaRPr lang="en-US" sz="800"/>
        </a:p>
      </dgm:t>
    </dgm:pt>
    <dgm:pt modelId="{6360CAC9-9267-4B75-B553-022CF12A15FB}">
      <dgm:prSet phldrT="[Text]" custT="1"/>
      <dgm:spPr/>
      <dgm:t>
        <a:bodyPr/>
        <a:lstStyle/>
        <a:p>
          <a:endParaRPr lang="en-US" sz="800"/>
        </a:p>
      </dgm:t>
    </dgm:pt>
    <dgm:pt modelId="{6369BE9A-973B-4DAE-99F7-C0BCB1527FD8}" type="parTrans" cxnId="{DF81C51D-448C-4BB6-8C7F-B7ED0E356F96}">
      <dgm:prSet/>
      <dgm:spPr/>
      <dgm:t>
        <a:bodyPr/>
        <a:lstStyle/>
        <a:p>
          <a:endParaRPr lang="en-US" sz="800"/>
        </a:p>
      </dgm:t>
    </dgm:pt>
    <dgm:pt modelId="{2B0C70FC-D911-4462-BD5C-DB36976277EB}" type="sibTrans" cxnId="{DF81C51D-448C-4BB6-8C7F-B7ED0E356F96}">
      <dgm:prSet/>
      <dgm:spPr/>
      <dgm:t>
        <a:bodyPr/>
        <a:lstStyle/>
        <a:p>
          <a:endParaRPr lang="en-US" sz="800"/>
        </a:p>
      </dgm:t>
    </dgm:pt>
    <dgm:pt modelId="{99C741E8-8F03-4A9B-AD60-5C3BBC274386}">
      <dgm:prSet phldrT="[Text]" custT="1"/>
      <dgm:spPr/>
      <dgm:t>
        <a:bodyPr/>
        <a:lstStyle/>
        <a:p>
          <a:r>
            <a:rPr lang="en-US" sz="800"/>
            <a:t>Populations listed in spreadsheet (using ICD-11 classification) along with the outcome domains reported in the included studies</a:t>
          </a:r>
        </a:p>
      </dgm:t>
    </dgm:pt>
    <dgm:pt modelId="{A3D6B658-067A-4F00-AAE5-70A01C46211B}" type="parTrans" cxnId="{632AB130-301E-492E-8BB3-159E11EFC953}">
      <dgm:prSet/>
      <dgm:spPr/>
      <dgm:t>
        <a:bodyPr/>
        <a:lstStyle/>
        <a:p>
          <a:endParaRPr lang="en-US" sz="800"/>
        </a:p>
      </dgm:t>
    </dgm:pt>
    <dgm:pt modelId="{8FDAD76F-894F-4E32-8C62-25FDC6F89F47}" type="sibTrans" cxnId="{632AB130-301E-492E-8BB3-159E11EFC953}">
      <dgm:prSet/>
      <dgm:spPr/>
      <dgm:t>
        <a:bodyPr/>
        <a:lstStyle/>
        <a:p>
          <a:endParaRPr lang="en-US" sz="800"/>
        </a:p>
      </dgm:t>
    </dgm:pt>
    <dgm:pt modelId="{1891286D-78E4-4082-8DAC-C4B2E981C18D}">
      <dgm:prSet phldrT="[Text]" custT="1"/>
      <dgm:spPr/>
      <dgm:t>
        <a:bodyPr/>
        <a:lstStyle/>
        <a:p>
          <a:r>
            <a:rPr lang="en-US" sz="800"/>
            <a:t>Final result is a comprehensive, blinded list of all included populations and potentially relevant outcome domains (irrespective of whether those outcomes are actually measured by the included studies)</a:t>
          </a:r>
        </a:p>
      </dgm:t>
    </dgm:pt>
    <dgm:pt modelId="{12A1BC7C-F737-4AAE-A5DD-AD661BD8CF46}" type="parTrans" cxnId="{9661E1DA-D081-4131-8C7D-D6DBB20FD7D5}">
      <dgm:prSet/>
      <dgm:spPr/>
      <dgm:t>
        <a:bodyPr/>
        <a:lstStyle/>
        <a:p>
          <a:endParaRPr lang="en-US" sz="800"/>
        </a:p>
      </dgm:t>
    </dgm:pt>
    <dgm:pt modelId="{E1066A03-83AE-448E-A909-8A80995607D3}" type="sibTrans" cxnId="{9661E1DA-D081-4131-8C7D-D6DBB20FD7D5}">
      <dgm:prSet/>
      <dgm:spPr/>
      <dgm:t>
        <a:bodyPr/>
        <a:lstStyle/>
        <a:p>
          <a:endParaRPr lang="en-US" sz="800"/>
        </a:p>
      </dgm:t>
    </dgm:pt>
    <dgm:pt modelId="{35B5779B-3573-4749-A224-C096E095673B}">
      <dgm:prSet phldrT="[Text]" custT="1"/>
      <dgm:spPr/>
      <dgm:t>
        <a:bodyPr/>
        <a:lstStyle/>
        <a:p>
          <a:r>
            <a:rPr lang="en-US" sz="800"/>
            <a:t>Up to 7 priority outcome domains identified per population</a:t>
          </a:r>
        </a:p>
      </dgm:t>
    </dgm:pt>
    <dgm:pt modelId="{ACB36001-F044-4755-9936-93166FA14910}" type="parTrans" cxnId="{8B1FD481-BBF8-4D5A-87B4-6B3ACF0DB4F6}">
      <dgm:prSet/>
      <dgm:spPr/>
      <dgm:t>
        <a:bodyPr/>
        <a:lstStyle/>
        <a:p>
          <a:endParaRPr lang="en-US" sz="800"/>
        </a:p>
      </dgm:t>
    </dgm:pt>
    <dgm:pt modelId="{47C57D92-BD44-4124-A968-E7926E5F98AC}" type="sibTrans" cxnId="{8B1FD481-BBF8-4D5A-87B4-6B3ACF0DB4F6}">
      <dgm:prSet/>
      <dgm:spPr/>
      <dgm:t>
        <a:bodyPr/>
        <a:lstStyle/>
        <a:p>
          <a:endParaRPr lang="en-US" sz="800"/>
        </a:p>
      </dgm:t>
    </dgm:pt>
    <dgm:pt modelId="{DE5E6CCE-D2FE-4184-8FA3-DADDFDB3771A}">
      <dgm:prSet custT="1"/>
      <dgm:spPr/>
      <dgm:t>
        <a:bodyPr/>
        <a:lstStyle/>
        <a:p>
          <a:r>
            <a:rPr lang="en-US" sz="800"/>
            <a:t>Only those measures reported within included studies are included in the spreadsheet. </a:t>
          </a:r>
        </a:p>
      </dgm:t>
    </dgm:pt>
    <dgm:pt modelId="{B4396307-ACF1-48B1-A29D-1552171F250E}" type="parTrans" cxnId="{8459EE89-9E97-4158-818E-23487DB7E1D5}">
      <dgm:prSet/>
      <dgm:spPr/>
      <dgm:t>
        <a:bodyPr/>
        <a:lstStyle/>
        <a:p>
          <a:endParaRPr lang="en-US" sz="800"/>
        </a:p>
      </dgm:t>
    </dgm:pt>
    <dgm:pt modelId="{D03696FC-0484-41DD-934A-3F2B7364C4F1}" type="sibTrans" cxnId="{8459EE89-9E97-4158-818E-23487DB7E1D5}">
      <dgm:prSet/>
      <dgm:spPr/>
      <dgm:t>
        <a:bodyPr/>
        <a:lstStyle/>
        <a:p>
          <a:endParaRPr lang="en-US" sz="800"/>
        </a:p>
      </dgm:t>
    </dgm:pt>
    <dgm:pt modelId="{4FC8D5AE-E8C3-4E1B-9BB4-AEA5E0CA12F5}">
      <dgm:prSet custT="1"/>
      <dgm:spPr/>
      <dgm:t>
        <a:bodyPr/>
        <a:lstStyle/>
        <a:p>
          <a:r>
            <a:rPr lang="en-US" sz="800"/>
            <a:t>For some prioritised domains there are no measures included in the spreadsheet, because the included studies do not report measures for these domains. This will be noted as an evidence gap in the review.</a:t>
          </a:r>
        </a:p>
      </dgm:t>
    </dgm:pt>
    <dgm:pt modelId="{3F8C0DF1-2A97-4269-B0C9-3AACDA1D187E}" type="parTrans" cxnId="{50BF5AAB-CD85-4749-83E3-B1745984DC78}">
      <dgm:prSet/>
      <dgm:spPr/>
      <dgm:t>
        <a:bodyPr/>
        <a:lstStyle/>
        <a:p>
          <a:endParaRPr lang="en-US" sz="800"/>
        </a:p>
      </dgm:t>
    </dgm:pt>
    <dgm:pt modelId="{7D0EBC0B-1063-4E36-BD6B-DB59EE010777}" type="sibTrans" cxnId="{50BF5AAB-CD85-4749-83E3-B1745984DC78}">
      <dgm:prSet/>
      <dgm:spPr/>
      <dgm:t>
        <a:bodyPr/>
        <a:lstStyle/>
        <a:p>
          <a:endParaRPr lang="en-US" sz="800"/>
        </a:p>
      </dgm:t>
    </dgm:pt>
    <dgm:pt modelId="{328EDD8B-9436-4A37-8AEF-842F7630BCDF}" type="pres">
      <dgm:prSet presAssocID="{74C9647E-2F48-4401-A4EB-71C345867CCF}" presName="linearFlow" presStyleCnt="0">
        <dgm:presLayoutVars>
          <dgm:dir/>
          <dgm:animLvl val="lvl"/>
          <dgm:resizeHandles val="exact"/>
        </dgm:presLayoutVars>
      </dgm:prSet>
      <dgm:spPr/>
    </dgm:pt>
    <dgm:pt modelId="{A3CE101E-183C-424E-81BB-C4A3E1B33F5F}" type="pres">
      <dgm:prSet presAssocID="{0351B4D1-F886-4F5F-A916-ECCA1F4435E0}" presName="composite" presStyleCnt="0"/>
      <dgm:spPr/>
    </dgm:pt>
    <dgm:pt modelId="{33399E53-9A40-4638-919C-2C05116D1185}" type="pres">
      <dgm:prSet presAssocID="{0351B4D1-F886-4F5F-A916-ECCA1F4435E0}" presName="parentText" presStyleLbl="alignNode1" presStyleIdx="0" presStyleCnt="4">
        <dgm:presLayoutVars>
          <dgm:chMax val="1"/>
          <dgm:bulletEnabled val="1"/>
        </dgm:presLayoutVars>
      </dgm:prSet>
      <dgm:spPr/>
    </dgm:pt>
    <dgm:pt modelId="{47ECEB00-CAEE-4130-BB31-97EE9BCE627B}" type="pres">
      <dgm:prSet presAssocID="{0351B4D1-F886-4F5F-A916-ECCA1F4435E0}" presName="descendantText" presStyleLbl="alignAcc1" presStyleIdx="0" presStyleCnt="4" custScaleY="100000">
        <dgm:presLayoutVars>
          <dgm:bulletEnabled val="1"/>
        </dgm:presLayoutVars>
      </dgm:prSet>
      <dgm:spPr/>
    </dgm:pt>
    <dgm:pt modelId="{BCA5853B-E850-4F2C-903C-1C8FEE9EA835}" type="pres">
      <dgm:prSet presAssocID="{638DDB1C-D485-4FC8-BF91-0F3608F34732}" presName="sp" presStyleCnt="0"/>
      <dgm:spPr/>
    </dgm:pt>
    <dgm:pt modelId="{83936DD4-91A5-45A4-BDC9-3DF20633A80F}" type="pres">
      <dgm:prSet presAssocID="{38405E91-4B4A-40DA-B2A7-AC66D791E945}" presName="composite" presStyleCnt="0"/>
      <dgm:spPr/>
    </dgm:pt>
    <dgm:pt modelId="{C5102319-44D9-41FC-8730-02BB66816C02}" type="pres">
      <dgm:prSet presAssocID="{38405E91-4B4A-40DA-B2A7-AC66D791E945}" presName="parentText" presStyleLbl="alignNode1" presStyleIdx="1" presStyleCnt="4" custLinFactNeighborY="-6422">
        <dgm:presLayoutVars>
          <dgm:chMax val="1"/>
          <dgm:bulletEnabled val="1"/>
        </dgm:presLayoutVars>
      </dgm:prSet>
      <dgm:spPr/>
    </dgm:pt>
    <dgm:pt modelId="{913BCD65-C611-49B0-85AE-2095491E6540}" type="pres">
      <dgm:prSet presAssocID="{38405E91-4B4A-40DA-B2A7-AC66D791E945}" presName="descendantText" presStyleLbl="alignAcc1" presStyleIdx="1" presStyleCnt="4" custScaleY="159878">
        <dgm:presLayoutVars>
          <dgm:bulletEnabled val="1"/>
        </dgm:presLayoutVars>
      </dgm:prSet>
      <dgm:spPr/>
    </dgm:pt>
    <dgm:pt modelId="{70E0F6F7-BC7C-46BF-B654-2C02CE3D5E83}" type="pres">
      <dgm:prSet presAssocID="{270C251B-23FA-48CF-971C-CF67C31BD3ED}" presName="sp" presStyleCnt="0"/>
      <dgm:spPr/>
    </dgm:pt>
    <dgm:pt modelId="{2873B4CD-AB23-4234-90FD-5EB34CC4057A}" type="pres">
      <dgm:prSet presAssocID="{238F3349-015B-42BE-A541-A7ABC11F196B}" presName="composite" presStyleCnt="0"/>
      <dgm:spPr/>
    </dgm:pt>
    <dgm:pt modelId="{77C27451-339E-4193-AABC-68B7A7A29CE9}" type="pres">
      <dgm:prSet presAssocID="{238F3349-015B-42BE-A541-A7ABC11F196B}" presName="parentText" presStyleLbl="alignNode1" presStyleIdx="2" presStyleCnt="4">
        <dgm:presLayoutVars>
          <dgm:chMax val="1"/>
          <dgm:bulletEnabled val="1"/>
        </dgm:presLayoutVars>
      </dgm:prSet>
      <dgm:spPr/>
    </dgm:pt>
    <dgm:pt modelId="{1E549BF4-6963-47C3-91C8-DFAF91F0F3E6}" type="pres">
      <dgm:prSet presAssocID="{238F3349-015B-42BE-A541-A7ABC11F196B}" presName="descendantText" presStyleLbl="alignAcc1" presStyleIdx="2" presStyleCnt="4" custLinFactNeighborX="16" custLinFactNeighborY="13174">
        <dgm:presLayoutVars>
          <dgm:bulletEnabled val="1"/>
        </dgm:presLayoutVars>
      </dgm:prSet>
      <dgm:spPr/>
    </dgm:pt>
    <dgm:pt modelId="{C75F3B8E-D679-4885-9D84-4B9358C26655}" type="pres">
      <dgm:prSet presAssocID="{181E3741-7516-4B26-BB49-58D2A1D79555}" presName="sp" presStyleCnt="0"/>
      <dgm:spPr/>
    </dgm:pt>
    <dgm:pt modelId="{33973CC4-7399-42C3-AF89-399559CE8E27}" type="pres">
      <dgm:prSet presAssocID="{0A3B19E8-01FF-4AE2-B72C-141C6D7B4F89}" presName="composite" presStyleCnt="0"/>
      <dgm:spPr/>
    </dgm:pt>
    <dgm:pt modelId="{17392DDC-79C5-4AFB-9A4E-175C5E341E20}" type="pres">
      <dgm:prSet presAssocID="{0A3B19E8-01FF-4AE2-B72C-141C6D7B4F89}" presName="parentText" presStyleLbl="alignNode1" presStyleIdx="3" presStyleCnt="4">
        <dgm:presLayoutVars>
          <dgm:chMax val="1"/>
          <dgm:bulletEnabled val="1"/>
        </dgm:presLayoutVars>
      </dgm:prSet>
      <dgm:spPr/>
    </dgm:pt>
    <dgm:pt modelId="{FCEB89A4-E6DC-4520-A8C7-7D7F55B27A48}" type="pres">
      <dgm:prSet presAssocID="{0A3B19E8-01FF-4AE2-B72C-141C6D7B4F89}" presName="descendantText" presStyleLbl="alignAcc1" presStyleIdx="3" presStyleCnt="4">
        <dgm:presLayoutVars>
          <dgm:bulletEnabled val="1"/>
        </dgm:presLayoutVars>
      </dgm:prSet>
      <dgm:spPr/>
    </dgm:pt>
  </dgm:ptLst>
  <dgm:cxnLst>
    <dgm:cxn modelId="{AC8B3B06-B289-41EF-938A-B1E91DAD14EF}" type="presOf" srcId="{6360CAC9-9267-4B75-B553-022CF12A15FB}" destId="{47ECEB00-CAEE-4130-BB31-97EE9BCE627B}" srcOrd="0" destOrd="2" presId="urn:microsoft.com/office/officeart/2005/8/layout/chevron2"/>
    <dgm:cxn modelId="{A83D9414-B415-4D30-A0A0-1959CDC83971}" srcId="{74C9647E-2F48-4401-A4EB-71C345867CCF}" destId="{238F3349-015B-42BE-A541-A7ABC11F196B}" srcOrd="2" destOrd="0" parTransId="{4A46ADB0-2F80-4B43-B8E9-46194209F72C}" sibTransId="{181E3741-7516-4B26-BB49-58D2A1D79555}"/>
    <dgm:cxn modelId="{02F1C615-7855-42EA-8B2C-F91B0A5B7006}" type="presOf" srcId="{9A5DF821-22FA-464F-A1F4-46142B9D7FDE}" destId="{FCEB89A4-E6DC-4520-A8C7-7D7F55B27A48}" srcOrd="0" destOrd="0" presId="urn:microsoft.com/office/officeart/2005/8/layout/chevron2"/>
    <dgm:cxn modelId="{15A19718-4737-4DF9-A518-3B6D0F07398F}" srcId="{0A3B19E8-01FF-4AE2-B72C-141C6D7B4F89}" destId="{9A5DF821-22FA-464F-A1F4-46142B9D7FDE}" srcOrd="0" destOrd="0" parTransId="{0D3C88A6-5A41-42B1-ACA2-6C389164ABCD}" sibTransId="{5CA17B99-5189-4F91-8259-CE45F7648579}"/>
    <dgm:cxn modelId="{AC28F519-8F8D-4FB4-85BC-7164DABD9769}" srcId="{38405E91-4B4A-40DA-B2A7-AC66D791E945}" destId="{FF999DEF-7A62-46E3-B10D-1A00ABEE30D3}" srcOrd="2" destOrd="0" parTransId="{B46A2761-2136-45C2-9D84-CF164D292678}" sibTransId="{5EC41B7F-7389-41D1-B55B-006E71653159}"/>
    <dgm:cxn modelId="{DF81C51D-448C-4BB6-8C7F-B7ED0E356F96}" srcId="{0351B4D1-F886-4F5F-A916-ECCA1F4435E0}" destId="{6360CAC9-9267-4B75-B553-022CF12A15FB}" srcOrd="2" destOrd="0" parTransId="{6369BE9A-973B-4DAE-99F7-C0BCB1527FD8}" sibTransId="{2B0C70FC-D911-4462-BD5C-DB36976277EB}"/>
    <dgm:cxn modelId="{0D6A172A-716F-47A8-A35A-39EEF5372510}" type="presOf" srcId="{4FC8D5AE-E8C3-4E1B-9BB4-AEA5E0CA12F5}" destId="{FCEB89A4-E6DC-4520-A8C7-7D7F55B27A48}" srcOrd="0" destOrd="2" presId="urn:microsoft.com/office/officeart/2005/8/layout/chevron2"/>
    <dgm:cxn modelId="{D8D5C12D-4660-4C9B-9B6A-BA10D8060831}" type="presOf" srcId="{74C9647E-2F48-4401-A4EB-71C345867CCF}" destId="{328EDD8B-9436-4A37-8AEF-842F7630BCDF}" srcOrd="0" destOrd="0" presId="urn:microsoft.com/office/officeart/2005/8/layout/chevron2"/>
    <dgm:cxn modelId="{632AB130-301E-492E-8BB3-159E11EFC953}" srcId="{38405E91-4B4A-40DA-B2A7-AC66D791E945}" destId="{99C741E8-8F03-4A9B-AD60-5C3BBC274386}" srcOrd="1" destOrd="0" parTransId="{A3D6B658-067A-4F00-AAE5-70A01C46211B}" sibTransId="{8FDAD76F-894F-4E32-8C62-25FDC6F89F47}"/>
    <dgm:cxn modelId="{86A4AA31-2EA9-49F7-95BF-3FD8B33E9F01}" srcId="{238F3349-015B-42BE-A541-A7ABC11F196B}" destId="{340092FC-A839-469D-B4D7-5520CCE6A26E}" srcOrd="0" destOrd="0" parTransId="{F7BE4921-BE55-44EB-9A7A-B52D6FC5DA96}" sibTransId="{BFFE359A-3211-4521-99C4-0A8541AF81FF}"/>
    <dgm:cxn modelId="{62F67464-49E1-4ACB-87FE-E7831AB8ABB8}" type="presOf" srcId="{DE5E6CCE-D2FE-4184-8FA3-DADDFDB3771A}" destId="{FCEB89A4-E6DC-4520-A8C7-7D7F55B27A48}" srcOrd="0" destOrd="1" presId="urn:microsoft.com/office/officeart/2005/8/layout/chevron2"/>
    <dgm:cxn modelId="{9781FB51-6BDE-4185-BCCC-E77C5AC128CD}" type="presOf" srcId="{340092FC-A839-469D-B4D7-5520CCE6A26E}" destId="{1E549BF4-6963-47C3-91C8-DFAF91F0F3E6}" srcOrd="0" destOrd="0" presId="urn:microsoft.com/office/officeart/2005/8/layout/chevron2"/>
    <dgm:cxn modelId="{575EEB55-B2CC-4B52-BEB3-7F2DD6457FD9}" srcId="{74C9647E-2F48-4401-A4EB-71C345867CCF}" destId="{0A3B19E8-01FF-4AE2-B72C-141C6D7B4F89}" srcOrd="3" destOrd="0" parTransId="{BB6F58BE-F8AE-463D-AE8D-B4031067D130}" sibTransId="{E74F7369-F10E-4334-996E-B1B842ADBE1B}"/>
    <dgm:cxn modelId="{2713BF77-8603-4F91-90CC-185F625F22AF}" type="presOf" srcId="{43F71A4A-9647-477F-AB39-DC0BADC43D48}" destId="{47ECEB00-CAEE-4130-BB31-97EE9BCE627B}" srcOrd="0" destOrd="0" presId="urn:microsoft.com/office/officeart/2005/8/layout/chevron2"/>
    <dgm:cxn modelId="{FC02057B-AC32-4350-A66C-A5533431345E}" type="presOf" srcId="{FF999DEF-7A62-46E3-B10D-1A00ABEE30D3}" destId="{913BCD65-C611-49B0-85AE-2095491E6540}" srcOrd="0" destOrd="2" presId="urn:microsoft.com/office/officeart/2005/8/layout/chevron2"/>
    <dgm:cxn modelId="{768A7280-5FAC-4AD3-BD7A-3654B5B1ED68}" srcId="{0351B4D1-F886-4F5F-A916-ECCA1F4435E0}" destId="{43F71A4A-9647-477F-AB39-DC0BADC43D48}" srcOrd="0" destOrd="0" parTransId="{76B5C51B-7134-4C76-8C2A-6CF7EB0E6F96}" sibTransId="{F9739B42-7D06-48B6-87C3-77581B42F129}"/>
    <dgm:cxn modelId="{8B1FD481-BBF8-4D5A-87B4-6B3ACF0DB4F6}" srcId="{238F3349-015B-42BE-A541-A7ABC11F196B}" destId="{35B5779B-3573-4749-A224-C096E095673B}" srcOrd="1" destOrd="0" parTransId="{ACB36001-F044-4755-9936-93166FA14910}" sibTransId="{47C57D92-BD44-4124-A968-E7926E5F98AC}"/>
    <dgm:cxn modelId="{8459EE89-9E97-4158-818E-23487DB7E1D5}" srcId="{0A3B19E8-01FF-4AE2-B72C-141C6D7B4F89}" destId="{DE5E6CCE-D2FE-4184-8FA3-DADDFDB3771A}" srcOrd="1" destOrd="0" parTransId="{B4396307-ACF1-48B1-A29D-1552171F250E}" sibTransId="{D03696FC-0484-41DD-934A-3F2B7364C4F1}"/>
    <dgm:cxn modelId="{9757378B-C8A9-4751-A659-6A333DD253ED}" srcId="{74C9647E-2F48-4401-A4EB-71C345867CCF}" destId="{38405E91-4B4A-40DA-B2A7-AC66D791E945}" srcOrd="1" destOrd="0" parTransId="{ABE76246-7D36-4F48-9CDC-0290E903B0EE}" sibTransId="{270C251B-23FA-48CF-971C-CF67C31BD3ED}"/>
    <dgm:cxn modelId="{F8CC0A8C-B9AC-43A9-B1A1-DD75582F644F}" type="presOf" srcId="{0A3B19E8-01FF-4AE2-B72C-141C6D7B4F89}" destId="{17392DDC-79C5-4AFB-9A4E-175C5E341E20}" srcOrd="0" destOrd="0" presId="urn:microsoft.com/office/officeart/2005/8/layout/chevron2"/>
    <dgm:cxn modelId="{50BF5AAB-CD85-4749-83E3-B1745984DC78}" srcId="{0A3B19E8-01FF-4AE2-B72C-141C6D7B4F89}" destId="{4FC8D5AE-E8C3-4E1B-9BB4-AEA5E0CA12F5}" srcOrd="2" destOrd="0" parTransId="{3F8C0DF1-2A97-4269-B0C9-3AACDA1D187E}" sibTransId="{7D0EBC0B-1063-4E36-BD6B-DB59EE010777}"/>
    <dgm:cxn modelId="{1F0C72B1-E7F0-426B-B51C-3DA23958D872}" type="presOf" srcId="{0351B4D1-F886-4F5F-A916-ECCA1F4435E0}" destId="{33399E53-9A40-4638-919C-2C05116D1185}" srcOrd="0" destOrd="0" presId="urn:microsoft.com/office/officeart/2005/8/layout/chevron2"/>
    <dgm:cxn modelId="{6B5433B2-8143-4198-8181-0500755DDE48}" srcId="{74C9647E-2F48-4401-A4EB-71C345867CCF}" destId="{0351B4D1-F886-4F5F-A916-ECCA1F4435E0}" srcOrd="0" destOrd="0" parTransId="{69801E98-EA24-4209-B9F3-A0DFBF3A6AD2}" sibTransId="{638DDB1C-D485-4FC8-BF91-0F3608F34732}"/>
    <dgm:cxn modelId="{40B1DBB5-D864-44B0-8700-C553B600EE1F}" type="presOf" srcId="{38405E91-4B4A-40DA-B2A7-AC66D791E945}" destId="{C5102319-44D9-41FC-8730-02BB66816C02}" srcOrd="0" destOrd="0" presId="urn:microsoft.com/office/officeart/2005/8/layout/chevron2"/>
    <dgm:cxn modelId="{695710B9-6455-4ABB-9CA1-AD3939A6521C}" type="presOf" srcId="{07C27182-F7BE-4D0E-BDB0-AB30E09C0C1D}" destId="{913BCD65-C611-49B0-85AE-2095491E6540}" srcOrd="0" destOrd="0" presId="urn:microsoft.com/office/officeart/2005/8/layout/chevron2"/>
    <dgm:cxn modelId="{82790ABD-7EAD-464D-A735-A9E693D45849}" type="presOf" srcId="{99C741E8-8F03-4A9B-AD60-5C3BBC274386}" destId="{913BCD65-C611-49B0-85AE-2095491E6540}" srcOrd="0" destOrd="1" presId="urn:microsoft.com/office/officeart/2005/8/layout/chevron2"/>
    <dgm:cxn modelId="{362DE2BE-A1AD-4108-8BAD-5939998EE651}" srcId="{0351B4D1-F886-4F5F-A916-ECCA1F4435E0}" destId="{474049A7-1CEB-4DC7-99AC-DA02CD325FE1}" srcOrd="1" destOrd="0" parTransId="{15E07D7D-D6B9-4E21-8F01-DA27E146538D}" sibTransId="{767E2FD5-B6AB-4F8F-BA20-FAA293B4F5BA}"/>
    <dgm:cxn modelId="{274464D7-12D3-465D-98B3-78A25E367348}" srcId="{38405E91-4B4A-40DA-B2A7-AC66D791E945}" destId="{07C27182-F7BE-4D0E-BDB0-AB30E09C0C1D}" srcOrd="0" destOrd="0" parTransId="{F9ACF7BF-C3F0-4A76-83D6-C5E45D86EE22}" sibTransId="{6447CE3E-2686-4569-9A5B-C5BB9F13F688}"/>
    <dgm:cxn modelId="{6FE6E4D7-57A4-4865-8F7A-94960256E3FD}" type="presOf" srcId="{35B5779B-3573-4749-A224-C096E095673B}" destId="{1E549BF4-6963-47C3-91C8-DFAF91F0F3E6}" srcOrd="0" destOrd="1" presId="urn:microsoft.com/office/officeart/2005/8/layout/chevron2"/>
    <dgm:cxn modelId="{9661E1DA-D081-4131-8C7D-D6DBB20FD7D5}" srcId="{38405E91-4B4A-40DA-B2A7-AC66D791E945}" destId="{1891286D-78E4-4082-8DAC-C4B2E981C18D}" srcOrd="3" destOrd="0" parTransId="{12A1BC7C-F737-4AAE-A5DD-AD661BD8CF46}" sibTransId="{E1066A03-83AE-448E-A909-8A80995607D3}"/>
    <dgm:cxn modelId="{9F49FEDF-17DE-4D33-A2BA-F227B4E045E9}" type="presOf" srcId="{1891286D-78E4-4082-8DAC-C4B2E981C18D}" destId="{913BCD65-C611-49B0-85AE-2095491E6540}" srcOrd="0" destOrd="3" presId="urn:microsoft.com/office/officeart/2005/8/layout/chevron2"/>
    <dgm:cxn modelId="{519D1FF3-F483-42E2-9EB2-E79665FFEEF4}" type="presOf" srcId="{474049A7-1CEB-4DC7-99AC-DA02CD325FE1}" destId="{47ECEB00-CAEE-4130-BB31-97EE9BCE627B}" srcOrd="0" destOrd="1" presId="urn:microsoft.com/office/officeart/2005/8/layout/chevron2"/>
    <dgm:cxn modelId="{B034A7FC-1014-442C-9A4E-DAC70B2CB694}" type="presOf" srcId="{238F3349-015B-42BE-A541-A7ABC11F196B}" destId="{77C27451-339E-4193-AABC-68B7A7A29CE9}" srcOrd="0" destOrd="0" presId="urn:microsoft.com/office/officeart/2005/8/layout/chevron2"/>
    <dgm:cxn modelId="{68CC7208-2E9D-4E7F-B797-71A083D54F82}" type="presParOf" srcId="{328EDD8B-9436-4A37-8AEF-842F7630BCDF}" destId="{A3CE101E-183C-424E-81BB-C4A3E1B33F5F}" srcOrd="0" destOrd="0" presId="urn:microsoft.com/office/officeart/2005/8/layout/chevron2"/>
    <dgm:cxn modelId="{CCD54A66-1E5A-489D-9B84-96C24BA90BD1}" type="presParOf" srcId="{A3CE101E-183C-424E-81BB-C4A3E1B33F5F}" destId="{33399E53-9A40-4638-919C-2C05116D1185}" srcOrd="0" destOrd="0" presId="urn:microsoft.com/office/officeart/2005/8/layout/chevron2"/>
    <dgm:cxn modelId="{0F9D0AF1-8017-4A4B-A1B8-DC6F7EADFD9A}" type="presParOf" srcId="{A3CE101E-183C-424E-81BB-C4A3E1B33F5F}" destId="{47ECEB00-CAEE-4130-BB31-97EE9BCE627B}" srcOrd="1" destOrd="0" presId="urn:microsoft.com/office/officeart/2005/8/layout/chevron2"/>
    <dgm:cxn modelId="{F323A32D-6C40-4C72-800A-9B3225A47482}" type="presParOf" srcId="{328EDD8B-9436-4A37-8AEF-842F7630BCDF}" destId="{BCA5853B-E850-4F2C-903C-1C8FEE9EA835}" srcOrd="1" destOrd="0" presId="urn:microsoft.com/office/officeart/2005/8/layout/chevron2"/>
    <dgm:cxn modelId="{795BDAB5-B816-4D40-8F39-5E09401F041E}" type="presParOf" srcId="{328EDD8B-9436-4A37-8AEF-842F7630BCDF}" destId="{83936DD4-91A5-45A4-BDC9-3DF20633A80F}" srcOrd="2" destOrd="0" presId="urn:microsoft.com/office/officeart/2005/8/layout/chevron2"/>
    <dgm:cxn modelId="{46B38B76-EA74-4DE5-BB23-4DEAD4914FFD}" type="presParOf" srcId="{83936DD4-91A5-45A4-BDC9-3DF20633A80F}" destId="{C5102319-44D9-41FC-8730-02BB66816C02}" srcOrd="0" destOrd="0" presId="urn:microsoft.com/office/officeart/2005/8/layout/chevron2"/>
    <dgm:cxn modelId="{93C42A43-E945-4D9F-820C-3527890EF16F}" type="presParOf" srcId="{83936DD4-91A5-45A4-BDC9-3DF20633A80F}" destId="{913BCD65-C611-49B0-85AE-2095491E6540}" srcOrd="1" destOrd="0" presId="urn:microsoft.com/office/officeart/2005/8/layout/chevron2"/>
    <dgm:cxn modelId="{C75C5943-7B9D-4186-9002-C71F052CFF9F}" type="presParOf" srcId="{328EDD8B-9436-4A37-8AEF-842F7630BCDF}" destId="{70E0F6F7-BC7C-46BF-B654-2C02CE3D5E83}" srcOrd="3" destOrd="0" presId="urn:microsoft.com/office/officeart/2005/8/layout/chevron2"/>
    <dgm:cxn modelId="{D4AF47D3-F56A-48FE-A24B-04A7BC64FBBA}" type="presParOf" srcId="{328EDD8B-9436-4A37-8AEF-842F7630BCDF}" destId="{2873B4CD-AB23-4234-90FD-5EB34CC4057A}" srcOrd="4" destOrd="0" presId="urn:microsoft.com/office/officeart/2005/8/layout/chevron2"/>
    <dgm:cxn modelId="{65D15EB7-7625-45DC-BEAF-DE23944888D1}" type="presParOf" srcId="{2873B4CD-AB23-4234-90FD-5EB34CC4057A}" destId="{77C27451-339E-4193-AABC-68B7A7A29CE9}" srcOrd="0" destOrd="0" presId="urn:microsoft.com/office/officeart/2005/8/layout/chevron2"/>
    <dgm:cxn modelId="{CDB28B21-A51C-4140-A59E-D4BF5451C6D6}" type="presParOf" srcId="{2873B4CD-AB23-4234-90FD-5EB34CC4057A}" destId="{1E549BF4-6963-47C3-91C8-DFAF91F0F3E6}" srcOrd="1" destOrd="0" presId="urn:microsoft.com/office/officeart/2005/8/layout/chevron2"/>
    <dgm:cxn modelId="{6605DDCA-C6BB-4CA0-9499-CF702372F6E7}" type="presParOf" srcId="{328EDD8B-9436-4A37-8AEF-842F7630BCDF}" destId="{C75F3B8E-D679-4885-9D84-4B9358C26655}" srcOrd="5" destOrd="0" presId="urn:microsoft.com/office/officeart/2005/8/layout/chevron2"/>
    <dgm:cxn modelId="{0458360C-8B84-4813-AE85-B009D327AB1D}" type="presParOf" srcId="{328EDD8B-9436-4A37-8AEF-842F7630BCDF}" destId="{33973CC4-7399-42C3-AF89-399559CE8E27}" srcOrd="6" destOrd="0" presId="urn:microsoft.com/office/officeart/2005/8/layout/chevron2"/>
    <dgm:cxn modelId="{97CFFE10-3FCE-413E-B518-183007C58C06}" type="presParOf" srcId="{33973CC4-7399-42C3-AF89-399559CE8E27}" destId="{17392DDC-79C5-4AFB-9A4E-175C5E341E20}" srcOrd="0" destOrd="0" presId="urn:microsoft.com/office/officeart/2005/8/layout/chevron2"/>
    <dgm:cxn modelId="{AC035068-022A-487E-A131-F0FB539B3A3A}" type="presParOf" srcId="{33973CC4-7399-42C3-AF89-399559CE8E27}" destId="{FCEB89A4-E6DC-4520-A8C7-7D7F55B27A48}" srcOrd="1" destOrd="0" presId="urn:microsoft.com/office/officeart/2005/8/layout/chevron2"/>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399E53-9A40-4638-919C-2C05116D1185}">
      <dsp:nvSpPr>
        <dsp:cNvPr id="0" name=""/>
        <dsp:cNvSpPr/>
      </dsp:nvSpPr>
      <dsp:spPr>
        <a:xfrm rot="5400000">
          <a:off x="-149006" y="159739"/>
          <a:ext cx="993375" cy="695362"/>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US" sz="800" kern="1200"/>
            <a:t>1. Included studies identified</a:t>
          </a:r>
        </a:p>
      </dsp:txBody>
      <dsp:txXfrm rot="-5400000">
        <a:off x="1" y="358413"/>
        <a:ext cx="695362" cy="298013"/>
      </dsp:txXfrm>
    </dsp:sp>
    <dsp:sp modelId="{47ECEB00-CAEE-4130-BB31-97EE9BCE627B}">
      <dsp:nvSpPr>
        <dsp:cNvPr id="0" name=""/>
        <dsp:cNvSpPr/>
      </dsp:nvSpPr>
      <dsp:spPr>
        <a:xfrm rot="5400000">
          <a:off x="2955189" y="-2249094"/>
          <a:ext cx="646033" cy="5165687"/>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6896" tIns="5080" rIns="5080" bIns="5080" numCol="1" spcCol="1270" anchor="ctr" anchorCtr="0">
          <a:noAutofit/>
        </a:bodyPr>
        <a:lstStyle/>
        <a:p>
          <a:pPr marL="57150" lvl="1" indent="-57150" algn="l" defTabSz="355600">
            <a:lnSpc>
              <a:spcPct val="90000"/>
            </a:lnSpc>
            <a:spcBef>
              <a:spcPct val="0"/>
            </a:spcBef>
            <a:spcAft>
              <a:spcPct val="15000"/>
            </a:spcAft>
            <a:buChar char="•"/>
          </a:pPr>
          <a:r>
            <a:rPr lang="en-US" sz="800" kern="1200"/>
            <a:t>Reviewers conduct searches</a:t>
          </a:r>
        </a:p>
        <a:p>
          <a:pPr marL="57150" lvl="1" indent="-57150" algn="l" defTabSz="355600">
            <a:lnSpc>
              <a:spcPct val="90000"/>
            </a:lnSpc>
            <a:spcBef>
              <a:spcPct val="0"/>
            </a:spcBef>
            <a:spcAft>
              <a:spcPct val="15000"/>
            </a:spcAft>
            <a:buChar char="•"/>
          </a:pPr>
          <a:r>
            <a:rPr lang="en-US" sz="800" kern="1200"/>
            <a:t>Identify eligible studies to be included in the review</a:t>
          </a:r>
        </a:p>
        <a:p>
          <a:pPr marL="57150" lvl="1" indent="-57150" algn="l" defTabSz="355600">
            <a:lnSpc>
              <a:spcPct val="90000"/>
            </a:lnSpc>
            <a:spcBef>
              <a:spcPct val="0"/>
            </a:spcBef>
            <a:spcAft>
              <a:spcPct val="15000"/>
            </a:spcAft>
            <a:buChar char="•"/>
          </a:pPr>
          <a:endParaRPr lang="en-US" sz="800" kern="1200"/>
        </a:p>
      </dsp:txBody>
      <dsp:txXfrm rot="-5400000">
        <a:off x="695363" y="42269"/>
        <a:ext cx="5134150" cy="582959"/>
      </dsp:txXfrm>
    </dsp:sp>
    <dsp:sp modelId="{C5102319-44D9-41FC-8730-02BB66816C02}">
      <dsp:nvSpPr>
        <dsp:cNvPr id="0" name=""/>
        <dsp:cNvSpPr/>
      </dsp:nvSpPr>
      <dsp:spPr>
        <a:xfrm rot="5400000">
          <a:off x="-149006" y="1141267"/>
          <a:ext cx="993375" cy="695362"/>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US" sz="800" kern="1200"/>
            <a:t>2. Populations and outcome domains listed</a:t>
          </a:r>
        </a:p>
      </dsp:txBody>
      <dsp:txXfrm rot="-5400000">
        <a:off x="1" y="1339941"/>
        <a:ext cx="695362" cy="298013"/>
      </dsp:txXfrm>
    </dsp:sp>
    <dsp:sp modelId="{913BCD65-C611-49B0-85AE-2095491E6540}">
      <dsp:nvSpPr>
        <dsp:cNvPr id="0" name=""/>
        <dsp:cNvSpPr/>
      </dsp:nvSpPr>
      <dsp:spPr>
        <a:xfrm rot="5400000">
          <a:off x="2762045" y="-1203941"/>
          <a:ext cx="1032322" cy="5165687"/>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6896" tIns="5080" rIns="5080" bIns="5080" numCol="1" spcCol="1270" anchor="ctr" anchorCtr="0">
          <a:noAutofit/>
        </a:bodyPr>
        <a:lstStyle/>
        <a:p>
          <a:pPr marL="57150" lvl="1" indent="-57150" algn="l" defTabSz="355600">
            <a:lnSpc>
              <a:spcPct val="90000"/>
            </a:lnSpc>
            <a:spcBef>
              <a:spcPct val="0"/>
            </a:spcBef>
            <a:spcAft>
              <a:spcPct val="15000"/>
            </a:spcAft>
            <a:buChar char="•"/>
          </a:pPr>
          <a:r>
            <a:rPr lang="en-US" sz="800" kern="1200"/>
            <a:t>Reviewers identify populations from included studies</a:t>
          </a:r>
        </a:p>
        <a:p>
          <a:pPr marL="57150" lvl="1" indent="-57150" algn="l" defTabSz="355600">
            <a:lnSpc>
              <a:spcPct val="90000"/>
            </a:lnSpc>
            <a:spcBef>
              <a:spcPct val="0"/>
            </a:spcBef>
            <a:spcAft>
              <a:spcPct val="15000"/>
            </a:spcAft>
            <a:buChar char="•"/>
          </a:pPr>
          <a:r>
            <a:rPr lang="en-US" sz="800" kern="1200"/>
            <a:t>Populations listed in spreadsheet (using ICD-11 classification) along with the outcome domains reported in the included studies</a:t>
          </a:r>
        </a:p>
        <a:p>
          <a:pPr marL="57150" lvl="1" indent="-57150" algn="l" defTabSz="355600">
            <a:lnSpc>
              <a:spcPct val="90000"/>
            </a:lnSpc>
            <a:spcBef>
              <a:spcPct val="0"/>
            </a:spcBef>
            <a:spcAft>
              <a:spcPct val="15000"/>
            </a:spcAft>
            <a:buChar char="•"/>
          </a:pPr>
          <a:r>
            <a:rPr lang="en-US" sz="800" kern="1200"/>
            <a:t>Additional potentially relevant outcome domains added to spreadsheet based on domains rated as important by Core Outcome Sets and Cochrane reviews</a:t>
          </a:r>
        </a:p>
        <a:p>
          <a:pPr marL="57150" lvl="1" indent="-57150" algn="l" defTabSz="355600">
            <a:lnSpc>
              <a:spcPct val="90000"/>
            </a:lnSpc>
            <a:spcBef>
              <a:spcPct val="0"/>
            </a:spcBef>
            <a:spcAft>
              <a:spcPct val="15000"/>
            </a:spcAft>
            <a:buChar char="•"/>
          </a:pPr>
          <a:r>
            <a:rPr lang="en-US" sz="800" kern="1200"/>
            <a:t>Final result is a comprehensive, blinded list of all included populations and potentially relevant outcome domains (irrespective of whether those outcomes are actually measured by the included studies)</a:t>
          </a:r>
        </a:p>
      </dsp:txBody>
      <dsp:txXfrm rot="-5400000">
        <a:off x="695363" y="913135"/>
        <a:ext cx="5115293" cy="931534"/>
      </dsp:txXfrm>
    </dsp:sp>
    <dsp:sp modelId="{77C27451-339E-4193-AABC-68B7A7A29CE9}">
      <dsp:nvSpPr>
        <dsp:cNvPr id="0" name=""/>
        <dsp:cNvSpPr/>
      </dsp:nvSpPr>
      <dsp:spPr>
        <a:xfrm rot="5400000">
          <a:off x="-149006" y="2057069"/>
          <a:ext cx="993375" cy="695362"/>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US" sz="800" kern="1200"/>
            <a:t>3. Outcome domains prioritised</a:t>
          </a:r>
        </a:p>
      </dsp:txBody>
      <dsp:txXfrm rot="-5400000">
        <a:off x="1" y="2255743"/>
        <a:ext cx="695362" cy="298013"/>
      </dsp:txXfrm>
    </dsp:sp>
    <dsp:sp modelId="{1E549BF4-6963-47C3-91C8-DFAF91F0F3E6}">
      <dsp:nvSpPr>
        <dsp:cNvPr id="0" name=""/>
        <dsp:cNvSpPr/>
      </dsp:nvSpPr>
      <dsp:spPr>
        <a:xfrm rot="5400000">
          <a:off x="2955359" y="-266869"/>
          <a:ext cx="645693" cy="5165687"/>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6896" tIns="5080" rIns="5080" bIns="5080" numCol="1" spcCol="1270" anchor="ctr" anchorCtr="0">
          <a:noAutofit/>
        </a:bodyPr>
        <a:lstStyle/>
        <a:p>
          <a:pPr marL="57150" lvl="1" indent="-57150" algn="l" defTabSz="355600">
            <a:lnSpc>
              <a:spcPct val="90000"/>
            </a:lnSpc>
            <a:spcBef>
              <a:spcPct val="0"/>
            </a:spcBef>
            <a:spcAft>
              <a:spcPct val="15000"/>
            </a:spcAft>
            <a:buChar char="•"/>
          </a:pPr>
          <a:r>
            <a:rPr lang="en-US" sz="800" kern="1200"/>
            <a:t>NTWC considers all potentially relevant outcome domains and identifies those most relevant to decision-making</a:t>
          </a:r>
        </a:p>
        <a:p>
          <a:pPr marL="57150" lvl="1" indent="-57150" algn="l" defTabSz="355600">
            <a:lnSpc>
              <a:spcPct val="90000"/>
            </a:lnSpc>
            <a:spcBef>
              <a:spcPct val="0"/>
            </a:spcBef>
            <a:spcAft>
              <a:spcPct val="15000"/>
            </a:spcAft>
            <a:buChar char="•"/>
          </a:pPr>
          <a:r>
            <a:rPr lang="en-US" sz="800" kern="1200"/>
            <a:t>Up to 7 priority outcome domains identified per population</a:t>
          </a:r>
        </a:p>
      </dsp:txBody>
      <dsp:txXfrm rot="-5400000">
        <a:off x="695362" y="2024648"/>
        <a:ext cx="5134167" cy="582653"/>
      </dsp:txXfrm>
    </dsp:sp>
    <dsp:sp modelId="{17392DDC-79C5-4AFB-9A4E-175C5E341E20}">
      <dsp:nvSpPr>
        <dsp:cNvPr id="0" name=""/>
        <dsp:cNvSpPr/>
      </dsp:nvSpPr>
      <dsp:spPr>
        <a:xfrm rot="5400000">
          <a:off x="-149006" y="2909078"/>
          <a:ext cx="993375" cy="695362"/>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US" sz="800" kern="1200"/>
            <a:t>4. Outcome measures selected</a:t>
          </a:r>
        </a:p>
      </dsp:txBody>
      <dsp:txXfrm rot="-5400000">
        <a:off x="1" y="3107752"/>
        <a:ext cx="695362" cy="298013"/>
      </dsp:txXfrm>
    </dsp:sp>
    <dsp:sp modelId="{FCEB89A4-E6DC-4520-A8C7-7D7F55B27A48}">
      <dsp:nvSpPr>
        <dsp:cNvPr id="0" name=""/>
        <dsp:cNvSpPr/>
      </dsp:nvSpPr>
      <dsp:spPr>
        <a:xfrm rot="5400000">
          <a:off x="2955359" y="500075"/>
          <a:ext cx="645693" cy="5165687"/>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6896" tIns="5080" rIns="5080" bIns="5080" numCol="1" spcCol="1270" anchor="ctr" anchorCtr="0">
          <a:noAutofit/>
        </a:bodyPr>
        <a:lstStyle/>
        <a:p>
          <a:pPr marL="57150" lvl="1" indent="-57150" algn="l" defTabSz="355600">
            <a:lnSpc>
              <a:spcPct val="90000"/>
            </a:lnSpc>
            <a:spcBef>
              <a:spcPct val="0"/>
            </a:spcBef>
            <a:spcAft>
              <a:spcPct val="15000"/>
            </a:spcAft>
            <a:buChar char="•"/>
          </a:pPr>
          <a:r>
            <a:rPr lang="en-US" sz="800" kern="1200"/>
            <a:t>NTWC receives a list of all potentially relevant outcome measures within each of the prioritised domains</a:t>
          </a:r>
        </a:p>
        <a:p>
          <a:pPr marL="57150" lvl="1" indent="-57150" algn="l" defTabSz="355600">
            <a:lnSpc>
              <a:spcPct val="90000"/>
            </a:lnSpc>
            <a:spcBef>
              <a:spcPct val="0"/>
            </a:spcBef>
            <a:spcAft>
              <a:spcPct val="15000"/>
            </a:spcAft>
            <a:buChar char="•"/>
          </a:pPr>
          <a:r>
            <a:rPr lang="en-US" sz="800" kern="1200"/>
            <a:t>Only those measures reported within included studies are included in the spreadsheet. </a:t>
          </a:r>
        </a:p>
        <a:p>
          <a:pPr marL="57150" lvl="1" indent="-57150" algn="l" defTabSz="355600">
            <a:lnSpc>
              <a:spcPct val="90000"/>
            </a:lnSpc>
            <a:spcBef>
              <a:spcPct val="0"/>
            </a:spcBef>
            <a:spcAft>
              <a:spcPct val="15000"/>
            </a:spcAft>
            <a:buChar char="•"/>
          </a:pPr>
          <a:r>
            <a:rPr lang="en-US" sz="800" kern="1200"/>
            <a:t>For some prioritised domains there are no measures included in the spreadsheet, because the included studies do not report measures for these domains. This will be noted as an evidence gap in the review.</a:t>
          </a:r>
        </a:p>
      </dsp:txBody>
      <dsp:txXfrm rot="-5400000">
        <a:off x="695362" y="2791592"/>
        <a:ext cx="5134167" cy="582653"/>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940D914E146024490871F947646B4C5" ma:contentTypeVersion="6" ma:contentTypeDescription="Create a new document." ma:contentTypeScope="" ma:versionID="d2f37033967eed70b3470ebaee0023a0">
  <xsd:schema xmlns:xsd="http://www.w3.org/2001/XMLSchema" xmlns:xs="http://www.w3.org/2001/XMLSchema" xmlns:p="http://schemas.microsoft.com/office/2006/metadata/properties" xmlns:ns2="ae63b132-8ee0-421b-b5c9-27568b0a8a71" targetNamespace="http://schemas.microsoft.com/office/2006/metadata/properties" ma:root="true" ma:fieldsID="33fa554c964b6813af71297bc176a4c5" ns2:_="">
    <xsd:import namespace="ae63b132-8ee0-421b-b5c9-27568b0a8a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63b132-8ee0-421b-b5c9-27568b0a8a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015FE8-8E48-42B1-B9A7-60662973F65E}">
  <ds:schemaRefs>
    <ds:schemaRef ds:uri="http://schemas.microsoft.com/sharepoint/v3/contenttype/forms"/>
  </ds:schemaRefs>
</ds:datastoreItem>
</file>

<file path=customXml/itemProps2.xml><?xml version="1.0" encoding="utf-8"?>
<ds:datastoreItem xmlns:ds="http://schemas.openxmlformats.org/officeDocument/2006/customXml" ds:itemID="{DD047660-647E-41ED-A6B7-ECA3CA2C6F4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E7F84EA-0B39-42C4-94DC-F0DD09FABB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63b132-8ee0-421b-b5c9-27568b0a8a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67FCB2E-B9DB-7D4C-A624-F529A55C4538}">
  <ds:schemaRefs>
    <ds:schemaRef ds:uri="http://schemas.openxmlformats.org/officeDocument/2006/bibliography"/>
  </ds:schemaRefs>
</ds:datastoreItem>
</file>

<file path=docMetadata/LabelInfo.xml><?xml version="1.0" encoding="utf-8"?>
<clbl:labelList xmlns:clbl="http://schemas.microsoft.com/office/2020/mipLabelMetadata">
  <clbl:label id="{2c4705ea-e083-4dab-8438-e508bbb2bfba}" enabled="1" method="Privileged" siteId="{5a7cc8ab-a4dc-4f9b-bf60-66714049ad62}" removed="0"/>
</clbl:labelList>
</file>

<file path=docProps/app.xml><?xml version="1.0" encoding="utf-8"?>
<Properties xmlns="http://schemas.openxmlformats.org/officeDocument/2006/extended-properties" xmlns:vt="http://schemas.openxmlformats.org/officeDocument/2006/docPropsVTypes">
  <Template>Normal.dotm</Template>
  <TotalTime>6170</TotalTime>
  <Pages>269</Pages>
  <Words>96130</Words>
  <Characters>547945</Characters>
  <Application>Microsoft Office Word</Application>
  <DocSecurity>0</DocSecurity>
  <Lines>4566</Lines>
  <Paragraphs>1285</Paragraphs>
  <ScaleCrop>false</ScaleCrop>
  <HeadingPairs>
    <vt:vector size="2" baseType="variant">
      <vt:variant>
        <vt:lpstr>Title</vt:lpstr>
      </vt:variant>
      <vt:variant>
        <vt:i4>1</vt:i4>
      </vt:variant>
    </vt:vector>
  </HeadingPairs>
  <TitlesOfParts>
    <vt:vector size="1" baseType="lpstr">
      <vt:lpstr>Natural Therapies Review 2024 – Naturopathy supplements evidence evaluation – Appendices</vt:lpstr>
    </vt:vector>
  </TitlesOfParts>
  <Company/>
  <LinksUpToDate>false</LinksUpToDate>
  <CharactersWithSpaces>642790</CharactersWithSpaces>
  <SharedDoc>false</SharedDoc>
  <HLinks>
    <vt:vector size="1362" baseType="variant">
      <vt:variant>
        <vt:i4>3801207</vt:i4>
      </vt:variant>
      <vt:variant>
        <vt:i4>1410</vt:i4>
      </vt:variant>
      <vt:variant>
        <vt:i4>0</vt:i4>
      </vt:variant>
      <vt:variant>
        <vt:i4>5</vt:i4>
      </vt:variant>
      <vt:variant>
        <vt:lpwstr>https://doi.org/10.1080/07315724.1989.10720312</vt:lpwstr>
      </vt:variant>
      <vt:variant>
        <vt:lpwstr/>
      </vt:variant>
      <vt:variant>
        <vt:i4>7077996</vt:i4>
      </vt:variant>
      <vt:variant>
        <vt:i4>1389</vt:i4>
      </vt:variant>
      <vt:variant>
        <vt:i4>0</vt:i4>
      </vt:variant>
      <vt:variant>
        <vt:i4>5</vt:i4>
      </vt:variant>
      <vt:variant>
        <vt:lpwstr>http://cjns.metapress.com/content/b8311210p2528qt4/?p=4bc8b3cf0a404edfae1649923cd403a5&amp;pi=0</vt:lpwstr>
      </vt:variant>
      <vt:variant>
        <vt:lpwstr/>
      </vt:variant>
      <vt:variant>
        <vt:i4>6946835</vt:i4>
      </vt:variant>
      <vt:variant>
        <vt:i4>1284</vt:i4>
      </vt:variant>
      <vt:variant>
        <vt:i4>0</vt:i4>
      </vt:variant>
      <vt:variant>
        <vt:i4>5</vt:i4>
      </vt:variant>
      <vt:variant>
        <vt:lpwstr>https://www.crd.york.ac.uk/prospero/display_record.php?ID=CRD42022313682</vt:lpwstr>
      </vt:variant>
      <vt:variant>
        <vt:lpwstr/>
      </vt:variant>
      <vt:variant>
        <vt:i4>6357019</vt:i4>
      </vt:variant>
      <vt:variant>
        <vt:i4>1281</vt:i4>
      </vt:variant>
      <vt:variant>
        <vt:i4>0</vt:i4>
      </vt:variant>
      <vt:variant>
        <vt:i4>5</vt:i4>
      </vt:variant>
      <vt:variant>
        <vt:lpwstr>https://www.crd.york.ac.uk/prospero/display_record.php?ID=CRD42021284560</vt:lpwstr>
      </vt:variant>
      <vt:variant>
        <vt:lpwstr/>
      </vt:variant>
      <vt:variant>
        <vt:i4>6815768</vt:i4>
      </vt:variant>
      <vt:variant>
        <vt:i4>1278</vt:i4>
      </vt:variant>
      <vt:variant>
        <vt:i4>0</vt:i4>
      </vt:variant>
      <vt:variant>
        <vt:i4>5</vt:i4>
      </vt:variant>
      <vt:variant>
        <vt:lpwstr>https://www.crd.york.ac.uk/prospero/display_record.php?ID=CRD42023397877</vt:lpwstr>
      </vt:variant>
      <vt:variant>
        <vt:lpwstr/>
      </vt:variant>
      <vt:variant>
        <vt:i4>7012381</vt:i4>
      </vt:variant>
      <vt:variant>
        <vt:i4>1275</vt:i4>
      </vt:variant>
      <vt:variant>
        <vt:i4>0</vt:i4>
      </vt:variant>
      <vt:variant>
        <vt:i4>5</vt:i4>
      </vt:variant>
      <vt:variant>
        <vt:lpwstr>https://www.crd.york.ac.uk/prospero/display_record.php?ID=CRD42023405471</vt:lpwstr>
      </vt:variant>
      <vt:variant>
        <vt:lpwstr/>
      </vt:variant>
      <vt:variant>
        <vt:i4>7077919</vt:i4>
      </vt:variant>
      <vt:variant>
        <vt:i4>1272</vt:i4>
      </vt:variant>
      <vt:variant>
        <vt:i4>0</vt:i4>
      </vt:variant>
      <vt:variant>
        <vt:i4>5</vt:i4>
      </vt:variant>
      <vt:variant>
        <vt:lpwstr>https://www.crd.york.ac.uk/prospero/display_record.php?ID=CRD42020156632</vt:lpwstr>
      </vt:variant>
      <vt:variant>
        <vt:lpwstr/>
      </vt:variant>
      <vt:variant>
        <vt:i4>6291479</vt:i4>
      </vt:variant>
      <vt:variant>
        <vt:i4>1269</vt:i4>
      </vt:variant>
      <vt:variant>
        <vt:i4>0</vt:i4>
      </vt:variant>
      <vt:variant>
        <vt:i4>5</vt:i4>
      </vt:variant>
      <vt:variant>
        <vt:lpwstr>https://www.crd.york.ac.uk/prospero/display_record.php?ID=CRD42018088479</vt:lpwstr>
      </vt:variant>
      <vt:variant>
        <vt:lpwstr/>
      </vt:variant>
      <vt:variant>
        <vt:i4>6815775</vt:i4>
      </vt:variant>
      <vt:variant>
        <vt:i4>1266</vt:i4>
      </vt:variant>
      <vt:variant>
        <vt:i4>0</vt:i4>
      </vt:variant>
      <vt:variant>
        <vt:i4>5</vt:i4>
      </vt:variant>
      <vt:variant>
        <vt:lpwstr>https://www.crd.york.ac.uk/prospero/display_record.php?ID=CRD42023417473</vt:lpwstr>
      </vt:variant>
      <vt:variant>
        <vt:lpwstr/>
      </vt:variant>
      <vt:variant>
        <vt:i4>6619167</vt:i4>
      </vt:variant>
      <vt:variant>
        <vt:i4>1263</vt:i4>
      </vt:variant>
      <vt:variant>
        <vt:i4>0</vt:i4>
      </vt:variant>
      <vt:variant>
        <vt:i4>5</vt:i4>
      </vt:variant>
      <vt:variant>
        <vt:lpwstr>https://www.crd.york.ac.uk/prospero/display_record.php?ID=CRD42017063940</vt:lpwstr>
      </vt:variant>
      <vt:variant>
        <vt:lpwstr/>
      </vt:variant>
      <vt:variant>
        <vt:i4>6881311</vt:i4>
      </vt:variant>
      <vt:variant>
        <vt:i4>1260</vt:i4>
      </vt:variant>
      <vt:variant>
        <vt:i4>0</vt:i4>
      </vt:variant>
      <vt:variant>
        <vt:i4>5</vt:i4>
      </vt:variant>
      <vt:variant>
        <vt:lpwstr>https://www.crd.york.ac.uk/prospero/display_record.php?ID=CRD42018081367</vt:lpwstr>
      </vt:variant>
      <vt:variant>
        <vt:lpwstr/>
      </vt:variant>
      <vt:variant>
        <vt:i4>6684693</vt:i4>
      </vt:variant>
      <vt:variant>
        <vt:i4>1257</vt:i4>
      </vt:variant>
      <vt:variant>
        <vt:i4>0</vt:i4>
      </vt:variant>
      <vt:variant>
        <vt:i4>5</vt:i4>
      </vt:variant>
      <vt:variant>
        <vt:lpwstr>https://www.crd.york.ac.uk/prospero/display_record.php?ID=CRD42023388050</vt:lpwstr>
      </vt:variant>
      <vt:variant>
        <vt:lpwstr/>
      </vt:variant>
      <vt:variant>
        <vt:i4>6946840</vt:i4>
      </vt:variant>
      <vt:variant>
        <vt:i4>1254</vt:i4>
      </vt:variant>
      <vt:variant>
        <vt:i4>0</vt:i4>
      </vt:variant>
      <vt:variant>
        <vt:i4>5</vt:i4>
      </vt:variant>
      <vt:variant>
        <vt:lpwstr>https://www.crd.york.ac.uk/prospero/display_record.php?ID=CRD42020222530</vt:lpwstr>
      </vt:variant>
      <vt:variant>
        <vt:lpwstr/>
      </vt:variant>
      <vt:variant>
        <vt:i4>6815768</vt:i4>
      </vt:variant>
      <vt:variant>
        <vt:i4>1251</vt:i4>
      </vt:variant>
      <vt:variant>
        <vt:i4>0</vt:i4>
      </vt:variant>
      <vt:variant>
        <vt:i4>5</vt:i4>
      </vt:variant>
      <vt:variant>
        <vt:lpwstr>https://www.crd.york.ac.uk/prospero/display_record.php?ID=CRD42021270615</vt:lpwstr>
      </vt:variant>
      <vt:variant>
        <vt:lpwstr/>
      </vt:variant>
      <vt:variant>
        <vt:i4>6946847</vt:i4>
      </vt:variant>
      <vt:variant>
        <vt:i4>1248</vt:i4>
      </vt:variant>
      <vt:variant>
        <vt:i4>0</vt:i4>
      </vt:variant>
      <vt:variant>
        <vt:i4>5</vt:i4>
      </vt:variant>
      <vt:variant>
        <vt:lpwstr>https://www.crd.york.ac.uk/prospero/display_record.php?ID=CRD42023424345</vt:lpwstr>
      </vt:variant>
      <vt:variant>
        <vt:lpwstr/>
      </vt:variant>
      <vt:variant>
        <vt:i4>6488082</vt:i4>
      </vt:variant>
      <vt:variant>
        <vt:i4>1245</vt:i4>
      </vt:variant>
      <vt:variant>
        <vt:i4>0</vt:i4>
      </vt:variant>
      <vt:variant>
        <vt:i4>5</vt:i4>
      </vt:variant>
      <vt:variant>
        <vt:lpwstr>https://www.crd.york.ac.uk/prospero/display_record.php?ID=CRD42020151893</vt:lpwstr>
      </vt:variant>
      <vt:variant>
        <vt:lpwstr/>
      </vt:variant>
      <vt:variant>
        <vt:i4>7077919</vt:i4>
      </vt:variant>
      <vt:variant>
        <vt:i4>1242</vt:i4>
      </vt:variant>
      <vt:variant>
        <vt:i4>0</vt:i4>
      </vt:variant>
      <vt:variant>
        <vt:i4>5</vt:i4>
      </vt:variant>
      <vt:variant>
        <vt:lpwstr>https://www.crd.york.ac.uk/prospero/display_record.php?ID=CRD42020215333</vt:lpwstr>
      </vt:variant>
      <vt:variant>
        <vt:lpwstr/>
      </vt:variant>
      <vt:variant>
        <vt:i4>5701724</vt:i4>
      </vt:variant>
      <vt:variant>
        <vt:i4>1239</vt:i4>
      </vt:variant>
      <vt:variant>
        <vt:i4>0</vt:i4>
      </vt:variant>
      <vt:variant>
        <vt:i4>5</vt:i4>
      </vt:variant>
      <vt:variant>
        <vt:lpwstr>https://doi.org/10.1213/ane.0000000000004673</vt:lpwstr>
      </vt:variant>
      <vt:variant>
        <vt:lpwstr/>
      </vt:variant>
      <vt:variant>
        <vt:i4>6488082</vt:i4>
      </vt:variant>
      <vt:variant>
        <vt:i4>1236</vt:i4>
      </vt:variant>
      <vt:variant>
        <vt:i4>0</vt:i4>
      </vt:variant>
      <vt:variant>
        <vt:i4>5</vt:i4>
      </vt:variant>
      <vt:variant>
        <vt:lpwstr>https://www.crd.york.ac.uk/prospero/display_record.php?ID=CRD42018103284</vt:lpwstr>
      </vt:variant>
      <vt:variant>
        <vt:lpwstr/>
      </vt:variant>
      <vt:variant>
        <vt:i4>7077909</vt:i4>
      </vt:variant>
      <vt:variant>
        <vt:i4>1233</vt:i4>
      </vt:variant>
      <vt:variant>
        <vt:i4>0</vt:i4>
      </vt:variant>
      <vt:variant>
        <vt:i4>5</vt:i4>
      </vt:variant>
      <vt:variant>
        <vt:lpwstr>https://www.crd.york.ac.uk/prospero/display_record.php?ID=CRD42020197189</vt:lpwstr>
      </vt:variant>
      <vt:variant>
        <vt:lpwstr/>
      </vt:variant>
      <vt:variant>
        <vt:i4>7274516</vt:i4>
      </vt:variant>
      <vt:variant>
        <vt:i4>1230</vt:i4>
      </vt:variant>
      <vt:variant>
        <vt:i4>0</vt:i4>
      </vt:variant>
      <vt:variant>
        <vt:i4>5</vt:i4>
      </vt:variant>
      <vt:variant>
        <vt:lpwstr>https://www.crd.york.ac.uk/prospero/display_record.php?ID=CRD42022314485</vt:lpwstr>
      </vt:variant>
      <vt:variant>
        <vt:lpwstr/>
      </vt:variant>
      <vt:variant>
        <vt:i4>6815772</vt:i4>
      </vt:variant>
      <vt:variant>
        <vt:i4>1227</vt:i4>
      </vt:variant>
      <vt:variant>
        <vt:i4>0</vt:i4>
      </vt:variant>
      <vt:variant>
        <vt:i4>5</vt:i4>
      </vt:variant>
      <vt:variant>
        <vt:lpwstr>https://www.crd.york.ac.uk/prospero/display_record.php?ID=CRD42021284814</vt:lpwstr>
      </vt:variant>
      <vt:variant>
        <vt:lpwstr/>
      </vt:variant>
      <vt:variant>
        <vt:i4>6815763</vt:i4>
      </vt:variant>
      <vt:variant>
        <vt:i4>1224</vt:i4>
      </vt:variant>
      <vt:variant>
        <vt:i4>0</vt:i4>
      </vt:variant>
      <vt:variant>
        <vt:i4>5</vt:i4>
      </vt:variant>
      <vt:variant>
        <vt:lpwstr>https://www.crd.york.ac.uk/prospero/display_record.php?ID=CRD42022328633</vt:lpwstr>
      </vt:variant>
      <vt:variant>
        <vt:lpwstr/>
      </vt:variant>
      <vt:variant>
        <vt:i4>7208991</vt:i4>
      </vt:variant>
      <vt:variant>
        <vt:i4>1221</vt:i4>
      </vt:variant>
      <vt:variant>
        <vt:i4>0</vt:i4>
      </vt:variant>
      <vt:variant>
        <vt:i4>5</vt:i4>
      </vt:variant>
      <vt:variant>
        <vt:lpwstr>https://www.crd.york.ac.uk/prospero/display_record.php?ID=CRD42021242640</vt:lpwstr>
      </vt:variant>
      <vt:variant>
        <vt:lpwstr/>
      </vt:variant>
      <vt:variant>
        <vt:i4>7077917</vt:i4>
      </vt:variant>
      <vt:variant>
        <vt:i4>1218</vt:i4>
      </vt:variant>
      <vt:variant>
        <vt:i4>0</vt:i4>
      </vt:variant>
      <vt:variant>
        <vt:i4>5</vt:i4>
      </vt:variant>
      <vt:variant>
        <vt:lpwstr>https://www.crd.york.ac.uk/prospero/display_record.php?ID=CRD42021261056</vt:lpwstr>
      </vt:variant>
      <vt:variant>
        <vt:lpwstr/>
      </vt:variant>
      <vt:variant>
        <vt:i4>6946841</vt:i4>
      </vt:variant>
      <vt:variant>
        <vt:i4>1215</vt:i4>
      </vt:variant>
      <vt:variant>
        <vt:i4>0</vt:i4>
      </vt:variant>
      <vt:variant>
        <vt:i4>5</vt:i4>
      </vt:variant>
      <vt:variant>
        <vt:lpwstr>https://www.crd.york.ac.uk/prospero/display_record.php?ID=CRD42021266262</vt:lpwstr>
      </vt:variant>
      <vt:variant>
        <vt:lpwstr/>
      </vt:variant>
      <vt:variant>
        <vt:i4>6684703</vt:i4>
      </vt:variant>
      <vt:variant>
        <vt:i4>1212</vt:i4>
      </vt:variant>
      <vt:variant>
        <vt:i4>0</vt:i4>
      </vt:variant>
      <vt:variant>
        <vt:i4>5</vt:i4>
      </vt:variant>
      <vt:variant>
        <vt:lpwstr>https://www.crd.york.ac.uk/prospero/display_record.php?ID=CRD42020211872</vt:lpwstr>
      </vt:variant>
      <vt:variant>
        <vt:lpwstr/>
      </vt:variant>
      <vt:variant>
        <vt:i4>6881304</vt:i4>
      </vt:variant>
      <vt:variant>
        <vt:i4>1209</vt:i4>
      </vt:variant>
      <vt:variant>
        <vt:i4>0</vt:i4>
      </vt:variant>
      <vt:variant>
        <vt:i4>5</vt:i4>
      </vt:variant>
      <vt:variant>
        <vt:lpwstr>https://www.crd.york.ac.uk/prospero/display_record.php?ID=CRD42023423045</vt:lpwstr>
      </vt:variant>
      <vt:variant>
        <vt:lpwstr/>
      </vt:variant>
      <vt:variant>
        <vt:i4>983112</vt:i4>
      </vt:variant>
      <vt:variant>
        <vt:i4>1206</vt:i4>
      </vt:variant>
      <vt:variant>
        <vt:i4>0</vt:i4>
      </vt:variant>
      <vt:variant>
        <vt:i4>5</vt:i4>
      </vt:variant>
      <vt:variant>
        <vt:lpwstr>https://doi.org/10.1080/10408398.2023.2212817</vt:lpwstr>
      </vt:variant>
      <vt:variant>
        <vt:lpwstr/>
      </vt:variant>
      <vt:variant>
        <vt:i4>6357021</vt:i4>
      </vt:variant>
      <vt:variant>
        <vt:i4>1203</vt:i4>
      </vt:variant>
      <vt:variant>
        <vt:i4>0</vt:i4>
      </vt:variant>
      <vt:variant>
        <vt:i4>5</vt:i4>
      </vt:variant>
      <vt:variant>
        <vt:lpwstr>https://www.crd.york.ac.uk/prospero/display_record.php?ID=CRD42022372178</vt:lpwstr>
      </vt:variant>
      <vt:variant>
        <vt:lpwstr/>
      </vt:variant>
      <vt:variant>
        <vt:i4>6357020</vt:i4>
      </vt:variant>
      <vt:variant>
        <vt:i4>1200</vt:i4>
      </vt:variant>
      <vt:variant>
        <vt:i4>0</vt:i4>
      </vt:variant>
      <vt:variant>
        <vt:i4>5</vt:i4>
      </vt:variant>
      <vt:variant>
        <vt:lpwstr>https://www.crd.york.ac.uk/prospero/display_record.php?ID=CRD42017072569</vt:lpwstr>
      </vt:variant>
      <vt:variant>
        <vt:lpwstr/>
      </vt:variant>
      <vt:variant>
        <vt:i4>6881299</vt:i4>
      </vt:variant>
      <vt:variant>
        <vt:i4>1197</vt:i4>
      </vt:variant>
      <vt:variant>
        <vt:i4>0</vt:i4>
      </vt:variant>
      <vt:variant>
        <vt:i4>5</vt:i4>
      </vt:variant>
      <vt:variant>
        <vt:lpwstr>https://www.crd.york.ac.uk/prospero/display_record.php?ID=CRD42020168416</vt:lpwstr>
      </vt:variant>
      <vt:variant>
        <vt:lpwstr/>
      </vt:variant>
      <vt:variant>
        <vt:i4>2621494</vt:i4>
      </vt:variant>
      <vt:variant>
        <vt:i4>1194</vt:i4>
      </vt:variant>
      <vt:variant>
        <vt:i4>0</vt:i4>
      </vt:variant>
      <vt:variant>
        <vt:i4>5</vt:i4>
      </vt:variant>
      <vt:variant>
        <vt:lpwstr>https://doi.org/10.1016/j.ajog.2016.11.792</vt:lpwstr>
      </vt:variant>
      <vt:variant>
        <vt:lpwstr/>
      </vt:variant>
      <vt:variant>
        <vt:i4>7208979</vt:i4>
      </vt:variant>
      <vt:variant>
        <vt:i4>1191</vt:i4>
      </vt:variant>
      <vt:variant>
        <vt:i4>0</vt:i4>
      </vt:variant>
      <vt:variant>
        <vt:i4>5</vt:i4>
      </vt:variant>
      <vt:variant>
        <vt:lpwstr>https://www.crd.york.ac.uk/prospero/display_record.php?ID=CRD42016043584</vt:lpwstr>
      </vt:variant>
      <vt:variant>
        <vt:lpwstr/>
      </vt:variant>
      <vt:variant>
        <vt:i4>6291481</vt:i4>
      </vt:variant>
      <vt:variant>
        <vt:i4>1188</vt:i4>
      </vt:variant>
      <vt:variant>
        <vt:i4>0</vt:i4>
      </vt:variant>
      <vt:variant>
        <vt:i4>5</vt:i4>
      </vt:variant>
      <vt:variant>
        <vt:lpwstr>https://www.crd.york.ac.uk/prospero/display_record.php?ID=CRD42018090915</vt:lpwstr>
      </vt:variant>
      <vt:variant>
        <vt:lpwstr/>
      </vt:variant>
      <vt:variant>
        <vt:i4>2883634</vt:i4>
      </vt:variant>
      <vt:variant>
        <vt:i4>1185</vt:i4>
      </vt:variant>
      <vt:variant>
        <vt:i4>0</vt:i4>
      </vt:variant>
      <vt:variant>
        <vt:i4>5</vt:i4>
      </vt:variant>
      <vt:variant>
        <vt:lpwstr>https://doi.org/10.1002/14651858.CD011353.pub2</vt:lpwstr>
      </vt:variant>
      <vt:variant>
        <vt:lpwstr/>
      </vt:variant>
      <vt:variant>
        <vt:i4>7274512</vt:i4>
      </vt:variant>
      <vt:variant>
        <vt:i4>1182</vt:i4>
      </vt:variant>
      <vt:variant>
        <vt:i4>0</vt:i4>
      </vt:variant>
      <vt:variant>
        <vt:i4>5</vt:i4>
      </vt:variant>
      <vt:variant>
        <vt:lpwstr>https://www.crd.york.ac.uk/prospero/display_record.php?ID=CRD42015020481</vt:lpwstr>
      </vt:variant>
      <vt:variant>
        <vt:lpwstr/>
      </vt:variant>
      <vt:variant>
        <vt:i4>6946844</vt:i4>
      </vt:variant>
      <vt:variant>
        <vt:i4>1179</vt:i4>
      </vt:variant>
      <vt:variant>
        <vt:i4>0</vt:i4>
      </vt:variant>
      <vt:variant>
        <vt:i4>5</vt:i4>
      </vt:variant>
      <vt:variant>
        <vt:lpwstr>https://www.crd.york.ac.uk/prospero/display_record.php?ID=CRD42022354101</vt:lpwstr>
      </vt:variant>
      <vt:variant>
        <vt:lpwstr/>
      </vt:variant>
      <vt:variant>
        <vt:i4>5111818</vt:i4>
      </vt:variant>
      <vt:variant>
        <vt:i4>1176</vt:i4>
      </vt:variant>
      <vt:variant>
        <vt:i4>0</vt:i4>
      </vt:variant>
      <vt:variant>
        <vt:i4>5</vt:i4>
      </vt:variant>
      <vt:variant>
        <vt:lpwstr>https://doi.org/10.1007%2Fs12011-023-03690-4</vt:lpwstr>
      </vt:variant>
      <vt:variant>
        <vt:lpwstr/>
      </vt:variant>
      <vt:variant>
        <vt:i4>7208990</vt:i4>
      </vt:variant>
      <vt:variant>
        <vt:i4>1173</vt:i4>
      </vt:variant>
      <vt:variant>
        <vt:i4>0</vt:i4>
      </vt:variant>
      <vt:variant>
        <vt:i4>5</vt:i4>
      </vt:variant>
      <vt:variant>
        <vt:lpwstr>https://www.crd.york.ac.uk/prospero/display_record.php?ID=CRD42018092042</vt:lpwstr>
      </vt:variant>
      <vt:variant>
        <vt:lpwstr/>
      </vt:variant>
      <vt:variant>
        <vt:i4>7208983</vt:i4>
      </vt:variant>
      <vt:variant>
        <vt:i4>1170</vt:i4>
      </vt:variant>
      <vt:variant>
        <vt:i4>0</vt:i4>
      </vt:variant>
      <vt:variant>
        <vt:i4>5</vt:i4>
      </vt:variant>
      <vt:variant>
        <vt:lpwstr>https://www.crd.york.ac.uk/prospero/display_record.php?ID=CRD42018089566</vt:lpwstr>
      </vt:variant>
      <vt:variant>
        <vt:lpwstr/>
      </vt:variant>
      <vt:variant>
        <vt:i4>7208983</vt:i4>
      </vt:variant>
      <vt:variant>
        <vt:i4>1167</vt:i4>
      </vt:variant>
      <vt:variant>
        <vt:i4>0</vt:i4>
      </vt:variant>
      <vt:variant>
        <vt:i4>5</vt:i4>
      </vt:variant>
      <vt:variant>
        <vt:lpwstr>https://www.crd.york.ac.uk/prospero/display_record.php?ID=CRD42018089566</vt:lpwstr>
      </vt:variant>
      <vt:variant>
        <vt:lpwstr/>
      </vt:variant>
      <vt:variant>
        <vt:i4>6488095</vt:i4>
      </vt:variant>
      <vt:variant>
        <vt:i4>1164</vt:i4>
      </vt:variant>
      <vt:variant>
        <vt:i4>0</vt:i4>
      </vt:variant>
      <vt:variant>
        <vt:i4>5</vt:i4>
      </vt:variant>
      <vt:variant>
        <vt:lpwstr>https://www.crd.york.ac.uk/prospero/display_record.php?ID=CRD42013004439</vt:lpwstr>
      </vt:variant>
      <vt:variant>
        <vt:lpwstr/>
      </vt:variant>
      <vt:variant>
        <vt:i4>6291486</vt:i4>
      </vt:variant>
      <vt:variant>
        <vt:i4>1161</vt:i4>
      </vt:variant>
      <vt:variant>
        <vt:i4>0</vt:i4>
      </vt:variant>
      <vt:variant>
        <vt:i4>5</vt:i4>
      </vt:variant>
      <vt:variant>
        <vt:lpwstr>https://www.crd.york.ac.uk/prospero/display_record.php?ID=CRD42023408698</vt:lpwstr>
      </vt:variant>
      <vt:variant>
        <vt:lpwstr/>
      </vt:variant>
      <vt:variant>
        <vt:i4>7012380</vt:i4>
      </vt:variant>
      <vt:variant>
        <vt:i4>1158</vt:i4>
      </vt:variant>
      <vt:variant>
        <vt:i4>0</vt:i4>
      </vt:variant>
      <vt:variant>
        <vt:i4>5</vt:i4>
      </vt:variant>
      <vt:variant>
        <vt:lpwstr>https://www.crd.york.ac.uk/prospero/display_record.php?ID=CRD42020147113</vt:lpwstr>
      </vt:variant>
      <vt:variant>
        <vt:lpwstr/>
      </vt:variant>
      <vt:variant>
        <vt:i4>3276851</vt:i4>
      </vt:variant>
      <vt:variant>
        <vt:i4>1155</vt:i4>
      </vt:variant>
      <vt:variant>
        <vt:i4>0</vt:i4>
      </vt:variant>
      <vt:variant>
        <vt:i4>5</vt:i4>
      </vt:variant>
      <vt:variant>
        <vt:lpwstr>https://doi.org/10.3389/fimmu.2023.1136343</vt:lpwstr>
      </vt:variant>
      <vt:variant>
        <vt:lpwstr/>
      </vt:variant>
      <vt:variant>
        <vt:i4>6422546</vt:i4>
      </vt:variant>
      <vt:variant>
        <vt:i4>1152</vt:i4>
      </vt:variant>
      <vt:variant>
        <vt:i4>0</vt:i4>
      </vt:variant>
      <vt:variant>
        <vt:i4>5</vt:i4>
      </vt:variant>
      <vt:variant>
        <vt:lpwstr>https://www.crd.york.ac.uk/prospero/display_record.php?ID=CRD42021289422</vt:lpwstr>
      </vt:variant>
      <vt:variant>
        <vt:lpwstr/>
      </vt:variant>
      <vt:variant>
        <vt:i4>6553623</vt:i4>
      </vt:variant>
      <vt:variant>
        <vt:i4>1149</vt:i4>
      </vt:variant>
      <vt:variant>
        <vt:i4>0</vt:i4>
      </vt:variant>
      <vt:variant>
        <vt:i4>5</vt:i4>
      </vt:variant>
      <vt:variant>
        <vt:lpwstr>https://www.crd.york.ac.uk/prospero/display_record.php?ID=CRD42019127391</vt:lpwstr>
      </vt:variant>
      <vt:variant>
        <vt:lpwstr/>
      </vt:variant>
      <vt:variant>
        <vt:i4>6881309</vt:i4>
      </vt:variant>
      <vt:variant>
        <vt:i4>1146</vt:i4>
      </vt:variant>
      <vt:variant>
        <vt:i4>0</vt:i4>
      </vt:variant>
      <vt:variant>
        <vt:i4>5</vt:i4>
      </vt:variant>
      <vt:variant>
        <vt:lpwstr>https://www.crd.york.ac.uk/prospero/display_record.php?ID=CRD42022373766</vt:lpwstr>
      </vt:variant>
      <vt:variant>
        <vt:lpwstr/>
      </vt:variant>
      <vt:variant>
        <vt:i4>6684696</vt:i4>
      </vt:variant>
      <vt:variant>
        <vt:i4>1143</vt:i4>
      </vt:variant>
      <vt:variant>
        <vt:i4>0</vt:i4>
      </vt:variant>
      <vt:variant>
        <vt:i4>5</vt:i4>
      </vt:variant>
      <vt:variant>
        <vt:lpwstr>https://www.crd.york.ac.uk/prospero/display_record.php?ID=CRD42021242937</vt:lpwstr>
      </vt:variant>
      <vt:variant>
        <vt:lpwstr/>
      </vt:variant>
      <vt:variant>
        <vt:i4>6553626</vt:i4>
      </vt:variant>
      <vt:variant>
        <vt:i4>1140</vt:i4>
      </vt:variant>
      <vt:variant>
        <vt:i4>0</vt:i4>
      </vt:variant>
      <vt:variant>
        <vt:i4>5</vt:i4>
      </vt:variant>
      <vt:variant>
        <vt:lpwstr>https://www.crd.york.ac.uk/prospero/display_record.php?ID=CRD42023387351</vt:lpwstr>
      </vt:variant>
      <vt:variant>
        <vt:lpwstr/>
      </vt:variant>
      <vt:variant>
        <vt:i4>7208985</vt:i4>
      </vt:variant>
      <vt:variant>
        <vt:i4>1137</vt:i4>
      </vt:variant>
      <vt:variant>
        <vt:i4>0</vt:i4>
      </vt:variant>
      <vt:variant>
        <vt:i4>5</vt:i4>
      </vt:variant>
      <vt:variant>
        <vt:lpwstr>https://www.crd.york.ac.uk/prospero/display_record.php?ID=CRD42021258186</vt:lpwstr>
      </vt:variant>
      <vt:variant>
        <vt:lpwstr/>
      </vt:variant>
      <vt:variant>
        <vt:i4>6946840</vt:i4>
      </vt:variant>
      <vt:variant>
        <vt:i4>1134</vt:i4>
      </vt:variant>
      <vt:variant>
        <vt:i4>0</vt:i4>
      </vt:variant>
      <vt:variant>
        <vt:i4>5</vt:i4>
      </vt:variant>
      <vt:variant>
        <vt:lpwstr>https://www.crd.york.ac.uk/prospero/display_record.php?ID=CRD42022334442</vt:lpwstr>
      </vt:variant>
      <vt:variant>
        <vt:lpwstr/>
      </vt:variant>
      <vt:variant>
        <vt:i4>6619160</vt:i4>
      </vt:variant>
      <vt:variant>
        <vt:i4>1131</vt:i4>
      </vt:variant>
      <vt:variant>
        <vt:i4>0</vt:i4>
      </vt:variant>
      <vt:variant>
        <vt:i4>5</vt:i4>
      </vt:variant>
      <vt:variant>
        <vt:lpwstr>https://www.crd.york.ac.uk/prospero/display_record.php?ID=CRD42022314249</vt:lpwstr>
      </vt:variant>
      <vt:variant>
        <vt:lpwstr/>
      </vt:variant>
      <vt:variant>
        <vt:i4>7012379</vt:i4>
      </vt:variant>
      <vt:variant>
        <vt:i4>1128</vt:i4>
      </vt:variant>
      <vt:variant>
        <vt:i4>0</vt:i4>
      </vt:variant>
      <vt:variant>
        <vt:i4>5</vt:i4>
      </vt:variant>
      <vt:variant>
        <vt:lpwstr>https://www.crd.york.ac.uk/prospero/display_record.php?ID=CRD42023392814</vt:lpwstr>
      </vt:variant>
      <vt:variant>
        <vt:lpwstr/>
      </vt:variant>
      <vt:variant>
        <vt:i4>6619157</vt:i4>
      </vt:variant>
      <vt:variant>
        <vt:i4>1122</vt:i4>
      </vt:variant>
      <vt:variant>
        <vt:i4>0</vt:i4>
      </vt:variant>
      <vt:variant>
        <vt:i4>5</vt:i4>
      </vt:variant>
      <vt:variant>
        <vt:lpwstr>https://www.crd.york.ac.uk/prospero/display_record.php?ID=CRD42018108040</vt:lpwstr>
      </vt:variant>
      <vt:variant>
        <vt:lpwstr/>
      </vt:variant>
      <vt:variant>
        <vt:i4>6750235</vt:i4>
      </vt:variant>
      <vt:variant>
        <vt:i4>1119</vt:i4>
      </vt:variant>
      <vt:variant>
        <vt:i4>0</vt:i4>
      </vt:variant>
      <vt:variant>
        <vt:i4>5</vt:i4>
      </vt:variant>
      <vt:variant>
        <vt:lpwstr>https://www.crd.york.ac.uk/prospero/display_record.php?ID=CRD42022382414</vt:lpwstr>
      </vt:variant>
      <vt:variant>
        <vt:lpwstr/>
      </vt:variant>
      <vt:variant>
        <vt:i4>4456516</vt:i4>
      </vt:variant>
      <vt:variant>
        <vt:i4>1056</vt:i4>
      </vt:variant>
      <vt:variant>
        <vt:i4>0</vt:i4>
      </vt:variant>
      <vt:variant>
        <vt:i4>5</vt:i4>
      </vt:variant>
      <vt:variant>
        <vt:lpwstr>https://bmccancer.biomedcentral.com/</vt:lpwstr>
      </vt:variant>
      <vt:variant>
        <vt:lpwstr/>
      </vt:variant>
      <vt:variant>
        <vt:i4>7077943</vt:i4>
      </vt:variant>
      <vt:variant>
        <vt:i4>1035</vt:i4>
      </vt:variant>
      <vt:variant>
        <vt:i4>0</vt:i4>
      </vt:variant>
      <vt:variant>
        <vt:i4>5</vt:i4>
      </vt:variant>
      <vt:variant>
        <vt:lpwstr>https://www.ncbi.nlm.nih.gov/books/n/hscompeffcollect/</vt:lpwstr>
      </vt:variant>
      <vt:variant>
        <vt:lpwstr/>
      </vt:variant>
      <vt:variant>
        <vt:i4>1572933</vt:i4>
      </vt:variant>
      <vt:variant>
        <vt:i4>1032</vt:i4>
      </vt:variant>
      <vt:variant>
        <vt:i4>0</vt:i4>
      </vt:variant>
      <vt:variant>
        <vt:i4>5</vt:i4>
      </vt:variant>
      <vt:variant>
        <vt:lpwstr>https://www.ncbi.nlm.nih.gov/pmc/articles/PMC6785755/</vt:lpwstr>
      </vt:variant>
      <vt:variant>
        <vt:lpwstr/>
      </vt:variant>
      <vt:variant>
        <vt:i4>3407995</vt:i4>
      </vt:variant>
      <vt:variant>
        <vt:i4>1029</vt:i4>
      </vt:variant>
      <vt:variant>
        <vt:i4>0</vt:i4>
      </vt:variant>
      <vt:variant>
        <vt:i4>5</vt:i4>
      </vt:variant>
      <vt:variant>
        <vt:lpwstr>https://www.ncbi.nlm.nih.gov/pmc/articles/PMC10583081/</vt:lpwstr>
      </vt:variant>
      <vt:variant>
        <vt:lpwstr/>
      </vt:variant>
      <vt:variant>
        <vt:i4>1048589</vt:i4>
      </vt:variant>
      <vt:variant>
        <vt:i4>981</vt:i4>
      </vt:variant>
      <vt:variant>
        <vt:i4>0</vt:i4>
      </vt:variant>
      <vt:variant>
        <vt:i4>5</vt:i4>
      </vt:variant>
      <vt:variant>
        <vt:lpwstr>https://gradepro.org/</vt:lpwstr>
      </vt:variant>
      <vt:variant>
        <vt:lpwstr/>
      </vt:variant>
      <vt:variant>
        <vt:i4>5832716</vt:i4>
      </vt:variant>
      <vt:variant>
        <vt:i4>978</vt:i4>
      </vt:variant>
      <vt:variant>
        <vt:i4>0</vt:i4>
      </vt:variant>
      <vt:variant>
        <vt:i4>5</vt:i4>
      </vt:variant>
      <vt:variant>
        <vt:lpwstr>http://www.covidence.org/</vt:lpwstr>
      </vt:variant>
      <vt:variant>
        <vt:lpwstr/>
      </vt:variant>
      <vt:variant>
        <vt:i4>720965</vt:i4>
      </vt:variant>
      <vt:variant>
        <vt:i4>975</vt:i4>
      </vt:variant>
      <vt:variant>
        <vt:i4>0</vt:i4>
      </vt:variant>
      <vt:variant>
        <vt:i4>5</vt:i4>
      </vt:variant>
      <vt:variant>
        <vt:lpwstr>https://endnote.com/</vt:lpwstr>
      </vt:variant>
      <vt:variant>
        <vt:lpwstr/>
      </vt:variant>
      <vt:variant>
        <vt:i4>1048636</vt:i4>
      </vt:variant>
      <vt:variant>
        <vt:i4>968</vt:i4>
      </vt:variant>
      <vt:variant>
        <vt:i4>0</vt:i4>
      </vt:variant>
      <vt:variant>
        <vt:i4>5</vt:i4>
      </vt:variant>
      <vt:variant>
        <vt:lpwstr/>
      </vt:variant>
      <vt:variant>
        <vt:lpwstr>_Toc179377342</vt:lpwstr>
      </vt:variant>
      <vt:variant>
        <vt:i4>1048636</vt:i4>
      </vt:variant>
      <vt:variant>
        <vt:i4>962</vt:i4>
      </vt:variant>
      <vt:variant>
        <vt:i4>0</vt:i4>
      </vt:variant>
      <vt:variant>
        <vt:i4>5</vt:i4>
      </vt:variant>
      <vt:variant>
        <vt:lpwstr/>
      </vt:variant>
      <vt:variant>
        <vt:lpwstr>_Toc179377341</vt:lpwstr>
      </vt:variant>
      <vt:variant>
        <vt:i4>1048636</vt:i4>
      </vt:variant>
      <vt:variant>
        <vt:i4>956</vt:i4>
      </vt:variant>
      <vt:variant>
        <vt:i4>0</vt:i4>
      </vt:variant>
      <vt:variant>
        <vt:i4>5</vt:i4>
      </vt:variant>
      <vt:variant>
        <vt:lpwstr/>
      </vt:variant>
      <vt:variant>
        <vt:lpwstr>_Toc179377340</vt:lpwstr>
      </vt:variant>
      <vt:variant>
        <vt:i4>1507388</vt:i4>
      </vt:variant>
      <vt:variant>
        <vt:i4>950</vt:i4>
      </vt:variant>
      <vt:variant>
        <vt:i4>0</vt:i4>
      </vt:variant>
      <vt:variant>
        <vt:i4>5</vt:i4>
      </vt:variant>
      <vt:variant>
        <vt:lpwstr/>
      </vt:variant>
      <vt:variant>
        <vt:lpwstr>_Toc179377339</vt:lpwstr>
      </vt:variant>
      <vt:variant>
        <vt:i4>1507388</vt:i4>
      </vt:variant>
      <vt:variant>
        <vt:i4>944</vt:i4>
      </vt:variant>
      <vt:variant>
        <vt:i4>0</vt:i4>
      </vt:variant>
      <vt:variant>
        <vt:i4>5</vt:i4>
      </vt:variant>
      <vt:variant>
        <vt:lpwstr/>
      </vt:variant>
      <vt:variant>
        <vt:lpwstr>_Toc179377338</vt:lpwstr>
      </vt:variant>
      <vt:variant>
        <vt:i4>1507388</vt:i4>
      </vt:variant>
      <vt:variant>
        <vt:i4>938</vt:i4>
      </vt:variant>
      <vt:variant>
        <vt:i4>0</vt:i4>
      </vt:variant>
      <vt:variant>
        <vt:i4>5</vt:i4>
      </vt:variant>
      <vt:variant>
        <vt:lpwstr/>
      </vt:variant>
      <vt:variant>
        <vt:lpwstr>_Toc179377337</vt:lpwstr>
      </vt:variant>
      <vt:variant>
        <vt:i4>1507388</vt:i4>
      </vt:variant>
      <vt:variant>
        <vt:i4>932</vt:i4>
      </vt:variant>
      <vt:variant>
        <vt:i4>0</vt:i4>
      </vt:variant>
      <vt:variant>
        <vt:i4>5</vt:i4>
      </vt:variant>
      <vt:variant>
        <vt:lpwstr/>
      </vt:variant>
      <vt:variant>
        <vt:lpwstr>_Toc179377336</vt:lpwstr>
      </vt:variant>
      <vt:variant>
        <vt:i4>1507388</vt:i4>
      </vt:variant>
      <vt:variant>
        <vt:i4>926</vt:i4>
      </vt:variant>
      <vt:variant>
        <vt:i4>0</vt:i4>
      </vt:variant>
      <vt:variant>
        <vt:i4>5</vt:i4>
      </vt:variant>
      <vt:variant>
        <vt:lpwstr/>
      </vt:variant>
      <vt:variant>
        <vt:lpwstr>_Toc179377335</vt:lpwstr>
      </vt:variant>
      <vt:variant>
        <vt:i4>1507388</vt:i4>
      </vt:variant>
      <vt:variant>
        <vt:i4>920</vt:i4>
      </vt:variant>
      <vt:variant>
        <vt:i4>0</vt:i4>
      </vt:variant>
      <vt:variant>
        <vt:i4>5</vt:i4>
      </vt:variant>
      <vt:variant>
        <vt:lpwstr/>
      </vt:variant>
      <vt:variant>
        <vt:lpwstr>_Toc179377334</vt:lpwstr>
      </vt:variant>
      <vt:variant>
        <vt:i4>1507388</vt:i4>
      </vt:variant>
      <vt:variant>
        <vt:i4>914</vt:i4>
      </vt:variant>
      <vt:variant>
        <vt:i4>0</vt:i4>
      </vt:variant>
      <vt:variant>
        <vt:i4>5</vt:i4>
      </vt:variant>
      <vt:variant>
        <vt:lpwstr/>
      </vt:variant>
      <vt:variant>
        <vt:lpwstr>_Toc179377333</vt:lpwstr>
      </vt:variant>
      <vt:variant>
        <vt:i4>1507388</vt:i4>
      </vt:variant>
      <vt:variant>
        <vt:i4>908</vt:i4>
      </vt:variant>
      <vt:variant>
        <vt:i4>0</vt:i4>
      </vt:variant>
      <vt:variant>
        <vt:i4>5</vt:i4>
      </vt:variant>
      <vt:variant>
        <vt:lpwstr/>
      </vt:variant>
      <vt:variant>
        <vt:lpwstr>_Toc179377332</vt:lpwstr>
      </vt:variant>
      <vt:variant>
        <vt:i4>1507388</vt:i4>
      </vt:variant>
      <vt:variant>
        <vt:i4>902</vt:i4>
      </vt:variant>
      <vt:variant>
        <vt:i4>0</vt:i4>
      </vt:variant>
      <vt:variant>
        <vt:i4>5</vt:i4>
      </vt:variant>
      <vt:variant>
        <vt:lpwstr/>
      </vt:variant>
      <vt:variant>
        <vt:lpwstr>_Toc179377331</vt:lpwstr>
      </vt:variant>
      <vt:variant>
        <vt:i4>1507388</vt:i4>
      </vt:variant>
      <vt:variant>
        <vt:i4>896</vt:i4>
      </vt:variant>
      <vt:variant>
        <vt:i4>0</vt:i4>
      </vt:variant>
      <vt:variant>
        <vt:i4>5</vt:i4>
      </vt:variant>
      <vt:variant>
        <vt:lpwstr/>
      </vt:variant>
      <vt:variant>
        <vt:lpwstr>_Toc179377330</vt:lpwstr>
      </vt:variant>
      <vt:variant>
        <vt:i4>1441852</vt:i4>
      </vt:variant>
      <vt:variant>
        <vt:i4>890</vt:i4>
      </vt:variant>
      <vt:variant>
        <vt:i4>0</vt:i4>
      </vt:variant>
      <vt:variant>
        <vt:i4>5</vt:i4>
      </vt:variant>
      <vt:variant>
        <vt:lpwstr/>
      </vt:variant>
      <vt:variant>
        <vt:lpwstr>_Toc179377329</vt:lpwstr>
      </vt:variant>
      <vt:variant>
        <vt:i4>1441852</vt:i4>
      </vt:variant>
      <vt:variant>
        <vt:i4>884</vt:i4>
      </vt:variant>
      <vt:variant>
        <vt:i4>0</vt:i4>
      </vt:variant>
      <vt:variant>
        <vt:i4>5</vt:i4>
      </vt:variant>
      <vt:variant>
        <vt:lpwstr/>
      </vt:variant>
      <vt:variant>
        <vt:lpwstr>_Toc179377328</vt:lpwstr>
      </vt:variant>
      <vt:variant>
        <vt:i4>1441852</vt:i4>
      </vt:variant>
      <vt:variant>
        <vt:i4>878</vt:i4>
      </vt:variant>
      <vt:variant>
        <vt:i4>0</vt:i4>
      </vt:variant>
      <vt:variant>
        <vt:i4>5</vt:i4>
      </vt:variant>
      <vt:variant>
        <vt:lpwstr/>
      </vt:variant>
      <vt:variant>
        <vt:lpwstr>_Toc179377327</vt:lpwstr>
      </vt:variant>
      <vt:variant>
        <vt:i4>1441852</vt:i4>
      </vt:variant>
      <vt:variant>
        <vt:i4>872</vt:i4>
      </vt:variant>
      <vt:variant>
        <vt:i4>0</vt:i4>
      </vt:variant>
      <vt:variant>
        <vt:i4>5</vt:i4>
      </vt:variant>
      <vt:variant>
        <vt:lpwstr/>
      </vt:variant>
      <vt:variant>
        <vt:lpwstr>_Toc179377326</vt:lpwstr>
      </vt:variant>
      <vt:variant>
        <vt:i4>1441852</vt:i4>
      </vt:variant>
      <vt:variant>
        <vt:i4>866</vt:i4>
      </vt:variant>
      <vt:variant>
        <vt:i4>0</vt:i4>
      </vt:variant>
      <vt:variant>
        <vt:i4>5</vt:i4>
      </vt:variant>
      <vt:variant>
        <vt:lpwstr/>
      </vt:variant>
      <vt:variant>
        <vt:lpwstr>_Toc179377325</vt:lpwstr>
      </vt:variant>
      <vt:variant>
        <vt:i4>1441852</vt:i4>
      </vt:variant>
      <vt:variant>
        <vt:i4>860</vt:i4>
      </vt:variant>
      <vt:variant>
        <vt:i4>0</vt:i4>
      </vt:variant>
      <vt:variant>
        <vt:i4>5</vt:i4>
      </vt:variant>
      <vt:variant>
        <vt:lpwstr/>
      </vt:variant>
      <vt:variant>
        <vt:lpwstr>_Toc179377324</vt:lpwstr>
      </vt:variant>
      <vt:variant>
        <vt:i4>1441852</vt:i4>
      </vt:variant>
      <vt:variant>
        <vt:i4>854</vt:i4>
      </vt:variant>
      <vt:variant>
        <vt:i4>0</vt:i4>
      </vt:variant>
      <vt:variant>
        <vt:i4>5</vt:i4>
      </vt:variant>
      <vt:variant>
        <vt:lpwstr/>
      </vt:variant>
      <vt:variant>
        <vt:lpwstr>_Toc179377323</vt:lpwstr>
      </vt:variant>
      <vt:variant>
        <vt:i4>1441852</vt:i4>
      </vt:variant>
      <vt:variant>
        <vt:i4>848</vt:i4>
      </vt:variant>
      <vt:variant>
        <vt:i4>0</vt:i4>
      </vt:variant>
      <vt:variant>
        <vt:i4>5</vt:i4>
      </vt:variant>
      <vt:variant>
        <vt:lpwstr/>
      </vt:variant>
      <vt:variant>
        <vt:lpwstr>_Toc179377322</vt:lpwstr>
      </vt:variant>
      <vt:variant>
        <vt:i4>1441852</vt:i4>
      </vt:variant>
      <vt:variant>
        <vt:i4>842</vt:i4>
      </vt:variant>
      <vt:variant>
        <vt:i4>0</vt:i4>
      </vt:variant>
      <vt:variant>
        <vt:i4>5</vt:i4>
      </vt:variant>
      <vt:variant>
        <vt:lpwstr/>
      </vt:variant>
      <vt:variant>
        <vt:lpwstr>_Toc179377321</vt:lpwstr>
      </vt:variant>
      <vt:variant>
        <vt:i4>1441852</vt:i4>
      </vt:variant>
      <vt:variant>
        <vt:i4>836</vt:i4>
      </vt:variant>
      <vt:variant>
        <vt:i4>0</vt:i4>
      </vt:variant>
      <vt:variant>
        <vt:i4>5</vt:i4>
      </vt:variant>
      <vt:variant>
        <vt:lpwstr/>
      </vt:variant>
      <vt:variant>
        <vt:lpwstr>_Toc179377320</vt:lpwstr>
      </vt:variant>
      <vt:variant>
        <vt:i4>1376316</vt:i4>
      </vt:variant>
      <vt:variant>
        <vt:i4>830</vt:i4>
      </vt:variant>
      <vt:variant>
        <vt:i4>0</vt:i4>
      </vt:variant>
      <vt:variant>
        <vt:i4>5</vt:i4>
      </vt:variant>
      <vt:variant>
        <vt:lpwstr/>
      </vt:variant>
      <vt:variant>
        <vt:lpwstr>_Toc179377319</vt:lpwstr>
      </vt:variant>
      <vt:variant>
        <vt:i4>1376316</vt:i4>
      </vt:variant>
      <vt:variant>
        <vt:i4>824</vt:i4>
      </vt:variant>
      <vt:variant>
        <vt:i4>0</vt:i4>
      </vt:variant>
      <vt:variant>
        <vt:i4>5</vt:i4>
      </vt:variant>
      <vt:variant>
        <vt:lpwstr/>
      </vt:variant>
      <vt:variant>
        <vt:lpwstr>_Toc179377318</vt:lpwstr>
      </vt:variant>
      <vt:variant>
        <vt:i4>1376316</vt:i4>
      </vt:variant>
      <vt:variant>
        <vt:i4>818</vt:i4>
      </vt:variant>
      <vt:variant>
        <vt:i4>0</vt:i4>
      </vt:variant>
      <vt:variant>
        <vt:i4>5</vt:i4>
      </vt:variant>
      <vt:variant>
        <vt:lpwstr/>
      </vt:variant>
      <vt:variant>
        <vt:lpwstr>_Toc179377317</vt:lpwstr>
      </vt:variant>
      <vt:variant>
        <vt:i4>1376316</vt:i4>
      </vt:variant>
      <vt:variant>
        <vt:i4>812</vt:i4>
      </vt:variant>
      <vt:variant>
        <vt:i4>0</vt:i4>
      </vt:variant>
      <vt:variant>
        <vt:i4>5</vt:i4>
      </vt:variant>
      <vt:variant>
        <vt:lpwstr/>
      </vt:variant>
      <vt:variant>
        <vt:lpwstr>_Toc179377316</vt:lpwstr>
      </vt:variant>
      <vt:variant>
        <vt:i4>1376316</vt:i4>
      </vt:variant>
      <vt:variant>
        <vt:i4>806</vt:i4>
      </vt:variant>
      <vt:variant>
        <vt:i4>0</vt:i4>
      </vt:variant>
      <vt:variant>
        <vt:i4>5</vt:i4>
      </vt:variant>
      <vt:variant>
        <vt:lpwstr/>
      </vt:variant>
      <vt:variant>
        <vt:lpwstr>_Toc179377315</vt:lpwstr>
      </vt:variant>
      <vt:variant>
        <vt:i4>1376316</vt:i4>
      </vt:variant>
      <vt:variant>
        <vt:i4>800</vt:i4>
      </vt:variant>
      <vt:variant>
        <vt:i4>0</vt:i4>
      </vt:variant>
      <vt:variant>
        <vt:i4>5</vt:i4>
      </vt:variant>
      <vt:variant>
        <vt:lpwstr/>
      </vt:variant>
      <vt:variant>
        <vt:lpwstr>_Toc179377314</vt:lpwstr>
      </vt:variant>
      <vt:variant>
        <vt:i4>1376316</vt:i4>
      </vt:variant>
      <vt:variant>
        <vt:i4>794</vt:i4>
      </vt:variant>
      <vt:variant>
        <vt:i4>0</vt:i4>
      </vt:variant>
      <vt:variant>
        <vt:i4>5</vt:i4>
      </vt:variant>
      <vt:variant>
        <vt:lpwstr/>
      </vt:variant>
      <vt:variant>
        <vt:lpwstr>_Toc179377313</vt:lpwstr>
      </vt:variant>
      <vt:variant>
        <vt:i4>1376316</vt:i4>
      </vt:variant>
      <vt:variant>
        <vt:i4>788</vt:i4>
      </vt:variant>
      <vt:variant>
        <vt:i4>0</vt:i4>
      </vt:variant>
      <vt:variant>
        <vt:i4>5</vt:i4>
      </vt:variant>
      <vt:variant>
        <vt:lpwstr/>
      </vt:variant>
      <vt:variant>
        <vt:lpwstr>_Toc179377312</vt:lpwstr>
      </vt:variant>
      <vt:variant>
        <vt:i4>1376316</vt:i4>
      </vt:variant>
      <vt:variant>
        <vt:i4>782</vt:i4>
      </vt:variant>
      <vt:variant>
        <vt:i4>0</vt:i4>
      </vt:variant>
      <vt:variant>
        <vt:i4>5</vt:i4>
      </vt:variant>
      <vt:variant>
        <vt:lpwstr/>
      </vt:variant>
      <vt:variant>
        <vt:lpwstr>_Toc179377311</vt:lpwstr>
      </vt:variant>
      <vt:variant>
        <vt:i4>1376316</vt:i4>
      </vt:variant>
      <vt:variant>
        <vt:i4>776</vt:i4>
      </vt:variant>
      <vt:variant>
        <vt:i4>0</vt:i4>
      </vt:variant>
      <vt:variant>
        <vt:i4>5</vt:i4>
      </vt:variant>
      <vt:variant>
        <vt:lpwstr/>
      </vt:variant>
      <vt:variant>
        <vt:lpwstr>_Toc179377310</vt:lpwstr>
      </vt:variant>
      <vt:variant>
        <vt:i4>1310780</vt:i4>
      </vt:variant>
      <vt:variant>
        <vt:i4>770</vt:i4>
      </vt:variant>
      <vt:variant>
        <vt:i4>0</vt:i4>
      </vt:variant>
      <vt:variant>
        <vt:i4>5</vt:i4>
      </vt:variant>
      <vt:variant>
        <vt:lpwstr/>
      </vt:variant>
      <vt:variant>
        <vt:lpwstr>_Toc179377309</vt:lpwstr>
      </vt:variant>
      <vt:variant>
        <vt:i4>1310780</vt:i4>
      </vt:variant>
      <vt:variant>
        <vt:i4>764</vt:i4>
      </vt:variant>
      <vt:variant>
        <vt:i4>0</vt:i4>
      </vt:variant>
      <vt:variant>
        <vt:i4>5</vt:i4>
      </vt:variant>
      <vt:variant>
        <vt:lpwstr/>
      </vt:variant>
      <vt:variant>
        <vt:lpwstr>_Toc179377308</vt:lpwstr>
      </vt:variant>
      <vt:variant>
        <vt:i4>1310780</vt:i4>
      </vt:variant>
      <vt:variant>
        <vt:i4>758</vt:i4>
      </vt:variant>
      <vt:variant>
        <vt:i4>0</vt:i4>
      </vt:variant>
      <vt:variant>
        <vt:i4>5</vt:i4>
      </vt:variant>
      <vt:variant>
        <vt:lpwstr/>
      </vt:variant>
      <vt:variant>
        <vt:lpwstr>_Toc179377307</vt:lpwstr>
      </vt:variant>
      <vt:variant>
        <vt:i4>1310780</vt:i4>
      </vt:variant>
      <vt:variant>
        <vt:i4>752</vt:i4>
      </vt:variant>
      <vt:variant>
        <vt:i4>0</vt:i4>
      </vt:variant>
      <vt:variant>
        <vt:i4>5</vt:i4>
      </vt:variant>
      <vt:variant>
        <vt:lpwstr/>
      </vt:variant>
      <vt:variant>
        <vt:lpwstr>_Toc179377306</vt:lpwstr>
      </vt:variant>
      <vt:variant>
        <vt:i4>1310780</vt:i4>
      </vt:variant>
      <vt:variant>
        <vt:i4>746</vt:i4>
      </vt:variant>
      <vt:variant>
        <vt:i4>0</vt:i4>
      </vt:variant>
      <vt:variant>
        <vt:i4>5</vt:i4>
      </vt:variant>
      <vt:variant>
        <vt:lpwstr/>
      </vt:variant>
      <vt:variant>
        <vt:lpwstr>_Toc179377305</vt:lpwstr>
      </vt:variant>
      <vt:variant>
        <vt:i4>1310780</vt:i4>
      </vt:variant>
      <vt:variant>
        <vt:i4>740</vt:i4>
      </vt:variant>
      <vt:variant>
        <vt:i4>0</vt:i4>
      </vt:variant>
      <vt:variant>
        <vt:i4>5</vt:i4>
      </vt:variant>
      <vt:variant>
        <vt:lpwstr/>
      </vt:variant>
      <vt:variant>
        <vt:lpwstr>_Toc179377304</vt:lpwstr>
      </vt:variant>
      <vt:variant>
        <vt:i4>1310780</vt:i4>
      </vt:variant>
      <vt:variant>
        <vt:i4>734</vt:i4>
      </vt:variant>
      <vt:variant>
        <vt:i4>0</vt:i4>
      </vt:variant>
      <vt:variant>
        <vt:i4>5</vt:i4>
      </vt:variant>
      <vt:variant>
        <vt:lpwstr/>
      </vt:variant>
      <vt:variant>
        <vt:lpwstr>_Toc179377303</vt:lpwstr>
      </vt:variant>
      <vt:variant>
        <vt:i4>1310780</vt:i4>
      </vt:variant>
      <vt:variant>
        <vt:i4>728</vt:i4>
      </vt:variant>
      <vt:variant>
        <vt:i4>0</vt:i4>
      </vt:variant>
      <vt:variant>
        <vt:i4>5</vt:i4>
      </vt:variant>
      <vt:variant>
        <vt:lpwstr/>
      </vt:variant>
      <vt:variant>
        <vt:lpwstr>_Toc179377302</vt:lpwstr>
      </vt:variant>
      <vt:variant>
        <vt:i4>1310780</vt:i4>
      </vt:variant>
      <vt:variant>
        <vt:i4>722</vt:i4>
      </vt:variant>
      <vt:variant>
        <vt:i4>0</vt:i4>
      </vt:variant>
      <vt:variant>
        <vt:i4>5</vt:i4>
      </vt:variant>
      <vt:variant>
        <vt:lpwstr/>
      </vt:variant>
      <vt:variant>
        <vt:lpwstr>_Toc179377301</vt:lpwstr>
      </vt:variant>
      <vt:variant>
        <vt:i4>1310780</vt:i4>
      </vt:variant>
      <vt:variant>
        <vt:i4>716</vt:i4>
      </vt:variant>
      <vt:variant>
        <vt:i4>0</vt:i4>
      </vt:variant>
      <vt:variant>
        <vt:i4>5</vt:i4>
      </vt:variant>
      <vt:variant>
        <vt:lpwstr/>
      </vt:variant>
      <vt:variant>
        <vt:lpwstr>_Toc179377300</vt:lpwstr>
      </vt:variant>
      <vt:variant>
        <vt:i4>1900605</vt:i4>
      </vt:variant>
      <vt:variant>
        <vt:i4>710</vt:i4>
      </vt:variant>
      <vt:variant>
        <vt:i4>0</vt:i4>
      </vt:variant>
      <vt:variant>
        <vt:i4>5</vt:i4>
      </vt:variant>
      <vt:variant>
        <vt:lpwstr/>
      </vt:variant>
      <vt:variant>
        <vt:lpwstr>_Toc179377299</vt:lpwstr>
      </vt:variant>
      <vt:variant>
        <vt:i4>1900605</vt:i4>
      </vt:variant>
      <vt:variant>
        <vt:i4>704</vt:i4>
      </vt:variant>
      <vt:variant>
        <vt:i4>0</vt:i4>
      </vt:variant>
      <vt:variant>
        <vt:i4>5</vt:i4>
      </vt:variant>
      <vt:variant>
        <vt:lpwstr/>
      </vt:variant>
      <vt:variant>
        <vt:lpwstr>_Toc179377298</vt:lpwstr>
      </vt:variant>
      <vt:variant>
        <vt:i4>1900605</vt:i4>
      </vt:variant>
      <vt:variant>
        <vt:i4>698</vt:i4>
      </vt:variant>
      <vt:variant>
        <vt:i4>0</vt:i4>
      </vt:variant>
      <vt:variant>
        <vt:i4>5</vt:i4>
      </vt:variant>
      <vt:variant>
        <vt:lpwstr/>
      </vt:variant>
      <vt:variant>
        <vt:lpwstr>_Toc179377297</vt:lpwstr>
      </vt:variant>
      <vt:variant>
        <vt:i4>1900605</vt:i4>
      </vt:variant>
      <vt:variant>
        <vt:i4>692</vt:i4>
      </vt:variant>
      <vt:variant>
        <vt:i4>0</vt:i4>
      </vt:variant>
      <vt:variant>
        <vt:i4>5</vt:i4>
      </vt:variant>
      <vt:variant>
        <vt:lpwstr/>
      </vt:variant>
      <vt:variant>
        <vt:lpwstr>_Toc179377296</vt:lpwstr>
      </vt:variant>
      <vt:variant>
        <vt:i4>1900605</vt:i4>
      </vt:variant>
      <vt:variant>
        <vt:i4>686</vt:i4>
      </vt:variant>
      <vt:variant>
        <vt:i4>0</vt:i4>
      </vt:variant>
      <vt:variant>
        <vt:i4>5</vt:i4>
      </vt:variant>
      <vt:variant>
        <vt:lpwstr/>
      </vt:variant>
      <vt:variant>
        <vt:lpwstr>_Toc179377295</vt:lpwstr>
      </vt:variant>
      <vt:variant>
        <vt:i4>1900605</vt:i4>
      </vt:variant>
      <vt:variant>
        <vt:i4>680</vt:i4>
      </vt:variant>
      <vt:variant>
        <vt:i4>0</vt:i4>
      </vt:variant>
      <vt:variant>
        <vt:i4>5</vt:i4>
      </vt:variant>
      <vt:variant>
        <vt:lpwstr/>
      </vt:variant>
      <vt:variant>
        <vt:lpwstr>_Toc179377294</vt:lpwstr>
      </vt:variant>
      <vt:variant>
        <vt:i4>1900605</vt:i4>
      </vt:variant>
      <vt:variant>
        <vt:i4>674</vt:i4>
      </vt:variant>
      <vt:variant>
        <vt:i4>0</vt:i4>
      </vt:variant>
      <vt:variant>
        <vt:i4>5</vt:i4>
      </vt:variant>
      <vt:variant>
        <vt:lpwstr/>
      </vt:variant>
      <vt:variant>
        <vt:lpwstr>_Toc179377293</vt:lpwstr>
      </vt:variant>
      <vt:variant>
        <vt:i4>1900605</vt:i4>
      </vt:variant>
      <vt:variant>
        <vt:i4>668</vt:i4>
      </vt:variant>
      <vt:variant>
        <vt:i4>0</vt:i4>
      </vt:variant>
      <vt:variant>
        <vt:i4>5</vt:i4>
      </vt:variant>
      <vt:variant>
        <vt:lpwstr/>
      </vt:variant>
      <vt:variant>
        <vt:lpwstr>_Toc179377292</vt:lpwstr>
      </vt:variant>
      <vt:variant>
        <vt:i4>1900605</vt:i4>
      </vt:variant>
      <vt:variant>
        <vt:i4>662</vt:i4>
      </vt:variant>
      <vt:variant>
        <vt:i4>0</vt:i4>
      </vt:variant>
      <vt:variant>
        <vt:i4>5</vt:i4>
      </vt:variant>
      <vt:variant>
        <vt:lpwstr/>
      </vt:variant>
      <vt:variant>
        <vt:lpwstr>_Toc179377291</vt:lpwstr>
      </vt:variant>
      <vt:variant>
        <vt:i4>1900605</vt:i4>
      </vt:variant>
      <vt:variant>
        <vt:i4>656</vt:i4>
      </vt:variant>
      <vt:variant>
        <vt:i4>0</vt:i4>
      </vt:variant>
      <vt:variant>
        <vt:i4>5</vt:i4>
      </vt:variant>
      <vt:variant>
        <vt:lpwstr/>
      </vt:variant>
      <vt:variant>
        <vt:lpwstr>_Toc179377290</vt:lpwstr>
      </vt:variant>
      <vt:variant>
        <vt:i4>1835069</vt:i4>
      </vt:variant>
      <vt:variant>
        <vt:i4>650</vt:i4>
      </vt:variant>
      <vt:variant>
        <vt:i4>0</vt:i4>
      </vt:variant>
      <vt:variant>
        <vt:i4>5</vt:i4>
      </vt:variant>
      <vt:variant>
        <vt:lpwstr/>
      </vt:variant>
      <vt:variant>
        <vt:lpwstr>_Toc179377289</vt:lpwstr>
      </vt:variant>
      <vt:variant>
        <vt:i4>1835069</vt:i4>
      </vt:variant>
      <vt:variant>
        <vt:i4>644</vt:i4>
      </vt:variant>
      <vt:variant>
        <vt:i4>0</vt:i4>
      </vt:variant>
      <vt:variant>
        <vt:i4>5</vt:i4>
      </vt:variant>
      <vt:variant>
        <vt:lpwstr/>
      </vt:variant>
      <vt:variant>
        <vt:lpwstr>_Toc179377288</vt:lpwstr>
      </vt:variant>
      <vt:variant>
        <vt:i4>1835069</vt:i4>
      </vt:variant>
      <vt:variant>
        <vt:i4>638</vt:i4>
      </vt:variant>
      <vt:variant>
        <vt:i4>0</vt:i4>
      </vt:variant>
      <vt:variant>
        <vt:i4>5</vt:i4>
      </vt:variant>
      <vt:variant>
        <vt:lpwstr/>
      </vt:variant>
      <vt:variant>
        <vt:lpwstr>_Toc179377287</vt:lpwstr>
      </vt:variant>
      <vt:variant>
        <vt:i4>1835069</vt:i4>
      </vt:variant>
      <vt:variant>
        <vt:i4>632</vt:i4>
      </vt:variant>
      <vt:variant>
        <vt:i4>0</vt:i4>
      </vt:variant>
      <vt:variant>
        <vt:i4>5</vt:i4>
      </vt:variant>
      <vt:variant>
        <vt:lpwstr/>
      </vt:variant>
      <vt:variant>
        <vt:lpwstr>_Toc179377286</vt:lpwstr>
      </vt:variant>
      <vt:variant>
        <vt:i4>1835069</vt:i4>
      </vt:variant>
      <vt:variant>
        <vt:i4>626</vt:i4>
      </vt:variant>
      <vt:variant>
        <vt:i4>0</vt:i4>
      </vt:variant>
      <vt:variant>
        <vt:i4>5</vt:i4>
      </vt:variant>
      <vt:variant>
        <vt:lpwstr/>
      </vt:variant>
      <vt:variant>
        <vt:lpwstr>_Toc179377285</vt:lpwstr>
      </vt:variant>
      <vt:variant>
        <vt:i4>1835069</vt:i4>
      </vt:variant>
      <vt:variant>
        <vt:i4>620</vt:i4>
      </vt:variant>
      <vt:variant>
        <vt:i4>0</vt:i4>
      </vt:variant>
      <vt:variant>
        <vt:i4>5</vt:i4>
      </vt:variant>
      <vt:variant>
        <vt:lpwstr/>
      </vt:variant>
      <vt:variant>
        <vt:lpwstr>_Toc179377284</vt:lpwstr>
      </vt:variant>
      <vt:variant>
        <vt:i4>1835069</vt:i4>
      </vt:variant>
      <vt:variant>
        <vt:i4>614</vt:i4>
      </vt:variant>
      <vt:variant>
        <vt:i4>0</vt:i4>
      </vt:variant>
      <vt:variant>
        <vt:i4>5</vt:i4>
      </vt:variant>
      <vt:variant>
        <vt:lpwstr/>
      </vt:variant>
      <vt:variant>
        <vt:lpwstr>_Toc179377283</vt:lpwstr>
      </vt:variant>
      <vt:variant>
        <vt:i4>1835069</vt:i4>
      </vt:variant>
      <vt:variant>
        <vt:i4>608</vt:i4>
      </vt:variant>
      <vt:variant>
        <vt:i4>0</vt:i4>
      </vt:variant>
      <vt:variant>
        <vt:i4>5</vt:i4>
      </vt:variant>
      <vt:variant>
        <vt:lpwstr/>
      </vt:variant>
      <vt:variant>
        <vt:lpwstr>_Toc179377282</vt:lpwstr>
      </vt:variant>
      <vt:variant>
        <vt:i4>1835069</vt:i4>
      </vt:variant>
      <vt:variant>
        <vt:i4>602</vt:i4>
      </vt:variant>
      <vt:variant>
        <vt:i4>0</vt:i4>
      </vt:variant>
      <vt:variant>
        <vt:i4>5</vt:i4>
      </vt:variant>
      <vt:variant>
        <vt:lpwstr/>
      </vt:variant>
      <vt:variant>
        <vt:lpwstr>_Toc179377281</vt:lpwstr>
      </vt:variant>
      <vt:variant>
        <vt:i4>1835069</vt:i4>
      </vt:variant>
      <vt:variant>
        <vt:i4>596</vt:i4>
      </vt:variant>
      <vt:variant>
        <vt:i4>0</vt:i4>
      </vt:variant>
      <vt:variant>
        <vt:i4>5</vt:i4>
      </vt:variant>
      <vt:variant>
        <vt:lpwstr/>
      </vt:variant>
      <vt:variant>
        <vt:lpwstr>_Toc179377280</vt:lpwstr>
      </vt:variant>
      <vt:variant>
        <vt:i4>1245245</vt:i4>
      </vt:variant>
      <vt:variant>
        <vt:i4>590</vt:i4>
      </vt:variant>
      <vt:variant>
        <vt:i4>0</vt:i4>
      </vt:variant>
      <vt:variant>
        <vt:i4>5</vt:i4>
      </vt:variant>
      <vt:variant>
        <vt:lpwstr/>
      </vt:variant>
      <vt:variant>
        <vt:lpwstr>_Toc179377279</vt:lpwstr>
      </vt:variant>
      <vt:variant>
        <vt:i4>1245245</vt:i4>
      </vt:variant>
      <vt:variant>
        <vt:i4>584</vt:i4>
      </vt:variant>
      <vt:variant>
        <vt:i4>0</vt:i4>
      </vt:variant>
      <vt:variant>
        <vt:i4>5</vt:i4>
      </vt:variant>
      <vt:variant>
        <vt:lpwstr/>
      </vt:variant>
      <vt:variant>
        <vt:lpwstr>_Toc179377278</vt:lpwstr>
      </vt:variant>
      <vt:variant>
        <vt:i4>1245245</vt:i4>
      </vt:variant>
      <vt:variant>
        <vt:i4>578</vt:i4>
      </vt:variant>
      <vt:variant>
        <vt:i4>0</vt:i4>
      </vt:variant>
      <vt:variant>
        <vt:i4>5</vt:i4>
      </vt:variant>
      <vt:variant>
        <vt:lpwstr/>
      </vt:variant>
      <vt:variant>
        <vt:lpwstr>_Toc179377277</vt:lpwstr>
      </vt:variant>
      <vt:variant>
        <vt:i4>1245245</vt:i4>
      </vt:variant>
      <vt:variant>
        <vt:i4>572</vt:i4>
      </vt:variant>
      <vt:variant>
        <vt:i4>0</vt:i4>
      </vt:variant>
      <vt:variant>
        <vt:i4>5</vt:i4>
      </vt:variant>
      <vt:variant>
        <vt:lpwstr/>
      </vt:variant>
      <vt:variant>
        <vt:lpwstr>_Toc179377276</vt:lpwstr>
      </vt:variant>
      <vt:variant>
        <vt:i4>1245245</vt:i4>
      </vt:variant>
      <vt:variant>
        <vt:i4>566</vt:i4>
      </vt:variant>
      <vt:variant>
        <vt:i4>0</vt:i4>
      </vt:variant>
      <vt:variant>
        <vt:i4>5</vt:i4>
      </vt:variant>
      <vt:variant>
        <vt:lpwstr/>
      </vt:variant>
      <vt:variant>
        <vt:lpwstr>_Toc179377275</vt:lpwstr>
      </vt:variant>
      <vt:variant>
        <vt:i4>1245245</vt:i4>
      </vt:variant>
      <vt:variant>
        <vt:i4>560</vt:i4>
      </vt:variant>
      <vt:variant>
        <vt:i4>0</vt:i4>
      </vt:variant>
      <vt:variant>
        <vt:i4>5</vt:i4>
      </vt:variant>
      <vt:variant>
        <vt:lpwstr/>
      </vt:variant>
      <vt:variant>
        <vt:lpwstr>_Toc179377274</vt:lpwstr>
      </vt:variant>
      <vt:variant>
        <vt:i4>1245245</vt:i4>
      </vt:variant>
      <vt:variant>
        <vt:i4>554</vt:i4>
      </vt:variant>
      <vt:variant>
        <vt:i4>0</vt:i4>
      </vt:variant>
      <vt:variant>
        <vt:i4>5</vt:i4>
      </vt:variant>
      <vt:variant>
        <vt:lpwstr/>
      </vt:variant>
      <vt:variant>
        <vt:lpwstr>_Toc179377273</vt:lpwstr>
      </vt:variant>
      <vt:variant>
        <vt:i4>1245245</vt:i4>
      </vt:variant>
      <vt:variant>
        <vt:i4>548</vt:i4>
      </vt:variant>
      <vt:variant>
        <vt:i4>0</vt:i4>
      </vt:variant>
      <vt:variant>
        <vt:i4>5</vt:i4>
      </vt:variant>
      <vt:variant>
        <vt:lpwstr/>
      </vt:variant>
      <vt:variant>
        <vt:lpwstr>_Toc179377272</vt:lpwstr>
      </vt:variant>
      <vt:variant>
        <vt:i4>1245245</vt:i4>
      </vt:variant>
      <vt:variant>
        <vt:i4>542</vt:i4>
      </vt:variant>
      <vt:variant>
        <vt:i4>0</vt:i4>
      </vt:variant>
      <vt:variant>
        <vt:i4>5</vt:i4>
      </vt:variant>
      <vt:variant>
        <vt:lpwstr/>
      </vt:variant>
      <vt:variant>
        <vt:lpwstr>_Toc179377271</vt:lpwstr>
      </vt:variant>
      <vt:variant>
        <vt:i4>1245245</vt:i4>
      </vt:variant>
      <vt:variant>
        <vt:i4>536</vt:i4>
      </vt:variant>
      <vt:variant>
        <vt:i4>0</vt:i4>
      </vt:variant>
      <vt:variant>
        <vt:i4>5</vt:i4>
      </vt:variant>
      <vt:variant>
        <vt:lpwstr/>
      </vt:variant>
      <vt:variant>
        <vt:lpwstr>_Toc179377270</vt:lpwstr>
      </vt:variant>
      <vt:variant>
        <vt:i4>1179709</vt:i4>
      </vt:variant>
      <vt:variant>
        <vt:i4>530</vt:i4>
      </vt:variant>
      <vt:variant>
        <vt:i4>0</vt:i4>
      </vt:variant>
      <vt:variant>
        <vt:i4>5</vt:i4>
      </vt:variant>
      <vt:variant>
        <vt:lpwstr/>
      </vt:variant>
      <vt:variant>
        <vt:lpwstr>_Toc179377269</vt:lpwstr>
      </vt:variant>
      <vt:variant>
        <vt:i4>1179709</vt:i4>
      </vt:variant>
      <vt:variant>
        <vt:i4>524</vt:i4>
      </vt:variant>
      <vt:variant>
        <vt:i4>0</vt:i4>
      </vt:variant>
      <vt:variant>
        <vt:i4>5</vt:i4>
      </vt:variant>
      <vt:variant>
        <vt:lpwstr/>
      </vt:variant>
      <vt:variant>
        <vt:lpwstr>_Toc179377268</vt:lpwstr>
      </vt:variant>
      <vt:variant>
        <vt:i4>1179709</vt:i4>
      </vt:variant>
      <vt:variant>
        <vt:i4>518</vt:i4>
      </vt:variant>
      <vt:variant>
        <vt:i4>0</vt:i4>
      </vt:variant>
      <vt:variant>
        <vt:i4>5</vt:i4>
      </vt:variant>
      <vt:variant>
        <vt:lpwstr/>
      </vt:variant>
      <vt:variant>
        <vt:lpwstr>_Toc179377267</vt:lpwstr>
      </vt:variant>
      <vt:variant>
        <vt:i4>1179709</vt:i4>
      </vt:variant>
      <vt:variant>
        <vt:i4>512</vt:i4>
      </vt:variant>
      <vt:variant>
        <vt:i4>0</vt:i4>
      </vt:variant>
      <vt:variant>
        <vt:i4>5</vt:i4>
      </vt:variant>
      <vt:variant>
        <vt:lpwstr/>
      </vt:variant>
      <vt:variant>
        <vt:lpwstr>_Toc179377266</vt:lpwstr>
      </vt:variant>
      <vt:variant>
        <vt:i4>1441851</vt:i4>
      </vt:variant>
      <vt:variant>
        <vt:i4>503</vt:i4>
      </vt:variant>
      <vt:variant>
        <vt:i4>0</vt:i4>
      </vt:variant>
      <vt:variant>
        <vt:i4>5</vt:i4>
      </vt:variant>
      <vt:variant>
        <vt:lpwstr/>
      </vt:variant>
      <vt:variant>
        <vt:lpwstr>_Toc179377425</vt:lpwstr>
      </vt:variant>
      <vt:variant>
        <vt:i4>1441851</vt:i4>
      </vt:variant>
      <vt:variant>
        <vt:i4>497</vt:i4>
      </vt:variant>
      <vt:variant>
        <vt:i4>0</vt:i4>
      </vt:variant>
      <vt:variant>
        <vt:i4>5</vt:i4>
      </vt:variant>
      <vt:variant>
        <vt:lpwstr/>
      </vt:variant>
      <vt:variant>
        <vt:lpwstr>_Toc179377424</vt:lpwstr>
      </vt:variant>
      <vt:variant>
        <vt:i4>1441851</vt:i4>
      </vt:variant>
      <vt:variant>
        <vt:i4>491</vt:i4>
      </vt:variant>
      <vt:variant>
        <vt:i4>0</vt:i4>
      </vt:variant>
      <vt:variant>
        <vt:i4>5</vt:i4>
      </vt:variant>
      <vt:variant>
        <vt:lpwstr/>
      </vt:variant>
      <vt:variant>
        <vt:lpwstr>_Toc179377423</vt:lpwstr>
      </vt:variant>
      <vt:variant>
        <vt:i4>1441851</vt:i4>
      </vt:variant>
      <vt:variant>
        <vt:i4>485</vt:i4>
      </vt:variant>
      <vt:variant>
        <vt:i4>0</vt:i4>
      </vt:variant>
      <vt:variant>
        <vt:i4>5</vt:i4>
      </vt:variant>
      <vt:variant>
        <vt:lpwstr/>
      </vt:variant>
      <vt:variant>
        <vt:lpwstr>_Toc179377422</vt:lpwstr>
      </vt:variant>
      <vt:variant>
        <vt:i4>1441851</vt:i4>
      </vt:variant>
      <vt:variant>
        <vt:i4>479</vt:i4>
      </vt:variant>
      <vt:variant>
        <vt:i4>0</vt:i4>
      </vt:variant>
      <vt:variant>
        <vt:i4>5</vt:i4>
      </vt:variant>
      <vt:variant>
        <vt:lpwstr/>
      </vt:variant>
      <vt:variant>
        <vt:lpwstr>_Toc179377421</vt:lpwstr>
      </vt:variant>
      <vt:variant>
        <vt:i4>1441851</vt:i4>
      </vt:variant>
      <vt:variant>
        <vt:i4>473</vt:i4>
      </vt:variant>
      <vt:variant>
        <vt:i4>0</vt:i4>
      </vt:variant>
      <vt:variant>
        <vt:i4>5</vt:i4>
      </vt:variant>
      <vt:variant>
        <vt:lpwstr/>
      </vt:variant>
      <vt:variant>
        <vt:lpwstr>_Toc179377420</vt:lpwstr>
      </vt:variant>
      <vt:variant>
        <vt:i4>1376315</vt:i4>
      </vt:variant>
      <vt:variant>
        <vt:i4>467</vt:i4>
      </vt:variant>
      <vt:variant>
        <vt:i4>0</vt:i4>
      </vt:variant>
      <vt:variant>
        <vt:i4>5</vt:i4>
      </vt:variant>
      <vt:variant>
        <vt:lpwstr/>
      </vt:variant>
      <vt:variant>
        <vt:lpwstr>_Toc179377419</vt:lpwstr>
      </vt:variant>
      <vt:variant>
        <vt:i4>1376315</vt:i4>
      </vt:variant>
      <vt:variant>
        <vt:i4>461</vt:i4>
      </vt:variant>
      <vt:variant>
        <vt:i4>0</vt:i4>
      </vt:variant>
      <vt:variant>
        <vt:i4>5</vt:i4>
      </vt:variant>
      <vt:variant>
        <vt:lpwstr/>
      </vt:variant>
      <vt:variant>
        <vt:lpwstr>_Toc179377418</vt:lpwstr>
      </vt:variant>
      <vt:variant>
        <vt:i4>1376315</vt:i4>
      </vt:variant>
      <vt:variant>
        <vt:i4>455</vt:i4>
      </vt:variant>
      <vt:variant>
        <vt:i4>0</vt:i4>
      </vt:variant>
      <vt:variant>
        <vt:i4>5</vt:i4>
      </vt:variant>
      <vt:variant>
        <vt:lpwstr/>
      </vt:variant>
      <vt:variant>
        <vt:lpwstr>_Toc179377417</vt:lpwstr>
      </vt:variant>
      <vt:variant>
        <vt:i4>1376315</vt:i4>
      </vt:variant>
      <vt:variant>
        <vt:i4>449</vt:i4>
      </vt:variant>
      <vt:variant>
        <vt:i4>0</vt:i4>
      </vt:variant>
      <vt:variant>
        <vt:i4>5</vt:i4>
      </vt:variant>
      <vt:variant>
        <vt:lpwstr/>
      </vt:variant>
      <vt:variant>
        <vt:lpwstr>_Toc179377416</vt:lpwstr>
      </vt:variant>
      <vt:variant>
        <vt:i4>1376315</vt:i4>
      </vt:variant>
      <vt:variant>
        <vt:i4>443</vt:i4>
      </vt:variant>
      <vt:variant>
        <vt:i4>0</vt:i4>
      </vt:variant>
      <vt:variant>
        <vt:i4>5</vt:i4>
      </vt:variant>
      <vt:variant>
        <vt:lpwstr/>
      </vt:variant>
      <vt:variant>
        <vt:lpwstr>_Toc179377415</vt:lpwstr>
      </vt:variant>
      <vt:variant>
        <vt:i4>1376315</vt:i4>
      </vt:variant>
      <vt:variant>
        <vt:i4>437</vt:i4>
      </vt:variant>
      <vt:variant>
        <vt:i4>0</vt:i4>
      </vt:variant>
      <vt:variant>
        <vt:i4>5</vt:i4>
      </vt:variant>
      <vt:variant>
        <vt:lpwstr/>
      </vt:variant>
      <vt:variant>
        <vt:lpwstr>_Toc179377414</vt:lpwstr>
      </vt:variant>
      <vt:variant>
        <vt:i4>1376315</vt:i4>
      </vt:variant>
      <vt:variant>
        <vt:i4>431</vt:i4>
      </vt:variant>
      <vt:variant>
        <vt:i4>0</vt:i4>
      </vt:variant>
      <vt:variant>
        <vt:i4>5</vt:i4>
      </vt:variant>
      <vt:variant>
        <vt:lpwstr/>
      </vt:variant>
      <vt:variant>
        <vt:lpwstr>_Toc179377413</vt:lpwstr>
      </vt:variant>
      <vt:variant>
        <vt:i4>1376315</vt:i4>
      </vt:variant>
      <vt:variant>
        <vt:i4>425</vt:i4>
      </vt:variant>
      <vt:variant>
        <vt:i4>0</vt:i4>
      </vt:variant>
      <vt:variant>
        <vt:i4>5</vt:i4>
      </vt:variant>
      <vt:variant>
        <vt:lpwstr/>
      </vt:variant>
      <vt:variant>
        <vt:lpwstr>_Toc179377412</vt:lpwstr>
      </vt:variant>
      <vt:variant>
        <vt:i4>1376315</vt:i4>
      </vt:variant>
      <vt:variant>
        <vt:i4>419</vt:i4>
      </vt:variant>
      <vt:variant>
        <vt:i4>0</vt:i4>
      </vt:variant>
      <vt:variant>
        <vt:i4>5</vt:i4>
      </vt:variant>
      <vt:variant>
        <vt:lpwstr/>
      </vt:variant>
      <vt:variant>
        <vt:lpwstr>_Toc179377411</vt:lpwstr>
      </vt:variant>
      <vt:variant>
        <vt:i4>1376315</vt:i4>
      </vt:variant>
      <vt:variant>
        <vt:i4>413</vt:i4>
      </vt:variant>
      <vt:variant>
        <vt:i4>0</vt:i4>
      </vt:variant>
      <vt:variant>
        <vt:i4>5</vt:i4>
      </vt:variant>
      <vt:variant>
        <vt:lpwstr/>
      </vt:variant>
      <vt:variant>
        <vt:lpwstr>_Toc179377410</vt:lpwstr>
      </vt:variant>
      <vt:variant>
        <vt:i4>1310779</vt:i4>
      </vt:variant>
      <vt:variant>
        <vt:i4>407</vt:i4>
      </vt:variant>
      <vt:variant>
        <vt:i4>0</vt:i4>
      </vt:variant>
      <vt:variant>
        <vt:i4>5</vt:i4>
      </vt:variant>
      <vt:variant>
        <vt:lpwstr/>
      </vt:variant>
      <vt:variant>
        <vt:lpwstr>_Toc179377409</vt:lpwstr>
      </vt:variant>
      <vt:variant>
        <vt:i4>1310779</vt:i4>
      </vt:variant>
      <vt:variant>
        <vt:i4>401</vt:i4>
      </vt:variant>
      <vt:variant>
        <vt:i4>0</vt:i4>
      </vt:variant>
      <vt:variant>
        <vt:i4>5</vt:i4>
      </vt:variant>
      <vt:variant>
        <vt:lpwstr/>
      </vt:variant>
      <vt:variant>
        <vt:lpwstr>_Toc179377408</vt:lpwstr>
      </vt:variant>
      <vt:variant>
        <vt:i4>1310779</vt:i4>
      </vt:variant>
      <vt:variant>
        <vt:i4>395</vt:i4>
      </vt:variant>
      <vt:variant>
        <vt:i4>0</vt:i4>
      </vt:variant>
      <vt:variant>
        <vt:i4>5</vt:i4>
      </vt:variant>
      <vt:variant>
        <vt:lpwstr/>
      </vt:variant>
      <vt:variant>
        <vt:lpwstr>_Toc179377407</vt:lpwstr>
      </vt:variant>
      <vt:variant>
        <vt:i4>1310779</vt:i4>
      </vt:variant>
      <vt:variant>
        <vt:i4>389</vt:i4>
      </vt:variant>
      <vt:variant>
        <vt:i4>0</vt:i4>
      </vt:variant>
      <vt:variant>
        <vt:i4>5</vt:i4>
      </vt:variant>
      <vt:variant>
        <vt:lpwstr/>
      </vt:variant>
      <vt:variant>
        <vt:lpwstr>_Toc179377406</vt:lpwstr>
      </vt:variant>
      <vt:variant>
        <vt:i4>1310779</vt:i4>
      </vt:variant>
      <vt:variant>
        <vt:i4>383</vt:i4>
      </vt:variant>
      <vt:variant>
        <vt:i4>0</vt:i4>
      </vt:variant>
      <vt:variant>
        <vt:i4>5</vt:i4>
      </vt:variant>
      <vt:variant>
        <vt:lpwstr/>
      </vt:variant>
      <vt:variant>
        <vt:lpwstr>_Toc179377405</vt:lpwstr>
      </vt:variant>
      <vt:variant>
        <vt:i4>1310779</vt:i4>
      </vt:variant>
      <vt:variant>
        <vt:i4>377</vt:i4>
      </vt:variant>
      <vt:variant>
        <vt:i4>0</vt:i4>
      </vt:variant>
      <vt:variant>
        <vt:i4>5</vt:i4>
      </vt:variant>
      <vt:variant>
        <vt:lpwstr/>
      </vt:variant>
      <vt:variant>
        <vt:lpwstr>_Toc179377404</vt:lpwstr>
      </vt:variant>
      <vt:variant>
        <vt:i4>1310779</vt:i4>
      </vt:variant>
      <vt:variant>
        <vt:i4>371</vt:i4>
      </vt:variant>
      <vt:variant>
        <vt:i4>0</vt:i4>
      </vt:variant>
      <vt:variant>
        <vt:i4>5</vt:i4>
      </vt:variant>
      <vt:variant>
        <vt:lpwstr/>
      </vt:variant>
      <vt:variant>
        <vt:lpwstr>_Toc179377403</vt:lpwstr>
      </vt:variant>
      <vt:variant>
        <vt:i4>1310779</vt:i4>
      </vt:variant>
      <vt:variant>
        <vt:i4>365</vt:i4>
      </vt:variant>
      <vt:variant>
        <vt:i4>0</vt:i4>
      </vt:variant>
      <vt:variant>
        <vt:i4>5</vt:i4>
      </vt:variant>
      <vt:variant>
        <vt:lpwstr/>
      </vt:variant>
      <vt:variant>
        <vt:lpwstr>_Toc179377402</vt:lpwstr>
      </vt:variant>
      <vt:variant>
        <vt:i4>1310779</vt:i4>
      </vt:variant>
      <vt:variant>
        <vt:i4>359</vt:i4>
      </vt:variant>
      <vt:variant>
        <vt:i4>0</vt:i4>
      </vt:variant>
      <vt:variant>
        <vt:i4>5</vt:i4>
      </vt:variant>
      <vt:variant>
        <vt:lpwstr/>
      </vt:variant>
      <vt:variant>
        <vt:lpwstr>_Toc179377401</vt:lpwstr>
      </vt:variant>
      <vt:variant>
        <vt:i4>1310779</vt:i4>
      </vt:variant>
      <vt:variant>
        <vt:i4>353</vt:i4>
      </vt:variant>
      <vt:variant>
        <vt:i4>0</vt:i4>
      </vt:variant>
      <vt:variant>
        <vt:i4>5</vt:i4>
      </vt:variant>
      <vt:variant>
        <vt:lpwstr/>
      </vt:variant>
      <vt:variant>
        <vt:lpwstr>_Toc179377400</vt:lpwstr>
      </vt:variant>
      <vt:variant>
        <vt:i4>1900604</vt:i4>
      </vt:variant>
      <vt:variant>
        <vt:i4>347</vt:i4>
      </vt:variant>
      <vt:variant>
        <vt:i4>0</vt:i4>
      </vt:variant>
      <vt:variant>
        <vt:i4>5</vt:i4>
      </vt:variant>
      <vt:variant>
        <vt:lpwstr/>
      </vt:variant>
      <vt:variant>
        <vt:lpwstr>_Toc179377399</vt:lpwstr>
      </vt:variant>
      <vt:variant>
        <vt:i4>1900604</vt:i4>
      </vt:variant>
      <vt:variant>
        <vt:i4>341</vt:i4>
      </vt:variant>
      <vt:variant>
        <vt:i4>0</vt:i4>
      </vt:variant>
      <vt:variant>
        <vt:i4>5</vt:i4>
      </vt:variant>
      <vt:variant>
        <vt:lpwstr/>
      </vt:variant>
      <vt:variant>
        <vt:lpwstr>_Toc179377398</vt:lpwstr>
      </vt:variant>
      <vt:variant>
        <vt:i4>1900604</vt:i4>
      </vt:variant>
      <vt:variant>
        <vt:i4>335</vt:i4>
      </vt:variant>
      <vt:variant>
        <vt:i4>0</vt:i4>
      </vt:variant>
      <vt:variant>
        <vt:i4>5</vt:i4>
      </vt:variant>
      <vt:variant>
        <vt:lpwstr/>
      </vt:variant>
      <vt:variant>
        <vt:lpwstr>_Toc179377397</vt:lpwstr>
      </vt:variant>
      <vt:variant>
        <vt:i4>1900604</vt:i4>
      </vt:variant>
      <vt:variant>
        <vt:i4>329</vt:i4>
      </vt:variant>
      <vt:variant>
        <vt:i4>0</vt:i4>
      </vt:variant>
      <vt:variant>
        <vt:i4>5</vt:i4>
      </vt:variant>
      <vt:variant>
        <vt:lpwstr/>
      </vt:variant>
      <vt:variant>
        <vt:lpwstr>_Toc179377396</vt:lpwstr>
      </vt:variant>
      <vt:variant>
        <vt:i4>1900604</vt:i4>
      </vt:variant>
      <vt:variant>
        <vt:i4>323</vt:i4>
      </vt:variant>
      <vt:variant>
        <vt:i4>0</vt:i4>
      </vt:variant>
      <vt:variant>
        <vt:i4>5</vt:i4>
      </vt:variant>
      <vt:variant>
        <vt:lpwstr/>
      </vt:variant>
      <vt:variant>
        <vt:lpwstr>_Toc179377395</vt:lpwstr>
      </vt:variant>
      <vt:variant>
        <vt:i4>1900604</vt:i4>
      </vt:variant>
      <vt:variant>
        <vt:i4>317</vt:i4>
      </vt:variant>
      <vt:variant>
        <vt:i4>0</vt:i4>
      </vt:variant>
      <vt:variant>
        <vt:i4>5</vt:i4>
      </vt:variant>
      <vt:variant>
        <vt:lpwstr/>
      </vt:variant>
      <vt:variant>
        <vt:lpwstr>_Toc179377394</vt:lpwstr>
      </vt:variant>
      <vt:variant>
        <vt:i4>1900604</vt:i4>
      </vt:variant>
      <vt:variant>
        <vt:i4>311</vt:i4>
      </vt:variant>
      <vt:variant>
        <vt:i4>0</vt:i4>
      </vt:variant>
      <vt:variant>
        <vt:i4>5</vt:i4>
      </vt:variant>
      <vt:variant>
        <vt:lpwstr/>
      </vt:variant>
      <vt:variant>
        <vt:lpwstr>_Toc179377393</vt:lpwstr>
      </vt:variant>
      <vt:variant>
        <vt:i4>1900604</vt:i4>
      </vt:variant>
      <vt:variant>
        <vt:i4>305</vt:i4>
      </vt:variant>
      <vt:variant>
        <vt:i4>0</vt:i4>
      </vt:variant>
      <vt:variant>
        <vt:i4>5</vt:i4>
      </vt:variant>
      <vt:variant>
        <vt:lpwstr/>
      </vt:variant>
      <vt:variant>
        <vt:lpwstr>_Toc179377392</vt:lpwstr>
      </vt:variant>
      <vt:variant>
        <vt:i4>1900604</vt:i4>
      </vt:variant>
      <vt:variant>
        <vt:i4>299</vt:i4>
      </vt:variant>
      <vt:variant>
        <vt:i4>0</vt:i4>
      </vt:variant>
      <vt:variant>
        <vt:i4>5</vt:i4>
      </vt:variant>
      <vt:variant>
        <vt:lpwstr/>
      </vt:variant>
      <vt:variant>
        <vt:lpwstr>_Toc179377391</vt:lpwstr>
      </vt:variant>
      <vt:variant>
        <vt:i4>1900604</vt:i4>
      </vt:variant>
      <vt:variant>
        <vt:i4>293</vt:i4>
      </vt:variant>
      <vt:variant>
        <vt:i4>0</vt:i4>
      </vt:variant>
      <vt:variant>
        <vt:i4>5</vt:i4>
      </vt:variant>
      <vt:variant>
        <vt:lpwstr/>
      </vt:variant>
      <vt:variant>
        <vt:lpwstr>_Toc179377390</vt:lpwstr>
      </vt:variant>
      <vt:variant>
        <vt:i4>1835068</vt:i4>
      </vt:variant>
      <vt:variant>
        <vt:i4>287</vt:i4>
      </vt:variant>
      <vt:variant>
        <vt:i4>0</vt:i4>
      </vt:variant>
      <vt:variant>
        <vt:i4>5</vt:i4>
      </vt:variant>
      <vt:variant>
        <vt:lpwstr/>
      </vt:variant>
      <vt:variant>
        <vt:lpwstr>_Toc179377389</vt:lpwstr>
      </vt:variant>
      <vt:variant>
        <vt:i4>1835068</vt:i4>
      </vt:variant>
      <vt:variant>
        <vt:i4>281</vt:i4>
      </vt:variant>
      <vt:variant>
        <vt:i4>0</vt:i4>
      </vt:variant>
      <vt:variant>
        <vt:i4>5</vt:i4>
      </vt:variant>
      <vt:variant>
        <vt:lpwstr/>
      </vt:variant>
      <vt:variant>
        <vt:lpwstr>_Toc179377388</vt:lpwstr>
      </vt:variant>
      <vt:variant>
        <vt:i4>1835068</vt:i4>
      </vt:variant>
      <vt:variant>
        <vt:i4>275</vt:i4>
      </vt:variant>
      <vt:variant>
        <vt:i4>0</vt:i4>
      </vt:variant>
      <vt:variant>
        <vt:i4>5</vt:i4>
      </vt:variant>
      <vt:variant>
        <vt:lpwstr/>
      </vt:variant>
      <vt:variant>
        <vt:lpwstr>_Toc179377387</vt:lpwstr>
      </vt:variant>
      <vt:variant>
        <vt:i4>1835068</vt:i4>
      </vt:variant>
      <vt:variant>
        <vt:i4>269</vt:i4>
      </vt:variant>
      <vt:variant>
        <vt:i4>0</vt:i4>
      </vt:variant>
      <vt:variant>
        <vt:i4>5</vt:i4>
      </vt:variant>
      <vt:variant>
        <vt:lpwstr/>
      </vt:variant>
      <vt:variant>
        <vt:lpwstr>_Toc179377386</vt:lpwstr>
      </vt:variant>
      <vt:variant>
        <vt:i4>1835068</vt:i4>
      </vt:variant>
      <vt:variant>
        <vt:i4>263</vt:i4>
      </vt:variant>
      <vt:variant>
        <vt:i4>0</vt:i4>
      </vt:variant>
      <vt:variant>
        <vt:i4>5</vt:i4>
      </vt:variant>
      <vt:variant>
        <vt:lpwstr/>
      </vt:variant>
      <vt:variant>
        <vt:lpwstr>_Toc179377385</vt:lpwstr>
      </vt:variant>
      <vt:variant>
        <vt:i4>1835068</vt:i4>
      </vt:variant>
      <vt:variant>
        <vt:i4>257</vt:i4>
      </vt:variant>
      <vt:variant>
        <vt:i4>0</vt:i4>
      </vt:variant>
      <vt:variant>
        <vt:i4>5</vt:i4>
      </vt:variant>
      <vt:variant>
        <vt:lpwstr/>
      </vt:variant>
      <vt:variant>
        <vt:lpwstr>_Toc179377384</vt:lpwstr>
      </vt:variant>
      <vt:variant>
        <vt:i4>1835068</vt:i4>
      </vt:variant>
      <vt:variant>
        <vt:i4>251</vt:i4>
      </vt:variant>
      <vt:variant>
        <vt:i4>0</vt:i4>
      </vt:variant>
      <vt:variant>
        <vt:i4>5</vt:i4>
      </vt:variant>
      <vt:variant>
        <vt:lpwstr/>
      </vt:variant>
      <vt:variant>
        <vt:lpwstr>_Toc179377383</vt:lpwstr>
      </vt:variant>
      <vt:variant>
        <vt:i4>1835068</vt:i4>
      </vt:variant>
      <vt:variant>
        <vt:i4>245</vt:i4>
      </vt:variant>
      <vt:variant>
        <vt:i4>0</vt:i4>
      </vt:variant>
      <vt:variant>
        <vt:i4>5</vt:i4>
      </vt:variant>
      <vt:variant>
        <vt:lpwstr/>
      </vt:variant>
      <vt:variant>
        <vt:lpwstr>_Toc179377382</vt:lpwstr>
      </vt:variant>
      <vt:variant>
        <vt:i4>1835068</vt:i4>
      </vt:variant>
      <vt:variant>
        <vt:i4>239</vt:i4>
      </vt:variant>
      <vt:variant>
        <vt:i4>0</vt:i4>
      </vt:variant>
      <vt:variant>
        <vt:i4>5</vt:i4>
      </vt:variant>
      <vt:variant>
        <vt:lpwstr/>
      </vt:variant>
      <vt:variant>
        <vt:lpwstr>_Toc179377381</vt:lpwstr>
      </vt:variant>
      <vt:variant>
        <vt:i4>1835068</vt:i4>
      </vt:variant>
      <vt:variant>
        <vt:i4>233</vt:i4>
      </vt:variant>
      <vt:variant>
        <vt:i4>0</vt:i4>
      </vt:variant>
      <vt:variant>
        <vt:i4>5</vt:i4>
      </vt:variant>
      <vt:variant>
        <vt:lpwstr/>
      </vt:variant>
      <vt:variant>
        <vt:lpwstr>_Toc179377380</vt:lpwstr>
      </vt:variant>
      <vt:variant>
        <vt:i4>1245244</vt:i4>
      </vt:variant>
      <vt:variant>
        <vt:i4>227</vt:i4>
      </vt:variant>
      <vt:variant>
        <vt:i4>0</vt:i4>
      </vt:variant>
      <vt:variant>
        <vt:i4>5</vt:i4>
      </vt:variant>
      <vt:variant>
        <vt:lpwstr/>
      </vt:variant>
      <vt:variant>
        <vt:lpwstr>_Toc179377379</vt:lpwstr>
      </vt:variant>
      <vt:variant>
        <vt:i4>1245244</vt:i4>
      </vt:variant>
      <vt:variant>
        <vt:i4>221</vt:i4>
      </vt:variant>
      <vt:variant>
        <vt:i4>0</vt:i4>
      </vt:variant>
      <vt:variant>
        <vt:i4>5</vt:i4>
      </vt:variant>
      <vt:variant>
        <vt:lpwstr/>
      </vt:variant>
      <vt:variant>
        <vt:lpwstr>_Toc179377378</vt:lpwstr>
      </vt:variant>
      <vt:variant>
        <vt:i4>1245244</vt:i4>
      </vt:variant>
      <vt:variant>
        <vt:i4>215</vt:i4>
      </vt:variant>
      <vt:variant>
        <vt:i4>0</vt:i4>
      </vt:variant>
      <vt:variant>
        <vt:i4>5</vt:i4>
      </vt:variant>
      <vt:variant>
        <vt:lpwstr/>
      </vt:variant>
      <vt:variant>
        <vt:lpwstr>_Toc179377377</vt:lpwstr>
      </vt:variant>
      <vt:variant>
        <vt:i4>1245244</vt:i4>
      </vt:variant>
      <vt:variant>
        <vt:i4>209</vt:i4>
      </vt:variant>
      <vt:variant>
        <vt:i4>0</vt:i4>
      </vt:variant>
      <vt:variant>
        <vt:i4>5</vt:i4>
      </vt:variant>
      <vt:variant>
        <vt:lpwstr/>
      </vt:variant>
      <vt:variant>
        <vt:lpwstr>_Toc179377376</vt:lpwstr>
      </vt:variant>
      <vt:variant>
        <vt:i4>1245244</vt:i4>
      </vt:variant>
      <vt:variant>
        <vt:i4>203</vt:i4>
      </vt:variant>
      <vt:variant>
        <vt:i4>0</vt:i4>
      </vt:variant>
      <vt:variant>
        <vt:i4>5</vt:i4>
      </vt:variant>
      <vt:variant>
        <vt:lpwstr/>
      </vt:variant>
      <vt:variant>
        <vt:lpwstr>_Toc179377375</vt:lpwstr>
      </vt:variant>
      <vt:variant>
        <vt:i4>1245244</vt:i4>
      </vt:variant>
      <vt:variant>
        <vt:i4>197</vt:i4>
      </vt:variant>
      <vt:variant>
        <vt:i4>0</vt:i4>
      </vt:variant>
      <vt:variant>
        <vt:i4>5</vt:i4>
      </vt:variant>
      <vt:variant>
        <vt:lpwstr/>
      </vt:variant>
      <vt:variant>
        <vt:lpwstr>_Toc179377374</vt:lpwstr>
      </vt:variant>
      <vt:variant>
        <vt:i4>1245244</vt:i4>
      </vt:variant>
      <vt:variant>
        <vt:i4>191</vt:i4>
      </vt:variant>
      <vt:variant>
        <vt:i4>0</vt:i4>
      </vt:variant>
      <vt:variant>
        <vt:i4>5</vt:i4>
      </vt:variant>
      <vt:variant>
        <vt:lpwstr/>
      </vt:variant>
      <vt:variant>
        <vt:lpwstr>_Toc179377373</vt:lpwstr>
      </vt:variant>
      <vt:variant>
        <vt:i4>1245244</vt:i4>
      </vt:variant>
      <vt:variant>
        <vt:i4>185</vt:i4>
      </vt:variant>
      <vt:variant>
        <vt:i4>0</vt:i4>
      </vt:variant>
      <vt:variant>
        <vt:i4>5</vt:i4>
      </vt:variant>
      <vt:variant>
        <vt:lpwstr/>
      </vt:variant>
      <vt:variant>
        <vt:lpwstr>_Toc179377372</vt:lpwstr>
      </vt:variant>
      <vt:variant>
        <vt:i4>1245244</vt:i4>
      </vt:variant>
      <vt:variant>
        <vt:i4>179</vt:i4>
      </vt:variant>
      <vt:variant>
        <vt:i4>0</vt:i4>
      </vt:variant>
      <vt:variant>
        <vt:i4>5</vt:i4>
      </vt:variant>
      <vt:variant>
        <vt:lpwstr/>
      </vt:variant>
      <vt:variant>
        <vt:lpwstr>_Toc179377371</vt:lpwstr>
      </vt:variant>
      <vt:variant>
        <vt:i4>1245244</vt:i4>
      </vt:variant>
      <vt:variant>
        <vt:i4>173</vt:i4>
      </vt:variant>
      <vt:variant>
        <vt:i4>0</vt:i4>
      </vt:variant>
      <vt:variant>
        <vt:i4>5</vt:i4>
      </vt:variant>
      <vt:variant>
        <vt:lpwstr/>
      </vt:variant>
      <vt:variant>
        <vt:lpwstr>_Toc179377370</vt:lpwstr>
      </vt:variant>
      <vt:variant>
        <vt:i4>1179708</vt:i4>
      </vt:variant>
      <vt:variant>
        <vt:i4>167</vt:i4>
      </vt:variant>
      <vt:variant>
        <vt:i4>0</vt:i4>
      </vt:variant>
      <vt:variant>
        <vt:i4>5</vt:i4>
      </vt:variant>
      <vt:variant>
        <vt:lpwstr/>
      </vt:variant>
      <vt:variant>
        <vt:lpwstr>_Toc179377369</vt:lpwstr>
      </vt:variant>
      <vt:variant>
        <vt:i4>1179708</vt:i4>
      </vt:variant>
      <vt:variant>
        <vt:i4>161</vt:i4>
      </vt:variant>
      <vt:variant>
        <vt:i4>0</vt:i4>
      </vt:variant>
      <vt:variant>
        <vt:i4>5</vt:i4>
      </vt:variant>
      <vt:variant>
        <vt:lpwstr/>
      </vt:variant>
      <vt:variant>
        <vt:lpwstr>_Toc179377368</vt:lpwstr>
      </vt:variant>
      <vt:variant>
        <vt:i4>1179708</vt:i4>
      </vt:variant>
      <vt:variant>
        <vt:i4>155</vt:i4>
      </vt:variant>
      <vt:variant>
        <vt:i4>0</vt:i4>
      </vt:variant>
      <vt:variant>
        <vt:i4>5</vt:i4>
      </vt:variant>
      <vt:variant>
        <vt:lpwstr/>
      </vt:variant>
      <vt:variant>
        <vt:lpwstr>_Toc179377367</vt:lpwstr>
      </vt:variant>
      <vt:variant>
        <vt:i4>1179708</vt:i4>
      </vt:variant>
      <vt:variant>
        <vt:i4>149</vt:i4>
      </vt:variant>
      <vt:variant>
        <vt:i4>0</vt:i4>
      </vt:variant>
      <vt:variant>
        <vt:i4>5</vt:i4>
      </vt:variant>
      <vt:variant>
        <vt:lpwstr/>
      </vt:variant>
      <vt:variant>
        <vt:lpwstr>_Toc179377366</vt:lpwstr>
      </vt:variant>
      <vt:variant>
        <vt:i4>1179708</vt:i4>
      </vt:variant>
      <vt:variant>
        <vt:i4>143</vt:i4>
      </vt:variant>
      <vt:variant>
        <vt:i4>0</vt:i4>
      </vt:variant>
      <vt:variant>
        <vt:i4>5</vt:i4>
      </vt:variant>
      <vt:variant>
        <vt:lpwstr/>
      </vt:variant>
      <vt:variant>
        <vt:lpwstr>_Toc179377365</vt:lpwstr>
      </vt:variant>
      <vt:variant>
        <vt:i4>1179708</vt:i4>
      </vt:variant>
      <vt:variant>
        <vt:i4>137</vt:i4>
      </vt:variant>
      <vt:variant>
        <vt:i4>0</vt:i4>
      </vt:variant>
      <vt:variant>
        <vt:i4>5</vt:i4>
      </vt:variant>
      <vt:variant>
        <vt:lpwstr/>
      </vt:variant>
      <vt:variant>
        <vt:lpwstr>_Toc179377364</vt:lpwstr>
      </vt:variant>
      <vt:variant>
        <vt:i4>1179708</vt:i4>
      </vt:variant>
      <vt:variant>
        <vt:i4>131</vt:i4>
      </vt:variant>
      <vt:variant>
        <vt:i4>0</vt:i4>
      </vt:variant>
      <vt:variant>
        <vt:i4>5</vt:i4>
      </vt:variant>
      <vt:variant>
        <vt:lpwstr/>
      </vt:variant>
      <vt:variant>
        <vt:lpwstr>_Toc179377363</vt:lpwstr>
      </vt:variant>
      <vt:variant>
        <vt:i4>1179708</vt:i4>
      </vt:variant>
      <vt:variant>
        <vt:i4>125</vt:i4>
      </vt:variant>
      <vt:variant>
        <vt:i4>0</vt:i4>
      </vt:variant>
      <vt:variant>
        <vt:i4>5</vt:i4>
      </vt:variant>
      <vt:variant>
        <vt:lpwstr/>
      </vt:variant>
      <vt:variant>
        <vt:lpwstr>_Toc179377362</vt:lpwstr>
      </vt:variant>
      <vt:variant>
        <vt:i4>1179708</vt:i4>
      </vt:variant>
      <vt:variant>
        <vt:i4>119</vt:i4>
      </vt:variant>
      <vt:variant>
        <vt:i4>0</vt:i4>
      </vt:variant>
      <vt:variant>
        <vt:i4>5</vt:i4>
      </vt:variant>
      <vt:variant>
        <vt:lpwstr/>
      </vt:variant>
      <vt:variant>
        <vt:lpwstr>_Toc179377361</vt:lpwstr>
      </vt:variant>
      <vt:variant>
        <vt:i4>1179708</vt:i4>
      </vt:variant>
      <vt:variant>
        <vt:i4>113</vt:i4>
      </vt:variant>
      <vt:variant>
        <vt:i4>0</vt:i4>
      </vt:variant>
      <vt:variant>
        <vt:i4>5</vt:i4>
      </vt:variant>
      <vt:variant>
        <vt:lpwstr/>
      </vt:variant>
      <vt:variant>
        <vt:lpwstr>_Toc179377360</vt:lpwstr>
      </vt:variant>
      <vt:variant>
        <vt:i4>1114172</vt:i4>
      </vt:variant>
      <vt:variant>
        <vt:i4>107</vt:i4>
      </vt:variant>
      <vt:variant>
        <vt:i4>0</vt:i4>
      </vt:variant>
      <vt:variant>
        <vt:i4>5</vt:i4>
      </vt:variant>
      <vt:variant>
        <vt:lpwstr/>
      </vt:variant>
      <vt:variant>
        <vt:lpwstr>_Toc179377359</vt:lpwstr>
      </vt:variant>
      <vt:variant>
        <vt:i4>1114172</vt:i4>
      </vt:variant>
      <vt:variant>
        <vt:i4>101</vt:i4>
      </vt:variant>
      <vt:variant>
        <vt:i4>0</vt:i4>
      </vt:variant>
      <vt:variant>
        <vt:i4>5</vt:i4>
      </vt:variant>
      <vt:variant>
        <vt:lpwstr/>
      </vt:variant>
      <vt:variant>
        <vt:lpwstr>_Toc179377358</vt:lpwstr>
      </vt:variant>
      <vt:variant>
        <vt:i4>1114172</vt:i4>
      </vt:variant>
      <vt:variant>
        <vt:i4>95</vt:i4>
      </vt:variant>
      <vt:variant>
        <vt:i4>0</vt:i4>
      </vt:variant>
      <vt:variant>
        <vt:i4>5</vt:i4>
      </vt:variant>
      <vt:variant>
        <vt:lpwstr/>
      </vt:variant>
      <vt:variant>
        <vt:lpwstr>_Toc179377357</vt:lpwstr>
      </vt:variant>
      <vt:variant>
        <vt:i4>1114172</vt:i4>
      </vt:variant>
      <vt:variant>
        <vt:i4>89</vt:i4>
      </vt:variant>
      <vt:variant>
        <vt:i4>0</vt:i4>
      </vt:variant>
      <vt:variant>
        <vt:i4>5</vt:i4>
      </vt:variant>
      <vt:variant>
        <vt:lpwstr/>
      </vt:variant>
      <vt:variant>
        <vt:lpwstr>_Toc179377356</vt:lpwstr>
      </vt:variant>
      <vt:variant>
        <vt:i4>1114172</vt:i4>
      </vt:variant>
      <vt:variant>
        <vt:i4>83</vt:i4>
      </vt:variant>
      <vt:variant>
        <vt:i4>0</vt:i4>
      </vt:variant>
      <vt:variant>
        <vt:i4>5</vt:i4>
      </vt:variant>
      <vt:variant>
        <vt:lpwstr/>
      </vt:variant>
      <vt:variant>
        <vt:lpwstr>_Toc179377355</vt:lpwstr>
      </vt:variant>
      <vt:variant>
        <vt:i4>1114172</vt:i4>
      </vt:variant>
      <vt:variant>
        <vt:i4>77</vt:i4>
      </vt:variant>
      <vt:variant>
        <vt:i4>0</vt:i4>
      </vt:variant>
      <vt:variant>
        <vt:i4>5</vt:i4>
      </vt:variant>
      <vt:variant>
        <vt:lpwstr/>
      </vt:variant>
      <vt:variant>
        <vt:lpwstr>_Toc179377354</vt:lpwstr>
      </vt:variant>
      <vt:variant>
        <vt:i4>1114172</vt:i4>
      </vt:variant>
      <vt:variant>
        <vt:i4>71</vt:i4>
      </vt:variant>
      <vt:variant>
        <vt:i4>0</vt:i4>
      </vt:variant>
      <vt:variant>
        <vt:i4>5</vt:i4>
      </vt:variant>
      <vt:variant>
        <vt:lpwstr/>
      </vt:variant>
      <vt:variant>
        <vt:lpwstr>_Toc179377353</vt:lpwstr>
      </vt:variant>
      <vt:variant>
        <vt:i4>1114172</vt:i4>
      </vt:variant>
      <vt:variant>
        <vt:i4>65</vt:i4>
      </vt:variant>
      <vt:variant>
        <vt:i4>0</vt:i4>
      </vt:variant>
      <vt:variant>
        <vt:i4>5</vt:i4>
      </vt:variant>
      <vt:variant>
        <vt:lpwstr/>
      </vt:variant>
      <vt:variant>
        <vt:lpwstr>_Toc179377352</vt:lpwstr>
      </vt:variant>
      <vt:variant>
        <vt:i4>1114172</vt:i4>
      </vt:variant>
      <vt:variant>
        <vt:i4>59</vt:i4>
      </vt:variant>
      <vt:variant>
        <vt:i4>0</vt:i4>
      </vt:variant>
      <vt:variant>
        <vt:i4>5</vt:i4>
      </vt:variant>
      <vt:variant>
        <vt:lpwstr/>
      </vt:variant>
      <vt:variant>
        <vt:lpwstr>_Toc179377351</vt:lpwstr>
      </vt:variant>
      <vt:variant>
        <vt:i4>1114172</vt:i4>
      </vt:variant>
      <vt:variant>
        <vt:i4>53</vt:i4>
      </vt:variant>
      <vt:variant>
        <vt:i4>0</vt:i4>
      </vt:variant>
      <vt:variant>
        <vt:i4>5</vt:i4>
      </vt:variant>
      <vt:variant>
        <vt:lpwstr/>
      </vt:variant>
      <vt:variant>
        <vt:lpwstr>_Toc179377350</vt:lpwstr>
      </vt:variant>
      <vt:variant>
        <vt:i4>1048636</vt:i4>
      </vt:variant>
      <vt:variant>
        <vt:i4>47</vt:i4>
      </vt:variant>
      <vt:variant>
        <vt:i4>0</vt:i4>
      </vt:variant>
      <vt:variant>
        <vt:i4>5</vt:i4>
      </vt:variant>
      <vt:variant>
        <vt:lpwstr/>
      </vt:variant>
      <vt:variant>
        <vt:lpwstr>_Toc179377349</vt:lpwstr>
      </vt:variant>
      <vt:variant>
        <vt:i4>1048636</vt:i4>
      </vt:variant>
      <vt:variant>
        <vt:i4>41</vt:i4>
      </vt:variant>
      <vt:variant>
        <vt:i4>0</vt:i4>
      </vt:variant>
      <vt:variant>
        <vt:i4>5</vt:i4>
      </vt:variant>
      <vt:variant>
        <vt:lpwstr/>
      </vt:variant>
      <vt:variant>
        <vt:lpwstr>_Toc179377348</vt:lpwstr>
      </vt:variant>
      <vt:variant>
        <vt:i4>1048636</vt:i4>
      </vt:variant>
      <vt:variant>
        <vt:i4>35</vt:i4>
      </vt:variant>
      <vt:variant>
        <vt:i4>0</vt:i4>
      </vt:variant>
      <vt:variant>
        <vt:i4>5</vt:i4>
      </vt:variant>
      <vt:variant>
        <vt:lpwstr/>
      </vt:variant>
      <vt:variant>
        <vt:lpwstr>_Toc179377347</vt:lpwstr>
      </vt:variant>
      <vt:variant>
        <vt:i4>1048636</vt:i4>
      </vt:variant>
      <vt:variant>
        <vt:i4>29</vt:i4>
      </vt:variant>
      <vt:variant>
        <vt:i4>0</vt:i4>
      </vt:variant>
      <vt:variant>
        <vt:i4>5</vt:i4>
      </vt:variant>
      <vt:variant>
        <vt:lpwstr/>
      </vt:variant>
      <vt:variant>
        <vt:lpwstr>_Toc179377346</vt:lpwstr>
      </vt:variant>
      <vt:variant>
        <vt:i4>1048636</vt:i4>
      </vt:variant>
      <vt:variant>
        <vt:i4>23</vt:i4>
      </vt:variant>
      <vt:variant>
        <vt:i4>0</vt:i4>
      </vt:variant>
      <vt:variant>
        <vt:i4>5</vt:i4>
      </vt:variant>
      <vt:variant>
        <vt:lpwstr/>
      </vt:variant>
      <vt:variant>
        <vt:lpwstr>_Toc179377345</vt:lpwstr>
      </vt:variant>
      <vt:variant>
        <vt:i4>1048636</vt:i4>
      </vt:variant>
      <vt:variant>
        <vt:i4>17</vt:i4>
      </vt:variant>
      <vt:variant>
        <vt:i4>0</vt:i4>
      </vt:variant>
      <vt:variant>
        <vt:i4>5</vt:i4>
      </vt:variant>
      <vt:variant>
        <vt:lpwstr/>
      </vt:variant>
      <vt:variant>
        <vt:lpwstr>_Toc179377344</vt:lpwstr>
      </vt:variant>
      <vt:variant>
        <vt:i4>1048636</vt:i4>
      </vt:variant>
      <vt:variant>
        <vt:i4>11</vt:i4>
      </vt:variant>
      <vt:variant>
        <vt:i4>0</vt:i4>
      </vt:variant>
      <vt:variant>
        <vt:i4>5</vt:i4>
      </vt:variant>
      <vt:variant>
        <vt:lpwstr/>
      </vt:variant>
      <vt:variant>
        <vt:lpwstr>_Toc179377343</vt:lpwstr>
      </vt:variant>
      <vt:variant>
        <vt:i4>3866674</vt:i4>
      </vt:variant>
      <vt:variant>
        <vt:i4>6</vt:i4>
      </vt:variant>
      <vt:variant>
        <vt:i4>0</vt:i4>
      </vt:variant>
      <vt:variant>
        <vt:i4>5</vt:i4>
      </vt:variant>
      <vt:variant>
        <vt:lpwstr>https://www.nhmrc.gov.au/about-us/leadership-and-governance/committees/natural-therapies-working-committee</vt:lpwstr>
      </vt:variant>
      <vt:variant>
        <vt:lpwstr/>
      </vt:variant>
      <vt:variant>
        <vt:i4>6684735</vt:i4>
      </vt:variant>
      <vt:variant>
        <vt:i4>3</vt:i4>
      </vt:variant>
      <vt:variant>
        <vt:i4>0</vt:i4>
      </vt:variant>
      <vt:variant>
        <vt:i4>5</vt:i4>
      </vt:variant>
      <vt:variant>
        <vt:lpwstr>https://www.health.gov.au/committees-and-groups/natural-therapies-review-expert-advisory-panel</vt:lpwstr>
      </vt:variant>
      <vt:variant>
        <vt:lpwstr/>
      </vt:variant>
      <vt:variant>
        <vt:i4>5636157</vt:i4>
      </vt:variant>
      <vt:variant>
        <vt:i4>0</vt:i4>
      </vt:variant>
      <vt:variant>
        <vt:i4>0</vt:i4>
      </vt:variant>
      <vt:variant>
        <vt:i4>5</vt:i4>
      </vt:variant>
      <vt:variant>
        <vt:lpwstr>mailto:communications@nhmrc.gov.au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Natural Therapies Review 2024 – Naturopathy supplements evidence evaluation – Appendices</dc:title>
  <dc:subject>Private health insurance</dc:subject>
  <dc:creator>Australian Government Department of Health and Aged Care</dc:creator>
  <cp:keywords>PHI</cp:keywords>
  <dc:description/>
  <cp:lastModifiedBy>MCCAY, Meryl</cp:lastModifiedBy>
  <cp:revision>1481</cp:revision>
  <cp:lastPrinted>2025-01-06T02:26:00Z</cp:lastPrinted>
  <dcterms:created xsi:type="dcterms:W3CDTF">2024-03-28T05:08:00Z</dcterms:created>
  <dcterms:modified xsi:type="dcterms:W3CDTF">2025-03-31T02:34:00Z</dcterms:modified>
</cp:coreProperties>
</file>